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F6F08">
      <w:pPr>
        <w:rPr>
          <w:rFonts w:hint="eastAsia" w:ascii="Times New Roman" w:hAnsi="Times New Roman" w:eastAsia="仿宋_GB2312" w:cs="Times New Roman"/>
          <w:color w:val="auto"/>
          <w:sz w:val="36"/>
          <w:szCs w:val="36"/>
          <w:lang w:eastAsia="zh-CN"/>
        </w:rPr>
      </w:pPr>
      <w:bookmarkStart w:id="5" w:name="_GoBack"/>
      <w:bookmarkEnd w:id="5"/>
    </w:p>
    <w:p w14:paraId="69054A5C">
      <w:pPr>
        <w:rPr>
          <w:rFonts w:hint="default" w:ascii="Times New Roman" w:hAnsi="Times New Roman" w:eastAsia="仿宋_GB2312" w:cs="Times New Roman"/>
          <w:color w:val="auto"/>
          <w:sz w:val="36"/>
          <w:szCs w:val="36"/>
        </w:rPr>
      </w:pPr>
    </w:p>
    <w:p w14:paraId="3BEB4841">
      <w:pPr>
        <w:rPr>
          <w:rFonts w:hint="default" w:ascii="Times New Roman" w:hAnsi="Times New Roman" w:eastAsia="仿宋_GB2312" w:cs="Times New Roman"/>
          <w:color w:val="auto"/>
          <w:sz w:val="36"/>
          <w:szCs w:val="36"/>
        </w:rPr>
      </w:pPr>
    </w:p>
    <w:p w14:paraId="46F2D378">
      <w:pPr>
        <w:rPr>
          <w:rFonts w:hint="default" w:ascii="Times New Roman" w:hAnsi="Times New Roman" w:eastAsia="仿宋_GB2312" w:cs="Times New Roman"/>
          <w:color w:val="auto"/>
          <w:sz w:val="36"/>
          <w:szCs w:val="36"/>
        </w:rPr>
      </w:pPr>
    </w:p>
    <w:p w14:paraId="1EAC3F10">
      <w:pPr>
        <w:rPr>
          <w:rFonts w:hint="default" w:ascii="Times New Roman" w:hAnsi="Times New Roman" w:eastAsia="仿宋_GB2312" w:cs="Times New Roman"/>
          <w:color w:val="auto"/>
          <w:sz w:val="36"/>
          <w:szCs w:val="36"/>
        </w:rPr>
      </w:pPr>
    </w:p>
    <w:p w14:paraId="5EBD4B9F">
      <w:pPr>
        <w:adjustRightInd w:val="0"/>
        <w:snapToGrid w:val="0"/>
        <w:jc w:val="center"/>
        <w:outlineLvl w:val="0"/>
        <w:rPr>
          <w:rFonts w:hint="default" w:ascii="Times New Roman" w:hAnsi="Times New Roman" w:eastAsia="方正小标宋_GBK" w:cs="Times New Roman"/>
          <w:bCs/>
          <w:color w:val="auto"/>
          <w:sz w:val="72"/>
          <w:szCs w:val="72"/>
        </w:rPr>
      </w:pPr>
      <w:r>
        <w:rPr>
          <w:rFonts w:hint="default" w:ascii="Times New Roman" w:hAnsi="Times New Roman" w:eastAsia="方正小标宋_GBK" w:cs="Times New Roman"/>
          <w:bCs/>
          <w:color w:val="auto"/>
          <w:sz w:val="72"/>
          <w:szCs w:val="72"/>
        </w:rPr>
        <w:t>建设项目环境影响报告表</w:t>
      </w:r>
    </w:p>
    <w:p w14:paraId="680A35ED">
      <w:pPr>
        <w:adjustRightInd w:val="0"/>
        <w:snapToGrid w:val="0"/>
        <w:spacing w:before="192" w:beforeLines="80"/>
        <w:jc w:val="center"/>
        <w:rPr>
          <w:rFonts w:hint="default" w:ascii="Times New Roman" w:hAnsi="Times New Roman" w:eastAsia="楷体_GB2312" w:cs="Times New Roman"/>
          <w:bCs/>
          <w:color w:val="auto"/>
          <w:sz w:val="48"/>
          <w:szCs w:val="48"/>
        </w:rPr>
      </w:pPr>
      <w:r>
        <w:rPr>
          <w:rFonts w:hint="default" w:ascii="Times New Roman" w:hAnsi="Times New Roman" w:eastAsia="楷体_GB2312" w:cs="Times New Roman"/>
          <w:bCs/>
          <w:color w:val="auto"/>
          <w:sz w:val="48"/>
          <w:szCs w:val="48"/>
        </w:rPr>
        <w:t>（污染影响类）</w:t>
      </w:r>
    </w:p>
    <w:p w14:paraId="1674DE89">
      <w:pPr>
        <w:adjustRightInd w:val="0"/>
        <w:snapToGrid w:val="0"/>
        <w:spacing w:line="288" w:lineRule="auto"/>
        <w:ind w:firstLine="4620" w:firstLineChars="1050"/>
        <w:rPr>
          <w:rFonts w:hint="default" w:ascii="Times New Roman" w:hAnsi="Times New Roman" w:eastAsia="华文仿宋" w:cs="Times New Roman"/>
          <w:color w:val="auto"/>
          <w:kern w:val="44"/>
          <w:sz w:val="44"/>
          <w:szCs w:val="44"/>
        </w:rPr>
      </w:pPr>
    </w:p>
    <w:p w14:paraId="521E4F17">
      <w:pPr>
        <w:jc w:val="center"/>
        <w:rPr>
          <w:rFonts w:hint="default" w:ascii="Times New Roman" w:hAnsi="Times New Roman" w:eastAsia="仿宋" w:cs="Times New Roman"/>
          <w:color w:val="auto"/>
          <w:sz w:val="52"/>
          <w:szCs w:val="52"/>
        </w:rPr>
      </w:pPr>
    </w:p>
    <w:p w14:paraId="09F2FBDF">
      <w:pPr>
        <w:ind w:firstLine="1040"/>
        <w:rPr>
          <w:rFonts w:hint="default" w:ascii="Times New Roman" w:hAnsi="Times New Roman" w:eastAsia="仿宋" w:cs="Times New Roman"/>
          <w:color w:val="auto"/>
          <w:sz w:val="44"/>
          <w:szCs w:val="44"/>
        </w:rPr>
      </w:pPr>
    </w:p>
    <w:p w14:paraId="7D8D68BD">
      <w:pPr>
        <w:ind w:firstLine="1040"/>
        <w:rPr>
          <w:rFonts w:hint="default" w:ascii="Times New Roman" w:hAnsi="Times New Roman" w:eastAsia="仿宋" w:cs="Times New Roman"/>
          <w:color w:val="auto"/>
          <w:sz w:val="44"/>
          <w:szCs w:val="44"/>
        </w:rPr>
      </w:pPr>
    </w:p>
    <w:p w14:paraId="514C2519">
      <w:pPr>
        <w:ind w:firstLine="1040"/>
        <w:rPr>
          <w:rFonts w:hint="default" w:ascii="Times New Roman" w:hAnsi="Times New Roman" w:eastAsia="仿宋" w:cs="Times New Roman"/>
          <w:color w:val="auto"/>
          <w:sz w:val="44"/>
          <w:szCs w:val="44"/>
        </w:rPr>
      </w:pPr>
    </w:p>
    <w:p w14:paraId="2B3222E9">
      <w:pPr>
        <w:ind w:firstLine="1040"/>
        <w:rPr>
          <w:rFonts w:hint="default" w:ascii="Times New Roman" w:hAnsi="Times New Roman" w:eastAsia="仿宋" w:cs="Times New Roman"/>
          <w:color w:val="auto"/>
          <w:sz w:val="44"/>
          <w:szCs w:val="44"/>
        </w:rPr>
      </w:pPr>
    </w:p>
    <w:p w14:paraId="4F28C8F9">
      <w:pPr>
        <w:ind w:firstLine="1040"/>
        <w:rPr>
          <w:rFonts w:hint="default" w:ascii="Times New Roman" w:hAnsi="Times New Roman" w:eastAsia="仿宋" w:cs="Times New Roman"/>
          <w:color w:val="auto"/>
          <w:sz w:val="44"/>
          <w:szCs w:val="44"/>
        </w:rPr>
      </w:pPr>
    </w:p>
    <w:p w14:paraId="7D5FCC80">
      <w:pPr>
        <w:adjustRightInd w:val="0"/>
        <w:snapToGrid w:val="0"/>
        <w:spacing w:line="288" w:lineRule="auto"/>
        <w:rPr>
          <w:rFonts w:hint="default" w:eastAsia="仿宋_GB2312" w:cs="Times New Roman"/>
          <w:color w:val="000000" w:themeColor="text1"/>
          <w:sz w:val="36"/>
          <w:szCs w:val="36"/>
          <w:u w:val="single"/>
          <w:lang w:val="en-US" w:eastAsia="zh-CN"/>
          <w14:textFill>
            <w14:solidFill>
              <w14:schemeClr w14:val="tx1"/>
            </w14:solidFill>
          </w14:textFill>
        </w:rPr>
      </w:pPr>
      <w:r>
        <w:rPr>
          <w:rFonts w:hint="default" w:ascii="Times New Roman" w:hAnsi="Times New Roman" w:eastAsia="仿宋_GB2312" w:cs="Times New Roman"/>
          <w:color w:val="000000" w:themeColor="text1"/>
          <w:sz w:val="36"/>
          <w:szCs w:val="36"/>
          <w14:textFill>
            <w14:solidFill>
              <w14:schemeClr w14:val="tx1"/>
            </w14:solidFill>
          </w14:textFill>
        </w:rPr>
        <w:t>项目名称：</w:t>
      </w:r>
      <w:r>
        <w:rPr>
          <w:rFonts w:hint="default" w:ascii="Times New Roman" w:hAnsi="Times New Roman" w:eastAsia="仿宋_GB2312" w:cs="Times New Roman"/>
          <w:color w:val="000000" w:themeColor="text1"/>
          <w:sz w:val="36"/>
          <w:szCs w:val="36"/>
          <w:u w:val="singl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6"/>
          <w:szCs w:val="36"/>
          <w:u w:val="single"/>
          <w:lang w:val="en-US" w:eastAsia="zh-CN"/>
          <w14:textFill>
            <w14:solidFill>
              <w14:schemeClr w14:val="tx1"/>
            </w14:solidFill>
          </w14:textFill>
        </w:rPr>
        <w:t xml:space="preserve">    </w:t>
      </w:r>
      <w:r>
        <w:rPr>
          <w:rFonts w:hint="eastAsia" w:eastAsia="仿宋_GB2312" w:cs="Times New Roman"/>
          <w:color w:val="000000" w:themeColor="text1"/>
          <w:sz w:val="36"/>
          <w:szCs w:val="36"/>
          <w:u w:val="single"/>
          <w:lang w:eastAsia="zh-CN"/>
          <w14:textFill>
            <w14:solidFill>
              <w14:schemeClr w14:val="tx1"/>
            </w14:solidFill>
          </w14:textFill>
        </w:rPr>
        <w:t>邯郸才茂环保科技有限公司</w:t>
      </w:r>
      <w:r>
        <w:rPr>
          <w:rFonts w:hint="eastAsia" w:eastAsia="仿宋_GB2312" w:cs="Times New Roman"/>
          <w:color w:val="000000" w:themeColor="text1"/>
          <w:sz w:val="36"/>
          <w:szCs w:val="36"/>
          <w:u w:val="single"/>
          <w:lang w:val="en-US" w:eastAsia="zh-CN"/>
          <w14:textFill>
            <w14:solidFill>
              <w14:schemeClr w14:val="tx1"/>
            </w14:solidFill>
          </w14:textFill>
        </w:rPr>
        <w:t xml:space="preserve">       </w:t>
      </w:r>
    </w:p>
    <w:p w14:paraId="527FE6D2">
      <w:pPr>
        <w:adjustRightInd w:val="0"/>
        <w:snapToGrid w:val="0"/>
        <w:spacing w:line="288" w:lineRule="auto"/>
        <w:ind w:firstLine="1800" w:firstLineChars="500"/>
        <w:rPr>
          <w:rFonts w:hint="default" w:ascii="Times New Roman" w:hAnsi="Times New Roman" w:eastAsia="仿宋_GB2312" w:cs="Times New Roman"/>
          <w:color w:val="000000" w:themeColor="text1"/>
          <w:spacing w:val="-40"/>
          <w:sz w:val="36"/>
          <w:szCs w:val="36"/>
          <w:u w:val="single"/>
          <w:lang w:val="en-US" w:eastAsia="zh-CN"/>
          <w14:textFill>
            <w14:solidFill>
              <w14:schemeClr w14:val="tx1"/>
            </w14:solidFill>
          </w14:textFill>
        </w:rPr>
      </w:pPr>
      <w:r>
        <w:rPr>
          <w:rFonts w:hint="eastAsia" w:ascii="Times New Roman" w:hAnsi="Times New Roman" w:eastAsia="仿宋_GB2312" w:cs="Times New Roman"/>
          <w:color w:val="000000" w:themeColor="text1"/>
          <w:sz w:val="36"/>
          <w:szCs w:val="36"/>
          <w:u w:val="single"/>
          <w:lang w:val="en-US" w:eastAsia="zh-CN"/>
          <w14:textFill>
            <w14:solidFill>
              <w14:schemeClr w14:val="tx1"/>
            </w14:solidFill>
          </w14:textFill>
        </w:rPr>
        <w:t xml:space="preserve">   </w:t>
      </w:r>
      <w:r>
        <w:rPr>
          <w:rFonts w:hint="eastAsia" w:eastAsia="仿宋_GB2312" w:cs="Times New Roman"/>
          <w:color w:val="000000" w:themeColor="text1"/>
          <w:sz w:val="36"/>
          <w:szCs w:val="36"/>
          <w:u w:val="single"/>
          <w:lang w:val="en-US" w:eastAsia="zh-CN"/>
          <w14:textFill>
            <w14:solidFill>
              <w14:schemeClr w14:val="tx1"/>
            </w14:solidFill>
          </w14:textFill>
        </w:rPr>
        <w:t xml:space="preserve">  </w:t>
      </w:r>
      <w:r>
        <w:rPr>
          <w:rFonts w:hint="eastAsia" w:eastAsia="仿宋_GB2312" w:cs="Times New Roman"/>
          <w:color w:val="000000" w:themeColor="text1"/>
          <w:sz w:val="36"/>
          <w:szCs w:val="36"/>
          <w:u w:val="single"/>
          <w:lang w:eastAsia="zh-CN"/>
          <w14:textFill>
            <w14:solidFill>
              <w14:schemeClr w14:val="tx1"/>
            </w14:solidFill>
          </w14:textFill>
        </w:rPr>
        <w:t>年产12000吨再生塑料颗粒项目</w:t>
      </w:r>
      <w:r>
        <w:rPr>
          <w:rFonts w:hint="eastAsia" w:eastAsia="仿宋_GB2312" w:cs="Times New Roman"/>
          <w:color w:val="000000" w:themeColor="text1"/>
          <w:sz w:val="36"/>
          <w:szCs w:val="36"/>
          <w:u w:val="singl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6"/>
          <w:szCs w:val="36"/>
          <w:u w:val="single"/>
          <w:lang w:val="en-US" w:eastAsia="zh-CN"/>
          <w14:textFill>
            <w14:solidFill>
              <w14:schemeClr w14:val="tx1"/>
            </w14:solidFill>
          </w14:textFill>
        </w:rPr>
        <w:t xml:space="preserve">  </w:t>
      </w:r>
    </w:p>
    <w:p w14:paraId="61FD5238">
      <w:pPr>
        <w:adjustRightInd w:val="0"/>
        <w:snapToGrid w:val="0"/>
        <w:spacing w:line="288" w:lineRule="auto"/>
        <w:rPr>
          <w:rFonts w:hint="default" w:ascii="Times New Roman" w:hAnsi="Times New Roman" w:eastAsia="仿宋_GB2312" w:cs="Times New Roman"/>
          <w:color w:val="000000" w:themeColor="text1"/>
          <w:sz w:val="36"/>
          <w:szCs w:val="36"/>
          <w:u w:val="single"/>
          <w14:textFill>
            <w14:solidFill>
              <w14:schemeClr w14:val="tx1"/>
            </w14:solidFill>
          </w14:textFill>
        </w:rPr>
      </w:pPr>
      <w:r>
        <w:rPr>
          <w:rFonts w:hint="default" w:ascii="Times New Roman" w:hAnsi="Times New Roman" w:eastAsia="仿宋_GB2312" w:cs="Times New Roman"/>
          <w:color w:val="000000" w:themeColor="text1"/>
          <w:sz w:val="36"/>
          <w:szCs w:val="36"/>
          <w14:textFill>
            <w14:solidFill>
              <w14:schemeClr w14:val="tx1"/>
            </w14:solidFill>
          </w14:textFill>
        </w:rPr>
        <w:t>建设单位（盖章）：</w:t>
      </w:r>
      <w:r>
        <w:rPr>
          <w:rFonts w:hint="default" w:ascii="Times New Roman" w:hAnsi="Times New Roman" w:eastAsia="仿宋_GB2312" w:cs="Times New Roman"/>
          <w:color w:val="000000" w:themeColor="text1"/>
          <w:sz w:val="36"/>
          <w:szCs w:val="36"/>
          <w:u w:val="single"/>
          <w14:textFill>
            <w14:solidFill>
              <w14:schemeClr w14:val="tx1"/>
            </w14:solidFill>
          </w14:textFill>
        </w:rPr>
        <w:t xml:space="preserve"> </w:t>
      </w:r>
      <w:r>
        <w:rPr>
          <w:rFonts w:hint="eastAsia" w:eastAsia="仿宋_GB2312" w:cs="Times New Roman"/>
          <w:color w:val="000000" w:themeColor="text1"/>
          <w:sz w:val="36"/>
          <w:szCs w:val="36"/>
          <w:u w:val="single"/>
          <w:lang w:val="en-US" w:eastAsia="zh-CN"/>
          <w14:textFill>
            <w14:solidFill>
              <w14:schemeClr w14:val="tx1"/>
            </w14:solidFill>
          </w14:textFill>
        </w:rPr>
        <w:t xml:space="preserve"> 邯郸才茂环保科技有限公司</w:t>
      </w:r>
      <w:r>
        <w:rPr>
          <w:rFonts w:hint="default" w:ascii="Times New Roman" w:hAnsi="Times New Roman" w:eastAsia="仿宋_GB2312" w:cs="Times New Roman"/>
          <w:color w:val="000000" w:themeColor="text1"/>
          <w:sz w:val="36"/>
          <w:szCs w:val="36"/>
          <w:u w:val="single"/>
          <w14:textFill>
            <w14:solidFill>
              <w14:schemeClr w14:val="tx1"/>
            </w14:solidFill>
          </w14:textFill>
        </w:rPr>
        <w:t xml:space="preserve"> </w:t>
      </w:r>
      <w:r>
        <w:rPr>
          <w:rFonts w:hint="eastAsia" w:eastAsia="仿宋_GB2312" w:cs="Times New Roman"/>
          <w:color w:val="000000" w:themeColor="text1"/>
          <w:sz w:val="36"/>
          <w:szCs w:val="36"/>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6"/>
          <w:szCs w:val="36"/>
          <w:u w:val="single"/>
          <w14:textFill>
            <w14:solidFill>
              <w14:schemeClr w14:val="tx1"/>
            </w14:solidFill>
          </w14:textFill>
        </w:rPr>
        <w:t xml:space="preserve"> </w:t>
      </w:r>
    </w:p>
    <w:p w14:paraId="749902DF">
      <w:pPr>
        <w:adjustRightInd w:val="0"/>
        <w:snapToGrid w:val="0"/>
        <w:spacing w:line="288" w:lineRule="auto"/>
        <w:rPr>
          <w:rFonts w:hint="default" w:ascii="Times New Roman" w:hAnsi="Times New Roman" w:eastAsia="仿宋_GB2312" w:cs="Times New Roman"/>
          <w:color w:val="000000" w:themeColor="text1"/>
          <w:sz w:val="36"/>
          <w:szCs w:val="36"/>
          <w:u w:val="single"/>
          <w14:textFill>
            <w14:solidFill>
              <w14:schemeClr w14:val="tx1"/>
            </w14:solidFill>
          </w14:textFill>
        </w:rPr>
      </w:pPr>
      <w:r>
        <w:rPr>
          <w:rFonts w:hint="default" w:ascii="Times New Roman" w:hAnsi="Times New Roman" w:eastAsia="仿宋_GB2312" w:cs="Times New Roman"/>
          <w:color w:val="000000" w:themeColor="text1"/>
          <w:sz w:val="36"/>
          <w:szCs w:val="36"/>
          <w14:textFill>
            <w14:solidFill>
              <w14:schemeClr w14:val="tx1"/>
            </w14:solidFill>
          </w14:textFill>
        </w:rPr>
        <w:t>编制日期：</w:t>
      </w:r>
      <w:r>
        <w:rPr>
          <w:rFonts w:hint="default" w:ascii="Times New Roman" w:hAnsi="Times New Roman" w:eastAsia="仿宋_GB2312" w:cs="Times New Roman"/>
          <w:color w:val="000000" w:themeColor="text1"/>
          <w:sz w:val="36"/>
          <w:szCs w:val="36"/>
          <w:u w:val="single"/>
          <w14:textFill>
            <w14:solidFill>
              <w14:schemeClr w14:val="tx1"/>
            </w14:solidFill>
          </w14:textFill>
        </w:rPr>
        <w:t xml:space="preserve">          </w:t>
      </w:r>
      <w:r>
        <w:rPr>
          <w:rFonts w:hint="eastAsia" w:ascii="Times New Roman" w:hAnsi="Times New Roman" w:eastAsia="仿宋_GB2312" w:cs="Times New Roman"/>
          <w:color w:val="000000" w:themeColor="text1"/>
          <w:sz w:val="36"/>
          <w:szCs w:val="36"/>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6"/>
          <w:szCs w:val="36"/>
          <w:u w:val="single"/>
          <w14:textFill>
            <w14:solidFill>
              <w14:schemeClr w14:val="tx1"/>
            </w14:solidFill>
          </w14:textFill>
        </w:rPr>
        <w:t xml:space="preserve"> </w:t>
      </w:r>
      <w:r>
        <w:rPr>
          <w:rFonts w:hint="eastAsia" w:ascii="Times New Roman" w:hAnsi="Times New Roman" w:eastAsia="仿宋_GB2312" w:cs="Times New Roman"/>
          <w:color w:val="000000" w:themeColor="text1"/>
          <w:sz w:val="36"/>
          <w:szCs w:val="36"/>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6"/>
          <w:szCs w:val="36"/>
          <w:u w:val="single"/>
          <w14:textFill>
            <w14:solidFill>
              <w14:schemeClr w14:val="tx1"/>
            </w14:solidFill>
          </w14:textFill>
        </w:rPr>
        <w:t xml:space="preserve"> 202</w:t>
      </w:r>
      <w:r>
        <w:rPr>
          <w:rFonts w:hint="eastAsia" w:eastAsia="仿宋_GB2312" w:cs="Times New Roman"/>
          <w:color w:val="000000" w:themeColor="text1"/>
          <w:sz w:val="36"/>
          <w:szCs w:val="36"/>
          <w:u w:val="single"/>
          <w:lang w:val="en-US" w:eastAsia="zh-CN"/>
          <w14:textFill>
            <w14:solidFill>
              <w14:schemeClr w14:val="tx1"/>
            </w14:solidFill>
          </w14:textFill>
        </w:rPr>
        <w:t>5</w:t>
      </w:r>
      <w:r>
        <w:rPr>
          <w:rFonts w:hint="default" w:ascii="Times New Roman" w:hAnsi="Times New Roman" w:eastAsia="仿宋_GB2312" w:cs="Times New Roman"/>
          <w:color w:val="000000" w:themeColor="text1"/>
          <w:sz w:val="36"/>
          <w:szCs w:val="36"/>
          <w:u w:val="single"/>
          <w14:textFill>
            <w14:solidFill>
              <w14:schemeClr w14:val="tx1"/>
            </w14:solidFill>
          </w14:textFill>
        </w:rPr>
        <w:t>年</w:t>
      </w:r>
      <w:r>
        <w:rPr>
          <w:rFonts w:hint="eastAsia" w:eastAsia="仿宋_GB2312" w:cs="Times New Roman"/>
          <w:color w:val="000000" w:themeColor="text1"/>
          <w:sz w:val="36"/>
          <w:szCs w:val="36"/>
          <w:u w:val="single"/>
          <w:lang w:val="en-US" w:eastAsia="zh-CN"/>
          <w14:textFill>
            <w14:solidFill>
              <w14:schemeClr w14:val="tx1"/>
            </w14:solidFill>
          </w14:textFill>
        </w:rPr>
        <w:t>9</w:t>
      </w:r>
      <w:r>
        <w:rPr>
          <w:rFonts w:hint="default" w:ascii="Times New Roman" w:hAnsi="Times New Roman" w:eastAsia="仿宋_GB2312" w:cs="Times New Roman"/>
          <w:color w:val="000000" w:themeColor="text1"/>
          <w:sz w:val="36"/>
          <w:szCs w:val="36"/>
          <w:u w:val="single"/>
          <w14:textFill>
            <w14:solidFill>
              <w14:schemeClr w14:val="tx1"/>
            </w14:solidFill>
          </w14:textFill>
        </w:rPr>
        <w:t xml:space="preserve">月   </w:t>
      </w:r>
      <w:r>
        <w:rPr>
          <w:rFonts w:hint="eastAsia" w:ascii="Times New Roman" w:hAnsi="Times New Roman" w:eastAsia="仿宋_GB2312" w:cs="Times New Roman"/>
          <w:color w:val="000000" w:themeColor="text1"/>
          <w:sz w:val="36"/>
          <w:szCs w:val="36"/>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6"/>
          <w:szCs w:val="36"/>
          <w:u w:val="single"/>
          <w14:textFill>
            <w14:solidFill>
              <w14:schemeClr w14:val="tx1"/>
            </w14:solidFill>
          </w14:textFill>
        </w:rPr>
        <w:t xml:space="preserve">        </w:t>
      </w:r>
    </w:p>
    <w:p w14:paraId="683844BD">
      <w:pPr>
        <w:adjustRightInd w:val="0"/>
        <w:snapToGrid w:val="0"/>
        <w:spacing w:line="288" w:lineRule="auto"/>
        <w:ind w:firstLine="1040"/>
        <w:rPr>
          <w:rFonts w:hint="default" w:ascii="Times New Roman" w:hAnsi="Times New Roman" w:eastAsia="仿宋_GB2312" w:cs="Times New Roman"/>
          <w:color w:val="000000" w:themeColor="text1"/>
          <w:sz w:val="36"/>
          <w:szCs w:val="36"/>
          <w:u w:val="single"/>
          <w14:textFill>
            <w14:solidFill>
              <w14:schemeClr w14:val="tx1"/>
            </w14:solidFill>
          </w14:textFill>
        </w:rPr>
      </w:pPr>
      <w:bookmarkStart w:id="0" w:name="_Hlk57884087"/>
    </w:p>
    <w:p w14:paraId="38FE25AC">
      <w:pPr>
        <w:adjustRightInd w:val="0"/>
        <w:snapToGrid w:val="0"/>
        <w:spacing w:line="288" w:lineRule="auto"/>
        <w:ind w:firstLine="1040"/>
        <w:rPr>
          <w:rFonts w:hint="default" w:ascii="Times New Roman" w:hAnsi="Times New Roman" w:eastAsia="仿宋_GB2312" w:cs="Times New Roman"/>
          <w:color w:val="000000" w:themeColor="text1"/>
          <w:sz w:val="36"/>
          <w:szCs w:val="36"/>
          <w14:textFill>
            <w14:solidFill>
              <w14:schemeClr w14:val="tx1"/>
            </w14:solidFill>
          </w14:textFill>
        </w:rPr>
      </w:pPr>
    </w:p>
    <w:p w14:paraId="02A96C8D">
      <w:pPr>
        <w:adjustRightInd w:val="0"/>
        <w:snapToGrid w:val="0"/>
        <w:spacing w:line="288" w:lineRule="auto"/>
        <w:ind w:firstLine="1040"/>
        <w:rPr>
          <w:rFonts w:hint="default" w:ascii="Times New Roman" w:hAnsi="Times New Roman" w:eastAsia="仿宋_GB2312" w:cs="Times New Roman"/>
          <w:color w:val="000000" w:themeColor="text1"/>
          <w:sz w:val="36"/>
          <w:szCs w:val="36"/>
          <w14:textFill>
            <w14:solidFill>
              <w14:schemeClr w14:val="tx1"/>
            </w14:solidFill>
          </w14:textFill>
        </w:rPr>
      </w:pPr>
    </w:p>
    <w:p w14:paraId="00E7B530">
      <w:pPr>
        <w:adjustRightInd w:val="0"/>
        <w:snapToGrid w:val="0"/>
        <w:spacing w:line="288" w:lineRule="auto"/>
        <w:ind w:firstLine="1040"/>
        <w:rPr>
          <w:rFonts w:hint="default" w:ascii="Times New Roman" w:hAnsi="Times New Roman" w:eastAsia="仿宋_GB2312" w:cs="Times New Roman"/>
          <w:color w:val="000000" w:themeColor="text1"/>
          <w:sz w:val="36"/>
          <w:szCs w:val="36"/>
          <w14:textFill>
            <w14:solidFill>
              <w14:schemeClr w14:val="tx1"/>
            </w14:solidFill>
          </w14:textFill>
        </w:rPr>
      </w:pPr>
    </w:p>
    <w:p w14:paraId="11D97891">
      <w:pPr>
        <w:adjustRightInd w:val="0"/>
        <w:snapToGrid w:val="0"/>
        <w:spacing w:line="288" w:lineRule="auto"/>
        <w:ind w:firstLine="1040"/>
        <w:rPr>
          <w:rFonts w:hint="default" w:ascii="Times New Roman" w:hAnsi="Times New Roman" w:eastAsia="仿宋_GB2312" w:cs="Times New Roman"/>
          <w:color w:val="000000" w:themeColor="text1"/>
          <w:sz w:val="36"/>
          <w:szCs w:val="36"/>
          <w14:textFill>
            <w14:solidFill>
              <w14:schemeClr w14:val="tx1"/>
            </w14:solidFill>
          </w14:textFill>
        </w:rPr>
      </w:pPr>
    </w:p>
    <w:bookmarkEnd w:id="0"/>
    <w:p w14:paraId="6C73062C">
      <w:pPr>
        <w:adjustRightInd w:val="0"/>
        <w:snapToGrid w:val="0"/>
        <w:spacing w:line="288" w:lineRule="auto"/>
        <w:jc w:val="center"/>
        <w:rPr>
          <w:rFonts w:hint="default" w:ascii="Times New Roman" w:hAnsi="Times New Roman" w:eastAsia="仿宋_GB2312" w:cs="Times New Roman"/>
          <w:color w:val="auto"/>
          <w:sz w:val="36"/>
          <w:szCs w:val="36"/>
          <w:highlight w:val="yellow"/>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r>
        <w:rPr>
          <w:rFonts w:hint="default" w:ascii="Times New Roman" w:hAnsi="Times New Roman" w:eastAsia="楷体_GB2312" w:cs="Times New Roman"/>
          <w:color w:val="000000" w:themeColor="text1"/>
          <w:sz w:val="36"/>
          <w:szCs w:val="36"/>
          <w14:textFill>
            <w14:solidFill>
              <w14:schemeClr w14:val="tx1"/>
            </w14:solidFill>
          </w14:textFill>
        </w:rPr>
        <w:t>中华人民共和国生态环境部制</w:t>
      </w:r>
    </w:p>
    <w:p w14:paraId="4FF16765">
      <w:pPr>
        <w:pStyle w:val="9"/>
        <w:rPr>
          <w:rFonts w:hint="default" w:ascii="Times New Roman" w:hAnsi="Times New Roman" w:cs="Times New Roman"/>
          <w:color w:val="auto"/>
          <w:highlight w:val="yellow"/>
        </w:rPr>
        <w:sectPr>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7F57209C">
      <w:pPr>
        <w:pStyle w:val="23"/>
        <w:spacing w:before="0" w:beforeAutospacing="0" w:after="0" w:afterAutospacing="0"/>
        <w:jc w:val="center"/>
        <w:outlineLvl w:val="0"/>
        <w:rPr>
          <w:rFonts w:hint="default" w:ascii="Times New Roman" w:hAnsi="Times New Roman" w:eastAsia="黑体" w:cs="Times New Roman"/>
          <w:snapToGrid w:val="0"/>
          <w:color w:val="auto"/>
          <w:sz w:val="32"/>
          <w:szCs w:val="32"/>
        </w:rPr>
      </w:pPr>
      <w:r>
        <w:rPr>
          <w:rFonts w:hint="default" w:ascii="Times New Roman" w:hAnsi="Times New Roman" w:eastAsia="黑体" w:cs="Times New Roman"/>
          <w:snapToGrid w:val="0"/>
          <w:color w:val="auto"/>
          <w:sz w:val="32"/>
          <w:szCs w:val="32"/>
        </w:rPr>
        <w:t>一、建设项目基本情况</w:t>
      </w:r>
    </w:p>
    <w:tbl>
      <w:tblPr>
        <w:tblStyle w:val="28"/>
        <w:tblW w:w="491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677"/>
        <w:gridCol w:w="2332"/>
        <w:gridCol w:w="1527"/>
        <w:gridCol w:w="3190"/>
      </w:tblGrid>
      <w:tr w14:paraId="4213AA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61" w:type="pct"/>
            <w:tcMar>
              <w:top w:w="16" w:type="dxa"/>
              <w:left w:w="16" w:type="dxa"/>
              <w:right w:w="16" w:type="dxa"/>
            </w:tcMar>
            <w:vAlign w:val="center"/>
          </w:tcPr>
          <w:p w14:paraId="53D61B7D">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建设项目名称</w:t>
            </w:r>
          </w:p>
        </w:tc>
        <w:tc>
          <w:tcPr>
            <w:tcW w:w="4039" w:type="pct"/>
            <w:gridSpan w:val="3"/>
            <w:vAlign w:val="center"/>
          </w:tcPr>
          <w:p w14:paraId="5D78C9A7">
            <w:pPr>
              <w:adjustRightInd w:val="0"/>
              <w:snapToGrid w:val="0"/>
              <w:jc w:val="center"/>
              <w:rPr>
                <w:rFonts w:hint="default" w:ascii="Times New Roman" w:hAnsi="Times New Roman" w:cs="Times New Roman" w:eastAsiaTheme="minorEastAsia"/>
                <w:color w:val="auto"/>
                <w:sz w:val="24"/>
                <w:lang w:eastAsia="zh-CN"/>
              </w:rPr>
            </w:pPr>
            <w:r>
              <w:rPr>
                <w:rFonts w:hint="eastAsia" w:cs="Times New Roman" w:eastAsiaTheme="minorEastAsia"/>
                <w:color w:val="auto"/>
                <w:sz w:val="24"/>
                <w:lang w:eastAsia="zh-CN"/>
              </w:rPr>
              <w:t>邯郸才茂环保科技有限公司年产12000吨再生塑料颗粒项目</w:t>
            </w:r>
          </w:p>
        </w:tc>
      </w:tr>
      <w:tr w14:paraId="19DA48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61" w:type="pct"/>
            <w:tcMar>
              <w:top w:w="16" w:type="dxa"/>
              <w:left w:w="16" w:type="dxa"/>
              <w:right w:w="16" w:type="dxa"/>
            </w:tcMar>
            <w:vAlign w:val="center"/>
          </w:tcPr>
          <w:p w14:paraId="71366A1D">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项目代码</w:t>
            </w:r>
          </w:p>
        </w:tc>
        <w:tc>
          <w:tcPr>
            <w:tcW w:w="4039" w:type="pct"/>
            <w:gridSpan w:val="3"/>
            <w:vAlign w:val="center"/>
          </w:tcPr>
          <w:p w14:paraId="59B3B964">
            <w:pPr>
              <w:adjustRightInd w:val="0"/>
              <w:snapToGrid w:val="0"/>
              <w:jc w:val="center"/>
              <w:rPr>
                <w:rFonts w:hint="default" w:ascii="Times New Roman" w:hAnsi="Times New Roman" w:cs="Times New Roman" w:eastAsiaTheme="minorEastAsia"/>
                <w:color w:val="auto"/>
                <w:sz w:val="24"/>
                <w:lang w:val="en-US" w:eastAsia="zh-CN"/>
              </w:rPr>
            </w:pPr>
            <w:r>
              <w:rPr>
                <w:rFonts w:hint="eastAsia" w:ascii="Times New Roman" w:hAnsi="Times New Roman" w:cs="Times New Roman" w:eastAsiaTheme="minorEastAsia"/>
                <w:color w:val="auto"/>
                <w:sz w:val="24"/>
                <w:lang w:val="en-US" w:eastAsia="zh-CN"/>
              </w:rPr>
              <w:t>241</w:t>
            </w:r>
            <w:r>
              <w:rPr>
                <w:rFonts w:hint="eastAsia" w:cs="Times New Roman" w:eastAsiaTheme="minorEastAsia"/>
                <w:color w:val="auto"/>
                <w:sz w:val="24"/>
                <w:lang w:val="en-US" w:eastAsia="zh-CN"/>
              </w:rPr>
              <w:t>0</w:t>
            </w:r>
            <w:r>
              <w:rPr>
                <w:rFonts w:hint="eastAsia" w:ascii="Times New Roman" w:hAnsi="Times New Roman" w:cs="Times New Roman" w:eastAsiaTheme="minorEastAsia"/>
                <w:color w:val="auto"/>
                <w:sz w:val="24"/>
                <w:lang w:val="en-US" w:eastAsia="zh-CN"/>
              </w:rPr>
              <w:t>-1304</w:t>
            </w:r>
            <w:r>
              <w:rPr>
                <w:rFonts w:hint="eastAsia" w:cs="Times New Roman" w:eastAsiaTheme="minorEastAsia"/>
                <w:color w:val="auto"/>
                <w:sz w:val="24"/>
                <w:lang w:val="en-US" w:eastAsia="zh-CN"/>
              </w:rPr>
              <w:t>34</w:t>
            </w:r>
            <w:r>
              <w:rPr>
                <w:rFonts w:hint="eastAsia" w:ascii="Times New Roman" w:hAnsi="Times New Roman" w:cs="Times New Roman" w:eastAsiaTheme="minorEastAsia"/>
                <w:color w:val="auto"/>
                <w:sz w:val="24"/>
                <w:lang w:val="en-US" w:eastAsia="zh-CN"/>
              </w:rPr>
              <w:t>-89-01-</w:t>
            </w:r>
            <w:r>
              <w:rPr>
                <w:rFonts w:hint="eastAsia" w:cs="Times New Roman" w:eastAsiaTheme="minorEastAsia"/>
                <w:color w:val="auto"/>
                <w:sz w:val="24"/>
                <w:lang w:val="en-US" w:eastAsia="zh-CN"/>
              </w:rPr>
              <w:t>575400</w:t>
            </w:r>
          </w:p>
        </w:tc>
      </w:tr>
      <w:tr w14:paraId="5312E8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61" w:type="pct"/>
            <w:tcMar>
              <w:top w:w="16" w:type="dxa"/>
              <w:left w:w="16" w:type="dxa"/>
              <w:right w:w="16" w:type="dxa"/>
            </w:tcMar>
            <w:vAlign w:val="center"/>
          </w:tcPr>
          <w:p w14:paraId="6D19FD96">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建设单位</w:t>
            </w:r>
          </w:p>
          <w:p w14:paraId="63EF2FD4">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联系人</w:t>
            </w:r>
          </w:p>
        </w:tc>
        <w:tc>
          <w:tcPr>
            <w:tcW w:w="1336" w:type="pct"/>
            <w:vAlign w:val="center"/>
          </w:tcPr>
          <w:p w14:paraId="37DFBB34">
            <w:pPr>
              <w:adjustRightInd w:val="0"/>
              <w:snapToGrid w:val="0"/>
              <w:jc w:val="center"/>
              <w:rPr>
                <w:rFonts w:hint="eastAsia" w:ascii="Times New Roman" w:hAnsi="Times New Roman" w:cs="Times New Roman" w:eastAsiaTheme="minorEastAsia"/>
                <w:color w:val="auto"/>
                <w:sz w:val="24"/>
                <w:lang w:eastAsia="zh-CN"/>
              </w:rPr>
            </w:pPr>
            <w:r>
              <w:rPr>
                <w:rFonts w:hint="eastAsia" w:ascii="Times New Roman" w:hAnsi="Times New Roman" w:cs="Times New Roman" w:eastAsiaTheme="minorEastAsia"/>
                <w:color w:val="auto"/>
                <w:sz w:val="24"/>
                <w:lang w:eastAsia="zh-CN"/>
              </w:rPr>
              <w:t>任占磊</w:t>
            </w:r>
          </w:p>
        </w:tc>
        <w:tc>
          <w:tcPr>
            <w:tcW w:w="875" w:type="pct"/>
            <w:vAlign w:val="center"/>
          </w:tcPr>
          <w:p w14:paraId="65BE119F">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联系方式</w:t>
            </w:r>
          </w:p>
        </w:tc>
        <w:tc>
          <w:tcPr>
            <w:tcW w:w="1828" w:type="pct"/>
            <w:vAlign w:val="center"/>
          </w:tcPr>
          <w:p w14:paraId="603007B7">
            <w:pPr>
              <w:adjustRightInd w:val="0"/>
              <w:snapToGrid w:val="0"/>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18132206</w:t>
            </w:r>
            <w:r>
              <w:rPr>
                <w:rFonts w:hint="eastAsia" w:cs="Times New Roman" w:eastAsiaTheme="minorEastAsia"/>
                <w:color w:val="auto"/>
                <w:sz w:val="24"/>
                <w:lang w:val="en-US" w:eastAsia="zh-CN"/>
              </w:rPr>
              <w:t>323</w:t>
            </w:r>
          </w:p>
        </w:tc>
      </w:tr>
      <w:tr w14:paraId="299D66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61" w:type="pct"/>
            <w:tcMar>
              <w:top w:w="16" w:type="dxa"/>
              <w:left w:w="16" w:type="dxa"/>
              <w:right w:w="16" w:type="dxa"/>
            </w:tcMar>
            <w:vAlign w:val="center"/>
          </w:tcPr>
          <w:p w14:paraId="7BF1BDAA">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建设地点</w:t>
            </w:r>
          </w:p>
        </w:tc>
        <w:tc>
          <w:tcPr>
            <w:tcW w:w="4039" w:type="pct"/>
            <w:gridSpan w:val="3"/>
            <w:vAlign w:val="center"/>
          </w:tcPr>
          <w:p w14:paraId="478F0658">
            <w:pPr>
              <w:adjustRightInd w:val="0"/>
              <w:snapToGrid w:val="0"/>
              <w:jc w:val="center"/>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河北省邯郸市魏县绿环循环经济产业园1栋-4号</w:t>
            </w:r>
          </w:p>
        </w:tc>
      </w:tr>
      <w:tr w14:paraId="6B6E66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61" w:type="pct"/>
            <w:tcMar>
              <w:top w:w="16" w:type="dxa"/>
              <w:left w:w="16" w:type="dxa"/>
              <w:right w:w="16" w:type="dxa"/>
            </w:tcMar>
            <w:vAlign w:val="center"/>
          </w:tcPr>
          <w:p w14:paraId="6ADBBCDD">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地理坐标</w:t>
            </w:r>
          </w:p>
        </w:tc>
        <w:tc>
          <w:tcPr>
            <w:tcW w:w="4039" w:type="pct"/>
            <w:gridSpan w:val="3"/>
            <w:vAlign w:val="center"/>
          </w:tcPr>
          <w:p w14:paraId="66D9A92F">
            <w:pPr>
              <w:jc w:val="center"/>
              <w:rPr>
                <w:rFonts w:hint="eastAsia" w:ascii="Times New Roman" w:hAnsi="Times New Roman" w:eastAsia="宋体" w:cs="Times New Roman"/>
                <w:color w:val="auto"/>
                <w:sz w:val="24"/>
                <w:lang w:eastAsia="zh-CN"/>
              </w:rPr>
            </w:pPr>
            <w:r>
              <w:rPr>
                <w:rFonts w:hint="default" w:ascii="Times New Roman" w:hAnsi="Times New Roman" w:cs="Times New Roman" w:eastAsiaTheme="minorEastAsia"/>
                <w:color w:val="auto"/>
                <w:sz w:val="24"/>
              </w:rPr>
              <w:t>（</w:t>
            </w:r>
            <w:r>
              <w:rPr>
                <w:rFonts w:hint="default" w:ascii="Times New Roman" w:hAnsi="Times New Roman" w:cs="Times New Roman"/>
                <w:color w:val="auto"/>
                <w:sz w:val="24"/>
              </w:rPr>
              <w:t>北纬36°6′12.136″，东经114°56′53.402″</w:t>
            </w:r>
            <w:r>
              <w:rPr>
                <w:rFonts w:hint="eastAsia" w:cs="Times New Roman" w:eastAsiaTheme="minorEastAsia"/>
                <w:color w:val="auto"/>
                <w:sz w:val="24"/>
                <w:lang w:eastAsia="zh-CN"/>
              </w:rPr>
              <w:t>）</w:t>
            </w:r>
          </w:p>
        </w:tc>
      </w:tr>
      <w:tr w14:paraId="20AF0B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61" w:type="pct"/>
            <w:tcMar>
              <w:top w:w="16" w:type="dxa"/>
              <w:left w:w="16" w:type="dxa"/>
              <w:right w:w="16" w:type="dxa"/>
            </w:tcMar>
            <w:vAlign w:val="center"/>
          </w:tcPr>
          <w:p w14:paraId="0A955963">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国民经济</w:t>
            </w:r>
          </w:p>
          <w:p w14:paraId="06FE09F8">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行业类别</w:t>
            </w:r>
          </w:p>
        </w:tc>
        <w:tc>
          <w:tcPr>
            <w:tcW w:w="1336" w:type="pct"/>
            <w:vAlign w:val="center"/>
          </w:tcPr>
          <w:p w14:paraId="1C8EDF66">
            <w:pPr>
              <w:adjustRightInd w:val="0"/>
              <w:snapToGrid w:val="0"/>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bCs/>
                <w:color w:val="auto"/>
                <w:sz w:val="24"/>
              </w:rPr>
              <w:t>C</w:t>
            </w:r>
            <w:r>
              <w:rPr>
                <w:rFonts w:hint="eastAsia" w:cs="Times New Roman" w:eastAsiaTheme="minorEastAsia"/>
                <w:bCs/>
                <w:color w:val="auto"/>
                <w:sz w:val="24"/>
                <w:lang w:val="en-US" w:eastAsia="zh-CN"/>
              </w:rPr>
              <w:t>4220非金属废料和碎屑加工处理</w:t>
            </w:r>
          </w:p>
        </w:tc>
        <w:tc>
          <w:tcPr>
            <w:tcW w:w="875" w:type="pct"/>
            <w:vAlign w:val="center"/>
          </w:tcPr>
          <w:p w14:paraId="6347C4C0">
            <w:pPr>
              <w:adjustRightInd w:val="0"/>
              <w:snapToGrid w:val="0"/>
              <w:jc w:val="center"/>
              <w:rPr>
                <w:rFonts w:hint="default" w:ascii="Times New Roman" w:hAnsi="Times New Roman" w:cs="Times New Roman" w:eastAsiaTheme="minorEastAsia"/>
                <w:color w:val="auto"/>
                <w:sz w:val="24"/>
              </w:rPr>
            </w:pPr>
            <w:bookmarkStart w:id="1" w:name="_Hlk49843745"/>
            <w:r>
              <w:rPr>
                <w:rFonts w:hint="default" w:ascii="Times New Roman" w:hAnsi="Times New Roman" w:cs="Times New Roman" w:eastAsiaTheme="minorEastAsia"/>
                <w:color w:val="auto"/>
                <w:sz w:val="24"/>
              </w:rPr>
              <w:t>建设项目</w:t>
            </w:r>
          </w:p>
          <w:p w14:paraId="76692AE6">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行业类别</w:t>
            </w:r>
            <w:bookmarkEnd w:id="1"/>
          </w:p>
        </w:tc>
        <w:tc>
          <w:tcPr>
            <w:tcW w:w="1828" w:type="pct"/>
            <w:vAlign w:val="center"/>
          </w:tcPr>
          <w:p w14:paraId="30F903B8">
            <w:pPr>
              <w:adjustRightInd w:val="0"/>
              <w:snapToGrid w:val="0"/>
              <w:jc w:val="center"/>
              <w:rPr>
                <w:rFonts w:hint="eastAsia" w:cs="Times New Roman" w:eastAsiaTheme="minorEastAsia"/>
                <w:color w:val="auto"/>
                <w:sz w:val="24"/>
                <w:lang w:val="en-US" w:eastAsia="zh-CN"/>
              </w:rPr>
            </w:pPr>
            <w:r>
              <w:rPr>
                <w:rFonts w:hint="eastAsia" w:cs="Times New Roman" w:eastAsiaTheme="minorEastAsia"/>
                <w:color w:val="auto"/>
                <w:sz w:val="24"/>
                <w:lang w:val="en-US" w:eastAsia="zh-CN"/>
              </w:rPr>
              <w:t>三十九、废弃资源综合利用业 85-非金属废料和碎屑加工处 理422（不含原料为危险废物的，不含仅分拣、破碎的）-废弃电器电子产品、废机动车、</w:t>
            </w:r>
          </w:p>
          <w:p w14:paraId="273CA41D">
            <w:pPr>
              <w:adjustRightInd w:val="0"/>
              <w:snapToGrid w:val="0"/>
              <w:jc w:val="center"/>
              <w:rPr>
                <w:rFonts w:hint="eastAsia" w:cs="Times New Roman" w:eastAsiaTheme="minorEastAsia"/>
                <w:color w:val="auto"/>
                <w:sz w:val="24"/>
                <w:lang w:val="en-US" w:eastAsia="zh-CN"/>
              </w:rPr>
            </w:pPr>
            <w:r>
              <w:rPr>
                <w:rFonts w:hint="eastAsia" w:cs="Times New Roman" w:eastAsiaTheme="minorEastAsia"/>
                <w:color w:val="auto"/>
                <w:sz w:val="24"/>
                <w:lang w:val="en-US" w:eastAsia="zh-CN"/>
              </w:rPr>
              <w:t>废电机、废电线电缆、废钢、</w:t>
            </w:r>
          </w:p>
          <w:p w14:paraId="6B39042C">
            <w:pPr>
              <w:adjustRightInd w:val="0"/>
              <w:snapToGrid w:val="0"/>
              <w:jc w:val="center"/>
              <w:rPr>
                <w:rFonts w:hint="eastAsia" w:cs="Times New Roman" w:eastAsiaTheme="minorEastAsia"/>
                <w:color w:val="auto"/>
                <w:sz w:val="24"/>
                <w:lang w:val="en-US" w:eastAsia="zh-CN"/>
              </w:rPr>
            </w:pPr>
            <w:r>
              <w:rPr>
                <w:rFonts w:hint="eastAsia" w:cs="Times New Roman" w:eastAsiaTheme="minorEastAsia"/>
                <w:color w:val="auto"/>
                <w:sz w:val="24"/>
                <w:lang w:val="en-US" w:eastAsia="zh-CN"/>
              </w:rPr>
              <w:t>废铁、金属和金属化合物矿灰</w:t>
            </w:r>
          </w:p>
          <w:p w14:paraId="10C050E8">
            <w:pPr>
              <w:adjustRightInd w:val="0"/>
              <w:snapToGrid w:val="0"/>
              <w:jc w:val="center"/>
              <w:rPr>
                <w:rFonts w:hint="eastAsia" w:cs="Times New Roman" w:eastAsiaTheme="minorEastAsia"/>
                <w:color w:val="auto"/>
                <w:sz w:val="24"/>
                <w:lang w:val="en-US" w:eastAsia="zh-CN"/>
              </w:rPr>
            </w:pPr>
            <w:r>
              <w:rPr>
                <w:rFonts w:hint="eastAsia" w:cs="Times New Roman" w:eastAsiaTheme="minorEastAsia"/>
                <w:color w:val="auto"/>
                <w:sz w:val="24"/>
                <w:lang w:val="en-US" w:eastAsia="zh-CN"/>
              </w:rPr>
              <w:t>及残渣、有色金属废料与碎屑、</w:t>
            </w:r>
          </w:p>
          <w:p w14:paraId="1FC869CF">
            <w:pPr>
              <w:adjustRightInd w:val="0"/>
              <w:snapToGrid w:val="0"/>
              <w:jc w:val="center"/>
              <w:rPr>
                <w:rFonts w:hint="eastAsia" w:cs="Times New Roman" w:eastAsiaTheme="minorEastAsia"/>
                <w:color w:val="auto"/>
                <w:sz w:val="24"/>
                <w:lang w:val="en-US" w:eastAsia="zh-CN"/>
              </w:rPr>
            </w:pPr>
            <w:r>
              <w:rPr>
                <w:rFonts w:hint="eastAsia" w:cs="Times New Roman" w:eastAsiaTheme="minorEastAsia"/>
                <w:color w:val="auto"/>
                <w:sz w:val="24"/>
                <w:lang w:val="en-US" w:eastAsia="zh-CN"/>
              </w:rPr>
              <w:t>废塑料、废轮胎、废船、含水</w:t>
            </w:r>
          </w:p>
          <w:p w14:paraId="06643552">
            <w:pPr>
              <w:adjustRightInd w:val="0"/>
              <w:snapToGrid w:val="0"/>
              <w:jc w:val="center"/>
              <w:rPr>
                <w:rFonts w:hint="eastAsia" w:cs="Times New Roman" w:eastAsiaTheme="minorEastAsia"/>
                <w:color w:val="auto"/>
                <w:sz w:val="24"/>
                <w:lang w:val="en-US" w:eastAsia="zh-CN"/>
              </w:rPr>
            </w:pPr>
            <w:r>
              <w:rPr>
                <w:rFonts w:hint="eastAsia" w:cs="Times New Roman" w:eastAsiaTheme="minorEastAsia"/>
                <w:color w:val="auto"/>
                <w:sz w:val="24"/>
                <w:lang w:val="en-US" w:eastAsia="zh-CN"/>
              </w:rPr>
              <w:t>洗工艺的其他废料和碎屑加工</w:t>
            </w:r>
          </w:p>
          <w:p w14:paraId="64C65433">
            <w:pPr>
              <w:adjustRightInd w:val="0"/>
              <w:snapToGrid w:val="0"/>
              <w:jc w:val="center"/>
              <w:rPr>
                <w:rFonts w:hint="eastAsia" w:cs="Times New Roman" w:eastAsiaTheme="minorEastAsia"/>
                <w:color w:val="auto"/>
                <w:sz w:val="24"/>
                <w:lang w:val="en-US" w:eastAsia="zh-CN"/>
              </w:rPr>
            </w:pPr>
            <w:r>
              <w:rPr>
                <w:rFonts w:hint="eastAsia" w:cs="Times New Roman" w:eastAsiaTheme="minorEastAsia"/>
                <w:color w:val="auto"/>
                <w:sz w:val="24"/>
                <w:lang w:val="en-US" w:eastAsia="zh-CN"/>
              </w:rPr>
              <w:t>处理（农业生产产生的废旧秧</w:t>
            </w:r>
          </w:p>
          <w:p w14:paraId="52A52BE4">
            <w:pPr>
              <w:adjustRightInd w:val="0"/>
              <w:snapToGrid w:val="0"/>
              <w:jc w:val="center"/>
              <w:rPr>
                <w:rFonts w:hint="eastAsia" w:cs="Times New Roman" w:eastAsiaTheme="minorEastAsia"/>
                <w:color w:val="auto"/>
                <w:sz w:val="24"/>
                <w:lang w:val="en-US" w:eastAsia="zh-CN"/>
              </w:rPr>
            </w:pPr>
            <w:r>
              <w:rPr>
                <w:rFonts w:hint="eastAsia" w:cs="Times New Roman" w:eastAsiaTheme="minorEastAsia"/>
                <w:color w:val="auto"/>
                <w:sz w:val="24"/>
                <w:lang w:val="en-US" w:eastAsia="zh-CN"/>
              </w:rPr>
              <w:t>盘、薄膜破碎和清洗工艺的除</w:t>
            </w:r>
          </w:p>
          <w:p w14:paraId="40891117">
            <w:pPr>
              <w:adjustRightInd w:val="0"/>
              <w:snapToGrid w:val="0"/>
              <w:jc w:val="center"/>
              <w:rPr>
                <w:rFonts w:hint="default" w:ascii="Times New Roman" w:hAnsi="Times New Roman" w:cs="Times New Roman" w:eastAsiaTheme="minorEastAsia"/>
                <w:color w:val="auto"/>
                <w:sz w:val="24"/>
                <w:lang w:val="en-US" w:eastAsia="zh-CN"/>
              </w:rPr>
            </w:pPr>
            <w:r>
              <w:rPr>
                <w:rFonts w:hint="eastAsia" w:cs="Times New Roman" w:eastAsiaTheme="minorEastAsia"/>
                <w:color w:val="auto"/>
                <w:sz w:val="24"/>
                <w:lang w:val="en-US" w:eastAsia="zh-CN"/>
              </w:rPr>
              <w:t>外）</w:t>
            </w:r>
          </w:p>
        </w:tc>
      </w:tr>
      <w:tr w14:paraId="2149E6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961" w:type="pct"/>
            <w:tcMar>
              <w:top w:w="16" w:type="dxa"/>
              <w:left w:w="16" w:type="dxa"/>
              <w:right w:w="16" w:type="dxa"/>
            </w:tcMar>
            <w:vAlign w:val="center"/>
          </w:tcPr>
          <w:p w14:paraId="1B473C14">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建设性质</w:t>
            </w:r>
          </w:p>
        </w:tc>
        <w:tc>
          <w:tcPr>
            <w:tcW w:w="1336" w:type="pct"/>
            <w:vAlign w:val="center"/>
          </w:tcPr>
          <w:p w14:paraId="68A86C1C">
            <w:pPr>
              <w:jc w:val="left"/>
              <w:rPr>
                <w:rFonts w:hint="default" w:ascii="Times New Roman" w:hAnsi="Times New Roman" w:cs="Times New Roman" w:eastAsiaTheme="minorEastAsia"/>
                <w:color w:val="auto"/>
                <w:sz w:val="24"/>
              </w:rPr>
            </w:pPr>
            <w:r>
              <w:rPr>
                <w:rFonts w:hint="eastAsia" w:cs="Times New Roman" w:eastAsiaTheme="minorEastAsia"/>
                <w:color w:val="auto"/>
                <w:sz w:val="24"/>
                <w:lang w:eastAsia="zh-CN"/>
              </w:rPr>
              <w:t>☑</w:t>
            </w:r>
            <w:r>
              <w:rPr>
                <w:rFonts w:hint="default" w:ascii="Times New Roman" w:hAnsi="Times New Roman" w:cs="Times New Roman" w:eastAsiaTheme="minorEastAsia"/>
                <w:color w:val="auto"/>
                <w:sz w:val="24"/>
              </w:rPr>
              <w:t>新建（迁建）</w:t>
            </w:r>
          </w:p>
          <w:p w14:paraId="2C0242DF">
            <w:pPr>
              <w:jc w:val="left"/>
              <w:rPr>
                <w:rFonts w:hint="default" w:ascii="Times New Roman" w:hAnsi="Times New Roman" w:cs="Times New Roman" w:eastAsiaTheme="minorEastAsia"/>
                <w:color w:val="auto"/>
                <w:sz w:val="24"/>
              </w:rPr>
            </w:pPr>
            <w:r>
              <w:rPr>
                <w:rFonts w:hint="eastAsia" w:cs="Times New Roman" w:eastAsiaTheme="minorEastAsia"/>
                <w:color w:val="auto"/>
                <w:sz w:val="24"/>
                <w:lang w:eastAsia="zh-CN"/>
              </w:rPr>
              <w:t>□</w:t>
            </w:r>
            <w:r>
              <w:rPr>
                <w:rFonts w:hint="default" w:ascii="Times New Roman" w:hAnsi="Times New Roman" w:cs="Times New Roman" w:eastAsiaTheme="minorEastAsia"/>
                <w:color w:val="auto"/>
                <w:sz w:val="24"/>
              </w:rPr>
              <w:t>改建</w:t>
            </w:r>
          </w:p>
          <w:p w14:paraId="64E24E65">
            <w:pPr>
              <w:jc w:val="left"/>
              <w:rPr>
                <w:rFonts w:hint="default" w:ascii="Times New Roman" w:hAnsi="Times New Roman" w:cs="Times New Roman" w:eastAsiaTheme="minorEastAsia"/>
                <w:color w:val="auto"/>
                <w:sz w:val="24"/>
              </w:rPr>
            </w:pPr>
            <w:r>
              <w:rPr>
                <w:rFonts w:hint="eastAsia" w:cs="Times New Roman" w:eastAsiaTheme="minorEastAsia"/>
                <w:color w:val="auto"/>
                <w:sz w:val="24"/>
                <w:lang w:eastAsia="zh-CN"/>
              </w:rPr>
              <w:t>□</w:t>
            </w:r>
            <w:r>
              <w:rPr>
                <w:rFonts w:hint="default" w:ascii="Times New Roman" w:hAnsi="Times New Roman" w:cs="Times New Roman" w:eastAsiaTheme="minorEastAsia"/>
                <w:color w:val="auto"/>
                <w:sz w:val="24"/>
              </w:rPr>
              <w:t>扩建</w:t>
            </w:r>
          </w:p>
          <w:p w14:paraId="76F604DB">
            <w:pPr>
              <w:jc w:val="left"/>
              <w:rPr>
                <w:rFonts w:hint="default" w:ascii="Times New Roman" w:hAnsi="Times New Roman" w:cs="Times New Roman" w:eastAsiaTheme="minorEastAsia"/>
                <w:color w:val="auto"/>
                <w:sz w:val="24"/>
              </w:rPr>
            </w:pPr>
            <w:r>
              <w:rPr>
                <w:rFonts w:hint="eastAsia" w:cs="Times New Roman" w:eastAsiaTheme="minorEastAsia"/>
                <w:color w:val="auto"/>
                <w:sz w:val="24"/>
                <w:lang w:eastAsia="zh-CN"/>
              </w:rPr>
              <w:t>□</w:t>
            </w:r>
            <w:r>
              <w:rPr>
                <w:rFonts w:hint="default" w:ascii="Times New Roman" w:hAnsi="Times New Roman" w:cs="Times New Roman" w:eastAsiaTheme="minorEastAsia"/>
                <w:color w:val="auto"/>
                <w:sz w:val="24"/>
              </w:rPr>
              <w:t>技术改造</w:t>
            </w:r>
          </w:p>
        </w:tc>
        <w:tc>
          <w:tcPr>
            <w:tcW w:w="875" w:type="pct"/>
            <w:vAlign w:val="center"/>
          </w:tcPr>
          <w:p w14:paraId="4189E820">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建设项目</w:t>
            </w:r>
          </w:p>
          <w:p w14:paraId="4F0594B7">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申报情形</w:t>
            </w:r>
          </w:p>
        </w:tc>
        <w:tc>
          <w:tcPr>
            <w:tcW w:w="1828" w:type="pct"/>
            <w:vAlign w:val="center"/>
          </w:tcPr>
          <w:p w14:paraId="6C7BC3AA">
            <w:pPr>
              <w:jc w:val="left"/>
              <w:rPr>
                <w:rFonts w:hint="default" w:ascii="Times New Roman" w:hAnsi="Times New Roman" w:cs="Times New Roman" w:eastAsiaTheme="minorEastAsia"/>
                <w:color w:val="auto"/>
                <w:sz w:val="24"/>
              </w:rPr>
            </w:pPr>
            <w:r>
              <w:rPr>
                <w:rFonts w:hint="eastAsia" w:cs="Times New Roman" w:eastAsiaTheme="minorEastAsia"/>
                <w:color w:val="auto"/>
                <w:sz w:val="24"/>
                <w:lang w:eastAsia="zh-CN"/>
              </w:rPr>
              <w:t>□</w:t>
            </w:r>
            <w:r>
              <w:rPr>
                <w:rFonts w:hint="default" w:ascii="Times New Roman" w:hAnsi="Times New Roman" w:cs="Times New Roman" w:eastAsiaTheme="minorEastAsia"/>
                <w:color w:val="auto"/>
                <w:sz w:val="24"/>
              </w:rPr>
              <w:t xml:space="preserve">首次申报项目             </w:t>
            </w:r>
          </w:p>
          <w:p w14:paraId="7240C988">
            <w:pPr>
              <w:jc w:val="left"/>
              <w:rPr>
                <w:rFonts w:hint="default" w:ascii="Times New Roman" w:hAnsi="Times New Roman" w:cs="Times New Roman" w:eastAsiaTheme="minorEastAsia"/>
                <w:color w:val="auto"/>
                <w:sz w:val="24"/>
              </w:rPr>
            </w:pPr>
            <w:r>
              <w:rPr>
                <w:rFonts w:hint="eastAsia" w:cs="Times New Roman" w:eastAsiaTheme="minorEastAsia"/>
                <w:color w:val="auto"/>
                <w:sz w:val="24"/>
                <w:lang w:eastAsia="zh-CN"/>
              </w:rPr>
              <w:t>□</w:t>
            </w:r>
            <w:r>
              <w:rPr>
                <w:rFonts w:hint="default" w:ascii="Times New Roman" w:hAnsi="Times New Roman" w:cs="Times New Roman" w:eastAsiaTheme="minorEastAsia"/>
                <w:color w:val="auto"/>
                <w:sz w:val="24"/>
              </w:rPr>
              <w:t>不予批准后再次申报项目</w:t>
            </w:r>
          </w:p>
          <w:p w14:paraId="527DDB5A">
            <w:pPr>
              <w:jc w:val="left"/>
              <w:rPr>
                <w:rFonts w:hint="default" w:ascii="Times New Roman" w:hAnsi="Times New Roman" w:cs="Times New Roman" w:eastAsiaTheme="minorEastAsia"/>
                <w:color w:val="auto"/>
                <w:sz w:val="24"/>
              </w:rPr>
            </w:pPr>
            <w:r>
              <w:rPr>
                <w:rFonts w:hint="eastAsia" w:cs="Times New Roman" w:eastAsiaTheme="minorEastAsia"/>
                <w:color w:val="auto"/>
                <w:sz w:val="24"/>
                <w:lang w:eastAsia="zh-CN"/>
              </w:rPr>
              <w:t>□</w:t>
            </w:r>
            <w:r>
              <w:rPr>
                <w:rFonts w:hint="default" w:ascii="Times New Roman" w:hAnsi="Times New Roman" w:cs="Times New Roman" w:eastAsiaTheme="minorEastAsia"/>
                <w:color w:val="auto"/>
                <w:sz w:val="24"/>
              </w:rPr>
              <w:t xml:space="preserve">超五年重新审核项目     </w:t>
            </w:r>
          </w:p>
          <w:p w14:paraId="75F5599D">
            <w:pPr>
              <w:jc w:val="left"/>
              <w:rPr>
                <w:rFonts w:hint="default" w:ascii="Times New Roman" w:hAnsi="Times New Roman" w:cs="Times New Roman" w:eastAsiaTheme="minorEastAsia"/>
                <w:color w:val="auto"/>
                <w:sz w:val="24"/>
              </w:rPr>
            </w:pPr>
            <w:r>
              <w:rPr>
                <w:rFonts w:hint="eastAsia" w:cs="Times New Roman" w:eastAsiaTheme="minorEastAsia"/>
                <w:color w:val="auto"/>
                <w:sz w:val="24"/>
                <w:lang w:eastAsia="zh-CN"/>
              </w:rPr>
              <w:t>☑</w:t>
            </w:r>
            <w:r>
              <w:rPr>
                <w:rFonts w:hint="default" w:ascii="Times New Roman" w:hAnsi="Times New Roman" w:cs="Times New Roman" w:eastAsiaTheme="minorEastAsia"/>
                <w:color w:val="auto"/>
                <w:sz w:val="24"/>
              </w:rPr>
              <w:t>重大变动重新报批项目</w:t>
            </w:r>
          </w:p>
        </w:tc>
      </w:tr>
      <w:tr w14:paraId="037F8E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961" w:type="pct"/>
            <w:tcMar>
              <w:top w:w="16" w:type="dxa"/>
              <w:left w:w="16" w:type="dxa"/>
              <w:right w:w="16" w:type="dxa"/>
            </w:tcMar>
            <w:vAlign w:val="center"/>
          </w:tcPr>
          <w:p w14:paraId="540E3188">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项目审批（核准/备案）部门（选填）</w:t>
            </w:r>
          </w:p>
        </w:tc>
        <w:tc>
          <w:tcPr>
            <w:tcW w:w="1336" w:type="pct"/>
            <w:vAlign w:val="center"/>
          </w:tcPr>
          <w:p w14:paraId="295B9A58">
            <w:pPr>
              <w:adjustRightInd w:val="0"/>
              <w:snapToGrid w:val="0"/>
              <w:jc w:val="center"/>
              <w:rPr>
                <w:rFonts w:hint="default" w:ascii="Times New Roman" w:hAnsi="Times New Roman" w:cs="Times New Roman" w:eastAsiaTheme="minorEastAsia"/>
                <w:color w:val="auto"/>
                <w:sz w:val="24"/>
                <w:lang w:val="en-US"/>
              </w:rPr>
            </w:pPr>
            <w:r>
              <w:rPr>
                <w:rFonts w:hint="eastAsia" w:cs="Times New Roman" w:eastAsiaTheme="minorEastAsia"/>
                <w:color w:val="ED7D31" w:themeColor="accent2"/>
                <w:sz w:val="24"/>
                <w:lang w:val="en-US" w:eastAsia="zh-CN"/>
                <w14:textFill>
                  <w14:solidFill>
                    <w14:schemeClr w14:val="accent2"/>
                  </w14:solidFill>
                </w14:textFill>
              </w:rPr>
              <w:t>河北魏县经济开发区管理委员会</w:t>
            </w:r>
          </w:p>
        </w:tc>
        <w:tc>
          <w:tcPr>
            <w:tcW w:w="875" w:type="pct"/>
            <w:vAlign w:val="center"/>
          </w:tcPr>
          <w:p w14:paraId="65E20564">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项目审批（核准/备案）文号（选填）</w:t>
            </w:r>
          </w:p>
        </w:tc>
        <w:tc>
          <w:tcPr>
            <w:tcW w:w="1828" w:type="pct"/>
            <w:vAlign w:val="center"/>
          </w:tcPr>
          <w:p w14:paraId="19589BB7">
            <w:pPr>
              <w:adjustRightInd w:val="0"/>
              <w:snapToGrid w:val="0"/>
              <w:jc w:val="center"/>
              <w:rPr>
                <w:rFonts w:hint="default" w:ascii="Times New Roman" w:hAnsi="Times New Roman" w:cs="Times New Roman"/>
                <w:color w:val="auto"/>
                <w:sz w:val="24"/>
              </w:rPr>
            </w:pPr>
            <w:r>
              <w:rPr>
                <w:rFonts w:hint="eastAsia" w:cs="Times New Roman"/>
                <w:color w:val="auto"/>
                <w:sz w:val="24"/>
                <w:lang w:val="en-US" w:eastAsia="zh-CN"/>
              </w:rPr>
              <w:t>魏审批备字〔2025〕1806号</w:t>
            </w:r>
          </w:p>
        </w:tc>
      </w:tr>
      <w:tr w14:paraId="1041FF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61" w:type="pct"/>
            <w:tcMar>
              <w:top w:w="16" w:type="dxa"/>
              <w:left w:w="16" w:type="dxa"/>
              <w:right w:w="16" w:type="dxa"/>
            </w:tcMar>
            <w:vAlign w:val="center"/>
          </w:tcPr>
          <w:p w14:paraId="3CCB37EF">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总投资（万元）</w:t>
            </w:r>
          </w:p>
        </w:tc>
        <w:tc>
          <w:tcPr>
            <w:tcW w:w="1336" w:type="pct"/>
            <w:vAlign w:val="center"/>
          </w:tcPr>
          <w:p w14:paraId="0FCA4CB6">
            <w:pPr>
              <w:adjustRightInd w:val="0"/>
              <w:snapToGrid w:val="0"/>
              <w:jc w:val="center"/>
              <w:rPr>
                <w:rFonts w:hint="default" w:ascii="Times New Roman" w:hAnsi="Times New Roman" w:cs="Times New Roman" w:eastAsiaTheme="minorEastAsia"/>
                <w:color w:val="auto"/>
                <w:sz w:val="24"/>
                <w:lang w:val="en-US" w:eastAsia="zh-CN"/>
              </w:rPr>
            </w:pPr>
            <w:r>
              <w:rPr>
                <w:rFonts w:hint="eastAsia" w:cs="Times New Roman" w:eastAsiaTheme="minorEastAsia"/>
                <w:color w:val="auto"/>
                <w:sz w:val="24"/>
                <w:lang w:val="en-US" w:eastAsia="zh-CN"/>
              </w:rPr>
              <w:t>710</w:t>
            </w:r>
          </w:p>
        </w:tc>
        <w:tc>
          <w:tcPr>
            <w:tcW w:w="875" w:type="pct"/>
            <w:tcMar>
              <w:top w:w="16" w:type="dxa"/>
              <w:left w:w="16" w:type="dxa"/>
              <w:right w:w="16" w:type="dxa"/>
            </w:tcMar>
            <w:vAlign w:val="center"/>
          </w:tcPr>
          <w:p w14:paraId="72437FD2">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环保投资</w:t>
            </w:r>
          </w:p>
          <w:p w14:paraId="22DFF00A">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（万元）</w:t>
            </w:r>
          </w:p>
        </w:tc>
        <w:tc>
          <w:tcPr>
            <w:tcW w:w="1828" w:type="pct"/>
            <w:vAlign w:val="center"/>
          </w:tcPr>
          <w:p w14:paraId="4C2F385C">
            <w:pPr>
              <w:adjustRightInd w:val="0"/>
              <w:snapToGrid w:val="0"/>
              <w:jc w:val="center"/>
              <w:rPr>
                <w:rFonts w:hint="default" w:ascii="Times New Roman" w:hAnsi="Times New Roman" w:cs="Times New Roman" w:eastAsiaTheme="minorEastAsia"/>
                <w:color w:val="auto"/>
                <w:sz w:val="24"/>
                <w:lang w:val="en-US" w:eastAsia="zh-CN"/>
              </w:rPr>
            </w:pPr>
            <w:r>
              <w:rPr>
                <w:rFonts w:hint="eastAsia" w:cs="Times New Roman" w:eastAsiaTheme="minorEastAsia"/>
                <w:color w:val="auto"/>
                <w:sz w:val="24"/>
                <w:lang w:val="en-US" w:eastAsia="zh-CN"/>
              </w:rPr>
              <w:t>40</w:t>
            </w:r>
          </w:p>
        </w:tc>
      </w:tr>
      <w:tr w14:paraId="09A7E5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61" w:type="pct"/>
            <w:tcMar>
              <w:top w:w="16" w:type="dxa"/>
              <w:left w:w="16" w:type="dxa"/>
              <w:right w:w="16" w:type="dxa"/>
            </w:tcMar>
            <w:vAlign w:val="center"/>
          </w:tcPr>
          <w:p w14:paraId="79BE0721">
            <w:pPr>
              <w:adjustRightInd w:val="0"/>
              <w:snapToGrid w:val="0"/>
              <w:jc w:val="center"/>
              <w:rPr>
                <w:rFonts w:hint="eastAsia" w:ascii="Times New Roman" w:hAnsi="Times New Roman" w:cs="Times New Roman" w:eastAsiaTheme="minorEastAsia"/>
                <w:color w:val="auto"/>
                <w:sz w:val="24"/>
                <w:lang w:eastAsia="zh-CN"/>
              </w:rPr>
            </w:pPr>
            <w:r>
              <w:rPr>
                <w:rFonts w:hint="default" w:ascii="Times New Roman" w:hAnsi="Times New Roman" w:cs="Times New Roman" w:eastAsiaTheme="minorEastAsia"/>
                <w:color w:val="auto"/>
                <w:sz w:val="24"/>
              </w:rPr>
              <w:t>环保投资占比（%</w:t>
            </w:r>
            <w:r>
              <w:rPr>
                <w:rFonts w:hint="eastAsia" w:cs="Times New Roman" w:eastAsiaTheme="minorEastAsia"/>
                <w:color w:val="auto"/>
                <w:sz w:val="24"/>
                <w:lang w:eastAsia="zh-CN"/>
              </w:rPr>
              <w:t>）</w:t>
            </w:r>
          </w:p>
        </w:tc>
        <w:tc>
          <w:tcPr>
            <w:tcW w:w="1336" w:type="pct"/>
            <w:vAlign w:val="center"/>
          </w:tcPr>
          <w:p w14:paraId="5749E430">
            <w:pPr>
              <w:adjustRightInd w:val="0"/>
              <w:snapToGrid w:val="0"/>
              <w:jc w:val="center"/>
              <w:rPr>
                <w:rFonts w:hint="default" w:ascii="Times New Roman" w:hAnsi="Times New Roman" w:cs="Times New Roman" w:eastAsiaTheme="minorEastAsia"/>
                <w:color w:val="auto"/>
                <w:sz w:val="24"/>
                <w:lang w:val="en-US" w:eastAsia="zh-CN"/>
              </w:rPr>
            </w:pPr>
            <w:r>
              <w:rPr>
                <w:rFonts w:hint="eastAsia" w:cs="Times New Roman" w:eastAsiaTheme="minorEastAsia"/>
                <w:color w:val="auto"/>
                <w:sz w:val="24"/>
                <w:lang w:val="en-US" w:eastAsia="zh-CN"/>
              </w:rPr>
              <w:t>5.63</w:t>
            </w:r>
          </w:p>
        </w:tc>
        <w:tc>
          <w:tcPr>
            <w:tcW w:w="875" w:type="pct"/>
            <w:tcMar>
              <w:top w:w="16" w:type="dxa"/>
              <w:left w:w="16" w:type="dxa"/>
              <w:right w:w="16" w:type="dxa"/>
            </w:tcMar>
            <w:vAlign w:val="center"/>
          </w:tcPr>
          <w:p w14:paraId="31DD4B7A">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施工工期</w:t>
            </w:r>
          </w:p>
        </w:tc>
        <w:tc>
          <w:tcPr>
            <w:tcW w:w="1828" w:type="pct"/>
            <w:vAlign w:val="center"/>
          </w:tcPr>
          <w:p w14:paraId="5E88384B">
            <w:pPr>
              <w:adjustRightInd w:val="0"/>
              <w:snapToGrid w:val="0"/>
              <w:jc w:val="center"/>
              <w:rPr>
                <w:rFonts w:hint="default" w:ascii="Times New Roman" w:hAnsi="Times New Roman" w:cs="Times New Roman" w:eastAsiaTheme="minorEastAsia"/>
                <w:color w:val="auto"/>
                <w:sz w:val="24"/>
              </w:rPr>
            </w:pPr>
            <w:r>
              <w:rPr>
                <w:rFonts w:hint="eastAsia" w:cs="Times New Roman" w:eastAsiaTheme="minorEastAsia"/>
                <w:color w:val="auto"/>
                <w:sz w:val="24"/>
                <w:lang w:val="en-US" w:eastAsia="zh-CN"/>
              </w:rPr>
              <w:t>3</w:t>
            </w:r>
            <w:r>
              <w:rPr>
                <w:rFonts w:hint="default" w:ascii="Times New Roman" w:hAnsi="Times New Roman" w:cs="Times New Roman" w:eastAsiaTheme="minorEastAsia"/>
                <w:color w:val="auto"/>
                <w:sz w:val="24"/>
              </w:rPr>
              <w:t>个月</w:t>
            </w:r>
          </w:p>
        </w:tc>
      </w:tr>
      <w:tr w14:paraId="3D056F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961" w:type="pct"/>
            <w:tcMar>
              <w:top w:w="16" w:type="dxa"/>
              <w:left w:w="16" w:type="dxa"/>
              <w:right w:w="16" w:type="dxa"/>
            </w:tcMar>
            <w:vAlign w:val="center"/>
          </w:tcPr>
          <w:p w14:paraId="782BEFF1">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是否开工建设</w:t>
            </w:r>
          </w:p>
        </w:tc>
        <w:tc>
          <w:tcPr>
            <w:tcW w:w="1336" w:type="pct"/>
            <w:vAlign w:val="center"/>
          </w:tcPr>
          <w:p w14:paraId="10889CDF">
            <w:pPr>
              <w:adjustRightInd w:val="0"/>
              <w:snapToGrid w:val="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☑否</w:t>
            </w:r>
          </w:p>
          <w:p w14:paraId="15A5B27E">
            <w:pPr>
              <w:adjustRightInd w:val="0"/>
              <w:snapToGrid w:val="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□是：</w:t>
            </w:r>
            <w:r>
              <w:rPr>
                <w:rFonts w:hint="default" w:ascii="Times New Roman" w:hAnsi="Times New Roman" w:cs="Times New Roman" w:eastAsiaTheme="minorEastAsia"/>
                <w:color w:val="auto"/>
                <w:sz w:val="24"/>
                <w:u w:val="single"/>
              </w:rPr>
              <w:t xml:space="preserve">             </w:t>
            </w:r>
          </w:p>
        </w:tc>
        <w:tc>
          <w:tcPr>
            <w:tcW w:w="875" w:type="pct"/>
            <w:tcMar>
              <w:top w:w="16" w:type="dxa"/>
              <w:left w:w="16" w:type="dxa"/>
              <w:right w:w="16" w:type="dxa"/>
            </w:tcMar>
            <w:vAlign w:val="center"/>
          </w:tcPr>
          <w:p w14:paraId="2B84229D">
            <w:pPr>
              <w:adjustRightInd w:val="0"/>
              <w:snapToGrid w:val="0"/>
              <w:jc w:val="center"/>
              <w:rPr>
                <w:rFonts w:hint="default" w:ascii="Times New Roman" w:hAnsi="Times New Roman" w:cs="Times New Roman" w:eastAsiaTheme="minorEastAsia"/>
                <w:color w:val="auto"/>
                <w:spacing w:val="-6"/>
                <w:sz w:val="24"/>
              </w:rPr>
            </w:pPr>
            <w:r>
              <w:rPr>
                <w:rFonts w:hint="default" w:ascii="Times New Roman" w:hAnsi="Times New Roman" w:cs="Times New Roman" w:eastAsiaTheme="minorEastAsia"/>
                <w:color w:val="auto"/>
                <w:spacing w:val="-6"/>
                <w:sz w:val="24"/>
              </w:rPr>
              <w:t>用地（用海）</w:t>
            </w:r>
          </w:p>
          <w:p w14:paraId="409C022C">
            <w:pPr>
              <w:adjustRightInd w:val="0"/>
              <w:snapToGrid w:val="0"/>
              <w:jc w:val="center"/>
              <w:rPr>
                <w:rFonts w:hint="eastAsia" w:ascii="Times New Roman" w:hAnsi="Times New Roman" w:cs="Times New Roman" w:eastAsiaTheme="minorEastAsia"/>
                <w:color w:val="auto"/>
                <w:sz w:val="24"/>
                <w:lang w:eastAsia="zh-CN"/>
              </w:rPr>
            </w:pPr>
            <w:r>
              <w:rPr>
                <w:rFonts w:hint="default" w:ascii="Times New Roman" w:hAnsi="Times New Roman" w:cs="Times New Roman" w:eastAsiaTheme="minorEastAsia"/>
                <w:color w:val="auto"/>
                <w:spacing w:val="-6"/>
                <w:sz w:val="24"/>
              </w:rPr>
              <w:t>面积（m</w:t>
            </w:r>
            <w:r>
              <w:rPr>
                <w:rFonts w:hint="default" w:ascii="Times New Roman" w:hAnsi="Times New Roman" w:cs="Times New Roman" w:eastAsiaTheme="minorEastAsia"/>
                <w:color w:val="auto"/>
                <w:spacing w:val="-6"/>
                <w:sz w:val="24"/>
                <w:vertAlign w:val="superscript"/>
              </w:rPr>
              <w:t>2</w:t>
            </w:r>
            <w:r>
              <w:rPr>
                <w:rFonts w:hint="eastAsia" w:cs="Times New Roman" w:eastAsiaTheme="minorEastAsia"/>
                <w:color w:val="auto"/>
                <w:spacing w:val="-6"/>
                <w:sz w:val="24"/>
                <w:lang w:eastAsia="zh-CN"/>
              </w:rPr>
              <w:t>）</w:t>
            </w:r>
          </w:p>
        </w:tc>
        <w:tc>
          <w:tcPr>
            <w:tcW w:w="1828" w:type="pct"/>
            <w:vAlign w:val="center"/>
          </w:tcPr>
          <w:p w14:paraId="3378FF1E">
            <w:pPr>
              <w:adjustRightInd w:val="0"/>
              <w:snapToGrid w:val="0"/>
              <w:jc w:val="center"/>
              <w:rPr>
                <w:rFonts w:hint="eastAsia" w:ascii="Times New Roman" w:hAnsi="Times New Roman" w:cs="Times New Roman" w:eastAsiaTheme="minorEastAsia"/>
                <w:color w:val="auto"/>
                <w:sz w:val="24"/>
                <w:lang w:val="en-US" w:eastAsia="zh-CN"/>
              </w:rPr>
            </w:pPr>
            <w:r>
              <w:rPr>
                <w:rFonts w:hint="eastAsia" w:cs="Times New Roman" w:eastAsiaTheme="minorEastAsia"/>
                <w:color w:val="auto"/>
                <w:sz w:val="24"/>
                <w:lang w:val="en-US" w:eastAsia="zh-CN"/>
              </w:rPr>
              <w:t>1666.67</w:t>
            </w:r>
          </w:p>
        </w:tc>
      </w:tr>
      <w:tr w14:paraId="3AAB91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961" w:type="pct"/>
            <w:vAlign w:val="center"/>
          </w:tcPr>
          <w:p w14:paraId="2606E488">
            <w:pPr>
              <w:autoSpaceDE w:val="0"/>
              <w:autoSpaceDN w:val="0"/>
              <w:adjustRightInd w:val="0"/>
              <w:snapToGrid w:val="0"/>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专项评价设置情况</w:t>
            </w:r>
          </w:p>
        </w:tc>
        <w:tc>
          <w:tcPr>
            <w:tcW w:w="4039" w:type="pct"/>
            <w:gridSpan w:val="3"/>
            <w:vAlign w:val="center"/>
          </w:tcPr>
          <w:p w14:paraId="13AC17BC">
            <w:pPr>
              <w:autoSpaceDE w:val="0"/>
              <w:autoSpaceDN w:val="0"/>
              <w:adjustRightInd w:val="0"/>
              <w:snapToGrid w:val="0"/>
              <w:spacing w:line="480" w:lineRule="exact"/>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kern w:val="0"/>
                <w:sz w:val="24"/>
              </w:rPr>
              <w:t>无</w:t>
            </w:r>
          </w:p>
        </w:tc>
      </w:tr>
      <w:tr w14:paraId="4E9AFD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961" w:type="pct"/>
            <w:vAlign w:val="center"/>
          </w:tcPr>
          <w:p w14:paraId="2685F45F">
            <w:pPr>
              <w:autoSpaceDE w:val="0"/>
              <w:autoSpaceDN w:val="0"/>
              <w:adjustRightInd w:val="0"/>
              <w:snapToGrid w:val="0"/>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sz w:val="24"/>
              </w:rPr>
              <w:t>规划情况</w:t>
            </w:r>
          </w:p>
        </w:tc>
        <w:tc>
          <w:tcPr>
            <w:tcW w:w="4039" w:type="pct"/>
            <w:gridSpan w:val="3"/>
            <w:vAlign w:val="center"/>
          </w:tcPr>
          <w:p w14:paraId="4003E900">
            <w:pPr>
              <w:autoSpaceDE w:val="0"/>
              <w:autoSpaceDN w:val="0"/>
              <w:adjustRightInd w:val="0"/>
              <w:snapToGrid w:val="0"/>
              <w:spacing w:line="480" w:lineRule="exact"/>
              <w:jc w:val="left"/>
              <w:rPr>
                <w:rFonts w:hint="eastAsia" w:cs="Times New Roman" w:eastAsiaTheme="minorEastAsia"/>
                <w:color w:val="000000" w:themeColor="text1"/>
                <w:kern w:val="0"/>
                <w:sz w:val="24"/>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4"/>
                <w14:textFill>
                  <w14:solidFill>
                    <w14:schemeClr w14:val="tx1"/>
                  </w14:solidFill>
                </w14:textFill>
              </w:rPr>
              <w:t>规划</w:t>
            </w:r>
            <w:r>
              <w:rPr>
                <w:rFonts w:hint="eastAsia" w:cs="Times New Roman" w:eastAsiaTheme="minorEastAsia"/>
                <w:color w:val="000000" w:themeColor="text1"/>
                <w:kern w:val="0"/>
                <w:sz w:val="24"/>
                <w:lang w:val="en-US" w:eastAsia="zh-CN"/>
                <w14:textFill>
                  <w14:solidFill>
                    <w14:schemeClr w14:val="tx1"/>
                  </w14:solidFill>
                </w14:textFill>
              </w:rPr>
              <w:t>文件</w:t>
            </w:r>
            <w:r>
              <w:rPr>
                <w:rFonts w:hint="default" w:ascii="Times New Roman" w:hAnsi="Times New Roman" w:cs="Times New Roman" w:eastAsiaTheme="minorEastAsia"/>
                <w:color w:val="000000" w:themeColor="text1"/>
                <w:kern w:val="0"/>
                <w:sz w:val="24"/>
                <w14:textFill>
                  <w14:solidFill>
                    <w14:schemeClr w14:val="tx1"/>
                  </w14:solidFill>
                </w14:textFill>
              </w:rPr>
              <w:t>名称：</w:t>
            </w:r>
            <w:r>
              <w:rPr>
                <w:rFonts w:hint="default" w:ascii="Times New Roman" w:hAnsi="Times New Roman" w:cs="Times New Roman" w:eastAsiaTheme="minorEastAsia"/>
                <w:color w:val="000000" w:themeColor="text1"/>
                <w:kern w:val="0"/>
                <w:sz w:val="24"/>
                <w:lang w:val="en-US" w:eastAsia="zh-CN"/>
                <w14:textFill>
                  <w14:solidFill>
                    <w14:schemeClr w14:val="tx1"/>
                  </w14:solidFill>
                </w14:textFill>
              </w:rPr>
              <w:t>《河北魏县经济开发区总体发展规划（2022-2030年）</w:t>
            </w:r>
            <w:r>
              <w:rPr>
                <w:rFonts w:hint="eastAsia" w:cs="Times New Roman" w:eastAsiaTheme="minorEastAsia"/>
                <w:color w:val="000000" w:themeColor="text1"/>
                <w:kern w:val="0"/>
                <w:sz w:val="24"/>
                <w:lang w:val="en-US" w:eastAsia="zh-CN"/>
                <w14:textFill>
                  <w14:solidFill>
                    <w14:schemeClr w14:val="tx1"/>
                  </w14:solidFill>
                </w14:textFill>
              </w:rPr>
              <w:t>》</w:t>
            </w:r>
          </w:p>
          <w:p w14:paraId="523298E2">
            <w:pPr>
              <w:autoSpaceDE w:val="0"/>
              <w:autoSpaceDN w:val="0"/>
              <w:adjustRightInd w:val="0"/>
              <w:snapToGrid w:val="0"/>
              <w:spacing w:line="480" w:lineRule="exact"/>
              <w:jc w:val="left"/>
              <w:rPr>
                <w:rFonts w:hint="default" w:cs="Times New Roman" w:eastAsiaTheme="minorEastAsia"/>
                <w:color w:val="000000" w:themeColor="text1"/>
                <w:kern w:val="0"/>
                <w:sz w:val="24"/>
                <w:lang w:val="en-US" w:eastAsia="zh-CN"/>
                <w14:textFill>
                  <w14:solidFill>
                    <w14:schemeClr w14:val="tx1"/>
                  </w14:solidFill>
                </w14:textFill>
              </w:rPr>
            </w:pPr>
            <w:r>
              <w:rPr>
                <w:rFonts w:hint="eastAsia" w:cs="Times New Roman" w:eastAsiaTheme="minorEastAsia"/>
                <w:color w:val="000000" w:themeColor="text1"/>
                <w:kern w:val="0"/>
                <w:sz w:val="24"/>
                <w:lang w:val="en-US" w:eastAsia="zh-CN"/>
                <w14:textFill>
                  <w14:solidFill>
                    <w14:schemeClr w14:val="tx1"/>
                  </w14:solidFill>
                </w14:textFill>
              </w:rPr>
              <w:t>审批机关：魏县人民政府</w:t>
            </w:r>
          </w:p>
          <w:p w14:paraId="240737F4">
            <w:pPr>
              <w:autoSpaceDE w:val="0"/>
              <w:autoSpaceDN w:val="0"/>
              <w:adjustRightInd w:val="0"/>
              <w:snapToGrid w:val="0"/>
              <w:spacing w:line="480" w:lineRule="exact"/>
              <w:jc w:val="left"/>
              <w:rPr>
                <w:rFonts w:hint="default" w:ascii="Times New Roman" w:hAnsi="Times New Roman" w:cs="Times New Roman" w:eastAsiaTheme="minorEastAsia"/>
                <w:color w:val="auto"/>
                <w:kern w:val="0"/>
                <w:sz w:val="24"/>
              </w:rPr>
            </w:pPr>
            <w:r>
              <w:rPr>
                <w:rFonts w:hint="eastAsia" w:cs="Times New Roman" w:eastAsiaTheme="minorEastAsia"/>
                <w:color w:val="000000" w:themeColor="text1"/>
                <w:kern w:val="0"/>
                <w:sz w:val="24"/>
                <w:lang w:val="en-US" w:eastAsia="zh-CN"/>
                <w14:textFill>
                  <w14:solidFill>
                    <w14:schemeClr w14:val="tx1"/>
                  </w14:solidFill>
                </w14:textFill>
              </w:rPr>
              <w:t>审批文件名称及文号：关于编制《河北魏县经济开发区总体发展规划</w:t>
            </w:r>
            <w:r>
              <w:rPr>
                <w:rFonts w:hint="default" w:ascii="Times New Roman" w:hAnsi="Times New Roman" w:cs="Times New Roman" w:eastAsiaTheme="minorEastAsia"/>
                <w:color w:val="000000" w:themeColor="text1"/>
                <w:kern w:val="0"/>
                <w:sz w:val="24"/>
                <w:lang w:val="en-US" w:eastAsia="zh-CN"/>
                <w14:textFill>
                  <w14:solidFill>
                    <w14:schemeClr w14:val="tx1"/>
                  </w14:solidFill>
                </w14:textFill>
              </w:rPr>
              <w:t>（2022-2030年）</w:t>
            </w:r>
            <w:r>
              <w:rPr>
                <w:rFonts w:hint="eastAsia" w:cs="Times New Roman" w:eastAsiaTheme="minorEastAsia"/>
                <w:color w:val="000000" w:themeColor="text1"/>
                <w:kern w:val="0"/>
                <w:sz w:val="24"/>
                <w:lang w:val="en-US" w:eastAsia="zh-CN"/>
                <w14:textFill>
                  <w14:solidFill>
                    <w14:schemeClr w14:val="tx1"/>
                  </w14:solidFill>
                </w14:textFill>
              </w:rPr>
              <w:t>》的意见</w:t>
            </w:r>
          </w:p>
        </w:tc>
      </w:tr>
      <w:tr w14:paraId="46E9C4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85" w:hRule="atLeast"/>
          <w:jc w:val="center"/>
        </w:trPr>
        <w:tc>
          <w:tcPr>
            <w:tcW w:w="961" w:type="pct"/>
            <w:vAlign w:val="center"/>
          </w:tcPr>
          <w:p w14:paraId="6E3556C1">
            <w:pPr>
              <w:adjustRightInd w:val="0"/>
              <w:snapToGrid w:val="0"/>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sz w:val="24"/>
              </w:rPr>
              <w:t>规划环境影响评价情况</w:t>
            </w:r>
          </w:p>
        </w:tc>
        <w:tc>
          <w:tcPr>
            <w:tcW w:w="4039" w:type="pct"/>
            <w:gridSpan w:val="3"/>
            <w:vAlign w:val="center"/>
          </w:tcPr>
          <w:p w14:paraId="5FB583D4">
            <w:pPr>
              <w:autoSpaceDE w:val="0"/>
              <w:autoSpaceDN w:val="0"/>
              <w:adjustRightInd w:val="0"/>
              <w:snapToGrid w:val="0"/>
              <w:spacing w:line="480" w:lineRule="exact"/>
              <w:rPr>
                <w:rFonts w:hint="eastAsia" w:ascii="Times New Roman" w:hAnsi="Times New Roman" w:cs="Times New Roman" w:eastAsiaTheme="minorEastAsia"/>
                <w:color w:val="000000" w:themeColor="text1"/>
                <w:kern w:val="0"/>
                <w:sz w:val="24"/>
                <w:lang w:eastAsia="zh-CN"/>
                <w14:textFill>
                  <w14:solidFill>
                    <w14:schemeClr w14:val="tx1"/>
                  </w14:solidFill>
                </w14:textFill>
              </w:rPr>
            </w:pPr>
            <w:r>
              <w:rPr>
                <w:rFonts w:hint="default" w:ascii="Times New Roman" w:hAnsi="Times New Roman" w:cs="Times New Roman" w:eastAsiaTheme="minorEastAsia"/>
                <w:color w:val="000000" w:themeColor="text1"/>
                <w:kern w:val="0"/>
                <w:sz w:val="24"/>
                <w14:textFill>
                  <w14:solidFill>
                    <w14:schemeClr w14:val="tx1"/>
                  </w14:solidFill>
                </w14:textFill>
              </w:rPr>
              <w:t>规划环境影响评价文件名称：《河北魏县经济开发区总体发展规划（2022-2030年）环境影响报告书》</w:t>
            </w:r>
          </w:p>
          <w:p w14:paraId="0BBBE818">
            <w:pPr>
              <w:autoSpaceDE w:val="0"/>
              <w:autoSpaceDN w:val="0"/>
              <w:adjustRightInd w:val="0"/>
              <w:snapToGrid w:val="0"/>
              <w:spacing w:line="480" w:lineRule="exact"/>
              <w:rPr>
                <w:rFonts w:hint="default" w:ascii="Times New Roman" w:hAnsi="Times New Roman" w:cs="Times New Roman" w:eastAsiaTheme="minorEastAsia"/>
                <w:color w:val="000000" w:themeColor="text1"/>
                <w:kern w:val="0"/>
                <w:sz w:val="24"/>
                <w14:textFill>
                  <w14:solidFill>
                    <w14:schemeClr w14:val="tx1"/>
                  </w14:solidFill>
                </w14:textFill>
              </w:rPr>
            </w:pPr>
            <w:r>
              <w:rPr>
                <w:rFonts w:hint="default" w:ascii="Times New Roman" w:hAnsi="Times New Roman" w:cs="Times New Roman" w:eastAsiaTheme="minorEastAsia"/>
                <w:color w:val="000000" w:themeColor="text1"/>
                <w:kern w:val="0"/>
                <w:sz w:val="24"/>
                <w14:textFill>
                  <w14:solidFill>
                    <w14:schemeClr w14:val="tx1"/>
                  </w14:solidFill>
                </w14:textFill>
              </w:rPr>
              <w:t>召集审查机关：</w:t>
            </w:r>
            <w:r>
              <w:rPr>
                <w:rFonts w:hint="default" w:ascii="Times New Roman" w:hAnsi="Times New Roman" w:cs="Times New Roman"/>
                <w:color w:val="000000" w:themeColor="text1"/>
                <w:sz w:val="24"/>
                <w:szCs w:val="24"/>
                <w:lang w:val="zh-CN" w:eastAsia="zh-CN"/>
                <w14:textFill>
                  <w14:solidFill>
                    <w14:schemeClr w14:val="tx1"/>
                  </w14:solidFill>
                </w14:textFill>
              </w:rPr>
              <w:t>河北省生态环境厅</w:t>
            </w:r>
          </w:p>
          <w:p w14:paraId="0D13850D">
            <w:pPr>
              <w:autoSpaceDE w:val="0"/>
              <w:autoSpaceDN w:val="0"/>
              <w:adjustRightInd w:val="0"/>
              <w:snapToGrid w:val="0"/>
              <w:spacing w:line="480" w:lineRule="exact"/>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000000" w:themeColor="text1"/>
                <w:kern w:val="0"/>
                <w:sz w:val="24"/>
                <w14:textFill>
                  <w14:solidFill>
                    <w14:schemeClr w14:val="tx1"/>
                  </w14:solidFill>
                </w14:textFill>
              </w:rPr>
              <w:t>审查文件名称</w:t>
            </w:r>
            <w:r>
              <w:rPr>
                <w:rFonts w:hint="eastAsia" w:cs="Times New Roman" w:eastAsiaTheme="minorEastAsia"/>
                <w:color w:val="000000" w:themeColor="text1"/>
                <w:kern w:val="0"/>
                <w:sz w:val="24"/>
                <w:lang w:val="en-US" w:eastAsia="zh-CN"/>
                <w14:textFill>
                  <w14:solidFill>
                    <w14:schemeClr w14:val="tx1"/>
                  </w14:solidFill>
                </w14:textFill>
              </w:rPr>
              <w:t>及文号</w:t>
            </w:r>
            <w:r>
              <w:rPr>
                <w:rFonts w:hint="default" w:ascii="Times New Roman" w:hAnsi="Times New Roman" w:cs="Times New Roman" w:eastAsiaTheme="minorEastAsia"/>
                <w:color w:val="000000" w:themeColor="text1"/>
                <w:kern w:val="0"/>
                <w:sz w:val="24"/>
                <w14:textFill>
                  <w14:solidFill>
                    <w14:schemeClr w14:val="tx1"/>
                  </w14:solidFill>
                </w14:textFill>
              </w:rPr>
              <w:t xml:space="preserve">：关于《河北魏县经济开发区总体发展规划（2022-2030年）环境影响报告书》的审查意见（冀环环评函[2024]961号）  </w:t>
            </w:r>
            <w:r>
              <w:rPr>
                <w:rFonts w:hint="default" w:ascii="Times New Roman" w:hAnsi="Times New Roman" w:cs="Times New Roman" w:eastAsiaTheme="minorEastAsia"/>
                <w:color w:val="auto"/>
                <w:kern w:val="0"/>
                <w:sz w:val="24"/>
              </w:rPr>
              <w:t xml:space="preserve"> </w:t>
            </w:r>
          </w:p>
        </w:tc>
      </w:tr>
      <w:tr w14:paraId="189AF8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61" w:type="pct"/>
            <w:vAlign w:val="center"/>
          </w:tcPr>
          <w:p w14:paraId="5D50364D">
            <w:pPr>
              <w:autoSpaceDE w:val="0"/>
              <w:autoSpaceDN w:val="0"/>
              <w:adjustRightInd w:val="0"/>
              <w:snapToGrid w:val="0"/>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规划及规划环境影响评价符合性分析</w:t>
            </w:r>
          </w:p>
        </w:tc>
        <w:tc>
          <w:tcPr>
            <w:tcW w:w="4039" w:type="pct"/>
            <w:gridSpan w:val="3"/>
            <w:tcBorders>
              <w:bottom w:val="single" w:color="auto" w:sz="4" w:space="0"/>
            </w:tcBorders>
            <w:vAlign w:val="center"/>
          </w:tcPr>
          <w:p w14:paraId="0A64E2EE">
            <w:pPr>
              <w:autoSpaceDE w:val="0"/>
              <w:autoSpaceDN w:val="0"/>
              <w:adjustRightInd w:val="0"/>
              <w:snapToGrid w:val="0"/>
              <w:spacing w:line="480" w:lineRule="exact"/>
              <w:rPr>
                <w:rFonts w:hint="eastAsia" w:cs="Times New Roman" w:eastAsiaTheme="minorEastAsia"/>
                <w:b/>
                <w:bCs/>
                <w:color w:val="auto"/>
                <w:kern w:val="0"/>
                <w:sz w:val="24"/>
                <w:lang w:val="en-US" w:eastAsia="zh-CN"/>
              </w:rPr>
            </w:pPr>
            <w:r>
              <w:rPr>
                <w:rFonts w:hint="eastAsia" w:cs="Times New Roman" w:eastAsiaTheme="minorEastAsia"/>
                <w:b/>
                <w:bCs/>
                <w:color w:val="auto"/>
                <w:kern w:val="0"/>
                <w:sz w:val="24"/>
                <w:lang w:val="en-US" w:eastAsia="zh-CN"/>
              </w:rPr>
              <w:t>1 本项目与魏县经济开发区-再生资源循环利用产业园规划符合性分析</w:t>
            </w:r>
          </w:p>
          <w:p w14:paraId="75C849CA">
            <w:pPr>
              <w:spacing w:line="50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魏县经济开发区-再生资源循环利用产业园</w:t>
            </w:r>
            <w:r>
              <w:rPr>
                <w:color w:val="000000" w:themeColor="text1"/>
                <w:sz w:val="24"/>
                <w14:textFill>
                  <w14:solidFill>
                    <w14:schemeClr w14:val="tx1"/>
                  </w14:solidFill>
                </w14:textFill>
              </w:rPr>
              <w:t>概况</w:t>
            </w:r>
          </w:p>
          <w:p w14:paraId="0D38962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①园区位置及范围</w:t>
            </w:r>
          </w:p>
          <w:p w14:paraId="1479334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b w:val="0"/>
                <w:bCs w:val="0"/>
                <w:color w:val="auto"/>
                <w:sz w:val="24"/>
              </w:rPr>
            </w:pPr>
            <w:r>
              <w:rPr>
                <w:rFonts w:hint="eastAsia"/>
                <w:color w:val="auto"/>
                <w:sz w:val="24"/>
              </w:rPr>
              <w:t>魏县经济开发区</w:t>
            </w:r>
            <w:r>
              <w:rPr>
                <w:rFonts w:hint="eastAsia"/>
                <w:b w:val="0"/>
                <w:bCs w:val="0"/>
                <w:color w:val="auto"/>
                <w:sz w:val="24"/>
              </w:rPr>
              <w:t>规划范围总面积为18.69km</w:t>
            </w:r>
            <w:r>
              <w:rPr>
                <w:rFonts w:hint="eastAsia"/>
                <w:b w:val="0"/>
                <w:bCs w:val="0"/>
                <w:color w:val="auto"/>
                <w:sz w:val="24"/>
                <w:vertAlign w:val="superscript"/>
              </w:rPr>
              <w:t>2</w:t>
            </w:r>
            <w:r>
              <w:rPr>
                <w:rFonts w:hint="eastAsia"/>
                <w:b w:val="0"/>
                <w:bCs w:val="0"/>
                <w:color w:val="auto"/>
                <w:sz w:val="24"/>
              </w:rPr>
              <w:t>，共分为先进装备制造园、汽车产业园和再生资源循环利用产业园三个产业园</w:t>
            </w:r>
            <w:r>
              <w:rPr>
                <w:rFonts w:hint="eastAsia"/>
                <w:b w:val="0"/>
                <w:bCs w:val="0"/>
                <w:color w:val="auto"/>
                <w:sz w:val="24"/>
                <w:lang w:eastAsia="zh-CN"/>
              </w:rPr>
              <w:t>。</w:t>
            </w:r>
            <w:r>
              <w:rPr>
                <w:rFonts w:hint="eastAsia"/>
                <w:b w:val="0"/>
                <w:bCs w:val="0"/>
                <w:color w:val="auto"/>
                <w:sz w:val="24"/>
                <w:lang w:val="en-US" w:eastAsia="zh-CN"/>
              </w:rPr>
              <w:t>其中再生资源循环利用园区位于魏县张二庄镇，规划范围总面积为4.1km</w:t>
            </w:r>
            <w:r>
              <w:rPr>
                <w:rFonts w:hint="eastAsia"/>
                <w:b w:val="0"/>
                <w:bCs w:val="0"/>
                <w:color w:val="auto"/>
                <w:sz w:val="24"/>
                <w:vertAlign w:val="superscript"/>
                <w:lang w:val="en-US" w:eastAsia="zh-CN"/>
              </w:rPr>
              <w:t>2</w:t>
            </w:r>
            <w:r>
              <w:rPr>
                <w:rFonts w:hint="eastAsia"/>
                <w:b w:val="0"/>
                <w:bCs w:val="0"/>
                <w:color w:val="auto"/>
                <w:sz w:val="24"/>
                <w:lang w:val="en-US" w:eastAsia="zh-CN"/>
              </w:rPr>
              <w:t>，东至南刘庄至留固路，南至留固北环路，西至定魏线，北至张二庄与牙里界。</w:t>
            </w:r>
          </w:p>
          <w:p w14:paraId="75FA2FC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eastAsia="宋体"/>
                <w:color w:val="000000" w:themeColor="text1"/>
                <w:sz w:val="24"/>
                <w:lang w:eastAsia="zh-CN"/>
                <w14:textFill>
                  <w14:solidFill>
                    <w14:schemeClr w14:val="tx1"/>
                  </w14:solidFill>
                </w14:textFill>
              </w:rPr>
            </w:pPr>
            <w:r>
              <w:rPr>
                <w:b/>
                <w:bCs/>
                <w:color w:val="000000" w:themeColor="text1"/>
                <w:sz w:val="24"/>
                <w14:textFill>
                  <w14:solidFill>
                    <w14:schemeClr w14:val="tx1"/>
                  </w14:solidFill>
                </w14:textFill>
              </w:rPr>
              <w:t>本项目</w:t>
            </w:r>
            <w:r>
              <w:rPr>
                <w:rFonts w:hint="eastAsia"/>
                <w:b/>
                <w:bCs/>
                <w:color w:val="000000" w:themeColor="text1"/>
                <w:sz w:val="24"/>
                <w:lang w:val="en-US" w:eastAsia="zh-CN"/>
                <w14:textFill>
                  <w14:solidFill>
                    <w14:schemeClr w14:val="tx1"/>
                  </w14:solidFill>
                </w14:textFill>
              </w:rPr>
              <w:t>位于河北省邯郸市魏县绿环循环经济产业园1栋-4号，魏县经济开发区-再生资源循环利用产业园范围内。</w:t>
            </w:r>
          </w:p>
          <w:p w14:paraId="342ADAF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②</w:t>
            </w:r>
            <w:r>
              <w:rPr>
                <w:rFonts w:hint="eastAsia"/>
                <w:color w:val="000000" w:themeColor="text1"/>
                <w:sz w:val="24"/>
                <w14:textFill>
                  <w14:solidFill>
                    <w14:schemeClr w14:val="tx1"/>
                  </w14:solidFill>
                </w14:textFill>
              </w:rPr>
              <w:t>产业定位及产业布局</w:t>
            </w:r>
          </w:p>
          <w:p w14:paraId="2178170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default" w:eastAsia="宋体"/>
                <w:color w:val="000000" w:themeColor="text1"/>
                <w:sz w:val="24"/>
                <w:lang w:val="en-US" w:eastAsia="zh-CN"/>
                <w14:textFill>
                  <w14:solidFill>
                    <w14:schemeClr w14:val="tx1"/>
                  </w14:solidFill>
                </w14:textFill>
              </w:rPr>
            </w:pPr>
            <w:r>
              <w:rPr>
                <w:rFonts w:hint="eastAsia"/>
                <w:color w:val="auto"/>
                <w:sz w:val="24"/>
                <w:lang w:val="en-US" w:eastAsia="zh-CN"/>
              </w:rPr>
              <w:t>再生资源循环利用园区规划设置再生资源循环经济产业区及生活服务区。再生资源循环利用产业园主要发展塑料循环经济、废旧金属再生资源利用、橡胶再生资源利用、车辆及家电拆解利用等再生资源循环经济产业。</w:t>
            </w:r>
          </w:p>
          <w:p w14:paraId="1D3EDA37">
            <w:pPr>
              <w:numPr>
                <w:ilvl w:val="0"/>
                <w:numId w:val="0"/>
              </w:numPr>
              <w:autoSpaceDE w:val="0"/>
              <w:autoSpaceDN w:val="0"/>
              <w:adjustRightInd w:val="0"/>
              <w:snapToGrid w:val="0"/>
              <w:spacing w:line="480" w:lineRule="exact"/>
              <w:ind w:firstLine="482" w:firstLineChars="200"/>
              <w:rPr>
                <w:rFonts w:hint="default" w:cs="Times New Roman" w:eastAsiaTheme="minorEastAsia"/>
                <w:b/>
                <w:bCs/>
                <w:color w:val="000000" w:themeColor="text1"/>
                <w:kern w:val="0"/>
                <w:sz w:val="24"/>
                <w:lang w:val="en-US" w:eastAsia="zh-CN"/>
                <w14:textFill>
                  <w14:solidFill>
                    <w14:schemeClr w14:val="tx1"/>
                  </w14:solidFill>
                </w14:textFill>
              </w:rPr>
            </w:pPr>
            <w:r>
              <w:rPr>
                <w:b/>
                <w:bCs/>
                <w:color w:val="000000" w:themeColor="text1"/>
                <w:sz w:val="24"/>
                <w14:textFill>
                  <w14:solidFill>
                    <w14:schemeClr w14:val="tx1"/>
                  </w14:solidFill>
                </w14:textFill>
              </w:rPr>
              <w:t>本项目</w:t>
            </w:r>
            <w:r>
              <w:rPr>
                <w:rFonts w:hint="eastAsia"/>
                <w:b/>
                <w:bCs/>
                <w:color w:val="000000" w:themeColor="text1"/>
                <w:sz w:val="24"/>
                <w:lang w:val="en-US" w:eastAsia="zh-CN"/>
                <w14:textFill>
                  <w14:solidFill>
                    <w14:schemeClr w14:val="tx1"/>
                  </w14:solidFill>
                </w14:textFill>
              </w:rPr>
              <w:t>属于</w:t>
            </w:r>
            <w:r>
              <w:rPr>
                <w:rFonts w:hint="eastAsia"/>
                <w:b/>
                <w:bCs/>
                <w:color w:val="auto"/>
                <w:sz w:val="24"/>
                <w:lang w:val="en-US" w:eastAsia="zh-CN"/>
              </w:rPr>
              <w:t>再生资源循环经济产业（塑料循环经济）</w:t>
            </w:r>
            <w:r>
              <w:rPr>
                <w:rFonts w:hint="eastAsia"/>
                <w:b/>
                <w:bCs/>
                <w:color w:val="000000" w:themeColor="text1"/>
                <w:sz w:val="24"/>
                <w14:textFill>
                  <w14:solidFill>
                    <w14:schemeClr w14:val="tx1"/>
                  </w14:solidFill>
                </w14:textFill>
              </w:rPr>
              <w:t>，</w:t>
            </w:r>
            <w:r>
              <w:rPr>
                <w:rFonts w:hint="eastAsia" w:cs="Times New Roman" w:eastAsiaTheme="minorEastAsia"/>
                <w:b/>
                <w:bCs/>
                <w:color w:val="auto"/>
                <w:kern w:val="0"/>
                <w:sz w:val="24"/>
                <w:lang w:val="en-US" w:eastAsia="zh-CN"/>
              </w:rPr>
              <w:t>位于再生资源循环经济产业区</w:t>
            </w:r>
            <w:r>
              <w:rPr>
                <w:rFonts w:hint="default" w:cs="Times New Roman" w:eastAsiaTheme="minorEastAsia"/>
                <w:b/>
                <w:bCs/>
                <w:color w:val="auto"/>
                <w:kern w:val="0"/>
                <w:sz w:val="24"/>
                <w:lang w:val="en-US" w:eastAsia="zh-CN"/>
              </w:rPr>
              <w:t>，</w:t>
            </w:r>
            <w:r>
              <w:rPr>
                <w:rFonts w:hint="default" w:cs="Times New Roman" w:eastAsiaTheme="minorEastAsia"/>
                <w:b/>
                <w:bCs/>
                <w:color w:val="000000" w:themeColor="text1"/>
                <w:kern w:val="0"/>
                <w:sz w:val="24"/>
                <w:lang w:val="en-US" w:eastAsia="zh-CN"/>
                <w14:textFill>
                  <w14:solidFill>
                    <w14:schemeClr w14:val="tx1"/>
                  </w14:solidFill>
                </w14:textFill>
              </w:rPr>
              <w:t>与</w:t>
            </w:r>
            <w:r>
              <w:rPr>
                <w:rFonts w:hint="eastAsia" w:cs="Times New Roman" w:eastAsiaTheme="minorEastAsia"/>
                <w:b/>
                <w:bCs/>
                <w:color w:val="000000" w:themeColor="text1"/>
                <w:kern w:val="0"/>
                <w:sz w:val="24"/>
                <w:lang w:val="en-US" w:eastAsia="zh-CN"/>
                <w14:textFill>
                  <w14:solidFill>
                    <w14:schemeClr w14:val="tx1"/>
                  </w14:solidFill>
                </w14:textFill>
              </w:rPr>
              <w:t>园</w:t>
            </w:r>
            <w:r>
              <w:rPr>
                <w:rFonts w:hint="default" w:cs="Times New Roman" w:eastAsiaTheme="minorEastAsia"/>
                <w:b/>
                <w:bCs/>
                <w:color w:val="000000" w:themeColor="text1"/>
                <w:kern w:val="0"/>
                <w:sz w:val="24"/>
                <w:lang w:val="en-US" w:eastAsia="zh-CN"/>
                <w14:textFill>
                  <w14:solidFill>
                    <w14:schemeClr w14:val="tx1"/>
                  </w14:solidFill>
                </w14:textFill>
              </w:rPr>
              <w:t>区规划方向一致</w:t>
            </w:r>
            <w:r>
              <w:rPr>
                <w:rFonts w:hint="eastAsia" w:cs="Times New Roman" w:eastAsiaTheme="minorEastAsia"/>
                <w:b/>
                <w:bCs/>
                <w:color w:val="000000" w:themeColor="text1"/>
                <w:kern w:val="0"/>
                <w:sz w:val="24"/>
                <w:lang w:val="en-US" w:eastAsia="zh-CN"/>
                <w14:textFill>
                  <w14:solidFill>
                    <w14:schemeClr w14:val="tx1"/>
                  </w14:solidFill>
                </w14:textFill>
              </w:rPr>
              <w:t>，</w:t>
            </w:r>
            <w:r>
              <w:rPr>
                <w:rFonts w:hint="default" w:cs="Times New Roman" w:eastAsiaTheme="minorEastAsia"/>
                <w:b/>
                <w:bCs/>
                <w:color w:val="000000" w:themeColor="text1"/>
                <w:kern w:val="0"/>
                <w:sz w:val="24"/>
                <w:lang w:val="en-US" w:eastAsia="zh-CN"/>
                <w14:textFill>
                  <w14:solidFill>
                    <w14:schemeClr w14:val="tx1"/>
                  </w14:solidFill>
                </w14:textFill>
              </w:rPr>
              <w:t>符合园区的产业发展定位和产业布</w:t>
            </w:r>
            <w:r>
              <w:rPr>
                <w:rFonts w:hint="default" w:cs="Times New Roman" w:eastAsiaTheme="minorEastAsia"/>
                <w:b/>
                <w:bCs/>
                <w:color w:val="auto"/>
                <w:kern w:val="0"/>
                <w:sz w:val="24"/>
                <w:lang w:val="en-US" w:eastAsia="zh-CN"/>
              </w:rPr>
              <w:t>局</w:t>
            </w:r>
            <w:r>
              <w:rPr>
                <w:rFonts w:hint="eastAsia" w:cs="Times New Roman" w:eastAsiaTheme="minorEastAsia"/>
                <w:b/>
                <w:bCs/>
                <w:color w:val="auto"/>
                <w:kern w:val="0"/>
                <w:sz w:val="24"/>
                <w:lang w:val="en-US" w:eastAsia="zh-CN"/>
              </w:rPr>
              <w:t>。再生资源循环利用产业园产业布局详见附图5。</w:t>
            </w:r>
          </w:p>
          <w:p w14:paraId="5BE6514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魏县经济开发区-再生资源循环利用产业园</w:t>
            </w:r>
            <w:r>
              <w:rPr>
                <w:color w:val="000000" w:themeColor="text1"/>
                <w:sz w:val="24"/>
                <w14:textFill>
                  <w14:solidFill>
                    <w14:schemeClr w14:val="tx1"/>
                  </w14:solidFill>
                </w14:textFill>
              </w:rPr>
              <w:t>基础设施建设概况</w:t>
            </w:r>
          </w:p>
          <w:p w14:paraId="576CE41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①给水</w:t>
            </w:r>
          </w:p>
          <w:p w14:paraId="0F86E2B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规划新鲜水接张二庄镇供水管网，远期设计规模0.7万m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/d。规划水源以污水处理厂再生水、南水北调水作为供水主要水源。</w:t>
            </w:r>
          </w:p>
          <w:p w14:paraId="1FA54ED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color w:val="000000" w:themeColor="text1"/>
                <w:sz w:val="24"/>
                <w14:textFill>
                  <w14:solidFill>
                    <w14:schemeClr w14:val="tx1"/>
                  </w14:solidFill>
                </w14:textFill>
              </w:rPr>
            </w:pPr>
            <w:r>
              <w:rPr>
                <w:rStyle w:val="61"/>
                <w:rFonts w:hint="default" w:ascii="Times New Roman" w:hAnsi="Times New Roman" w:cs="Times New Roman"/>
                <w:b/>
                <w:bCs/>
                <w:color w:val="000000" w:themeColor="text1"/>
                <w14:textFill>
                  <w14:solidFill>
                    <w14:schemeClr w14:val="tx1"/>
                  </w14:solidFill>
                </w14:textFill>
              </w:rPr>
              <w:t>项目用水由园区供水管网供给，不取用地下水</w:t>
            </w:r>
            <w:r>
              <w:rPr>
                <w:rStyle w:val="61"/>
                <w:rFonts w:hint="eastAsia" w:cs="Times New Roman"/>
                <w:b/>
                <w:bCs/>
                <w:color w:val="000000" w:themeColor="text1"/>
                <w:lang w:eastAsia="zh-CN"/>
                <w14:textFill>
                  <w14:solidFill>
                    <w14:schemeClr w14:val="tx1"/>
                  </w14:solidFill>
                </w14:textFill>
              </w:rPr>
              <w:t>，园区供水管网已铺设进厂</w:t>
            </w:r>
            <w:r>
              <w:rPr>
                <w:rStyle w:val="61"/>
                <w:rFonts w:hint="default" w:ascii="Times New Roman" w:hAnsi="Times New Roman" w:cs="Times New Roman"/>
                <w:b/>
                <w:bCs/>
                <w:color w:val="000000" w:themeColor="text1"/>
                <w14:textFill>
                  <w14:solidFill>
                    <w14:schemeClr w14:val="tx1"/>
                  </w14:solidFill>
                </w14:textFill>
              </w:rPr>
              <w:t>。</w:t>
            </w:r>
          </w:p>
          <w:p w14:paraId="08A6F80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②排水及园区污水处理厂建设情况</w:t>
            </w:r>
          </w:p>
          <w:p w14:paraId="03712EF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lang w:val="en-US" w:eastAsia="zh-CN"/>
              </w:rPr>
            </w:pPr>
            <w:r>
              <w:rPr>
                <w:rFonts w:hint="eastAsia"/>
                <w:color w:val="auto"/>
                <w:sz w:val="24"/>
                <w:lang w:val="en-US" w:eastAsia="zh-CN"/>
              </w:rPr>
              <w:t>规划利用现状魏县绿环循环经济产业园有限公司，现状设计处理规模为0.24万m</w:t>
            </w:r>
            <w:r>
              <w:rPr>
                <w:rFonts w:hint="eastAsia"/>
                <w:color w:val="auto"/>
                <w:sz w:val="24"/>
                <w:vertAlign w:val="superscript"/>
                <w:lang w:val="en-US" w:eastAsia="zh-CN"/>
              </w:rPr>
              <w:t>3</w:t>
            </w:r>
            <w:r>
              <w:rPr>
                <w:rFonts w:hint="eastAsia"/>
                <w:color w:val="auto"/>
                <w:sz w:val="24"/>
                <w:lang w:val="en-US" w:eastAsia="zh-CN"/>
              </w:rPr>
              <w:t>/d，规划远期进行扩建，扩建后处理能力为1万m</w:t>
            </w:r>
            <w:r>
              <w:rPr>
                <w:rFonts w:hint="eastAsia"/>
                <w:color w:val="auto"/>
                <w:sz w:val="24"/>
                <w:vertAlign w:val="superscript"/>
                <w:lang w:val="en-US" w:eastAsia="zh-CN"/>
              </w:rPr>
              <w:t>3</w:t>
            </w:r>
            <w:r>
              <w:rPr>
                <w:rFonts w:hint="eastAsia"/>
                <w:color w:val="auto"/>
                <w:sz w:val="24"/>
                <w:lang w:val="en-US" w:eastAsia="zh-CN"/>
              </w:rPr>
              <w:t>/d，处理工艺采用格栅+调节池+气浮池+预处理混凝沉淀+水解酸化+A</w:t>
            </w:r>
            <w:r>
              <w:rPr>
                <w:rFonts w:hint="eastAsia"/>
                <w:color w:val="auto"/>
                <w:sz w:val="24"/>
                <w:vertAlign w:val="superscript"/>
                <w:lang w:val="en-US" w:eastAsia="zh-CN"/>
              </w:rPr>
              <w:t>2</w:t>
            </w:r>
            <w:r>
              <w:rPr>
                <w:rFonts w:hint="eastAsia"/>
                <w:color w:val="auto"/>
                <w:sz w:val="24"/>
                <w:lang w:val="en-US" w:eastAsia="zh-CN"/>
              </w:rPr>
              <w:t>O生化池+二沉池+深度处理混凝沉淀池+臭氧消毒池的组合处理工艺，污水处理厂出水水质达到一级A排放标准后全部回用不外排。</w:t>
            </w:r>
          </w:p>
          <w:p w14:paraId="01D24D9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eastAsia="宋体"/>
                <w:color w:val="auto"/>
                <w:sz w:val="24"/>
                <w:lang w:val="en-US" w:eastAsia="zh-CN"/>
              </w:rPr>
            </w:pPr>
            <w:r>
              <w:rPr>
                <w:rFonts w:hint="eastAsia" w:cs="Times New Roman"/>
                <w:b/>
                <w:bCs w:val="0"/>
                <w:snapToGrid w:val="0"/>
                <w:color w:val="auto"/>
                <w:kern w:val="0"/>
                <w:sz w:val="24"/>
                <w:lang w:val="en-US" w:eastAsia="zh-CN"/>
              </w:rPr>
              <w:t>项目喷淋塔用水循环使用，定期补充新水</w:t>
            </w:r>
            <w:r>
              <w:rPr>
                <w:rFonts w:hint="eastAsia" w:cs="Times New Roman"/>
                <w:b/>
                <w:bCs w:val="0"/>
                <w:snapToGrid w:val="0"/>
                <w:color w:val="auto"/>
                <w:kern w:val="0"/>
                <w:sz w:val="24"/>
                <w:lang w:eastAsia="zh-CN"/>
              </w:rPr>
              <w:t>；</w:t>
            </w:r>
            <w:r>
              <w:rPr>
                <w:rFonts w:hint="eastAsia" w:cs="Times New Roman"/>
                <w:b/>
                <w:bCs w:val="0"/>
                <w:snapToGrid w:val="0"/>
                <w:color w:val="auto"/>
                <w:kern w:val="0"/>
                <w:sz w:val="24"/>
                <w:lang w:val="en-US" w:eastAsia="zh-CN"/>
              </w:rPr>
              <w:t>湿式粉碎、清洗工序等废水经沉淀池处理后循环使用，定期补充新水；生活废水直接泼洒抑尘，全厂无生产、生活废水外排。</w:t>
            </w:r>
          </w:p>
          <w:p w14:paraId="7253A3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③供</w:t>
            </w:r>
            <w:r>
              <w:rPr>
                <w:rFonts w:hint="eastAsia"/>
                <w:color w:val="000000" w:themeColor="text1"/>
                <w:sz w:val="24"/>
                <w:lang w:val="en-US" w:eastAsia="zh-CN"/>
                <w14:textFill>
                  <w14:solidFill>
                    <w14:schemeClr w14:val="tx1"/>
                  </w14:solidFill>
                </w14:textFill>
              </w:rPr>
              <w:t>热</w:t>
            </w:r>
          </w:p>
          <w:p w14:paraId="7A1614D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Times New Roman"/>
                <w:color w:val="000000" w:themeColor="text1"/>
                <w:sz w:val="24"/>
                <w:lang w:eastAsia="zh-CN"/>
                <w14:textFill>
                  <w14:solidFill>
                    <w14:schemeClr w14:val="tx1"/>
                  </w14:solidFill>
                </w14:textFill>
              </w:rPr>
            </w:pPr>
            <w:r>
              <w:rPr>
                <w:rFonts w:hint="eastAsia" w:ascii="宋体" w:hAnsi="宋体" w:eastAsia="宋体"/>
                <w:sz w:val="24"/>
                <w:szCs w:val="24"/>
                <w:lang w:eastAsia="zh-CN"/>
              </w:rPr>
              <w:t>再生资源循环利用园区延续现状分散供热，热源采用电或天然气。</w:t>
            </w:r>
          </w:p>
          <w:p w14:paraId="1160A43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eastAsia="宋体"/>
                <w:b/>
                <w:bCs/>
                <w:color w:val="000000" w:themeColor="text1"/>
                <w:sz w:val="24"/>
                <w:lang w:eastAsia="zh-CN"/>
                <w14:textFill>
                  <w14:solidFill>
                    <w14:schemeClr w14:val="tx1"/>
                  </w14:solidFill>
                </w14:textFill>
              </w:rPr>
            </w:pPr>
            <w:r>
              <w:rPr>
                <w:rFonts w:hint="eastAsia"/>
                <w:b/>
                <w:bCs/>
                <w:color w:val="000000" w:themeColor="text1"/>
                <w:sz w:val="24"/>
                <w14:textFill>
                  <w14:solidFill>
                    <w14:schemeClr w14:val="tx1"/>
                  </w14:solidFill>
                </w14:textFill>
              </w:rPr>
              <w:t>项目生产用热采用</w:t>
            </w:r>
            <w:r>
              <w:rPr>
                <w:rFonts w:hint="eastAsia"/>
                <w:b/>
                <w:bCs/>
                <w:color w:val="000000" w:themeColor="text1"/>
                <w:sz w:val="24"/>
                <w:lang w:val="en-US" w:eastAsia="zh-CN"/>
                <w14:textFill>
                  <w14:solidFill>
                    <w14:schemeClr w14:val="tx1"/>
                  </w14:solidFill>
                </w14:textFill>
              </w:rPr>
              <w:t>电加热</w:t>
            </w:r>
            <w:r>
              <w:rPr>
                <w:rFonts w:hint="eastAsia" w:cs="Times New Roman" w:eastAsiaTheme="minorEastAsia"/>
                <w:b/>
                <w:bCs/>
                <w:color w:val="auto"/>
                <w:kern w:val="0"/>
                <w:sz w:val="24"/>
                <w:lang w:val="en-US" w:eastAsia="zh-CN"/>
              </w:rPr>
              <w:t>，</w:t>
            </w:r>
            <w:r>
              <w:rPr>
                <w:rFonts w:hint="eastAsia"/>
                <w:b/>
                <w:bCs/>
                <w:color w:val="000000" w:themeColor="text1"/>
                <w:sz w:val="24"/>
                <w14:textFill>
                  <w14:solidFill>
                    <w14:schemeClr w14:val="tx1"/>
                  </w14:solidFill>
                </w14:textFill>
              </w:rPr>
              <w:t>办公采暖及制冷均采用空调</w:t>
            </w:r>
            <w:r>
              <w:rPr>
                <w:rFonts w:hint="eastAsia"/>
                <w:b/>
                <w:bCs/>
                <w:color w:val="auto"/>
                <w:sz w:val="24"/>
                <w:lang w:eastAsia="zh-CN"/>
              </w:rPr>
              <w:t>。</w:t>
            </w:r>
          </w:p>
          <w:p w14:paraId="4787392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④供气</w:t>
            </w:r>
          </w:p>
          <w:p w14:paraId="23531EB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rPr>
            </w:pPr>
            <w:r>
              <w:rPr>
                <w:rFonts w:hint="eastAsia"/>
                <w:color w:val="auto"/>
                <w:sz w:val="24"/>
              </w:rPr>
              <w:t>规划气源为天然气，再生资源循环利用园区新建一处天然气调压站，气源接张二庄镇。规划区天燃气管网采用中压一级管网系统，工作压力0.4Mpa，直接由中压管配气，经调压站调压至用户。中压干管在保证安全距离的前提下尽可能靠近用户，缩短支管长度；尽可能避开繁华商业街和交通繁忙路段，以保证安全，并便于管理；中压管网应逐步建成以环状为主，环枝结合，确保可靠供气。</w:t>
            </w:r>
          </w:p>
          <w:p w14:paraId="1F3FB90D">
            <w:pPr>
              <w:keepNext w:val="0"/>
              <w:keepLines w:val="0"/>
              <w:pageBreakBefore w:val="0"/>
              <w:widowControl w:val="0"/>
              <w:kinsoku/>
              <w:wordWrap/>
              <w:overflowPunct/>
              <w:topLinePunct w:val="0"/>
              <w:autoSpaceDE/>
              <w:autoSpaceDN/>
              <w:bidi w:val="0"/>
              <w:adjustRightInd/>
              <w:snapToGrid/>
              <w:spacing w:line="490" w:lineRule="exact"/>
              <w:ind w:firstLine="482" w:firstLineChars="200"/>
              <w:textAlignment w:val="auto"/>
              <w:rPr>
                <w:rFonts w:hint="default"/>
                <w:b/>
                <w:bCs/>
                <w:color w:val="000000" w:themeColor="text1"/>
                <w:sz w:val="24"/>
                <w:lang w:val="en-US" w:eastAsia="zh-CN"/>
                <w14:textFill>
                  <w14:solidFill>
                    <w14:schemeClr w14:val="tx1"/>
                  </w14:solidFill>
                </w14:textFill>
              </w:rPr>
            </w:pPr>
            <w:r>
              <w:rPr>
                <w:rStyle w:val="61"/>
                <w:rFonts w:hint="default" w:ascii="Times New Roman" w:hAnsi="Times New Roman" w:cs="Times New Roman"/>
                <w:b/>
                <w:bCs/>
                <w:color w:val="000000" w:themeColor="text1"/>
                <w14:textFill>
                  <w14:solidFill>
                    <w14:schemeClr w14:val="tx1"/>
                  </w14:solidFill>
                </w14:textFill>
              </w:rPr>
              <w:t>项目</w:t>
            </w:r>
            <w:r>
              <w:rPr>
                <w:rStyle w:val="61"/>
                <w:rFonts w:hint="eastAsia" w:cs="Times New Roman"/>
                <w:b/>
                <w:bCs/>
                <w:color w:val="000000" w:themeColor="text1"/>
                <w:lang w:val="en-US" w:eastAsia="zh-CN"/>
                <w14:textFill>
                  <w14:solidFill>
                    <w14:schemeClr w14:val="tx1"/>
                  </w14:solidFill>
                </w14:textFill>
              </w:rPr>
              <w:t>不涉及用气</w:t>
            </w:r>
            <w:r>
              <w:rPr>
                <w:rFonts w:hint="eastAsia" w:cs="Times New Roman" w:eastAsiaTheme="minorEastAsia"/>
                <w:b/>
                <w:bCs/>
                <w:color w:val="000000" w:themeColor="text1"/>
                <w:kern w:val="0"/>
                <w:sz w:val="24"/>
                <w:lang w:val="en-US" w:eastAsia="zh-CN"/>
                <w14:textFill>
                  <w14:solidFill>
                    <w14:schemeClr w14:val="tx1"/>
                  </w14:solidFill>
                </w14:textFill>
              </w:rPr>
              <w:t>。</w:t>
            </w:r>
          </w:p>
          <w:p w14:paraId="3296A911">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综上分析，本项目符合</w:t>
            </w:r>
            <w:r>
              <w:rPr>
                <w:rFonts w:hint="eastAsia"/>
                <w:color w:val="000000" w:themeColor="text1"/>
                <w:sz w:val="24"/>
                <w14:textFill>
                  <w14:solidFill>
                    <w14:schemeClr w14:val="tx1"/>
                  </w14:solidFill>
                </w14:textFill>
              </w:rPr>
              <w:t>魏县经济开发区-再生资源循环利用产业园</w:t>
            </w:r>
            <w:r>
              <w:rPr>
                <w:color w:val="000000" w:themeColor="text1"/>
                <w:sz w:val="24"/>
                <w14:textFill>
                  <w14:solidFill>
                    <w14:schemeClr w14:val="tx1"/>
                  </w14:solidFill>
                </w14:textFill>
              </w:rPr>
              <w:t>的规划，</w:t>
            </w:r>
            <w:r>
              <w:rPr>
                <w:rFonts w:hint="eastAsia"/>
                <w:color w:val="000000" w:themeColor="text1"/>
                <w:sz w:val="24"/>
                <w14:textFill>
                  <w14:solidFill>
                    <w14:schemeClr w14:val="tx1"/>
                  </w14:solidFill>
                </w14:textFill>
              </w:rPr>
              <w:t>园</w:t>
            </w:r>
            <w:r>
              <w:rPr>
                <w:color w:val="000000" w:themeColor="text1"/>
                <w:sz w:val="24"/>
                <w14:textFill>
                  <w14:solidFill>
                    <w14:schemeClr w14:val="tx1"/>
                  </w14:solidFill>
                </w14:textFill>
              </w:rPr>
              <w:t>区现有基础设施现状能满足本项目的建设需求。</w:t>
            </w:r>
          </w:p>
          <w:p w14:paraId="73ED695E">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cs="Times New Roman" w:eastAsiaTheme="minorEastAsia"/>
                <w:b/>
                <w:bCs/>
                <w:color w:val="000000" w:themeColor="text1"/>
                <w:kern w:val="0"/>
                <w:sz w:val="24"/>
                <w:lang w:val="en-US" w:eastAsia="zh-CN"/>
                <w14:textFill>
                  <w14:solidFill>
                    <w14:schemeClr w14:val="tx1"/>
                  </w14:solidFill>
                </w14:textFill>
              </w:rPr>
            </w:pPr>
            <w:r>
              <w:rPr>
                <w:rFonts w:hint="eastAsia" w:cs="Times New Roman" w:eastAsiaTheme="minorEastAsia"/>
                <w:b/>
                <w:bCs/>
                <w:color w:val="000000" w:themeColor="text1"/>
                <w:kern w:val="0"/>
                <w:sz w:val="24"/>
                <w:lang w:val="en-US" w:eastAsia="zh-CN"/>
                <w14:textFill>
                  <w14:solidFill>
                    <w14:schemeClr w14:val="tx1"/>
                  </w14:solidFill>
                </w14:textFill>
              </w:rPr>
              <w:t>2 本项目与规划环评符合性分析</w:t>
            </w:r>
          </w:p>
          <w:p w14:paraId="75566BDA">
            <w:pPr>
              <w:keepNext w:val="0"/>
              <w:keepLines w:val="0"/>
              <w:pageBreakBefore w:val="0"/>
              <w:widowControl w:val="0"/>
              <w:numPr>
                <w:ilvl w:val="0"/>
                <w:numId w:val="1"/>
              </w:numPr>
              <w:kinsoku/>
              <w:wordWrap/>
              <w:overflowPunct/>
              <w:topLinePunct w:val="0"/>
              <w:autoSpaceDE/>
              <w:autoSpaceDN/>
              <w:bidi w:val="0"/>
              <w:adjustRightInd w:val="0"/>
              <w:snapToGrid w:val="0"/>
              <w:spacing w:line="480" w:lineRule="exact"/>
              <w:ind w:firstLine="480" w:firstLineChars="200"/>
              <w:textAlignment w:val="auto"/>
              <w:rPr>
                <w:rFonts w:hint="eastAsia"/>
                <w:color w:val="000000" w:themeColor="text1"/>
                <w:sz w:val="24"/>
                <w:szCs w:val="24"/>
                <w:highlight w:val="none"/>
                <w:lang w:val="en-US" w:eastAsia="zh-CN"/>
                <w14:textFill>
                  <w14:solidFill>
                    <w14:schemeClr w14:val="tx1"/>
                  </w14:solidFill>
                </w14:textFill>
              </w:rPr>
            </w:pPr>
            <w:r>
              <w:rPr>
                <w:rFonts w:hint="default"/>
                <w:color w:val="000000" w:themeColor="text1"/>
                <w:sz w:val="24"/>
                <w:szCs w:val="24"/>
                <w:highlight w:val="none"/>
                <w:lang w:val="en-US"/>
                <w14:textFill>
                  <w14:solidFill>
                    <w14:schemeClr w14:val="tx1"/>
                  </w14:solidFill>
                </w14:textFill>
              </w:rPr>
              <w:t>规划环境影响</w:t>
            </w:r>
            <w:r>
              <w:rPr>
                <w:rFonts w:hint="eastAsia"/>
                <w:color w:val="000000" w:themeColor="text1"/>
                <w:sz w:val="24"/>
                <w:szCs w:val="24"/>
                <w:highlight w:val="none"/>
                <w:lang w:val="en-US" w:eastAsia="zh-CN"/>
                <w14:textFill>
                  <w14:solidFill>
                    <w14:schemeClr w14:val="tx1"/>
                  </w14:solidFill>
                </w14:textFill>
              </w:rPr>
              <w:t>评价结论符合性</w:t>
            </w:r>
          </w:p>
          <w:p w14:paraId="09F38BE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项目属于再生资源循环经济产业（塑料循环经济），位于</w:t>
            </w:r>
            <w:r>
              <w:rPr>
                <w:rFonts w:hint="eastAsia"/>
                <w:color w:val="000000" w:themeColor="text1"/>
                <w:sz w:val="24"/>
                <w14:textFill>
                  <w14:solidFill>
                    <w14:schemeClr w14:val="tx1"/>
                  </w14:solidFill>
                </w14:textFill>
              </w:rPr>
              <w:t>魏县经济开发区-再生资源循环利用产业园</w:t>
            </w:r>
            <w:r>
              <w:rPr>
                <w:rFonts w:hint="eastAsia"/>
                <w:color w:val="000000" w:themeColor="text1"/>
                <w:sz w:val="24"/>
                <w:szCs w:val="24"/>
                <w:highlight w:val="none"/>
                <w:lang w:val="en-US" w:eastAsia="zh-CN"/>
                <w14:textFill>
                  <w14:solidFill>
                    <w14:schemeClr w14:val="tx1"/>
                  </w14:solidFill>
                </w14:textFill>
              </w:rPr>
              <w:t>，占地为工业用地，符合园区产业定位、</w:t>
            </w:r>
            <w:r>
              <w:rPr>
                <w:rFonts w:hint="eastAsia"/>
                <w:color w:val="auto"/>
                <w:sz w:val="24"/>
                <w:szCs w:val="24"/>
                <w:highlight w:val="none"/>
                <w:lang w:val="en-US" w:eastAsia="zh-CN"/>
              </w:rPr>
              <w:t>布局规划。</w:t>
            </w:r>
            <w:r>
              <w:rPr>
                <w:rFonts w:hint="eastAsia"/>
                <w:color w:val="000000" w:themeColor="text1"/>
                <w:sz w:val="24"/>
                <w:szCs w:val="24"/>
                <w:highlight w:val="none"/>
                <w:lang w:val="en-US" w:eastAsia="zh-CN"/>
                <w14:textFill>
                  <w14:solidFill>
                    <w14:schemeClr w14:val="tx1"/>
                  </w14:solidFill>
                </w14:textFill>
              </w:rPr>
              <w:t>项目产生的污染物主要为颗粒物、非甲烷总烃等</w:t>
            </w:r>
            <w:r>
              <w:rPr>
                <w:rFonts w:hint="eastAsia"/>
                <w:color w:val="auto"/>
                <w:sz w:val="24"/>
                <w:szCs w:val="24"/>
                <w:highlight w:val="none"/>
                <w:lang w:val="en-US" w:eastAsia="zh-CN"/>
              </w:rPr>
              <w:t>，</w:t>
            </w:r>
            <w:r>
              <w:rPr>
                <w:rFonts w:hint="eastAsia"/>
                <w:color w:val="000000" w:themeColor="text1"/>
                <w:sz w:val="24"/>
                <w:szCs w:val="24"/>
                <w:highlight w:val="none"/>
                <w:lang w:val="en-US" w:eastAsia="zh-CN"/>
                <w14:textFill>
                  <w14:solidFill>
                    <w14:schemeClr w14:val="tx1"/>
                  </w14:solidFill>
                </w14:textFill>
              </w:rPr>
              <w:t>且污染物排放量较小，不属于</w:t>
            </w:r>
            <w:r>
              <w:rPr>
                <w:rFonts w:hint="default"/>
                <w:color w:val="000000" w:themeColor="text1"/>
                <w:sz w:val="24"/>
                <w:szCs w:val="24"/>
                <w:highlight w:val="none"/>
                <w:lang w:val="en-US"/>
                <w14:textFill>
                  <w14:solidFill>
                    <w14:schemeClr w14:val="tx1"/>
                  </w14:solidFill>
                </w14:textFill>
              </w:rPr>
              <w:t>重污染、高能耗类项目</w:t>
            </w:r>
            <w:r>
              <w:rPr>
                <w:rFonts w:hint="eastAsia"/>
                <w:color w:val="000000" w:themeColor="text1"/>
                <w:sz w:val="24"/>
                <w:szCs w:val="24"/>
                <w:highlight w:val="none"/>
                <w:lang w:val="en-US" w:eastAsia="zh-CN"/>
                <w14:textFill>
                  <w14:solidFill>
                    <w14:schemeClr w14:val="tx1"/>
                  </w14:solidFill>
                </w14:textFill>
              </w:rPr>
              <w:t>。项目已经在</w:t>
            </w:r>
            <w:r>
              <w:rPr>
                <w:rFonts w:hint="eastAsia" w:cs="Times New Roman" w:eastAsiaTheme="minorEastAsia"/>
                <w:color w:val="auto"/>
                <w:sz w:val="24"/>
                <w:lang w:val="en-US" w:eastAsia="zh-CN"/>
              </w:rPr>
              <w:t>魏县行政审批局</w:t>
            </w:r>
            <w:r>
              <w:rPr>
                <w:rFonts w:hint="eastAsia"/>
                <w:color w:val="000000" w:themeColor="text1"/>
                <w:sz w:val="24"/>
                <w:szCs w:val="24"/>
                <w:highlight w:val="none"/>
                <w:lang w:val="en-US" w:eastAsia="zh-CN"/>
                <w14:textFill>
                  <w14:solidFill>
                    <w14:schemeClr w14:val="tx1"/>
                  </w14:solidFill>
                </w14:textFill>
              </w:rPr>
              <w:t>备案，</w:t>
            </w:r>
            <w:r>
              <w:rPr>
                <w:rFonts w:hint="eastAsia"/>
                <w:color w:val="auto"/>
                <w:sz w:val="24"/>
                <w:szCs w:val="24"/>
                <w:highlight w:val="none"/>
                <w:lang w:val="en-US" w:eastAsia="zh-CN"/>
              </w:rPr>
              <w:t>备案文号：</w:t>
            </w:r>
            <w:r>
              <w:rPr>
                <w:rFonts w:hint="eastAsia" w:cs="Times New Roman"/>
                <w:color w:val="auto"/>
                <w:sz w:val="24"/>
                <w:lang w:val="en-US" w:eastAsia="zh-CN"/>
              </w:rPr>
              <w:t>魏审批备字〔2025〕1806号</w:t>
            </w:r>
            <w:r>
              <w:rPr>
                <w:rFonts w:hint="eastAsia" w:cs="Times New Roman"/>
                <w:color w:val="auto"/>
                <w:sz w:val="24"/>
                <w:lang w:eastAsia="zh-CN"/>
              </w:rPr>
              <w:t>。</w:t>
            </w:r>
            <w:r>
              <w:rPr>
                <w:rFonts w:hint="eastAsia"/>
                <w:color w:val="000000" w:themeColor="text1"/>
                <w:sz w:val="24"/>
                <w:szCs w:val="24"/>
                <w:highlight w:val="none"/>
                <w:lang w:val="en-US" w:eastAsia="zh-CN"/>
                <w14:textFill>
                  <w14:solidFill>
                    <w14:schemeClr w14:val="tx1"/>
                  </w14:solidFill>
                </w14:textFill>
              </w:rPr>
              <w:t>各污染物均采取了有效的治理措施，能够实现达标排放，对周围环境影响可接受，不会改变区域环境功能，满足规划环境影响评价结论的要求。</w:t>
            </w:r>
          </w:p>
          <w:p w14:paraId="22231906">
            <w:pPr>
              <w:keepNext w:val="0"/>
              <w:keepLines w:val="0"/>
              <w:pageBreakBefore w:val="0"/>
              <w:widowControl w:val="0"/>
              <w:kinsoku/>
              <w:wordWrap/>
              <w:overflowPunct/>
              <w:topLinePunct w:val="0"/>
              <w:bidi w:val="0"/>
              <w:adjustRightInd w:val="0"/>
              <w:snapToGrid w:val="0"/>
              <w:spacing w:line="480" w:lineRule="exact"/>
              <w:ind w:firstLine="480" w:firstLineChars="200"/>
              <w:textAlignment w:val="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）规划环境影响评价审查意见符合性</w:t>
            </w:r>
          </w:p>
          <w:p w14:paraId="426EF924">
            <w:pPr>
              <w:keepNext w:val="0"/>
              <w:keepLines w:val="0"/>
              <w:pageBreakBefore w:val="0"/>
              <w:widowControl w:val="0"/>
              <w:kinsoku/>
              <w:wordWrap/>
              <w:overflowPunct/>
              <w:topLinePunct w:val="0"/>
              <w:bidi w:val="0"/>
              <w:adjustRightInd w:val="0"/>
              <w:snapToGrid w:val="0"/>
              <w:spacing w:line="480" w:lineRule="exact"/>
              <w:ind w:firstLine="480" w:firstLineChars="200"/>
              <w:textAlignment w:val="auto"/>
              <w:rPr>
                <w:rFonts w:hint="eastAsia"/>
                <w:color w:val="auto"/>
                <w:sz w:val="24"/>
              </w:rPr>
            </w:pPr>
            <w:r>
              <w:rPr>
                <w:rFonts w:hint="eastAsia"/>
                <w:color w:val="auto"/>
                <w:sz w:val="24"/>
              </w:rPr>
              <w:t>根据关于《河北魏县经济开发区总体发展规划（2022-2030年）环境影响报告书》的审查意见（冀环环评函[2024]961号）</w:t>
            </w:r>
            <w:r>
              <w:rPr>
                <w:rFonts w:hint="eastAsia" w:eastAsiaTheme="minorEastAsia"/>
                <w:color w:val="auto"/>
                <w:sz w:val="24"/>
                <w:lang w:eastAsia="zh-CN"/>
              </w:rPr>
              <w:t>，</w:t>
            </w:r>
            <w:r>
              <w:rPr>
                <w:rFonts w:hint="eastAsia"/>
                <w:color w:val="auto"/>
                <w:sz w:val="24"/>
              </w:rPr>
              <w:t>规划环境影响评价审查意见符合性见表</w:t>
            </w:r>
            <w:r>
              <w:rPr>
                <w:rFonts w:hint="eastAsia"/>
                <w:color w:val="auto"/>
                <w:sz w:val="24"/>
                <w:lang w:val="en-US" w:eastAsia="zh-CN"/>
              </w:rPr>
              <w:t>1</w:t>
            </w:r>
            <w:r>
              <w:rPr>
                <w:rFonts w:hint="eastAsia"/>
                <w:color w:val="auto"/>
                <w:sz w:val="24"/>
              </w:rPr>
              <w:t>。</w:t>
            </w:r>
          </w:p>
          <w:p w14:paraId="18EBAD1B">
            <w:pPr>
              <w:adjustRightInd w:val="0"/>
              <w:snapToGrid w:val="0"/>
              <w:spacing w:line="500" w:lineRule="exact"/>
              <w:jc w:val="center"/>
              <w:rPr>
                <w:b/>
                <w:bCs/>
                <w:color w:val="auto"/>
                <w:sz w:val="24"/>
              </w:rPr>
            </w:pPr>
          </w:p>
          <w:p w14:paraId="2F9CB830">
            <w:pPr>
              <w:adjustRightInd w:val="0"/>
              <w:snapToGrid w:val="0"/>
              <w:spacing w:line="500" w:lineRule="exact"/>
              <w:jc w:val="center"/>
              <w:rPr>
                <w:b/>
                <w:bCs/>
                <w:color w:val="auto"/>
                <w:sz w:val="24"/>
              </w:rPr>
            </w:pPr>
          </w:p>
          <w:p w14:paraId="6A181037">
            <w:pPr>
              <w:adjustRightInd w:val="0"/>
              <w:snapToGrid w:val="0"/>
              <w:spacing w:line="500" w:lineRule="exact"/>
              <w:jc w:val="center"/>
              <w:rPr>
                <w:b/>
                <w:bCs/>
                <w:color w:val="auto"/>
                <w:sz w:val="24"/>
              </w:rPr>
            </w:pPr>
          </w:p>
          <w:p w14:paraId="14C0CA6D">
            <w:pPr>
              <w:adjustRightInd w:val="0"/>
              <w:snapToGrid w:val="0"/>
              <w:spacing w:line="500" w:lineRule="exact"/>
              <w:jc w:val="center"/>
              <w:rPr>
                <w:b/>
                <w:bCs/>
                <w:color w:val="auto"/>
                <w:sz w:val="24"/>
              </w:rPr>
            </w:pPr>
            <w:r>
              <w:rPr>
                <w:b/>
                <w:bCs/>
                <w:color w:val="auto"/>
                <w:sz w:val="24"/>
              </w:rPr>
              <w:t>表</w:t>
            </w:r>
            <w:r>
              <w:rPr>
                <w:rFonts w:hint="eastAsia"/>
                <w:b/>
                <w:bCs/>
                <w:color w:val="auto"/>
                <w:sz w:val="24"/>
                <w:lang w:val="en-US" w:eastAsia="zh-CN"/>
              </w:rPr>
              <w:t>1</w:t>
            </w:r>
            <w:r>
              <w:rPr>
                <w:b/>
                <w:bCs/>
                <w:color w:val="auto"/>
                <w:sz w:val="24"/>
              </w:rPr>
              <w:t xml:space="preserve">  项目与规划环评审查意见符合性分析</w:t>
            </w:r>
          </w:p>
          <w:tbl>
            <w:tblPr>
              <w:tblStyle w:val="28"/>
              <w:tblW w:w="6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7"/>
              <w:gridCol w:w="2460"/>
              <w:gridCol w:w="437"/>
            </w:tblGrid>
            <w:tr w14:paraId="73D0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917" w:type="pct"/>
                  <w:noWrap w:val="0"/>
                  <w:vAlign w:val="center"/>
                </w:tcPr>
                <w:p w14:paraId="217A799E">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b w:val="0"/>
                      <w:bCs w:val="0"/>
                      <w:color w:val="auto"/>
                      <w:szCs w:val="21"/>
                    </w:rPr>
                  </w:pPr>
                  <w:r>
                    <w:rPr>
                      <w:b w:val="0"/>
                      <w:bCs w:val="0"/>
                      <w:color w:val="auto"/>
                      <w:szCs w:val="21"/>
                    </w:rPr>
                    <w:t>规划环评</w:t>
                  </w:r>
                </w:p>
              </w:tc>
              <w:tc>
                <w:tcPr>
                  <w:tcW w:w="1768" w:type="pct"/>
                  <w:noWrap w:val="0"/>
                  <w:vAlign w:val="center"/>
                </w:tcPr>
                <w:p w14:paraId="01D038B8">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b w:val="0"/>
                      <w:bCs w:val="0"/>
                      <w:color w:val="auto"/>
                      <w:szCs w:val="21"/>
                    </w:rPr>
                  </w:pPr>
                  <w:r>
                    <w:rPr>
                      <w:b w:val="0"/>
                      <w:bCs w:val="0"/>
                      <w:color w:val="auto"/>
                      <w:szCs w:val="21"/>
                    </w:rPr>
                    <w:t>本项目</w:t>
                  </w:r>
                </w:p>
              </w:tc>
              <w:tc>
                <w:tcPr>
                  <w:tcW w:w="314" w:type="pct"/>
                  <w:noWrap w:val="0"/>
                  <w:vAlign w:val="center"/>
                </w:tcPr>
                <w:p w14:paraId="359A8806">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eastAsia="宋体"/>
                      <w:b w:val="0"/>
                      <w:bCs w:val="0"/>
                      <w:color w:val="auto"/>
                      <w:szCs w:val="21"/>
                      <w:lang w:eastAsia="zh-CN"/>
                    </w:rPr>
                  </w:pPr>
                  <w:r>
                    <w:rPr>
                      <w:b w:val="0"/>
                      <w:bCs w:val="0"/>
                      <w:color w:val="auto"/>
                      <w:szCs w:val="21"/>
                    </w:rPr>
                    <w:t>符合</w:t>
                  </w:r>
                  <w:r>
                    <w:rPr>
                      <w:rFonts w:hint="eastAsia"/>
                      <w:b w:val="0"/>
                      <w:bCs w:val="0"/>
                      <w:color w:val="auto"/>
                      <w:szCs w:val="21"/>
                      <w:lang w:val="en-US" w:eastAsia="zh-CN"/>
                    </w:rPr>
                    <w:t>性</w:t>
                  </w:r>
                </w:p>
              </w:tc>
            </w:tr>
            <w:tr w14:paraId="2EEC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7" w:type="dxa"/>
                  <w:noWrap w:val="0"/>
                  <w:vAlign w:val="top"/>
                </w:tcPr>
                <w:p w14:paraId="74465FBA">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eastAsia="宋体"/>
                      <w:b w:val="0"/>
                      <w:bCs w:val="0"/>
                      <w:color w:val="auto"/>
                      <w:szCs w:val="21"/>
                      <w:lang w:val="en-US" w:eastAsia="zh-CN"/>
                    </w:rPr>
                  </w:pPr>
                  <w:r>
                    <w:rPr>
                      <w:rFonts w:hint="default"/>
                      <w:b w:val="0"/>
                      <w:bCs w:val="0"/>
                      <w:color w:val="auto"/>
                      <w:szCs w:val="21"/>
                      <w:lang w:val="en-US" w:eastAsia="zh-CN"/>
                    </w:rPr>
                    <w:t>落实国家、区域发展战略，坚持生态优先、提质增效</w:t>
                  </w:r>
                  <w:r>
                    <w:rPr>
                      <w:rFonts w:hint="eastAsia"/>
                      <w:b w:val="0"/>
                      <w:bCs w:val="0"/>
                      <w:color w:val="auto"/>
                      <w:szCs w:val="21"/>
                      <w:lang w:val="en-US" w:eastAsia="zh-CN"/>
                    </w:rPr>
                    <w:t>，</w:t>
                  </w:r>
                  <w:r>
                    <w:rPr>
                      <w:rFonts w:hint="default"/>
                      <w:b w:val="0"/>
                      <w:bCs w:val="0"/>
                      <w:color w:val="auto"/>
                      <w:szCs w:val="21"/>
                      <w:lang w:val="en-US" w:eastAsia="zh-CN"/>
                    </w:rPr>
                    <w:t>以生态环境质量改善为核心，做好与各级国土空间规划和生态环境分区管控体系的协调街接，进一步优化《规划》布局、产业定位</w:t>
                  </w:r>
                </w:p>
              </w:tc>
              <w:tc>
                <w:tcPr>
                  <w:tcW w:w="1768" w:type="pct"/>
                  <w:noWrap w:val="0"/>
                  <w:vAlign w:val="center"/>
                </w:tcPr>
                <w:p w14:paraId="2D1DF3B7">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eastAsia="宋体"/>
                      <w:b w:val="0"/>
                      <w:bCs w:val="0"/>
                      <w:color w:val="auto"/>
                      <w:szCs w:val="21"/>
                      <w:lang w:val="en-US" w:eastAsia="zh-CN"/>
                    </w:rPr>
                  </w:pPr>
                  <w:r>
                    <w:rPr>
                      <w:rFonts w:hint="eastAsia"/>
                      <w:b w:val="0"/>
                      <w:bCs w:val="0"/>
                      <w:color w:val="auto"/>
                      <w:szCs w:val="21"/>
                      <w:lang w:val="en-US" w:eastAsia="zh-CN"/>
                    </w:rPr>
                    <w:t>项目不涉及</w:t>
                  </w:r>
                </w:p>
              </w:tc>
              <w:tc>
                <w:tcPr>
                  <w:tcW w:w="314" w:type="pct"/>
                  <w:noWrap w:val="0"/>
                  <w:vAlign w:val="center"/>
                </w:tcPr>
                <w:p w14:paraId="48253168">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b w:val="0"/>
                      <w:bCs w:val="0"/>
                      <w:color w:val="auto"/>
                      <w:szCs w:val="21"/>
                    </w:rPr>
                  </w:pPr>
                  <w:r>
                    <w:rPr>
                      <w:b w:val="0"/>
                      <w:bCs w:val="0"/>
                      <w:color w:val="auto"/>
                      <w:szCs w:val="21"/>
                    </w:rPr>
                    <w:t>符合</w:t>
                  </w:r>
                </w:p>
              </w:tc>
            </w:tr>
            <w:tr w14:paraId="3E6F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7" w:type="dxa"/>
                  <w:noWrap w:val="0"/>
                  <w:vAlign w:val="center"/>
                </w:tcPr>
                <w:p w14:paraId="71CC5E93">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b w:val="0"/>
                      <w:bCs w:val="0"/>
                      <w:color w:val="auto"/>
                      <w:szCs w:val="21"/>
                    </w:rPr>
                  </w:pPr>
                  <w:r>
                    <w:rPr>
                      <w:rFonts w:hint="default"/>
                      <w:b w:val="0"/>
                      <w:bCs w:val="0"/>
                      <w:color w:val="auto"/>
                      <w:szCs w:val="21"/>
                      <w:lang w:val="en-US" w:eastAsia="zh-CN"/>
                    </w:rPr>
                    <w:t>推进绿色低碳发展，实现减污降碳协同增效目标。根据国家、地方碳减排和碳达峰行动方案及路径要求，进一步优化开发区能源结构、交通运输方式等《规划》内容</w:t>
                  </w:r>
                </w:p>
              </w:tc>
              <w:tc>
                <w:tcPr>
                  <w:tcW w:w="1768" w:type="pct"/>
                  <w:noWrap w:val="0"/>
                  <w:vAlign w:val="center"/>
                </w:tcPr>
                <w:p w14:paraId="3AEBA659">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eastAsia="宋体"/>
                      <w:b w:val="0"/>
                      <w:bCs w:val="0"/>
                      <w:color w:val="auto"/>
                      <w:szCs w:val="21"/>
                      <w:lang w:eastAsia="zh-CN"/>
                    </w:rPr>
                  </w:pPr>
                  <w:r>
                    <w:rPr>
                      <w:rFonts w:hint="eastAsia"/>
                      <w:b w:val="0"/>
                      <w:bCs w:val="0"/>
                      <w:color w:val="auto"/>
                      <w:szCs w:val="21"/>
                      <w:lang w:val="en-US" w:eastAsia="zh-CN"/>
                    </w:rPr>
                    <w:t>本项目能源为电</w:t>
                  </w:r>
                  <w:r>
                    <w:rPr>
                      <w:rFonts w:hint="eastAsia"/>
                      <w:color w:val="auto"/>
                      <w:sz w:val="21"/>
                      <w:szCs w:val="21"/>
                      <w:highlight w:val="none"/>
                      <w:lang w:val="en-US" w:eastAsia="zh-CN"/>
                    </w:rPr>
                    <w:t>，</w:t>
                  </w:r>
                  <w:r>
                    <w:rPr>
                      <w:rFonts w:hint="eastAsia"/>
                      <w:b w:val="0"/>
                      <w:bCs w:val="0"/>
                      <w:color w:val="auto"/>
                      <w:szCs w:val="21"/>
                      <w:lang w:val="en-US" w:eastAsia="zh-CN"/>
                    </w:rPr>
                    <w:t>物料公路运输车辆达到</w:t>
                  </w:r>
                  <w:r>
                    <w:rPr>
                      <w:rFonts w:hint="eastAsia" w:ascii="Times New Roman" w:hAnsi="Times New Roman" w:eastAsia="宋体" w:cs="宋体"/>
                      <w:i w:val="0"/>
                      <w:color w:val="auto"/>
                      <w:kern w:val="0"/>
                      <w:sz w:val="21"/>
                      <w:szCs w:val="21"/>
                      <w:u w:val="none"/>
                      <w:lang w:val="en-US" w:eastAsia="zh-CN" w:bidi="ar"/>
                    </w:rPr>
                    <w:t>国五及以上排放标准</w:t>
                  </w:r>
                  <w:r>
                    <w:rPr>
                      <w:rFonts w:hint="eastAsia" w:ascii="Times New Roman" w:hAnsi="Times New Roman" w:cs="宋体"/>
                      <w:i w:val="0"/>
                      <w:color w:val="auto"/>
                      <w:kern w:val="0"/>
                      <w:sz w:val="21"/>
                      <w:szCs w:val="21"/>
                      <w:u w:val="none"/>
                      <w:lang w:val="en-US" w:eastAsia="zh-CN" w:bidi="ar"/>
                    </w:rPr>
                    <w:t>或使用新能源，厂内非道路移动机械全部达到国三及以上排放标准或使用新能源</w:t>
                  </w:r>
                </w:p>
              </w:tc>
              <w:tc>
                <w:tcPr>
                  <w:tcW w:w="314" w:type="pct"/>
                  <w:noWrap w:val="0"/>
                  <w:vAlign w:val="center"/>
                </w:tcPr>
                <w:p w14:paraId="64354CD7">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b w:val="0"/>
                      <w:bCs w:val="0"/>
                      <w:color w:val="auto"/>
                      <w:szCs w:val="21"/>
                    </w:rPr>
                  </w:pPr>
                  <w:r>
                    <w:rPr>
                      <w:b w:val="0"/>
                      <w:bCs w:val="0"/>
                      <w:color w:val="auto"/>
                      <w:szCs w:val="21"/>
                    </w:rPr>
                    <w:t>符合</w:t>
                  </w:r>
                </w:p>
              </w:tc>
            </w:tr>
            <w:tr w14:paraId="7BA9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7" w:type="dxa"/>
                  <w:noWrap w:val="0"/>
                  <w:vAlign w:val="center"/>
                </w:tcPr>
                <w:p w14:paraId="17DCB989">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b w:val="0"/>
                      <w:bCs w:val="0"/>
                      <w:color w:val="auto"/>
                      <w:szCs w:val="21"/>
                    </w:rPr>
                  </w:pPr>
                  <w:r>
                    <w:rPr>
                      <w:rFonts w:hint="default"/>
                      <w:b w:val="0"/>
                      <w:bCs w:val="0"/>
                      <w:color w:val="auto"/>
                      <w:szCs w:val="21"/>
                      <w:lang w:val="en-US" w:eastAsia="zh-CN"/>
                    </w:rPr>
                    <w:t>严格环境准入条件，推动产业结构调整和转型升级</w:t>
                  </w:r>
                  <w:r>
                    <w:rPr>
                      <w:rFonts w:hint="eastAsia"/>
                      <w:b w:val="0"/>
                      <w:bCs w:val="0"/>
                      <w:color w:val="auto"/>
                      <w:szCs w:val="21"/>
                      <w:lang w:val="en-US" w:eastAsia="zh-CN"/>
                    </w:rPr>
                    <w:t>。</w:t>
                  </w:r>
                  <w:r>
                    <w:rPr>
                      <w:rFonts w:hint="default"/>
                      <w:b w:val="0"/>
                      <w:bCs w:val="0"/>
                      <w:color w:val="auto"/>
                      <w:szCs w:val="21"/>
                      <w:lang w:val="en-US" w:eastAsia="zh-CN"/>
                    </w:rPr>
                    <w:t>落实《报告书》提出的开发区生态环境准入要求及与规划不符的现有企业环境管理要求。严禁</w:t>
                  </w:r>
                  <w:r>
                    <w:rPr>
                      <w:rFonts w:hint="eastAsia"/>
                      <w:b w:val="0"/>
                      <w:bCs w:val="0"/>
                      <w:color w:val="auto"/>
                      <w:szCs w:val="21"/>
                      <w:lang w:val="en-US" w:eastAsia="zh-CN"/>
                    </w:rPr>
                    <w:t>“</w:t>
                  </w:r>
                  <w:r>
                    <w:rPr>
                      <w:rFonts w:hint="default"/>
                      <w:b w:val="0"/>
                      <w:bCs w:val="0"/>
                      <w:color w:val="auto"/>
                      <w:szCs w:val="21"/>
                      <w:lang w:val="en-US" w:eastAsia="zh-CN"/>
                    </w:rPr>
                    <w:t>两高</w:t>
                  </w:r>
                  <w:r>
                    <w:rPr>
                      <w:rFonts w:hint="eastAsia"/>
                      <w:b w:val="0"/>
                      <w:bCs w:val="0"/>
                      <w:color w:val="auto"/>
                      <w:szCs w:val="21"/>
                      <w:lang w:val="en-US" w:eastAsia="zh-CN"/>
                    </w:rPr>
                    <w:t>”</w:t>
                  </w:r>
                  <w:r>
                    <w:rPr>
                      <w:rFonts w:hint="default"/>
                      <w:b w:val="0"/>
                      <w:bCs w:val="0"/>
                      <w:color w:val="auto"/>
                      <w:szCs w:val="21"/>
                      <w:lang w:val="en-US" w:eastAsia="zh-CN"/>
                    </w:rPr>
                    <w:t>项目、独立电镀项目、危险废物处置项目入驻；节能环保产业、再生资源循环经济产业禁止建设除再生铝外其他有色金属再生利用项目，纺织服装产业禁止建设涉及印染工序的项目，新兴产业禁止建设化学药品原料药制造、生物药品制品制造类项目</w:t>
                  </w:r>
                  <w:r>
                    <w:rPr>
                      <w:rFonts w:hint="eastAsia"/>
                      <w:b w:val="0"/>
                      <w:bCs w:val="0"/>
                      <w:color w:val="auto"/>
                      <w:szCs w:val="21"/>
                      <w:lang w:val="en-US" w:eastAsia="zh-CN"/>
                    </w:rPr>
                    <w:t>；</w:t>
                  </w:r>
                  <w:r>
                    <w:rPr>
                      <w:rFonts w:hint="default"/>
                      <w:b w:val="0"/>
                      <w:bCs w:val="0"/>
                      <w:color w:val="auto"/>
                      <w:szCs w:val="21"/>
                      <w:lang w:val="en-US" w:eastAsia="zh-CN"/>
                    </w:rPr>
                    <w:t>现有化工企业保留现状，不得改扩建，不得新增占地，仅可开展安全、环保、节能和智能化改造；不断提高现有企业清洁生产水平，促进开发区产业转型升级与生态环境保护、人居环境安全相协调</w:t>
                  </w:r>
                </w:p>
              </w:tc>
              <w:tc>
                <w:tcPr>
                  <w:tcW w:w="1768" w:type="pct"/>
                  <w:noWrap w:val="0"/>
                  <w:vAlign w:val="center"/>
                </w:tcPr>
                <w:p w14:paraId="163D5C7E">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eastAsia="宋体"/>
                      <w:b w:val="0"/>
                      <w:bCs w:val="0"/>
                      <w:color w:val="auto"/>
                      <w:szCs w:val="21"/>
                      <w:lang w:val="en-US" w:eastAsia="zh-CN"/>
                    </w:rPr>
                  </w:pPr>
                  <w:r>
                    <w:rPr>
                      <w:rFonts w:hint="eastAsia"/>
                      <w:b w:val="0"/>
                      <w:bCs w:val="0"/>
                      <w:color w:val="auto"/>
                      <w:szCs w:val="21"/>
                      <w:lang w:val="en-US" w:eastAsia="zh-CN"/>
                    </w:rPr>
                    <w:t>本项目属于再生资源循环经济产业（塑料循环经济），位于再生资源循环经济产业区，符合园区的产业发展定位和产业布局；项目已</w:t>
                  </w:r>
                  <w:r>
                    <w:rPr>
                      <w:rFonts w:hint="eastAsia"/>
                      <w:b w:val="0"/>
                      <w:bCs w:val="0"/>
                      <w:color w:val="auto"/>
                      <w:szCs w:val="21"/>
                    </w:rPr>
                    <w:t>落实</w:t>
                  </w:r>
                  <w:r>
                    <w:rPr>
                      <w:rFonts w:hint="default"/>
                      <w:b w:val="0"/>
                      <w:bCs w:val="0"/>
                      <w:color w:val="auto"/>
                      <w:szCs w:val="21"/>
                      <w:lang w:val="en-US" w:eastAsia="zh-CN"/>
                    </w:rPr>
                    <w:t>《报告书》提出的开发区生态环境准入要求</w:t>
                  </w:r>
                  <w:r>
                    <w:rPr>
                      <w:rFonts w:hint="eastAsia"/>
                      <w:b w:val="0"/>
                      <w:bCs w:val="0"/>
                      <w:color w:val="auto"/>
                      <w:szCs w:val="21"/>
                      <w:lang w:eastAsia="zh-CN"/>
                    </w:rPr>
                    <w:t>；项目</w:t>
                  </w:r>
                  <w:r>
                    <w:rPr>
                      <w:rFonts w:hint="eastAsia"/>
                      <w:b w:val="0"/>
                      <w:bCs w:val="0"/>
                      <w:color w:val="auto"/>
                      <w:szCs w:val="21"/>
                      <w:lang w:val="en-US" w:eastAsia="zh-CN"/>
                    </w:rPr>
                    <w:t>不属于“</w:t>
                  </w:r>
                  <w:r>
                    <w:rPr>
                      <w:rFonts w:hint="default"/>
                      <w:b w:val="0"/>
                      <w:bCs w:val="0"/>
                      <w:color w:val="auto"/>
                      <w:szCs w:val="21"/>
                      <w:lang w:val="en-US" w:eastAsia="zh-CN"/>
                    </w:rPr>
                    <w:t>两高</w:t>
                  </w:r>
                  <w:r>
                    <w:rPr>
                      <w:rFonts w:hint="eastAsia"/>
                      <w:b w:val="0"/>
                      <w:bCs w:val="0"/>
                      <w:color w:val="auto"/>
                      <w:szCs w:val="21"/>
                      <w:lang w:val="en-US" w:eastAsia="zh-CN"/>
                    </w:rPr>
                    <w:t>”</w:t>
                  </w:r>
                  <w:r>
                    <w:rPr>
                      <w:rFonts w:hint="default"/>
                      <w:b w:val="0"/>
                      <w:bCs w:val="0"/>
                      <w:color w:val="auto"/>
                      <w:szCs w:val="21"/>
                      <w:lang w:val="en-US" w:eastAsia="zh-CN"/>
                    </w:rPr>
                    <w:t>项目、独立电镀项目、危险废物处置项目</w:t>
                  </w:r>
                  <w:r>
                    <w:rPr>
                      <w:rFonts w:hint="eastAsia"/>
                      <w:b w:val="0"/>
                      <w:bCs w:val="0"/>
                      <w:color w:val="auto"/>
                      <w:szCs w:val="21"/>
                      <w:lang w:val="en-US" w:eastAsia="zh-CN"/>
                    </w:rPr>
                    <w:t>、</w:t>
                  </w:r>
                  <w:r>
                    <w:rPr>
                      <w:rFonts w:hint="default"/>
                      <w:b w:val="0"/>
                      <w:bCs w:val="0"/>
                      <w:color w:val="auto"/>
                      <w:szCs w:val="21"/>
                      <w:lang w:val="en-US" w:eastAsia="zh-CN"/>
                    </w:rPr>
                    <w:t>有色金属再生利用项目</w:t>
                  </w:r>
                </w:p>
              </w:tc>
              <w:tc>
                <w:tcPr>
                  <w:tcW w:w="314" w:type="pct"/>
                  <w:noWrap w:val="0"/>
                  <w:vAlign w:val="center"/>
                </w:tcPr>
                <w:p w14:paraId="333DC163">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b w:val="0"/>
                      <w:bCs w:val="0"/>
                      <w:color w:val="auto"/>
                      <w:szCs w:val="21"/>
                    </w:rPr>
                  </w:pPr>
                  <w:r>
                    <w:rPr>
                      <w:b w:val="0"/>
                      <w:bCs w:val="0"/>
                      <w:color w:val="auto"/>
                      <w:szCs w:val="21"/>
                    </w:rPr>
                    <w:t>符合</w:t>
                  </w:r>
                </w:p>
              </w:tc>
            </w:tr>
            <w:tr w14:paraId="507F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7" w:type="dxa"/>
                  <w:noWrap w:val="0"/>
                  <w:vAlign w:val="top"/>
                </w:tcPr>
                <w:p w14:paraId="48053010">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b w:val="0"/>
                      <w:bCs w:val="0"/>
                      <w:color w:val="auto"/>
                      <w:szCs w:val="21"/>
                    </w:rPr>
                  </w:pPr>
                  <w:r>
                    <w:rPr>
                      <w:rFonts w:hint="default"/>
                      <w:b w:val="0"/>
                      <w:bCs w:val="0"/>
                      <w:color w:val="auto"/>
                      <w:szCs w:val="21"/>
                      <w:lang w:val="en-US" w:eastAsia="zh-CN"/>
                    </w:rPr>
                    <w:t>严格空间管控要求，进一步优化开发区空间布局。城镇开发边界之外区域</w:t>
                  </w:r>
                  <w:r>
                    <w:rPr>
                      <w:rFonts w:hint="eastAsia"/>
                      <w:b w:val="0"/>
                      <w:bCs w:val="0"/>
                      <w:color w:val="auto"/>
                      <w:szCs w:val="21"/>
                      <w:lang w:val="en-US" w:eastAsia="zh-CN"/>
                    </w:rPr>
                    <w:t>（</w:t>
                  </w:r>
                  <w:r>
                    <w:rPr>
                      <w:rFonts w:hint="default"/>
                      <w:b w:val="0"/>
                      <w:bCs w:val="0"/>
                      <w:color w:val="auto"/>
                      <w:szCs w:val="21"/>
                      <w:lang w:val="en-US" w:eastAsia="zh-CN"/>
                    </w:rPr>
                    <w:t>含大运河文化保护带核心监控区和永久基本农田</w:t>
                  </w:r>
                  <w:r>
                    <w:rPr>
                      <w:rFonts w:hint="eastAsia"/>
                      <w:b w:val="0"/>
                      <w:bCs w:val="0"/>
                      <w:color w:val="auto"/>
                      <w:szCs w:val="21"/>
                      <w:lang w:val="en-US" w:eastAsia="zh-CN"/>
                    </w:rPr>
                    <w:t>）</w:t>
                  </w:r>
                  <w:r>
                    <w:rPr>
                      <w:rFonts w:hint="default"/>
                      <w:b w:val="0"/>
                      <w:bCs w:val="0"/>
                      <w:color w:val="auto"/>
                      <w:szCs w:val="21"/>
                      <w:lang w:val="en-US" w:eastAsia="zh-CN"/>
                    </w:rPr>
                    <w:t>，在规划期内维持现状不变，禁止开发。结合敏感区分布，设置梯度产业管控空间，开发区紧邻居住区、学校等敏感区域50米范围内禁止新建电镀、喷漆工序，50-100米范围内禁止新建使用溶剂型涂料喷漆工序，将生产车间等污染工序布置在厂区内远离敏感区的一侧，将办公区、停车场、绿化等布设在生产车间与敏感区之间作为缓冲区；先进装备制造园紧邻东风渠东侧100米范围内涉电镀工序企业应采用无铬钝化工艺</w:t>
                  </w:r>
                </w:p>
              </w:tc>
              <w:tc>
                <w:tcPr>
                  <w:tcW w:w="1768" w:type="pct"/>
                  <w:noWrap w:val="0"/>
                  <w:vAlign w:val="center"/>
                </w:tcPr>
                <w:p w14:paraId="69200A07">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eastAsia="宋体"/>
                      <w:b w:val="0"/>
                      <w:bCs w:val="0"/>
                      <w:color w:val="auto"/>
                      <w:szCs w:val="21"/>
                      <w:lang w:val="en-US" w:eastAsia="zh-CN"/>
                    </w:rPr>
                  </w:pPr>
                  <w:r>
                    <w:rPr>
                      <w:rFonts w:hint="eastAsia"/>
                      <w:b w:val="0"/>
                      <w:bCs w:val="0"/>
                      <w:color w:val="auto"/>
                      <w:szCs w:val="21"/>
                      <w:lang w:val="en-US" w:eastAsia="zh-CN"/>
                    </w:rPr>
                    <w:t>本项目位于再生资源循环经济产业区，占地为工业用地，不涉及</w:t>
                  </w:r>
                  <w:r>
                    <w:rPr>
                      <w:rFonts w:hint="default"/>
                      <w:b w:val="0"/>
                      <w:bCs w:val="0"/>
                      <w:color w:val="auto"/>
                      <w:szCs w:val="21"/>
                      <w:lang w:val="en-US" w:eastAsia="zh-CN"/>
                    </w:rPr>
                    <w:t>电镀、喷漆工序</w:t>
                  </w:r>
                </w:p>
              </w:tc>
              <w:tc>
                <w:tcPr>
                  <w:tcW w:w="314" w:type="pct"/>
                  <w:noWrap w:val="0"/>
                  <w:vAlign w:val="center"/>
                </w:tcPr>
                <w:p w14:paraId="418D5B8D">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b w:val="0"/>
                      <w:bCs w:val="0"/>
                      <w:color w:val="auto"/>
                      <w:szCs w:val="21"/>
                    </w:rPr>
                  </w:pPr>
                  <w:r>
                    <w:rPr>
                      <w:b w:val="0"/>
                      <w:bCs w:val="0"/>
                      <w:color w:val="auto"/>
                      <w:szCs w:val="21"/>
                    </w:rPr>
                    <w:t>符合</w:t>
                  </w:r>
                </w:p>
              </w:tc>
            </w:tr>
            <w:tr w14:paraId="4899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7" w:type="dxa"/>
                  <w:noWrap w:val="0"/>
                  <w:vAlign w:val="top"/>
                </w:tcPr>
                <w:p w14:paraId="1B6180FC">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b w:val="0"/>
                      <w:bCs w:val="0"/>
                      <w:color w:val="auto"/>
                      <w:szCs w:val="21"/>
                    </w:rPr>
                  </w:pPr>
                  <w:r>
                    <w:rPr>
                      <w:rFonts w:hint="default"/>
                      <w:b w:val="0"/>
                      <w:bCs w:val="0"/>
                      <w:color w:val="auto"/>
                      <w:szCs w:val="21"/>
                      <w:lang w:val="en-US" w:eastAsia="zh-CN"/>
                    </w:rPr>
                    <w:t>严守环境质量底线，强化污染物排放总量管控。强化现有及入区企业污染物排放控制要求，严格落实开发区污染物减排方案，通过实施重点行业企业环保绩效创A、企业关停、提标改造，调整运输结构等措施，减少主要污染物和特征污染物的排放量，确保区域环境质量持续改善，促进产业发展与生态环境保护相协调。强化涉重废水污染治理，电镀废水在车间处理达标后全部回用，不外排。环境质量未达到国家或者地方环境质量标准之前，重点行业建设项目主要污染物实行区域倍量削减</w:t>
                  </w:r>
                </w:p>
              </w:tc>
              <w:tc>
                <w:tcPr>
                  <w:tcW w:w="1768" w:type="pct"/>
                  <w:noWrap w:val="0"/>
                  <w:vAlign w:val="center"/>
                </w:tcPr>
                <w:p w14:paraId="2BA8400A">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eastAsia="宋体"/>
                      <w:b w:val="0"/>
                      <w:bCs w:val="0"/>
                      <w:color w:val="auto"/>
                      <w:szCs w:val="21"/>
                      <w:lang w:val="en-US" w:eastAsia="zh-CN"/>
                    </w:rPr>
                  </w:pPr>
                  <w:r>
                    <w:rPr>
                      <w:rFonts w:hint="eastAsia"/>
                      <w:b w:val="0"/>
                      <w:bCs w:val="0"/>
                      <w:color w:val="auto"/>
                      <w:szCs w:val="21"/>
                      <w:lang w:val="en-US" w:eastAsia="zh-CN"/>
                    </w:rPr>
                    <w:t>本项目</w:t>
                  </w:r>
                  <w:r>
                    <w:rPr>
                      <w:rFonts w:hint="eastAsia"/>
                      <w:b w:val="0"/>
                      <w:bCs w:val="0"/>
                      <w:color w:val="auto"/>
                      <w:szCs w:val="21"/>
                    </w:rPr>
                    <w:t>废气、</w:t>
                  </w:r>
                  <w:r>
                    <w:rPr>
                      <w:rFonts w:hint="eastAsia"/>
                      <w:b w:val="0"/>
                      <w:bCs w:val="0"/>
                      <w:color w:val="auto"/>
                      <w:szCs w:val="21"/>
                      <w:lang w:val="en-US" w:eastAsia="zh-CN"/>
                    </w:rPr>
                    <w:t>废水、</w:t>
                  </w:r>
                  <w:r>
                    <w:rPr>
                      <w:rFonts w:hint="eastAsia"/>
                      <w:b w:val="0"/>
                      <w:bCs w:val="0"/>
                      <w:color w:val="auto"/>
                      <w:szCs w:val="21"/>
                    </w:rPr>
                    <w:t>噪声及固废污染物均采取了严格有效的治理和处置措施，</w:t>
                  </w:r>
                  <w:r>
                    <w:rPr>
                      <w:rFonts w:hint="eastAsia"/>
                      <w:b w:val="0"/>
                      <w:bCs w:val="0"/>
                      <w:color w:val="auto"/>
                      <w:szCs w:val="21"/>
                      <w:lang w:val="en-US" w:eastAsia="zh-CN"/>
                    </w:rPr>
                    <w:t>污染物均能达标排放，符合总量控制原则；项目不涉及涉重废水和主要污染物区域倍量削减</w:t>
                  </w:r>
                </w:p>
              </w:tc>
              <w:tc>
                <w:tcPr>
                  <w:tcW w:w="314" w:type="pct"/>
                  <w:noWrap w:val="0"/>
                  <w:vAlign w:val="center"/>
                </w:tcPr>
                <w:p w14:paraId="0BF42CD7">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b w:val="0"/>
                      <w:bCs w:val="0"/>
                      <w:color w:val="auto"/>
                      <w:szCs w:val="21"/>
                    </w:rPr>
                  </w:pPr>
                  <w:r>
                    <w:rPr>
                      <w:b w:val="0"/>
                      <w:bCs w:val="0"/>
                      <w:color w:val="auto"/>
                      <w:szCs w:val="21"/>
                    </w:rPr>
                    <w:t>符合</w:t>
                  </w:r>
                </w:p>
              </w:tc>
            </w:tr>
            <w:tr w14:paraId="352C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7" w:type="dxa"/>
                  <w:noWrap w:val="0"/>
                  <w:vAlign w:val="top"/>
                </w:tcPr>
                <w:p w14:paraId="456966F8">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b w:val="0"/>
                      <w:bCs w:val="0"/>
                      <w:color w:val="auto"/>
                      <w:szCs w:val="21"/>
                    </w:rPr>
                  </w:pPr>
                  <w:r>
                    <w:rPr>
                      <w:rFonts w:hint="default"/>
                      <w:b w:val="0"/>
                      <w:bCs w:val="0"/>
                      <w:color w:val="auto"/>
                      <w:szCs w:val="21"/>
                      <w:lang w:val="en-US" w:eastAsia="zh-CN"/>
                    </w:rPr>
                    <w:t>统筹基础设施建设，严格落实建设内容及时限。2024年底完成魏县经济开发区污水处理有限公司提标改造，2025年底完成再生水供水设施及配套管网的建设，加大再生水回用比例</w:t>
                  </w:r>
                  <w:r>
                    <w:rPr>
                      <w:rFonts w:hint="eastAsia"/>
                      <w:b w:val="0"/>
                      <w:bCs w:val="0"/>
                      <w:color w:val="auto"/>
                      <w:szCs w:val="21"/>
                      <w:lang w:val="en-US" w:eastAsia="zh-CN"/>
                    </w:rPr>
                    <w:t>；</w:t>
                  </w:r>
                  <w:r>
                    <w:rPr>
                      <w:rFonts w:hint="default"/>
                      <w:b w:val="0"/>
                      <w:bCs w:val="0"/>
                      <w:color w:val="auto"/>
                      <w:szCs w:val="21"/>
                      <w:lang w:val="en-US" w:eastAsia="zh-CN"/>
                    </w:rPr>
                    <w:t>魏县绿环循环经济产业园有限公司规划远期结合产业发展情况适时扩建，污水经处理后全部回用不外排</w:t>
                  </w:r>
                  <w:r>
                    <w:rPr>
                      <w:rFonts w:hint="eastAsia"/>
                      <w:b w:val="0"/>
                      <w:bCs w:val="0"/>
                      <w:color w:val="auto"/>
                      <w:szCs w:val="21"/>
                      <w:lang w:val="en-US" w:eastAsia="zh-CN"/>
                    </w:rPr>
                    <w:t>；</w:t>
                  </w:r>
                  <w:r>
                    <w:rPr>
                      <w:rFonts w:hint="default"/>
                      <w:b w:val="0"/>
                      <w:bCs w:val="0"/>
                      <w:color w:val="auto"/>
                      <w:szCs w:val="21"/>
                      <w:lang w:val="en-US" w:eastAsia="zh-CN"/>
                    </w:rPr>
                    <w:t>开发区用热优先利用区域集中供热及工业余热资源，集中供热覆盖范围禁止建设分散燃煤供热设施。加强管理，确保环境基础设施稳定运行</w:t>
                  </w:r>
                </w:p>
              </w:tc>
              <w:tc>
                <w:tcPr>
                  <w:tcW w:w="1768" w:type="pct"/>
                  <w:noWrap w:val="0"/>
                  <w:vAlign w:val="center"/>
                </w:tcPr>
                <w:p w14:paraId="53CCB30F">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eastAsia="宋体"/>
                      <w:b w:val="0"/>
                      <w:bCs w:val="0"/>
                      <w:color w:val="auto"/>
                      <w:szCs w:val="21"/>
                      <w:lang w:val="en-US" w:eastAsia="zh-CN"/>
                    </w:rPr>
                  </w:pPr>
                  <w:r>
                    <w:rPr>
                      <w:rFonts w:hint="eastAsia"/>
                      <w:b w:val="0"/>
                      <w:bCs w:val="0"/>
                      <w:color w:val="auto"/>
                      <w:szCs w:val="21"/>
                      <w:lang w:val="en-US" w:eastAsia="zh-CN"/>
                    </w:rPr>
                    <w:t>项目无生产、生活废水外排；项目生产用热采用电加热，办公采暖及制冷均采用空调</w:t>
                  </w:r>
                </w:p>
              </w:tc>
              <w:tc>
                <w:tcPr>
                  <w:tcW w:w="314" w:type="pct"/>
                  <w:noWrap w:val="0"/>
                  <w:vAlign w:val="center"/>
                </w:tcPr>
                <w:p w14:paraId="449D83E8">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b w:val="0"/>
                      <w:bCs w:val="0"/>
                      <w:color w:val="auto"/>
                      <w:szCs w:val="21"/>
                    </w:rPr>
                  </w:pPr>
                  <w:r>
                    <w:rPr>
                      <w:b w:val="0"/>
                      <w:bCs w:val="0"/>
                      <w:color w:val="auto"/>
                      <w:szCs w:val="21"/>
                    </w:rPr>
                    <w:t>符合</w:t>
                  </w:r>
                </w:p>
              </w:tc>
            </w:tr>
            <w:tr w14:paraId="101D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7" w:type="dxa"/>
                  <w:noWrap w:val="0"/>
                  <w:vAlign w:val="center"/>
                </w:tcPr>
                <w:p w14:paraId="6D604B00">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b w:val="0"/>
                      <w:bCs w:val="0"/>
                      <w:color w:val="auto"/>
                      <w:szCs w:val="21"/>
                    </w:rPr>
                  </w:pPr>
                  <w:r>
                    <w:rPr>
                      <w:rFonts w:hint="default"/>
                      <w:b w:val="0"/>
                      <w:bCs w:val="0"/>
                      <w:color w:val="auto"/>
                      <w:szCs w:val="21"/>
                      <w:lang w:val="en-US" w:eastAsia="zh-CN"/>
                    </w:rPr>
                    <w:t>优化运输方式，落实应急运输响应方案。鼓励开发区提高清洁能源汽车运输比例，加快公转铁建设，减轻运输产生的不利环境影响。结合秋冬行业错峰生产和重污染天气应急响应要求，在黄色及以上重污染天气预警期间，重点用车企业实施应急运输响应</w:t>
                  </w:r>
                </w:p>
              </w:tc>
              <w:tc>
                <w:tcPr>
                  <w:tcW w:w="1768" w:type="pct"/>
                  <w:noWrap w:val="0"/>
                  <w:vAlign w:val="center"/>
                </w:tcPr>
                <w:p w14:paraId="6834D6C3">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eastAsia="宋体"/>
                      <w:b w:val="0"/>
                      <w:bCs w:val="0"/>
                      <w:color w:val="auto"/>
                      <w:szCs w:val="21"/>
                      <w:lang w:eastAsia="zh-CN"/>
                    </w:rPr>
                  </w:pPr>
                  <w:r>
                    <w:rPr>
                      <w:rFonts w:hint="eastAsia"/>
                      <w:b w:val="0"/>
                      <w:bCs w:val="0"/>
                      <w:color w:val="auto"/>
                      <w:szCs w:val="21"/>
                      <w:lang w:val="en-US" w:eastAsia="zh-CN"/>
                    </w:rPr>
                    <w:t>项目物料公路运输车辆达到</w:t>
                  </w:r>
                  <w:r>
                    <w:rPr>
                      <w:rFonts w:hint="eastAsia" w:ascii="Times New Roman" w:hAnsi="Times New Roman" w:eastAsia="宋体" w:cs="宋体"/>
                      <w:i w:val="0"/>
                      <w:color w:val="auto"/>
                      <w:kern w:val="0"/>
                      <w:sz w:val="21"/>
                      <w:szCs w:val="21"/>
                      <w:u w:val="none"/>
                      <w:lang w:val="en-US" w:eastAsia="zh-CN" w:bidi="ar"/>
                    </w:rPr>
                    <w:t>国五及以上排放标准</w:t>
                  </w:r>
                  <w:r>
                    <w:rPr>
                      <w:rFonts w:hint="eastAsia" w:ascii="Times New Roman" w:hAnsi="Times New Roman" w:cs="宋体"/>
                      <w:i w:val="0"/>
                      <w:color w:val="auto"/>
                      <w:kern w:val="0"/>
                      <w:sz w:val="21"/>
                      <w:szCs w:val="21"/>
                      <w:u w:val="none"/>
                      <w:lang w:val="en-US" w:eastAsia="zh-CN" w:bidi="ar"/>
                    </w:rPr>
                    <w:t>或使用新能源，厂内非道路移动机械全部达到国三及以上排放标准或使用新能源</w:t>
                  </w:r>
                </w:p>
              </w:tc>
              <w:tc>
                <w:tcPr>
                  <w:tcW w:w="314" w:type="pct"/>
                  <w:noWrap w:val="0"/>
                  <w:vAlign w:val="center"/>
                </w:tcPr>
                <w:p w14:paraId="1C9010C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b w:val="0"/>
                      <w:bCs w:val="0"/>
                      <w:color w:val="auto"/>
                      <w:szCs w:val="21"/>
                    </w:rPr>
                  </w:pPr>
                  <w:r>
                    <w:rPr>
                      <w:b w:val="0"/>
                      <w:bCs w:val="0"/>
                      <w:color w:val="auto"/>
                      <w:szCs w:val="21"/>
                    </w:rPr>
                    <w:t>符合</w:t>
                  </w:r>
                </w:p>
              </w:tc>
            </w:tr>
            <w:tr w14:paraId="048D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7" w:type="dxa"/>
                  <w:noWrap w:val="0"/>
                  <w:vAlign w:val="center"/>
                </w:tcPr>
                <w:p w14:paraId="12ECE9AD">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b w:val="0"/>
                      <w:bCs w:val="0"/>
                      <w:color w:val="auto"/>
                      <w:szCs w:val="21"/>
                    </w:rPr>
                  </w:pPr>
                  <w:r>
                    <w:rPr>
                      <w:rFonts w:hint="default"/>
                      <w:b w:val="0"/>
                      <w:bCs w:val="0"/>
                      <w:color w:val="auto"/>
                      <w:szCs w:val="21"/>
                      <w:lang w:val="en-US" w:eastAsia="zh-CN"/>
                    </w:rPr>
                    <w:t>健全完善环境监测体系，强化环境风险防范。建全完善包括环境空气、地表水、地下水、土壤等环境要素的监控体系</w:t>
                  </w:r>
                  <w:r>
                    <w:rPr>
                      <w:rFonts w:hint="eastAsia"/>
                      <w:b w:val="0"/>
                      <w:bCs w:val="0"/>
                      <w:color w:val="auto"/>
                      <w:szCs w:val="21"/>
                      <w:lang w:val="en-US" w:eastAsia="zh-CN"/>
                    </w:rPr>
                    <w:t>；</w:t>
                  </w:r>
                  <w:r>
                    <w:rPr>
                      <w:rFonts w:hint="default"/>
                      <w:b w:val="0"/>
                      <w:bCs w:val="0"/>
                      <w:color w:val="auto"/>
                      <w:szCs w:val="21"/>
                      <w:lang w:val="en-US" w:eastAsia="zh-CN"/>
                    </w:rPr>
                    <w:t>强化开发区风险防控体系的建立，健全应急响应联动机制。严格落实《报告书》提出的各项环境风险防控措施，提升环境风险防控和应急响应能力，保障区域环境安全</w:t>
                  </w:r>
                </w:p>
              </w:tc>
              <w:tc>
                <w:tcPr>
                  <w:tcW w:w="1768" w:type="pct"/>
                  <w:noWrap w:val="0"/>
                  <w:vAlign w:val="center"/>
                </w:tcPr>
                <w:p w14:paraId="4C7A3D12">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eastAsia="宋体"/>
                      <w:b w:val="0"/>
                      <w:bCs w:val="0"/>
                      <w:color w:val="auto"/>
                      <w:szCs w:val="21"/>
                      <w:lang w:val="en-US" w:eastAsia="zh-CN"/>
                    </w:rPr>
                  </w:pPr>
                  <w:r>
                    <w:rPr>
                      <w:rFonts w:hint="eastAsia" w:eastAsia="宋体"/>
                      <w:b w:val="0"/>
                      <w:bCs w:val="0"/>
                      <w:color w:val="auto"/>
                      <w:szCs w:val="21"/>
                      <w:lang w:eastAsia="zh-CN"/>
                    </w:rPr>
                    <w:t>本次评价已提出相应环境风险防控措施，不涉及</w:t>
                  </w:r>
                  <w:r>
                    <w:rPr>
                      <w:rFonts w:hint="default"/>
                      <w:b w:val="0"/>
                      <w:bCs w:val="0"/>
                      <w:color w:val="auto"/>
                      <w:szCs w:val="21"/>
                      <w:lang w:val="en-US" w:eastAsia="zh-CN"/>
                    </w:rPr>
                    <w:t>环境空气、地表水</w:t>
                  </w:r>
                  <w:r>
                    <w:rPr>
                      <w:rFonts w:hint="eastAsia" w:eastAsia="宋体"/>
                      <w:b w:val="0"/>
                      <w:bCs w:val="0"/>
                      <w:color w:val="auto"/>
                      <w:szCs w:val="21"/>
                      <w:lang w:eastAsia="zh-CN"/>
                    </w:rPr>
                    <w:t>等环境要素的监控体系</w:t>
                  </w:r>
                </w:p>
              </w:tc>
              <w:tc>
                <w:tcPr>
                  <w:tcW w:w="314" w:type="pct"/>
                  <w:noWrap w:val="0"/>
                  <w:vAlign w:val="center"/>
                </w:tcPr>
                <w:p w14:paraId="77689DAC">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b w:val="0"/>
                      <w:bCs w:val="0"/>
                      <w:color w:val="auto"/>
                      <w:szCs w:val="21"/>
                    </w:rPr>
                  </w:pPr>
                  <w:r>
                    <w:rPr>
                      <w:b w:val="0"/>
                      <w:bCs w:val="0"/>
                      <w:color w:val="auto"/>
                      <w:szCs w:val="21"/>
                    </w:rPr>
                    <w:t>符合</w:t>
                  </w:r>
                </w:p>
              </w:tc>
            </w:tr>
            <w:tr w14:paraId="7810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7" w:type="dxa"/>
                  <w:noWrap w:val="0"/>
                  <w:vAlign w:val="center"/>
                </w:tcPr>
                <w:p w14:paraId="7508502C">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b w:val="0"/>
                      <w:bCs w:val="0"/>
                      <w:color w:val="auto"/>
                      <w:szCs w:val="21"/>
                      <w:lang w:val="en-US" w:eastAsia="zh-CN"/>
                    </w:rPr>
                  </w:pPr>
                  <w:r>
                    <w:rPr>
                      <w:rFonts w:hint="eastAsia"/>
                      <w:b w:val="0"/>
                      <w:bCs w:val="0"/>
                      <w:color w:val="auto"/>
                      <w:szCs w:val="21"/>
                    </w:rPr>
                    <w:t>在《规划》实施过程中，按照相关要求组织开展环境影响跟踪评价</w:t>
                  </w:r>
                  <w:r>
                    <w:rPr>
                      <w:rFonts w:hint="eastAsia"/>
                      <w:b w:val="0"/>
                      <w:bCs w:val="0"/>
                      <w:color w:val="auto"/>
                      <w:szCs w:val="21"/>
                      <w:lang w:eastAsia="zh-CN"/>
                    </w:rPr>
                    <w:t>；</w:t>
                  </w:r>
                  <w:r>
                    <w:rPr>
                      <w:rFonts w:hint="eastAsia"/>
                      <w:b w:val="0"/>
                      <w:bCs w:val="0"/>
                      <w:color w:val="auto"/>
                      <w:szCs w:val="21"/>
                    </w:rPr>
                    <w:t>《规划》修编时应及时补充或重新编制环境影响报告书</w:t>
                  </w:r>
                </w:p>
              </w:tc>
              <w:tc>
                <w:tcPr>
                  <w:tcW w:w="2460" w:type="dxa"/>
                  <w:noWrap w:val="0"/>
                  <w:vAlign w:val="center"/>
                </w:tcPr>
                <w:p w14:paraId="092F5E7B">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b w:val="0"/>
                      <w:bCs w:val="0"/>
                      <w:color w:val="auto"/>
                      <w:szCs w:val="21"/>
                      <w:lang w:val="en-US" w:eastAsia="zh-CN"/>
                    </w:rPr>
                  </w:pPr>
                  <w:r>
                    <w:rPr>
                      <w:rFonts w:hint="eastAsia"/>
                      <w:b w:val="0"/>
                      <w:bCs w:val="0"/>
                      <w:color w:val="auto"/>
                      <w:szCs w:val="21"/>
                      <w:lang w:val="en-US" w:eastAsia="zh-CN"/>
                    </w:rPr>
                    <w:t>本项目不涉及</w:t>
                  </w:r>
                </w:p>
              </w:tc>
              <w:tc>
                <w:tcPr>
                  <w:tcW w:w="437" w:type="dxa"/>
                  <w:noWrap w:val="0"/>
                  <w:vAlign w:val="center"/>
                </w:tcPr>
                <w:p w14:paraId="2CE06E8C">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b w:val="0"/>
                      <w:bCs w:val="0"/>
                      <w:color w:val="auto"/>
                      <w:szCs w:val="21"/>
                    </w:rPr>
                  </w:pPr>
                  <w:r>
                    <w:rPr>
                      <w:b w:val="0"/>
                      <w:bCs w:val="0"/>
                      <w:color w:val="auto"/>
                      <w:szCs w:val="21"/>
                    </w:rPr>
                    <w:t>符合</w:t>
                  </w:r>
                </w:p>
              </w:tc>
            </w:tr>
          </w:tbl>
          <w:p w14:paraId="234CC729">
            <w:pPr>
              <w:spacing w:line="50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由上表可知，本项目符合</w:t>
            </w:r>
            <w:r>
              <w:rPr>
                <w:rFonts w:hint="eastAsia"/>
                <w:color w:val="000000" w:themeColor="text1"/>
                <w:sz w:val="24"/>
                <w14:textFill>
                  <w14:solidFill>
                    <w14:schemeClr w14:val="tx1"/>
                  </w14:solidFill>
                </w14:textFill>
              </w:rPr>
              <w:t>规划环境影响评价审查意见</w:t>
            </w:r>
            <w:r>
              <w:rPr>
                <w:color w:val="000000" w:themeColor="text1"/>
                <w:sz w:val="24"/>
                <w14:textFill>
                  <w14:solidFill>
                    <w14:schemeClr w14:val="tx1"/>
                  </w14:solidFill>
                </w14:textFill>
              </w:rPr>
              <w:t>要求。</w:t>
            </w:r>
          </w:p>
          <w:p w14:paraId="1D29700D">
            <w:pPr>
              <w:pStyle w:val="9"/>
              <w:rPr>
                <w:color w:val="000000" w:themeColor="text1"/>
                <w:sz w:val="24"/>
                <w14:textFill>
                  <w14:solidFill>
                    <w14:schemeClr w14:val="tx1"/>
                  </w14:solidFill>
                </w14:textFill>
              </w:rPr>
            </w:pPr>
          </w:p>
          <w:p w14:paraId="338451D2">
            <w:pPr>
              <w:pStyle w:val="15"/>
              <w:rPr>
                <w:color w:val="000000" w:themeColor="text1"/>
                <w:sz w:val="24"/>
                <w14:textFill>
                  <w14:solidFill>
                    <w14:schemeClr w14:val="tx1"/>
                  </w14:solidFill>
                </w14:textFill>
              </w:rPr>
            </w:pPr>
          </w:p>
          <w:p w14:paraId="4E15DE99">
            <w:pPr>
              <w:pStyle w:val="15"/>
              <w:rPr>
                <w:color w:val="000000" w:themeColor="text1"/>
                <w:sz w:val="24"/>
                <w14:textFill>
                  <w14:solidFill>
                    <w14:schemeClr w14:val="tx1"/>
                  </w14:solidFill>
                </w14:textFill>
              </w:rPr>
            </w:pPr>
          </w:p>
          <w:p w14:paraId="604D37E8">
            <w:pPr>
              <w:pStyle w:val="15"/>
              <w:rPr>
                <w:color w:val="000000" w:themeColor="text1"/>
                <w:sz w:val="24"/>
                <w14:textFill>
                  <w14:solidFill>
                    <w14:schemeClr w14:val="tx1"/>
                  </w14:solidFill>
                </w14:textFill>
              </w:rPr>
            </w:pPr>
          </w:p>
          <w:p w14:paraId="1D852789">
            <w:pPr>
              <w:pStyle w:val="15"/>
              <w:rPr>
                <w:color w:val="000000" w:themeColor="text1"/>
                <w:sz w:val="24"/>
                <w14:textFill>
                  <w14:solidFill>
                    <w14:schemeClr w14:val="tx1"/>
                  </w14:solidFill>
                </w14:textFill>
              </w:rPr>
            </w:pPr>
          </w:p>
          <w:p w14:paraId="1148CCD1">
            <w:pPr>
              <w:pStyle w:val="15"/>
              <w:rPr>
                <w:color w:val="000000" w:themeColor="text1"/>
                <w:sz w:val="24"/>
                <w14:textFill>
                  <w14:solidFill>
                    <w14:schemeClr w14:val="tx1"/>
                  </w14:solidFill>
                </w14:textFill>
              </w:rPr>
            </w:pPr>
          </w:p>
          <w:p w14:paraId="6DC95263">
            <w:pPr>
              <w:pStyle w:val="15"/>
              <w:rPr>
                <w:color w:val="000000" w:themeColor="text1"/>
                <w:sz w:val="24"/>
                <w14:textFill>
                  <w14:solidFill>
                    <w14:schemeClr w14:val="tx1"/>
                  </w14:solidFill>
                </w14:textFill>
              </w:rPr>
            </w:pPr>
          </w:p>
          <w:p w14:paraId="5B7F8F9A">
            <w:pPr>
              <w:pStyle w:val="15"/>
              <w:rPr>
                <w:color w:val="000000" w:themeColor="text1"/>
                <w:sz w:val="24"/>
                <w14:textFill>
                  <w14:solidFill>
                    <w14:schemeClr w14:val="tx1"/>
                  </w14:solidFill>
                </w14:textFill>
              </w:rPr>
            </w:pPr>
          </w:p>
          <w:p w14:paraId="4B64B0C3">
            <w:pPr>
              <w:pStyle w:val="15"/>
              <w:rPr>
                <w:color w:val="000000" w:themeColor="text1"/>
                <w:sz w:val="24"/>
                <w14:textFill>
                  <w14:solidFill>
                    <w14:schemeClr w14:val="tx1"/>
                  </w14:solidFill>
                </w14:textFill>
              </w:rPr>
            </w:pPr>
          </w:p>
          <w:p w14:paraId="73D6008B">
            <w:pPr>
              <w:pStyle w:val="15"/>
              <w:rPr>
                <w:rFonts w:hint="default"/>
                <w:color w:val="000000" w:themeColor="text1"/>
                <w:sz w:val="24"/>
                <w:lang w:val="en-US" w:eastAsia="zh-CN"/>
                <w14:textFill>
                  <w14:solidFill>
                    <w14:schemeClr w14:val="tx1"/>
                  </w14:solidFill>
                </w14:textFill>
              </w:rPr>
            </w:pPr>
          </w:p>
        </w:tc>
      </w:tr>
      <w:tr w14:paraId="5A7910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24" w:hRule="atLeast"/>
          <w:jc w:val="center"/>
        </w:trPr>
        <w:tc>
          <w:tcPr>
            <w:tcW w:w="961" w:type="pct"/>
            <w:vAlign w:val="center"/>
          </w:tcPr>
          <w:p w14:paraId="5D9C3D0D">
            <w:pPr>
              <w:autoSpaceDE w:val="0"/>
              <w:autoSpaceDN w:val="0"/>
              <w:adjustRightInd w:val="0"/>
              <w:snapToGrid w:val="0"/>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其他符合性</w:t>
            </w:r>
          </w:p>
          <w:p w14:paraId="0CEC66D7">
            <w:pPr>
              <w:autoSpaceDE w:val="0"/>
              <w:autoSpaceDN w:val="0"/>
              <w:adjustRightInd w:val="0"/>
              <w:snapToGrid w:val="0"/>
              <w:jc w:val="center"/>
              <w:rPr>
                <w:rFonts w:hint="default" w:ascii="Times New Roman" w:hAnsi="Times New Roman" w:cs="Times New Roman" w:eastAsiaTheme="minorEastAsia"/>
                <w:color w:val="auto"/>
                <w:kern w:val="0"/>
                <w:sz w:val="24"/>
                <w:highlight w:val="yellow"/>
              </w:rPr>
            </w:pPr>
            <w:r>
              <w:rPr>
                <w:rFonts w:hint="default" w:ascii="Times New Roman" w:hAnsi="Times New Roman" w:cs="Times New Roman" w:eastAsiaTheme="minorEastAsia"/>
                <w:color w:val="auto"/>
                <w:kern w:val="0"/>
                <w:sz w:val="24"/>
              </w:rPr>
              <w:t>分析</w:t>
            </w:r>
          </w:p>
        </w:tc>
        <w:tc>
          <w:tcPr>
            <w:tcW w:w="4039" w:type="pct"/>
            <w:gridSpan w:val="3"/>
            <w:tcBorders>
              <w:top w:val="single" w:color="auto" w:sz="4" w:space="0"/>
              <w:bottom w:val="single" w:color="auto" w:sz="4" w:space="0"/>
            </w:tcBorders>
            <w:vAlign w:val="center"/>
          </w:tcPr>
          <w:p w14:paraId="4482FCF4">
            <w:pPr>
              <w:spacing w:line="480" w:lineRule="exact"/>
              <w:outlineLvl w:val="0"/>
              <w:rPr>
                <w:rFonts w:hint="eastAsia" w:ascii="Times New Roman" w:hAnsi="Times New Roman" w:cs="Times New Roman" w:eastAsiaTheme="minorEastAsia"/>
                <w:b/>
                <w:bCs w:val="0"/>
                <w:color w:val="auto"/>
                <w:kern w:val="0"/>
                <w:sz w:val="24"/>
                <w:lang w:val="en-US" w:eastAsia="zh-CN"/>
              </w:rPr>
            </w:pPr>
            <w:r>
              <w:rPr>
                <w:rFonts w:hint="default" w:ascii="Times New Roman" w:hAnsi="Times New Roman" w:cs="Times New Roman" w:eastAsiaTheme="minorEastAsia"/>
                <w:b/>
                <w:bCs w:val="0"/>
                <w:color w:val="auto"/>
                <w:kern w:val="0"/>
                <w:sz w:val="24"/>
                <w:lang w:val="en-US" w:eastAsia="zh-CN"/>
              </w:rPr>
              <w:t xml:space="preserve">1 </w:t>
            </w:r>
            <w:r>
              <w:rPr>
                <w:rFonts w:hint="default" w:ascii="Times New Roman" w:hAnsi="Times New Roman" w:cs="Times New Roman" w:eastAsiaTheme="minorEastAsia"/>
                <w:b/>
                <w:bCs w:val="0"/>
                <w:color w:val="auto"/>
                <w:kern w:val="0"/>
                <w:sz w:val="24"/>
              </w:rPr>
              <w:t>产业政策符合性</w:t>
            </w:r>
            <w:r>
              <w:rPr>
                <w:rFonts w:hint="eastAsia" w:ascii="Times New Roman" w:hAnsi="Times New Roman" w:cs="Times New Roman" w:eastAsiaTheme="minorEastAsia"/>
                <w:b/>
                <w:bCs w:val="0"/>
                <w:color w:val="auto"/>
                <w:kern w:val="0"/>
                <w:sz w:val="24"/>
                <w:lang w:val="en-US" w:eastAsia="zh-CN"/>
              </w:rPr>
              <w:t>分析</w:t>
            </w:r>
          </w:p>
          <w:p w14:paraId="2A2E62BC">
            <w:pPr>
              <w:pStyle w:val="83"/>
              <w:spacing w:line="480" w:lineRule="exact"/>
              <w:ind w:firstLine="480" w:firstLineChars="200"/>
              <w:outlineLvl w:val="0"/>
              <w:rPr>
                <w:rFonts w:hint="eastAsia" w:cs="Times New Roman" w:eastAsiaTheme="minorEastAsia"/>
                <w:color w:val="000000" w:themeColor="text1"/>
                <w:sz w:val="24"/>
                <w:szCs w:val="24"/>
                <w:lang w:val="en-US" w:eastAsia="zh-CN"/>
                <w14:textFill>
                  <w14:solidFill>
                    <w14:schemeClr w14:val="tx1"/>
                  </w14:solidFill>
                </w14:textFill>
              </w:rPr>
            </w:pPr>
            <w:r>
              <w:rPr>
                <w:rFonts w:hint="eastAsia" w:cs="Times New Roman" w:eastAsiaTheme="minorEastAsia"/>
                <w:color w:val="000000" w:themeColor="text1"/>
                <w:sz w:val="24"/>
                <w:szCs w:val="24"/>
                <w:lang w:val="en-US" w:eastAsia="zh-CN"/>
                <w14:textFill>
                  <w14:solidFill>
                    <w14:schemeClr w14:val="tx1"/>
                  </w14:solidFill>
                </w14:textFill>
              </w:rPr>
              <w:t>经查阅《产业结构调整指导目录（2024年本）》，本项目</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属于</w:t>
            </w:r>
            <w:r>
              <w:rPr>
                <w:rFonts w:hint="default" w:ascii="Times New Roman" w:hAnsi="Times New Roman" w:cs="Times New Roman" w:eastAsiaTheme="minorEastAsia"/>
                <w:color w:val="000000" w:themeColor="text1"/>
                <w:sz w:val="24"/>
                <w:szCs w:val="24"/>
                <w14:textFill>
                  <w14:solidFill>
                    <w14:schemeClr w14:val="tx1"/>
                  </w14:solidFill>
                </w14:textFill>
              </w:rPr>
              <w:t>第</w:t>
            </w:r>
            <w:r>
              <w:rPr>
                <w:rFonts w:hint="eastAsia" w:cs="Times New Roman" w:eastAsiaTheme="minorEastAsia"/>
                <w:color w:val="000000" w:themeColor="text1"/>
                <w:sz w:val="24"/>
                <w:szCs w:val="24"/>
                <w:lang w:val="en-US" w:eastAsia="zh-CN"/>
                <w14:textFill>
                  <w14:solidFill>
                    <w14:schemeClr w14:val="tx1"/>
                  </w14:solidFill>
                </w14:textFill>
              </w:rPr>
              <w:t>一</w:t>
            </w:r>
            <w:r>
              <w:rPr>
                <w:rFonts w:hint="default" w:ascii="Times New Roman" w:hAnsi="Times New Roman" w:cs="Times New Roman" w:eastAsiaTheme="minorEastAsia"/>
                <w:color w:val="000000" w:themeColor="text1"/>
                <w:sz w:val="24"/>
                <w:szCs w:val="24"/>
                <w14:textFill>
                  <w14:solidFill>
                    <w14:schemeClr w14:val="tx1"/>
                  </w14:solidFill>
                </w14:textFill>
              </w:rPr>
              <w:t>类</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eastAsia" w:cs="Times New Roman" w:eastAsiaTheme="minorEastAsia"/>
                <w:color w:val="000000" w:themeColor="text1"/>
                <w:sz w:val="24"/>
                <w:szCs w:val="24"/>
                <w:lang w:val="en-US" w:eastAsia="zh-CN"/>
                <w14:textFill>
                  <w14:solidFill>
                    <w14:schemeClr w14:val="tx1"/>
                  </w14:solidFill>
                </w14:textFill>
              </w:rPr>
              <w:t>鼓励</w:t>
            </w:r>
            <w:r>
              <w:rPr>
                <w:rFonts w:hint="default" w:ascii="Times New Roman" w:hAnsi="Times New Roman" w:cs="Times New Roman" w:eastAsiaTheme="minorEastAsia"/>
                <w:color w:val="000000" w:themeColor="text1"/>
                <w:sz w:val="24"/>
                <w:szCs w:val="24"/>
                <w14:textFill>
                  <w14:solidFill>
                    <w14:schemeClr w14:val="tx1"/>
                  </w14:solidFill>
                </w14:textFill>
              </w:rPr>
              <w:t>类</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“四十二、环境保护与资源节约综合利用”“</w:t>
            </w:r>
            <w:r>
              <w:rPr>
                <w:rFonts w:hint="eastAsia" w:cs="Times New Roman" w:eastAsiaTheme="minorEastAsia"/>
                <w:color w:val="000000" w:themeColor="text1"/>
                <w:sz w:val="24"/>
                <w:szCs w:val="24"/>
                <w:lang w:val="en-US" w:eastAsia="zh-CN"/>
                <w14:textFill>
                  <w14:solidFill>
                    <w14:schemeClr w14:val="tx1"/>
                  </w14:solidFill>
                </w14:textFill>
              </w:rPr>
              <w:t>8</w:t>
            </w: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废弃物循环利用：废钢铁、废有色金属、废纸、废橡胶、废玻璃、废塑料、废旧木材以及报废汽车、废弃电器电子产品、废旧船舶、废旧电池、废轮胎、废弃木质材料、废旧农具、废旧纺织品及纺织废料和边角料、废旧光伏组件、废旧风机叶片、废弃油脂等城市典型废弃物循环利用、技术设备开发及应用</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eastAsia" w:cs="Times New Roman" w:eastAsiaTheme="minorEastAsia"/>
                <w:color w:val="000000" w:themeColor="text1"/>
                <w:sz w:val="24"/>
                <w:szCs w:val="24"/>
                <w:lang w:val="en-US" w:eastAsia="zh-CN"/>
                <w14:textFill>
                  <w14:solidFill>
                    <w14:schemeClr w14:val="tx1"/>
                  </w14:solidFill>
                </w14:textFill>
              </w:rPr>
              <w:t>；本项目不属于《市场准入负面清单（2025年版）》中规定的禁止准入类项目</w:t>
            </w:r>
            <w:r>
              <w:rPr>
                <w:rFonts w:hint="eastAsia" w:cs="Times New Roman" w:eastAsiaTheme="minorEastAsia"/>
                <w:color w:val="000000" w:themeColor="text1"/>
                <w:sz w:val="24"/>
                <w:szCs w:val="24"/>
                <w:lang w:eastAsia="zh-CN"/>
                <w14:textFill>
                  <w14:solidFill>
                    <w14:schemeClr w14:val="tx1"/>
                  </w14:solidFill>
                </w14:textFill>
              </w:rPr>
              <w:t>；根据《河北省禁止投资的产业目录（2014年版）》，项目不属于其规定的禁止类</w:t>
            </w:r>
            <w:r>
              <w:rPr>
                <w:rFonts w:hint="default" w:ascii="Times New Roman" w:hAnsi="Times New Roman" w:cs="Times New Roman" w:eastAsiaTheme="minorEastAsia"/>
                <w:color w:val="000000" w:themeColor="text1"/>
                <w:sz w:val="24"/>
                <w:szCs w:val="24"/>
                <w14:textFill>
                  <w14:solidFill>
                    <w14:schemeClr w14:val="tx1"/>
                  </w14:solidFill>
                </w14:textFill>
              </w:rPr>
              <w:t>且本项目已在</w:t>
            </w:r>
            <w:r>
              <w:rPr>
                <w:rFonts w:hint="eastAsia" w:cs="Times New Roman" w:eastAsiaTheme="minorEastAsia"/>
                <w:color w:val="auto"/>
                <w:sz w:val="24"/>
                <w:lang w:val="en-US" w:eastAsia="zh-CN"/>
              </w:rPr>
              <w:t>魏县行政审批局</w:t>
            </w:r>
            <w:r>
              <w:rPr>
                <w:rFonts w:hint="default" w:ascii="Times New Roman" w:hAnsi="Times New Roman" w:cs="Times New Roman" w:eastAsiaTheme="minorEastAsia"/>
                <w:color w:val="000000" w:themeColor="text1"/>
                <w:sz w:val="24"/>
                <w:szCs w:val="24"/>
                <w14:textFill>
                  <w14:solidFill>
                    <w14:schemeClr w14:val="tx1"/>
                  </w14:solidFill>
                </w14:textFill>
              </w:rPr>
              <w:t>备案，备案文号为：</w:t>
            </w:r>
            <w:r>
              <w:rPr>
                <w:rFonts w:hint="eastAsia" w:cs="Times New Roman"/>
                <w:color w:val="auto"/>
                <w:sz w:val="24"/>
                <w:lang w:val="en-US" w:eastAsia="zh-CN"/>
              </w:rPr>
              <w:t>魏审批备字〔2025〕1806号</w:t>
            </w:r>
            <w:r>
              <w:rPr>
                <w:rFonts w:hint="default" w:ascii="Times New Roman" w:hAnsi="Times New Roman" w:cs="Times New Roman" w:eastAsiaTheme="minorEastAsia"/>
                <w:color w:val="auto"/>
                <w:sz w:val="24"/>
                <w:szCs w:val="24"/>
              </w:rPr>
              <w:t>（详见附件）。</w:t>
            </w:r>
          </w:p>
          <w:p w14:paraId="5DFABDD2">
            <w:pPr>
              <w:pStyle w:val="83"/>
              <w:spacing w:line="480" w:lineRule="exact"/>
              <w:ind w:firstLine="480" w:firstLineChars="200"/>
              <w:outlineLvl w:val="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因此，本项目建设符合国家及地方产业政策要求。</w:t>
            </w:r>
          </w:p>
          <w:p w14:paraId="0BDB5F3E">
            <w:pPr>
              <w:spacing w:line="480" w:lineRule="exact"/>
              <w:outlineLvl w:val="0"/>
              <w:rPr>
                <w:rFonts w:hint="default" w:ascii="Times New Roman" w:hAnsi="Times New Roman" w:cs="Times New Roman" w:eastAsiaTheme="minorEastAsia"/>
                <w:b/>
                <w:color w:val="auto"/>
                <w:kern w:val="0"/>
                <w:sz w:val="24"/>
              </w:rPr>
            </w:pPr>
            <w:r>
              <w:rPr>
                <w:rFonts w:hint="eastAsia" w:cs="Times New Roman" w:eastAsiaTheme="minorEastAsia"/>
                <w:b/>
                <w:color w:val="auto"/>
                <w:kern w:val="0"/>
                <w:sz w:val="24"/>
                <w:lang w:val="en-US" w:eastAsia="zh-CN"/>
              </w:rPr>
              <w:t xml:space="preserve">2 </w:t>
            </w:r>
            <w:r>
              <w:rPr>
                <w:rFonts w:hint="default" w:ascii="Times New Roman" w:hAnsi="Times New Roman" w:cs="Times New Roman" w:eastAsiaTheme="minorEastAsia"/>
                <w:b/>
                <w:color w:val="auto"/>
                <w:kern w:val="0"/>
                <w:sz w:val="24"/>
              </w:rPr>
              <w:t>选址可行性分析</w:t>
            </w:r>
          </w:p>
          <w:p w14:paraId="3E3D8AE9">
            <w:pPr>
              <w:spacing w:line="480" w:lineRule="exact"/>
              <w:ind w:firstLine="480" w:firstLineChars="200"/>
              <w:rPr>
                <w:rFonts w:hint="default" w:ascii="Times New Roman" w:hAnsi="Times New Roman" w:cs="Times New Roman" w:eastAsiaTheme="minorEastAsia"/>
                <w:color w:val="000000" w:themeColor="text1"/>
                <w:kern w:val="0"/>
                <w:sz w:val="24"/>
                <w14:textFill>
                  <w14:solidFill>
                    <w14:schemeClr w14:val="tx1"/>
                  </w14:solidFill>
                </w14:textFill>
              </w:rPr>
            </w:pPr>
            <w:r>
              <w:rPr>
                <w:rFonts w:hint="default" w:ascii="Times New Roman" w:hAnsi="Times New Roman" w:cs="Times New Roman" w:eastAsiaTheme="minorEastAsia"/>
                <w:color w:val="auto"/>
                <w:kern w:val="0"/>
                <w:sz w:val="24"/>
              </w:rPr>
              <w:t>项目位于</w:t>
            </w:r>
            <w:r>
              <w:rPr>
                <w:rFonts w:hint="eastAsia" w:cs="Times New Roman" w:eastAsiaTheme="minorEastAsia"/>
                <w:color w:val="auto"/>
                <w:kern w:val="0"/>
                <w:sz w:val="24"/>
                <w:lang w:eastAsia="zh-CN"/>
              </w:rPr>
              <w:t>河北省邯郸市魏县绿环循环经济产业园1栋-4号</w:t>
            </w:r>
            <w:r>
              <w:rPr>
                <w:rFonts w:hint="default" w:ascii="Times New Roman" w:hAnsi="Times New Roman" w:cs="Times New Roman" w:eastAsiaTheme="minorEastAsia"/>
                <w:color w:val="auto"/>
                <w:kern w:val="0"/>
                <w:sz w:val="24"/>
              </w:rPr>
              <w:t>，魏县经济开发区-再生资源循环利用产业园</w:t>
            </w:r>
            <w:r>
              <w:rPr>
                <w:rFonts w:hint="eastAsia" w:cs="Times New Roman" w:eastAsiaTheme="minorEastAsia"/>
                <w:color w:val="auto"/>
                <w:kern w:val="0"/>
                <w:sz w:val="24"/>
                <w:lang w:eastAsia="zh-CN"/>
              </w:rPr>
              <w:t>，</w:t>
            </w:r>
            <w:r>
              <w:rPr>
                <w:rFonts w:hint="eastAsia" w:cs="Times New Roman" w:eastAsiaTheme="minorEastAsia"/>
                <w:color w:val="0000FF"/>
                <w:kern w:val="0"/>
                <w:sz w:val="24"/>
                <w:lang w:val="en-US" w:eastAsia="zh-CN"/>
              </w:rPr>
              <w:t>占地类型为工业用地</w:t>
            </w:r>
            <w:r>
              <w:rPr>
                <w:rFonts w:hint="eastAsia" w:cs="Times New Roman"/>
                <w:color w:val="0000FF"/>
                <w:sz w:val="24"/>
                <w:lang w:val="en-US" w:eastAsia="zh-CN"/>
              </w:rPr>
              <w:t>。</w:t>
            </w:r>
            <w:r>
              <w:rPr>
                <w:rFonts w:hint="default" w:ascii="Times New Roman" w:hAnsi="Times New Roman" w:cs="Times New Roman" w:eastAsiaTheme="minorEastAsia"/>
                <w:color w:val="auto"/>
                <w:kern w:val="0"/>
                <w:sz w:val="24"/>
              </w:rPr>
              <w:t>选址所在地供水、通讯、道路等基础配套设施齐全，地理位置优越</w:t>
            </w:r>
            <w:r>
              <w:rPr>
                <w:rFonts w:hint="eastAsia" w:cs="Times New Roman" w:eastAsiaTheme="minorEastAsia"/>
                <w:color w:val="auto"/>
                <w:kern w:val="0"/>
                <w:sz w:val="24"/>
                <w:lang w:eastAsia="zh-CN"/>
              </w:rPr>
              <w:t>。</w:t>
            </w:r>
            <w:r>
              <w:rPr>
                <w:rFonts w:hint="eastAsia" w:cs="Times New Roman" w:eastAsiaTheme="minorEastAsia"/>
                <w:color w:val="auto"/>
                <w:kern w:val="0"/>
                <w:sz w:val="24"/>
                <w:lang w:val="en-US" w:eastAsia="zh-CN"/>
              </w:rPr>
              <w:t>项目</w:t>
            </w:r>
            <w:r>
              <w:rPr>
                <w:rFonts w:hint="eastAsia" w:cs="Times New Roman"/>
                <w:color w:val="auto"/>
                <w:sz w:val="24"/>
                <w:lang w:val="en-US" w:eastAsia="zh-CN"/>
              </w:rPr>
              <w:t>北侧紧邻园区道路，</w:t>
            </w:r>
            <w:r>
              <w:rPr>
                <w:rFonts w:hint="default" w:ascii="Times New Roman" w:hAnsi="Times New Roman" w:cs="Times New Roman" w:eastAsiaTheme="minorEastAsia"/>
                <w:color w:val="auto"/>
                <w:kern w:val="0"/>
                <w:sz w:val="24"/>
              </w:rPr>
              <w:t>周边交通便捷</w:t>
            </w:r>
            <w:r>
              <w:rPr>
                <w:rFonts w:hint="eastAsia" w:cs="Times New Roman" w:eastAsiaTheme="minorEastAsia"/>
                <w:color w:val="auto"/>
                <w:kern w:val="0"/>
                <w:sz w:val="24"/>
                <w:lang w:eastAsia="zh-CN"/>
              </w:rPr>
              <w:t>，</w:t>
            </w:r>
            <w:r>
              <w:rPr>
                <w:rFonts w:hint="default" w:ascii="Times New Roman" w:hAnsi="Times New Roman" w:eastAsia="宋体" w:cs="Times New Roman"/>
                <w:color w:val="auto"/>
                <w:sz w:val="24"/>
                <w:u w:val="none" w:color="auto"/>
              </w:rPr>
              <w:t>有利于原材料供给及产品销售</w:t>
            </w:r>
            <w:r>
              <w:rPr>
                <w:rFonts w:hint="eastAsia" w:cs="Times New Roman" w:eastAsiaTheme="minorEastAsia"/>
                <w:color w:val="auto"/>
                <w:kern w:val="0"/>
                <w:sz w:val="24"/>
                <w:lang w:eastAsia="zh-CN"/>
              </w:rPr>
              <w:t>。</w:t>
            </w:r>
            <w:r>
              <w:rPr>
                <w:rFonts w:hint="eastAsia" w:hAnsi="宋体"/>
                <w:bCs/>
                <w:color w:val="000000" w:themeColor="text1"/>
                <w:sz w:val="24"/>
                <w14:textFill>
                  <w14:solidFill>
                    <w14:schemeClr w14:val="tx1"/>
                  </w14:solidFill>
                </w14:textFill>
              </w:rPr>
              <w:t>项目建设符合园区产业定位及准入要求</w:t>
            </w:r>
            <w:r>
              <w:rPr>
                <w:rFonts w:hint="eastAsia" w:hAnsi="宋体"/>
                <w:bCs/>
                <w:color w:val="000000" w:themeColor="text1"/>
                <w:sz w:val="24"/>
                <w:lang w:eastAsia="zh-CN"/>
                <w14:textFill>
                  <w14:solidFill>
                    <w14:schemeClr w14:val="tx1"/>
                  </w14:solidFill>
                </w14:textFill>
              </w:rPr>
              <w:t>。</w:t>
            </w:r>
            <w:r>
              <w:rPr>
                <w:rFonts w:hint="default" w:ascii="Times New Roman" w:hAnsi="Times New Roman" w:cs="Times New Roman" w:eastAsiaTheme="minorEastAsia"/>
                <w:color w:val="000000" w:themeColor="text1"/>
                <w:kern w:val="0"/>
                <w:sz w:val="24"/>
                <w14:textFill>
                  <w14:solidFill>
                    <w14:schemeClr w14:val="tx1"/>
                  </w14:solidFill>
                </w14:textFill>
              </w:rPr>
              <w:t>项目500m范围内无重点文物保护单位、自然保护区、风景名胜区、革命历史古迹等其他环境敏感点，不会对周围生态环境产生影响。运营期各工序污染源采取相应的污染控制措施后，均可实现达标排放，不会对区域环境产生明显影响。</w:t>
            </w:r>
          </w:p>
          <w:p w14:paraId="7A4953D0">
            <w:pPr>
              <w:spacing w:line="480" w:lineRule="exact"/>
              <w:ind w:firstLine="480" w:firstLineChars="200"/>
              <w:outlineLvl w:val="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kern w:val="0"/>
                <w:sz w:val="24"/>
              </w:rPr>
              <w:t>综上所述，从基础条件、环境条件和该项目对环境的影响分析，项目选址可行。</w:t>
            </w:r>
          </w:p>
          <w:p w14:paraId="49F4B1C6">
            <w:pPr>
              <w:spacing w:line="480" w:lineRule="exact"/>
              <w:outlineLvl w:val="0"/>
              <w:rPr>
                <w:rFonts w:hint="eastAsia" w:ascii="Times New Roman" w:hAnsi="Times New Roman" w:cs="Times New Roman" w:eastAsiaTheme="minorEastAsia"/>
                <w:b/>
                <w:bCs w:val="0"/>
                <w:color w:val="auto"/>
                <w:kern w:val="0"/>
                <w:sz w:val="24"/>
                <w:lang w:val="en-US" w:eastAsia="zh-CN"/>
              </w:rPr>
            </w:pPr>
            <w:r>
              <w:rPr>
                <w:rFonts w:hint="eastAsia" w:cs="Times New Roman" w:eastAsiaTheme="minorEastAsia"/>
                <w:b/>
                <w:bCs w:val="0"/>
                <w:color w:val="auto"/>
                <w:kern w:val="0"/>
                <w:sz w:val="24"/>
                <w:lang w:val="en-US" w:eastAsia="zh-CN"/>
              </w:rPr>
              <w:t>3</w:t>
            </w:r>
            <w:r>
              <w:rPr>
                <w:rFonts w:hint="eastAsia" w:ascii="Times New Roman" w:hAnsi="Times New Roman" w:cs="Times New Roman" w:eastAsiaTheme="minorEastAsia"/>
                <w:b/>
                <w:bCs w:val="0"/>
                <w:color w:val="auto"/>
                <w:kern w:val="0"/>
                <w:sz w:val="24"/>
                <w:lang w:val="en-US" w:eastAsia="zh-CN"/>
              </w:rPr>
              <w:t xml:space="preserve"> “三线一单”符合性分析</w:t>
            </w:r>
          </w:p>
          <w:p w14:paraId="1D54315D">
            <w:pPr>
              <w:spacing w:line="480" w:lineRule="exact"/>
              <w:ind w:firstLine="480" w:firstLineChars="200"/>
              <w:outlineLvl w:val="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根据原环境保护部环环评[2016]150号《关于以改善环境质量为核心加强环境影响评价管理的通知》要求，逐条分析项目情况如下：</w:t>
            </w:r>
          </w:p>
          <w:p w14:paraId="5FA929A8">
            <w:pPr>
              <w:spacing w:line="480" w:lineRule="exact"/>
              <w:ind w:firstLine="480" w:firstLineChars="200"/>
              <w:outlineLvl w:val="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1）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w:t>
            </w:r>
          </w:p>
          <w:p w14:paraId="3BA57BBD">
            <w:pPr>
              <w:spacing w:line="480" w:lineRule="exact"/>
              <w:ind w:firstLine="480" w:firstLineChars="200"/>
              <w:outlineLvl w:val="0"/>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cs="Times New Roman" w:eastAsiaTheme="minorEastAsia"/>
                <w:color w:val="000000" w:themeColor="text1"/>
                <w:sz w:val="24"/>
                <w:szCs w:val="24"/>
                <w:lang w:eastAsia="zh-CN"/>
                <w14:textFill>
                  <w14:solidFill>
                    <w14:schemeClr w14:val="tx1"/>
                  </w14:solidFill>
                </w14:textFill>
              </w:rPr>
              <w:t>本项目位于河北省邯郸市魏县绿环循环经济产业园1栋-4号，</w:t>
            </w:r>
            <w:r>
              <w:rPr>
                <w:rFonts w:hint="eastAsia" w:cs="Times New Roman" w:eastAsiaTheme="minorEastAsia"/>
                <w:color w:val="auto"/>
                <w:sz w:val="24"/>
                <w:szCs w:val="24"/>
                <w:lang w:eastAsia="zh-CN"/>
              </w:rPr>
              <w:t>魏县经济开发区-再生资源循环利用产业园</w:t>
            </w:r>
            <w:r>
              <w:rPr>
                <w:rFonts w:hint="eastAsia"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根据《邯郸市生态保护红线分布图》，不在生态</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保护</w:t>
            </w:r>
            <w:r>
              <w:rPr>
                <w:rFonts w:hint="default" w:ascii="Times New Roman" w:hAnsi="Times New Roman" w:cs="Times New Roman" w:eastAsiaTheme="minorEastAsia"/>
                <w:color w:val="auto"/>
                <w:sz w:val="24"/>
                <w:szCs w:val="24"/>
              </w:rPr>
              <w:t>红线范围之内。本项目与</w:t>
            </w:r>
            <w:r>
              <w:rPr>
                <w:rFonts w:hint="eastAsia" w:cs="Times New Roman" w:eastAsiaTheme="minorEastAsia"/>
                <w:color w:val="auto"/>
                <w:sz w:val="24"/>
                <w:szCs w:val="24"/>
                <w:lang w:val="en-US" w:eastAsia="zh-CN"/>
              </w:rPr>
              <w:t>邯郸市</w:t>
            </w:r>
            <w:r>
              <w:rPr>
                <w:rFonts w:hint="default" w:ascii="Times New Roman" w:hAnsi="Times New Roman" w:cs="Times New Roman" w:eastAsiaTheme="minorEastAsia"/>
                <w:color w:val="auto"/>
                <w:sz w:val="24"/>
                <w:szCs w:val="24"/>
              </w:rPr>
              <w:t>生态保护红线位置关系</w:t>
            </w:r>
            <w:r>
              <w:rPr>
                <w:rFonts w:hint="eastAsia" w:cs="Times New Roman" w:eastAsiaTheme="minorEastAsia"/>
                <w:color w:val="auto"/>
                <w:sz w:val="24"/>
                <w:szCs w:val="24"/>
                <w:lang w:val="en-US" w:eastAsia="zh-CN"/>
              </w:rPr>
              <w:t>见图7。</w:t>
            </w:r>
          </w:p>
          <w:p w14:paraId="6C41A644">
            <w:pPr>
              <w:spacing w:line="480" w:lineRule="exact"/>
              <w:ind w:firstLine="480" w:firstLineChars="200"/>
              <w:outlineLvl w:val="0"/>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4"/>
                <w:szCs w:val="24"/>
                <w14:textFill>
                  <w14:solidFill>
                    <w14:schemeClr w14:val="tx1"/>
                  </w14:solidFill>
                </w14:textFill>
              </w:rPr>
              <w:t>）环境质量底线是国家和地方设置的大气、水、声和土壤环境质量目标，也是改善环境质量的基准线。环评应对照区域环境质量目标，深入分析预测项目建设对环境质量的影响，强化污染防治措施和污染物排放控制要求。</w:t>
            </w:r>
          </w:p>
          <w:p w14:paraId="4885826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000000" w:themeColor="text1"/>
                <w:kern w:val="0"/>
                <w:sz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4"/>
                <w:lang w:val="en-US" w:eastAsia="zh-CN"/>
                <w14:textFill>
                  <w14:solidFill>
                    <w14:schemeClr w14:val="tx1"/>
                  </w14:solidFill>
                </w14:textFill>
              </w:rPr>
              <w:t>大气环境质量底线：2025年SO</w:t>
            </w:r>
            <w:r>
              <w:rPr>
                <w:rFonts w:hint="default" w:ascii="Times New Roman" w:hAnsi="Times New Roman" w:eastAsia="宋体" w:cs="Times New Roman"/>
                <w:b w:val="0"/>
                <w:bCs w:val="0"/>
                <w:color w:val="000000" w:themeColor="text1"/>
                <w:kern w:val="0"/>
                <w:sz w:val="24"/>
                <w:vertAlign w:val="subscript"/>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kern w:val="0"/>
                <w:sz w:val="24"/>
                <w:lang w:val="en-US" w:eastAsia="zh-CN"/>
                <w14:textFill>
                  <w14:solidFill>
                    <w14:schemeClr w14:val="tx1"/>
                  </w14:solidFill>
                </w14:textFill>
              </w:rPr>
              <w:t>、NO</w:t>
            </w:r>
            <w:r>
              <w:rPr>
                <w:rFonts w:hint="default" w:ascii="Times New Roman" w:hAnsi="Times New Roman" w:eastAsia="宋体" w:cs="Times New Roman"/>
                <w:b w:val="0"/>
                <w:bCs w:val="0"/>
                <w:color w:val="000000" w:themeColor="text1"/>
                <w:kern w:val="0"/>
                <w:sz w:val="24"/>
                <w:vertAlign w:val="subscript"/>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kern w:val="0"/>
                <w:sz w:val="24"/>
                <w:lang w:val="en-US" w:eastAsia="zh-CN"/>
                <w14:textFill>
                  <w14:solidFill>
                    <w14:schemeClr w14:val="tx1"/>
                  </w14:solidFill>
                </w14:textFill>
              </w:rPr>
              <w:t>、PM</w:t>
            </w:r>
            <w:r>
              <w:rPr>
                <w:rFonts w:hint="default" w:ascii="Times New Roman" w:hAnsi="Times New Roman" w:eastAsia="宋体" w:cs="Times New Roman"/>
                <w:b w:val="0"/>
                <w:bCs w:val="0"/>
                <w:color w:val="000000" w:themeColor="text1"/>
                <w:kern w:val="0"/>
                <w:sz w:val="24"/>
                <w:vertAlign w:val="subscript"/>
                <w:lang w:val="en-US" w:eastAsia="zh-CN"/>
                <w14:textFill>
                  <w14:solidFill>
                    <w14:schemeClr w14:val="tx1"/>
                  </w14:solidFill>
                </w14:textFill>
              </w:rPr>
              <w:t>2.5</w:t>
            </w:r>
            <w:r>
              <w:rPr>
                <w:rFonts w:hint="default" w:ascii="Times New Roman" w:hAnsi="Times New Roman" w:eastAsia="宋体" w:cs="Times New Roman"/>
                <w:b w:val="0"/>
                <w:bCs w:val="0"/>
                <w:color w:val="000000" w:themeColor="text1"/>
                <w:kern w:val="0"/>
                <w:sz w:val="24"/>
                <w:lang w:val="en-US" w:eastAsia="zh-CN"/>
                <w14:textFill>
                  <w14:solidFill>
                    <w14:schemeClr w14:val="tx1"/>
                  </w14:solidFill>
                </w14:textFill>
              </w:rPr>
              <w:t>年均浓度分别达到20微克/立方米、38微克/立方米、42微克/立方米，遏制O</w:t>
            </w:r>
            <w:r>
              <w:rPr>
                <w:rFonts w:hint="default" w:ascii="Times New Roman" w:hAnsi="Times New Roman" w:eastAsia="宋体" w:cs="Times New Roman"/>
                <w:b w:val="0"/>
                <w:bCs w:val="0"/>
                <w:color w:val="000000" w:themeColor="text1"/>
                <w:kern w:val="0"/>
                <w:sz w:val="24"/>
                <w:vertAlign w:val="sub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kern w:val="0"/>
                <w:sz w:val="24"/>
                <w:lang w:val="en-US" w:eastAsia="zh-CN"/>
                <w14:textFill>
                  <w14:solidFill>
                    <w14:schemeClr w14:val="tx1"/>
                  </w14:solidFill>
                </w14:textFill>
              </w:rPr>
              <w:t>恶化态势，优良天数比例控制在58%以上。2035年SO</w:t>
            </w:r>
            <w:r>
              <w:rPr>
                <w:rFonts w:hint="default" w:ascii="Times New Roman" w:hAnsi="Times New Roman" w:eastAsia="宋体" w:cs="Times New Roman"/>
                <w:b w:val="0"/>
                <w:bCs w:val="0"/>
                <w:color w:val="000000" w:themeColor="text1"/>
                <w:kern w:val="0"/>
                <w:sz w:val="24"/>
                <w:vertAlign w:val="subscript"/>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kern w:val="0"/>
                <w:sz w:val="24"/>
                <w:lang w:val="en-US" w:eastAsia="zh-CN"/>
                <w14:textFill>
                  <w14:solidFill>
                    <w14:schemeClr w14:val="tx1"/>
                  </w14:solidFill>
                </w14:textFill>
              </w:rPr>
              <w:t>、NO</w:t>
            </w:r>
            <w:r>
              <w:rPr>
                <w:rFonts w:hint="default" w:ascii="Times New Roman" w:hAnsi="Times New Roman" w:eastAsia="宋体" w:cs="Times New Roman"/>
                <w:b w:val="0"/>
                <w:bCs w:val="0"/>
                <w:color w:val="000000" w:themeColor="text1"/>
                <w:kern w:val="0"/>
                <w:sz w:val="24"/>
                <w:vertAlign w:val="subscript"/>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kern w:val="0"/>
                <w:sz w:val="24"/>
                <w:lang w:val="en-US" w:eastAsia="zh-CN"/>
                <w14:textFill>
                  <w14:solidFill>
                    <w14:schemeClr w14:val="tx1"/>
                  </w14:solidFill>
                </w14:textFill>
              </w:rPr>
              <w:t>、PM</w:t>
            </w:r>
            <w:r>
              <w:rPr>
                <w:rFonts w:hint="default" w:ascii="Times New Roman" w:hAnsi="Times New Roman" w:eastAsia="宋体" w:cs="Times New Roman"/>
                <w:b w:val="0"/>
                <w:bCs w:val="0"/>
                <w:color w:val="000000" w:themeColor="text1"/>
                <w:kern w:val="0"/>
                <w:sz w:val="24"/>
                <w:vertAlign w:val="subscript"/>
                <w:lang w:val="en-US" w:eastAsia="zh-CN"/>
                <w14:textFill>
                  <w14:solidFill>
                    <w14:schemeClr w14:val="tx1"/>
                  </w14:solidFill>
                </w14:textFill>
              </w:rPr>
              <w:t>2.5</w:t>
            </w:r>
            <w:r>
              <w:rPr>
                <w:rFonts w:hint="default" w:ascii="Times New Roman" w:hAnsi="Times New Roman" w:eastAsia="宋体" w:cs="Times New Roman"/>
                <w:b w:val="0"/>
                <w:bCs w:val="0"/>
                <w:color w:val="000000" w:themeColor="text1"/>
                <w:kern w:val="0"/>
                <w:sz w:val="24"/>
                <w:lang w:val="en-US" w:eastAsia="zh-CN"/>
                <w14:textFill>
                  <w14:solidFill>
                    <w14:schemeClr w14:val="tx1"/>
                  </w14:solidFill>
                </w14:textFill>
              </w:rPr>
              <w:t>年均浓度分别达到20微克/立方米、38微克/立方米、35微克/立方米，O</w:t>
            </w:r>
            <w:r>
              <w:rPr>
                <w:rFonts w:hint="default" w:ascii="Times New Roman" w:hAnsi="Times New Roman" w:eastAsia="宋体" w:cs="Times New Roman"/>
                <w:b w:val="0"/>
                <w:bCs w:val="0"/>
                <w:color w:val="000000" w:themeColor="text1"/>
                <w:kern w:val="0"/>
                <w:sz w:val="24"/>
                <w:vertAlign w:val="sub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kern w:val="0"/>
                <w:sz w:val="24"/>
                <w:lang w:val="en-US" w:eastAsia="zh-CN"/>
                <w14:textFill>
                  <w14:solidFill>
                    <w14:schemeClr w14:val="tx1"/>
                  </w14:solidFill>
                </w14:textFill>
              </w:rPr>
              <w:t>在现状基础上得到控制，优良天数比例控制在75%以上。</w:t>
            </w:r>
          </w:p>
          <w:p w14:paraId="6BA4A8E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000000" w:themeColor="text1"/>
                <w:kern w:val="0"/>
                <w:sz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4"/>
                <w:lang w:val="en-US" w:eastAsia="zh-CN"/>
                <w14:textFill>
                  <w14:solidFill>
                    <w14:schemeClr w14:val="tx1"/>
                  </w14:solidFill>
                </w14:textFill>
              </w:rPr>
              <w:t>水环境质量底线：2025年地表水Ⅲ类及以上水体断面比例达到27%以上，劣Ⅴ类水体基本消除；2035年全面消除劣Ⅴ类水质。</w:t>
            </w:r>
          </w:p>
          <w:p w14:paraId="5270ED69">
            <w:pPr>
              <w:spacing w:line="480" w:lineRule="exact"/>
              <w:ind w:firstLine="480" w:firstLineChars="200"/>
              <w:outlineLvl w:val="0"/>
              <w:rPr>
                <w:rFonts w:hint="eastAsia" w:ascii="Times New Roman" w:hAnsi="Times New Roman" w:cs="Times New Roman" w:eastAsiaTheme="minorEastAsia"/>
                <w:color w:val="000000" w:themeColor="text1"/>
                <w:sz w:val="24"/>
                <w:szCs w:val="24"/>
                <w:lang w:eastAsia="zh-CN"/>
                <w14:textFill>
                  <w14:solidFill>
                    <w14:schemeClr w14:val="tx1"/>
                  </w14:solidFill>
                </w14:textFill>
              </w:rPr>
            </w:pPr>
            <w:r>
              <w:rPr>
                <w:color w:val="000000" w:themeColor="text1"/>
                <w:sz w:val="24"/>
                <w14:textFill>
                  <w14:solidFill>
                    <w14:schemeClr w14:val="tx1"/>
                  </w14:solidFill>
                </w14:textFill>
              </w:rPr>
              <w:t>根据邯郸市环境质量公报，项目所在区域大气环境为不达标区，不达标因子为PM</w:t>
            </w:r>
            <w:r>
              <w:rPr>
                <w:color w:val="000000" w:themeColor="text1"/>
                <w:sz w:val="24"/>
                <w:vertAlign w:val="subscript"/>
                <w14:textFill>
                  <w14:solidFill>
                    <w14:schemeClr w14:val="tx1"/>
                  </w14:solidFill>
                </w14:textFill>
              </w:rPr>
              <w:t>10</w:t>
            </w:r>
            <w:r>
              <w:rPr>
                <w:color w:val="000000" w:themeColor="text1"/>
                <w:sz w:val="24"/>
                <w14:textFill>
                  <w14:solidFill>
                    <w14:schemeClr w14:val="tx1"/>
                  </w14:solidFill>
                </w14:textFill>
              </w:rPr>
              <w:t>、PM</w:t>
            </w:r>
            <w:r>
              <w:rPr>
                <w:color w:val="000000" w:themeColor="text1"/>
                <w:sz w:val="24"/>
                <w:vertAlign w:val="subscript"/>
                <w14:textFill>
                  <w14:solidFill>
                    <w14:schemeClr w14:val="tx1"/>
                  </w14:solidFill>
                </w14:textFill>
              </w:rPr>
              <w:t>2.5</w:t>
            </w:r>
            <w:r>
              <w:rPr>
                <w:color w:val="000000" w:themeColor="text1"/>
                <w:sz w:val="24"/>
                <w14:textFill>
                  <w14:solidFill>
                    <w14:schemeClr w14:val="tx1"/>
                  </w14:solidFill>
                </w14:textFill>
              </w:rPr>
              <w:t>、O</w:t>
            </w:r>
            <w:r>
              <w:rPr>
                <w:color w:val="000000" w:themeColor="text1"/>
                <w:sz w:val="24"/>
                <w:vertAlign w:val="subscript"/>
                <w14:textFill>
                  <w14:solidFill>
                    <w14:schemeClr w14:val="tx1"/>
                  </w14:solidFill>
                </w14:textFill>
              </w:rPr>
              <w:t>3</w:t>
            </w:r>
            <w:r>
              <w:rPr>
                <w:color w:val="000000" w:themeColor="text1"/>
                <w:sz w:val="24"/>
                <w14:textFill>
                  <w14:solidFill>
                    <w14:schemeClr w14:val="tx1"/>
                  </w14:solidFill>
                </w14:textFill>
              </w:rPr>
              <w:t>。超标与本地区内工业企业数量较多及气候条件因素有关，造成这一现象主要原因是本地区处于工业开发强度较高、农业活动频繁的地区，易形成颗粒物积聚和飘移，导致环境质量差。随着邯郸市大气污染深度治理工程的实施，环境空气质量能够得到逐步改善。经</w:t>
            </w:r>
            <w:r>
              <w:rPr>
                <w:rFonts w:hint="eastAsia"/>
                <w:color w:val="000000" w:themeColor="text1"/>
                <w:sz w:val="24"/>
                <w14:textFill>
                  <w14:solidFill>
                    <w14:schemeClr w14:val="tx1"/>
                  </w14:solidFill>
                </w14:textFill>
              </w:rPr>
              <w:t>分析</w:t>
            </w:r>
            <w:r>
              <w:rPr>
                <w:color w:val="000000" w:themeColor="text1"/>
                <w:sz w:val="24"/>
                <w14:textFill>
                  <w14:solidFill>
                    <w14:schemeClr w14:val="tx1"/>
                  </w14:solidFill>
                </w14:textFill>
              </w:rPr>
              <w:t>，项目建成后污染物均能达标排放，不会引起项目所在地环境现状显著恶化，不会改变项目所在地现有环境功能，项目建设符合环境质量底线要求。</w:t>
            </w:r>
          </w:p>
          <w:p w14:paraId="5E130125">
            <w:pPr>
              <w:spacing w:line="480" w:lineRule="exact"/>
              <w:ind w:firstLine="480" w:firstLineChars="200"/>
              <w:outlineLvl w:val="0"/>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3</w:t>
            </w:r>
            <w:r>
              <w:rPr>
                <w:rFonts w:hint="default" w:ascii="Times New Roman" w:hAnsi="Times New Roman" w:cs="Times New Roman" w:eastAsiaTheme="minorEastAsia"/>
                <w:color w:val="000000" w:themeColor="text1"/>
                <w:sz w:val="24"/>
                <w:szCs w:val="24"/>
                <w14:textFill>
                  <w14:solidFill>
                    <w14:schemeClr w14:val="tx1"/>
                  </w14:solidFill>
                </w14:textFill>
              </w:rPr>
              <w:t>）</w:t>
            </w:r>
            <w:r>
              <w:rPr>
                <w:rFonts w:hint="default" w:ascii="Times New Roman" w:hAnsi="Times New Roman" w:eastAsia="宋体" w:cs="Times New Roman"/>
                <w:b w:val="0"/>
                <w:bCs w:val="0"/>
                <w:color w:val="000000" w:themeColor="text1"/>
                <w:kern w:val="0"/>
                <w:sz w:val="24"/>
                <w:lang w:val="en-US" w:eastAsia="zh-CN"/>
                <w14:textFill>
                  <w14:solidFill>
                    <w14:schemeClr w14:val="tx1"/>
                  </w14:solidFill>
                </w14:textFill>
              </w:rPr>
              <w:t>资源是环境的载体，资源利用上线是各地区能源、水、土地等资源消耗不得突破的</w:t>
            </w:r>
            <w:r>
              <w:rPr>
                <w:rFonts w:hint="eastAsia" w:cs="Times New Roman"/>
                <w:b w:val="0"/>
                <w:bCs w:val="0"/>
                <w:color w:val="000000" w:themeColor="text1"/>
                <w:kern w:val="0"/>
                <w:sz w:val="24"/>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0"/>
                <w:sz w:val="24"/>
                <w:lang w:val="en-US" w:eastAsia="zh-CN"/>
                <w14:textFill>
                  <w14:solidFill>
                    <w14:schemeClr w14:val="tx1"/>
                  </w14:solidFill>
                </w14:textFill>
              </w:rPr>
              <w:t>天花板</w:t>
            </w:r>
            <w:r>
              <w:rPr>
                <w:rFonts w:hint="eastAsia" w:cs="Times New Roman"/>
                <w:b w:val="0"/>
                <w:bCs w:val="0"/>
                <w:color w:val="000000" w:themeColor="text1"/>
                <w:kern w:val="0"/>
                <w:sz w:val="24"/>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0"/>
                <w:sz w:val="24"/>
                <w:lang w:val="en-US" w:eastAsia="zh-CN"/>
                <w14:textFill>
                  <w14:solidFill>
                    <w14:schemeClr w14:val="tx1"/>
                  </w14:solidFill>
                </w14:textFill>
              </w:rPr>
              <w:t>。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p>
          <w:p w14:paraId="0AC29C0D">
            <w:pPr>
              <w:spacing w:line="480" w:lineRule="exact"/>
              <w:ind w:firstLine="480" w:firstLineChars="200"/>
              <w:outlineLvl w:val="0"/>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本项目不属于高污染、高消耗型企业</w:t>
            </w:r>
            <w:r>
              <w:rPr>
                <w:rFonts w:hint="eastAsia" w:cs="Times New Roman" w:eastAsiaTheme="minorEastAsia"/>
                <w:color w:val="000000" w:themeColor="text1"/>
                <w:sz w:val="24"/>
                <w:szCs w:val="24"/>
                <w:lang w:eastAsia="zh-CN"/>
                <w14:textFill>
                  <w14:solidFill>
                    <w14:schemeClr w14:val="tx1"/>
                  </w14:solidFill>
                </w14:textFill>
              </w:rPr>
              <w:t>，</w:t>
            </w:r>
            <w:r>
              <w:rPr>
                <w:rFonts w:hint="eastAsia" w:cs="Times New Roman" w:eastAsiaTheme="minorEastAsia"/>
                <w:color w:val="000000" w:themeColor="text1"/>
                <w:sz w:val="24"/>
                <w:szCs w:val="24"/>
                <w:lang w:val="en-US" w:eastAsia="zh-CN"/>
                <w14:textFill>
                  <w14:solidFill>
                    <w14:schemeClr w14:val="tx1"/>
                  </w14:solidFill>
                </w14:textFill>
              </w:rPr>
              <w:t>用地性质为工业用地。</w:t>
            </w:r>
            <w:r>
              <w:rPr>
                <w:rFonts w:hint="default" w:ascii="Times New Roman" w:hAnsi="Times New Roman" w:cs="Times New Roman" w:eastAsiaTheme="minorEastAsia"/>
                <w:color w:val="000000" w:themeColor="text1"/>
                <w:sz w:val="24"/>
                <w:szCs w:val="24"/>
                <w14:textFill>
                  <w14:solidFill>
                    <w14:schemeClr w14:val="tx1"/>
                  </w14:solidFill>
                </w14:textFill>
              </w:rPr>
              <w:t>项目建成后，营运过程中会有一定量电</w:t>
            </w:r>
            <w:r>
              <w:rPr>
                <w:rFonts w:hint="eastAsia" w:cs="Times New Roman" w:eastAsiaTheme="minorEastAsia"/>
                <w:color w:val="000000" w:themeColor="text1"/>
                <w:sz w:val="24"/>
                <w:szCs w:val="24"/>
                <w:lang w:val="en-US" w:eastAsia="zh-CN"/>
                <w14:textFill>
                  <w14:solidFill>
                    <w14:schemeClr w14:val="tx1"/>
                  </w14:solidFill>
                </w14:textFill>
              </w:rPr>
              <w:t>能</w:t>
            </w:r>
            <w:r>
              <w:rPr>
                <w:rFonts w:hint="default" w:ascii="Times New Roman" w:hAnsi="Times New Roman" w:cs="Times New Roman" w:eastAsiaTheme="minorEastAsia"/>
                <w:color w:val="000000" w:themeColor="text1"/>
                <w:sz w:val="24"/>
                <w:szCs w:val="24"/>
                <w14:textFill>
                  <w14:solidFill>
                    <w14:schemeClr w14:val="tx1"/>
                  </w14:solidFill>
                </w14:textFill>
              </w:rPr>
              <w:t>、新鲜水等</w:t>
            </w:r>
            <w:r>
              <w:rPr>
                <w:rFonts w:hint="eastAsia" w:cs="Times New Roman" w:eastAsiaTheme="minorEastAsia"/>
                <w:color w:val="000000" w:themeColor="text1"/>
                <w:sz w:val="24"/>
                <w:szCs w:val="24"/>
                <w:lang w:val="en-US" w:eastAsia="zh-CN"/>
                <w14:textFill>
                  <w14:solidFill>
                    <w14:schemeClr w14:val="tx1"/>
                  </w14:solidFill>
                </w14:textFill>
              </w:rPr>
              <w:t>资</w:t>
            </w:r>
            <w:r>
              <w:rPr>
                <w:rFonts w:hint="default" w:ascii="Times New Roman" w:hAnsi="Times New Roman" w:cs="Times New Roman" w:eastAsiaTheme="minorEastAsia"/>
                <w:color w:val="000000" w:themeColor="text1"/>
                <w:sz w:val="24"/>
                <w:szCs w:val="24"/>
                <w14:textFill>
                  <w14:solidFill>
                    <w14:schemeClr w14:val="tx1"/>
                  </w14:solidFill>
                </w14:textFill>
              </w:rPr>
              <w:t>源的消耗，本项目电能、新鲜水</w:t>
            </w:r>
            <w:r>
              <w:rPr>
                <w:rFonts w:hint="eastAsia" w:cs="Times New Roman" w:eastAsiaTheme="minorEastAsia"/>
                <w:color w:val="000000" w:themeColor="text1"/>
                <w:sz w:val="24"/>
                <w:szCs w:val="24"/>
                <w:lang w:val="en-US" w:eastAsia="zh-CN"/>
                <w14:textFill>
                  <w14:solidFill>
                    <w14:schemeClr w14:val="tx1"/>
                  </w14:solidFill>
                </w14:textFill>
              </w:rPr>
              <w:t>等</w:t>
            </w:r>
            <w:r>
              <w:rPr>
                <w:rFonts w:hint="default" w:ascii="Times New Roman" w:hAnsi="Times New Roman" w:cs="Times New Roman" w:eastAsiaTheme="minorEastAsia"/>
                <w:color w:val="000000" w:themeColor="text1"/>
                <w:sz w:val="24"/>
                <w:szCs w:val="24"/>
                <w14:textFill>
                  <w14:solidFill>
                    <w14:schemeClr w14:val="tx1"/>
                  </w14:solidFill>
                </w14:textFill>
              </w:rPr>
              <w:t>均由当地集中供给设施提供，建成后资源消耗量相对区域资源利用总量较少，能源消耗未超出区域负荷上限，符合资源利用上限的要求。</w:t>
            </w:r>
          </w:p>
          <w:p w14:paraId="71E6A838">
            <w:pPr>
              <w:spacing w:line="500" w:lineRule="exact"/>
              <w:ind w:firstLine="480" w:firstLineChars="200"/>
              <w:rPr>
                <w:color w:val="000000" w:themeColor="text1"/>
                <w:sz w:val="24"/>
                <w14:textFill>
                  <w14:solidFill>
                    <w14:schemeClr w14:val="tx1"/>
                  </w14:solidFill>
                </w14:textFill>
              </w:rPr>
            </w:pPr>
            <w:r>
              <w:rPr>
                <w:rFonts w:hint="eastAsia" w:cs="Times New Roman" w:eastAsiaTheme="minorEastAsia"/>
                <w:color w:val="000000" w:themeColor="text1"/>
                <w:sz w:val="24"/>
                <w:szCs w:val="24"/>
                <w:lang w:eastAsia="zh-CN"/>
                <w14:textFill>
                  <w14:solidFill>
                    <w14:schemeClr w14:val="tx1"/>
                  </w14:solidFill>
                </w14:textFill>
              </w:rPr>
              <w:t>（</w:t>
            </w:r>
            <w:r>
              <w:rPr>
                <w:rFonts w:hint="eastAsia" w:cs="Times New Roman" w:eastAsiaTheme="minorEastAsia"/>
                <w:color w:val="000000" w:themeColor="text1"/>
                <w:sz w:val="24"/>
                <w:szCs w:val="24"/>
                <w:lang w:val="en-US" w:eastAsia="zh-CN"/>
                <w14:textFill>
                  <w14:solidFill>
                    <w14:schemeClr w14:val="tx1"/>
                  </w14:solidFill>
                </w14:textFill>
              </w:rPr>
              <w:t>4</w:t>
            </w:r>
            <w:r>
              <w:rPr>
                <w:rFonts w:hint="eastAsia" w:cs="Times New Roman" w:eastAsiaTheme="minorEastAsia"/>
                <w:color w:val="000000" w:themeColor="text1"/>
                <w:sz w:val="24"/>
                <w:szCs w:val="24"/>
                <w:lang w:eastAsia="zh-CN"/>
                <w14:textFill>
                  <w14:solidFill>
                    <w14:schemeClr w14:val="tx1"/>
                  </w14:solidFill>
                </w14:textFill>
              </w:rPr>
              <w:t>）</w:t>
            </w:r>
            <w:r>
              <w:rPr>
                <w:color w:val="000000" w:themeColor="text1"/>
                <w:sz w:val="24"/>
                <w14:textFill>
                  <w14:solidFill>
                    <w14:schemeClr w14:val="tx1"/>
                  </w14:solidFill>
                </w14:textFill>
              </w:rPr>
              <w:t>环境准入负面清单是基于生态保护红线、环境质量底线和资源利用上线，以清单方式列出的禁止、限制等差别化环境准入条件和要求。要在规划环评清单式管理试点的基础上，从布局选址、资源利用效率、资源配置方式等方面入手，制定环境准入负面清单，充分发挥负面清单对产业发展和项目准入的指导和约束作用。</w:t>
            </w:r>
          </w:p>
          <w:p w14:paraId="438C264A">
            <w:pPr>
              <w:autoSpaceDE w:val="0"/>
              <w:autoSpaceDN w:val="0"/>
              <w:spacing w:line="480" w:lineRule="exact"/>
              <w:ind w:firstLine="480" w:firstLineChars="200"/>
              <w:rPr>
                <w:rFonts w:hint="eastAsia"/>
                <w:color w:val="000000" w:themeColor="text1"/>
                <w:sz w:val="24"/>
                <w:szCs w:val="24"/>
                <w:lang w:eastAsia="zh-CN"/>
                <w14:textFill>
                  <w14:solidFill>
                    <w14:schemeClr w14:val="tx1"/>
                  </w14:solidFill>
                </w14:textFill>
              </w:rPr>
            </w:pPr>
            <w:r>
              <w:rPr>
                <w:color w:val="000000" w:themeColor="text1"/>
                <w:sz w:val="24"/>
                <w:szCs w:val="24"/>
                <w14:textFill>
                  <w14:solidFill>
                    <w14:schemeClr w14:val="tx1"/>
                  </w14:solidFill>
                </w14:textFill>
              </w:rPr>
              <w:t>根据</w:t>
            </w:r>
            <w:r>
              <w:rPr>
                <w:rFonts w:hint="eastAsia"/>
                <w:color w:val="000000" w:themeColor="text1"/>
                <w:sz w:val="24"/>
                <w:szCs w:val="24"/>
                <w14:textFill>
                  <w14:solidFill>
                    <w14:schemeClr w14:val="tx1"/>
                  </w14:solidFill>
                </w14:textFill>
              </w:rPr>
              <w:t>《河北魏县经济开发区总体发展规划（2022-2030年）环境影响报告书》</w:t>
            </w:r>
            <w:r>
              <w:rPr>
                <w:rFonts w:hint="default" w:ascii="Times New Roman" w:hAnsi="Times New Roman" w:cs="Times New Roman"/>
                <w:bCs/>
                <w:color w:val="000000" w:themeColor="text1"/>
                <w:sz w:val="24"/>
                <w14:textFill>
                  <w14:solidFill>
                    <w14:schemeClr w14:val="tx1"/>
                  </w14:solidFill>
                </w14:textFill>
              </w:rPr>
              <w:t>，</w:t>
            </w:r>
            <w:r>
              <w:rPr>
                <w:rFonts w:hint="eastAsia" w:cs="Times New Roman"/>
                <w:bCs/>
                <w:color w:val="000000" w:themeColor="text1"/>
                <w:sz w:val="24"/>
                <w:lang w:val="en-US" w:eastAsia="zh-CN"/>
                <w14:textFill>
                  <w14:solidFill>
                    <w14:schemeClr w14:val="tx1"/>
                  </w14:solidFill>
                </w14:textFill>
              </w:rPr>
              <w:t>开发区生态环境准入</w:t>
            </w:r>
            <w:r>
              <w:rPr>
                <w:rFonts w:hint="default" w:ascii="Times New Roman" w:hAnsi="Times New Roman" w:cs="Times New Roman"/>
                <w:bCs/>
                <w:color w:val="000000" w:themeColor="text1"/>
                <w:sz w:val="24"/>
                <w14:textFill>
                  <w14:solidFill>
                    <w14:schemeClr w14:val="tx1"/>
                  </w14:solidFill>
                </w14:textFill>
              </w:rPr>
              <w:t>清单</w:t>
            </w:r>
            <w:r>
              <w:rPr>
                <w:rFonts w:hint="eastAsia" w:ascii="Times New Roman" w:hAnsi="Times New Roman" w:cs="Times New Roman"/>
                <w:bCs/>
                <w:color w:val="000000" w:themeColor="text1"/>
                <w:sz w:val="24"/>
                <w:lang w:eastAsia="zh-CN"/>
                <w14:textFill>
                  <w14:solidFill>
                    <w14:schemeClr w14:val="tx1"/>
                  </w14:solidFill>
                </w14:textFill>
              </w:rPr>
              <w:t>见下表</w:t>
            </w:r>
            <w:r>
              <w:rPr>
                <w:rFonts w:hint="eastAsia"/>
                <w:color w:val="000000" w:themeColor="text1"/>
                <w:sz w:val="24"/>
                <w:szCs w:val="24"/>
                <w:lang w:eastAsia="zh-CN"/>
                <w14:textFill>
                  <w14:solidFill>
                    <w14:schemeClr w14:val="tx1"/>
                  </w14:solidFill>
                </w14:textFill>
              </w:rPr>
              <w:t>。</w:t>
            </w:r>
          </w:p>
          <w:p w14:paraId="20B22339">
            <w:pPr>
              <w:snapToGrid w:val="0"/>
              <w:spacing w:line="480" w:lineRule="exact"/>
              <w:jc w:val="center"/>
              <w:rPr>
                <w:rFonts w:hint="eastAsia"/>
                <w:b/>
                <w:color w:val="FF0000"/>
                <w:sz w:val="24"/>
                <w:szCs w:val="24"/>
                <w:lang w:bidi="ar"/>
              </w:rPr>
            </w:pPr>
            <w:r>
              <w:rPr>
                <w:b/>
                <w:color w:val="auto"/>
                <w:sz w:val="24"/>
                <w:szCs w:val="24"/>
                <w:lang w:bidi="ar"/>
              </w:rPr>
              <w:t>表</w:t>
            </w:r>
            <w:r>
              <w:rPr>
                <w:rFonts w:hint="eastAsia"/>
                <w:b/>
                <w:color w:val="auto"/>
                <w:sz w:val="24"/>
                <w:szCs w:val="24"/>
                <w:lang w:val="en-US" w:eastAsia="zh-CN" w:bidi="ar"/>
              </w:rPr>
              <w:t>2</w:t>
            </w:r>
            <w:r>
              <w:rPr>
                <w:b/>
                <w:color w:val="auto"/>
                <w:sz w:val="24"/>
                <w:szCs w:val="24"/>
                <w:lang w:bidi="ar"/>
              </w:rPr>
              <w:t xml:space="preserve">   </w:t>
            </w:r>
            <w:r>
              <w:rPr>
                <w:rFonts w:hint="eastAsia"/>
                <w:b/>
                <w:color w:val="auto"/>
                <w:sz w:val="24"/>
                <w:szCs w:val="24"/>
                <w:lang w:bidi="ar"/>
              </w:rPr>
              <w:t>开发区生态环境准入清单</w:t>
            </w:r>
          </w:p>
          <w:tbl>
            <w:tblPr>
              <w:tblStyle w:val="28"/>
              <w:tblW w:w="511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27"/>
              <w:gridCol w:w="4245"/>
              <w:gridCol w:w="1527"/>
              <w:gridCol w:w="675"/>
            </w:tblGrid>
            <w:tr w14:paraId="1EF546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0" w:hRule="atLeast"/>
                <w:jc w:val="center"/>
              </w:trPr>
              <w:tc>
                <w:tcPr>
                  <w:tcW w:w="377" w:type="pct"/>
                  <w:noWrap w:val="0"/>
                  <w:vAlign w:val="center"/>
                </w:tcPr>
                <w:p w14:paraId="43AE2105">
                  <w:pPr>
                    <w:keepNext w:val="0"/>
                    <w:keepLines w:val="0"/>
                    <w:pageBreakBefore w:val="0"/>
                    <w:widowControl w:val="0"/>
                    <w:kinsoku/>
                    <w:wordWrap/>
                    <w:overflowPunct/>
                    <w:topLinePunct w:val="0"/>
                    <w:autoSpaceDE/>
                    <w:autoSpaceDN/>
                    <w:bidi w:val="0"/>
                    <w:snapToGrid/>
                    <w:spacing w:line="240" w:lineRule="exact"/>
                    <w:ind w:left="0" w:leftChars="0" w:right="0" w:rightChars="0"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cs="Times New Roman"/>
                      <w:color w:val="auto"/>
                      <w:spacing w:val="0"/>
                      <w:sz w:val="21"/>
                      <w:szCs w:val="21"/>
                      <w:highlight w:val="none"/>
                      <w:lang w:val="en-US" w:eastAsia="zh-CN"/>
                    </w:rPr>
                    <w:t>维度</w:t>
                  </w:r>
                </w:p>
              </w:tc>
              <w:tc>
                <w:tcPr>
                  <w:tcW w:w="3043" w:type="pct"/>
                  <w:noWrap w:val="0"/>
                  <w:vAlign w:val="center"/>
                </w:tcPr>
                <w:p w14:paraId="17AA2466">
                  <w:pPr>
                    <w:keepNext w:val="0"/>
                    <w:keepLines w:val="0"/>
                    <w:pageBreakBefore w:val="0"/>
                    <w:widowControl w:val="0"/>
                    <w:kinsoku/>
                    <w:wordWrap/>
                    <w:overflowPunct/>
                    <w:topLinePunct w:val="0"/>
                    <w:autoSpaceDE/>
                    <w:autoSpaceDN/>
                    <w:bidi w:val="0"/>
                    <w:snapToGrid/>
                    <w:spacing w:line="240" w:lineRule="exact"/>
                    <w:ind w:left="0" w:leftChars="0" w:right="0" w:rightChars="0"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准入要求</w:t>
                  </w:r>
                </w:p>
              </w:tc>
              <w:tc>
                <w:tcPr>
                  <w:tcW w:w="1094" w:type="pct"/>
                  <w:noWrap w:val="0"/>
                  <w:vAlign w:val="center"/>
                </w:tcPr>
                <w:p w14:paraId="5458262F">
                  <w:pPr>
                    <w:pStyle w:val="9"/>
                    <w:ind w:firstLine="0" w:firstLineChars="0"/>
                    <w:jc w:val="center"/>
                    <w:rPr>
                      <w:rFonts w:hint="default" w:ascii="Times New Roman" w:hAnsi="Times New Roman" w:eastAsia="宋体" w:cs="Times New Roman"/>
                      <w:color w:val="auto"/>
                      <w:spacing w:val="0"/>
                      <w:sz w:val="21"/>
                      <w:szCs w:val="21"/>
                      <w:highlight w:val="none"/>
                    </w:rPr>
                  </w:pPr>
                  <w:r>
                    <w:rPr>
                      <w:rFonts w:hint="eastAsia" w:cs="Times New Roman"/>
                      <w:b w:val="0"/>
                      <w:bCs w:val="0"/>
                      <w:color w:val="auto"/>
                      <w:kern w:val="0"/>
                      <w:szCs w:val="21"/>
                      <w:lang w:val="en-US" w:eastAsia="zh-CN"/>
                    </w:rPr>
                    <w:t>本项目</w:t>
                  </w:r>
                </w:p>
              </w:tc>
              <w:tc>
                <w:tcPr>
                  <w:tcW w:w="483" w:type="pct"/>
                  <w:noWrap w:val="0"/>
                  <w:vAlign w:val="center"/>
                </w:tcPr>
                <w:p w14:paraId="3892EEF5">
                  <w:pPr>
                    <w:pStyle w:val="9"/>
                    <w:ind w:firstLine="0" w:firstLineChars="0"/>
                    <w:jc w:val="center"/>
                    <w:rPr>
                      <w:rFonts w:hint="default" w:ascii="Times New Roman" w:hAnsi="Times New Roman" w:eastAsia="宋体" w:cs="Times New Roman"/>
                      <w:color w:val="auto"/>
                      <w:spacing w:val="0"/>
                      <w:sz w:val="21"/>
                      <w:szCs w:val="21"/>
                      <w:highlight w:val="none"/>
                    </w:rPr>
                  </w:pPr>
                  <w:r>
                    <w:rPr>
                      <w:rFonts w:hint="default" w:ascii="Times New Roman" w:hAnsi="Times New Roman" w:cs="Times New Roman"/>
                      <w:b w:val="0"/>
                      <w:bCs w:val="0"/>
                      <w:color w:val="auto"/>
                      <w:kern w:val="0"/>
                      <w:szCs w:val="21"/>
                    </w:rPr>
                    <w:t>符合性</w:t>
                  </w:r>
                </w:p>
              </w:tc>
            </w:tr>
            <w:tr w14:paraId="52476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377" w:type="pct"/>
                  <w:noWrap w:val="0"/>
                  <w:vAlign w:val="center"/>
                </w:tcPr>
                <w:p w14:paraId="281C3021">
                  <w:pPr>
                    <w:keepNext w:val="0"/>
                    <w:keepLines w:val="0"/>
                    <w:pageBreakBefore w:val="0"/>
                    <w:widowControl w:val="0"/>
                    <w:kinsoku/>
                    <w:wordWrap/>
                    <w:overflowPunct/>
                    <w:topLinePunct w:val="0"/>
                    <w:autoSpaceDE/>
                    <w:autoSpaceDN/>
                    <w:bidi w:val="0"/>
                    <w:snapToGrid/>
                    <w:spacing w:line="240" w:lineRule="exact"/>
                    <w:ind w:left="0" w:leftChars="0" w:right="0" w:rightChars="0"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总体要求</w:t>
                  </w:r>
                </w:p>
              </w:tc>
              <w:tc>
                <w:tcPr>
                  <w:tcW w:w="3043" w:type="pct"/>
                  <w:noWrap w:val="0"/>
                  <w:vAlign w:val="center"/>
                </w:tcPr>
                <w:p w14:paraId="1C9E798F">
                  <w:pPr>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Times New Roman" w:hAnsi="Times New Roman" w:cs="Times New Roman"/>
                      <w:bCs/>
                      <w:color w:val="auto"/>
                      <w:spacing w:val="0"/>
                      <w:sz w:val="21"/>
                      <w:szCs w:val="21"/>
                      <w:highlight w:val="none"/>
                      <w:lang w:val="en-US" w:eastAsia="zh-CN"/>
                    </w:rPr>
                  </w:pPr>
                  <w:r>
                    <w:rPr>
                      <w:rFonts w:hint="default" w:ascii="Times New Roman" w:hAnsi="Times New Roman" w:cs="Times New Roman"/>
                      <w:bCs/>
                      <w:color w:val="auto"/>
                      <w:spacing w:val="0"/>
                      <w:sz w:val="21"/>
                      <w:szCs w:val="21"/>
                      <w:highlight w:val="none"/>
                      <w:lang w:val="en-US" w:eastAsia="zh-CN"/>
                    </w:rPr>
                    <w:t>1.入区项目各污染物排放满足国家、河北省、邯郸市特别排放限值及地方特别要求，排放指标必须满足清洁生产指标要求</w:t>
                  </w:r>
                  <w:r>
                    <w:rPr>
                      <w:rFonts w:hint="eastAsia" w:cs="Times New Roman"/>
                      <w:bCs/>
                      <w:color w:val="auto"/>
                      <w:spacing w:val="0"/>
                      <w:sz w:val="21"/>
                      <w:szCs w:val="21"/>
                      <w:highlight w:val="none"/>
                      <w:lang w:val="en-US" w:eastAsia="zh-CN"/>
                    </w:rPr>
                    <w:t>（</w:t>
                  </w:r>
                  <w:r>
                    <w:rPr>
                      <w:rFonts w:hint="default" w:ascii="Times New Roman" w:hAnsi="Times New Roman" w:cs="Times New Roman"/>
                      <w:bCs/>
                      <w:color w:val="auto"/>
                      <w:spacing w:val="0"/>
                      <w:sz w:val="21"/>
                      <w:szCs w:val="21"/>
                      <w:highlight w:val="none"/>
                      <w:lang w:val="en-US" w:eastAsia="zh-CN"/>
                    </w:rPr>
                    <w:t>如有</w:t>
                  </w:r>
                  <w:r>
                    <w:rPr>
                      <w:rFonts w:hint="eastAsia" w:cs="Times New Roman"/>
                      <w:bCs/>
                      <w:color w:val="auto"/>
                      <w:spacing w:val="0"/>
                      <w:sz w:val="21"/>
                      <w:szCs w:val="21"/>
                      <w:highlight w:val="none"/>
                      <w:lang w:val="en-US" w:eastAsia="zh-CN"/>
                    </w:rPr>
                    <w:t>）</w:t>
                  </w:r>
                  <w:r>
                    <w:rPr>
                      <w:rFonts w:hint="default" w:ascii="Times New Roman" w:hAnsi="Times New Roman" w:cs="Times New Roman"/>
                      <w:bCs/>
                      <w:color w:val="auto"/>
                      <w:spacing w:val="0"/>
                      <w:sz w:val="21"/>
                      <w:szCs w:val="21"/>
                      <w:highlight w:val="none"/>
                      <w:lang w:val="en-US" w:eastAsia="zh-CN"/>
                    </w:rPr>
                    <w:t>。</w:t>
                  </w:r>
                </w:p>
                <w:p w14:paraId="12797412">
                  <w:pPr>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Times New Roman" w:hAnsi="Times New Roman" w:cs="Times New Roman"/>
                      <w:bCs/>
                      <w:color w:val="auto"/>
                      <w:spacing w:val="0"/>
                      <w:sz w:val="21"/>
                      <w:szCs w:val="21"/>
                      <w:highlight w:val="none"/>
                      <w:lang w:val="en-US" w:eastAsia="zh-CN"/>
                    </w:rPr>
                  </w:pPr>
                  <w:r>
                    <w:rPr>
                      <w:rFonts w:hint="default" w:ascii="Times New Roman" w:hAnsi="Times New Roman" w:cs="Times New Roman"/>
                      <w:bCs/>
                      <w:color w:val="auto"/>
                      <w:spacing w:val="0"/>
                      <w:sz w:val="21"/>
                      <w:szCs w:val="21"/>
                      <w:highlight w:val="none"/>
                      <w:lang w:val="en-US" w:eastAsia="zh-CN"/>
                    </w:rPr>
                    <w:t>2.新建具有绩效评级要求的涉气建设项目，应达到B级及以上水平。</w:t>
                  </w:r>
                </w:p>
                <w:p w14:paraId="179FE2CD">
                  <w:pPr>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Times New Roman" w:hAnsi="Times New Roman" w:cs="Times New Roman"/>
                      <w:bCs/>
                      <w:color w:val="auto"/>
                      <w:spacing w:val="0"/>
                      <w:sz w:val="21"/>
                      <w:szCs w:val="21"/>
                      <w:highlight w:val="none"/>
                      <w:lang w:val="en-US" w:eastAsia="zh-CN"/>
                    </w:rPr>
                  </w:pPr>
                  <w:r>
                    <w:rPr>
                      <w:rFonts w:hint="default" w:ascii="Times New Roman" w:hAnsi="Times New Roman" w:cs="Times New Roman"/>
                      <w:bCs/>
                      <w:color w:val="auto"/>
                      <w:spacing w:val="0"/>
                      <w:sz w:val="21"/>
                      <w:szCs w:val="21"/>
                      <w:highlight w:val="none"/>
                      <w:lang w:val="en-US" w:eastAsia="zh-CN"/>
                    </w:rPr>
                    <w:t>3.挥发性有机物治理工艺禁止采用低温等离子、光氧化/催化、劣质活性炭吸附、喷淋吸收等单一治理技术，使用溶剂型涂料时，喷漆、流平、烘干、清洗等工序含挥发性有机物废气采用吸附浓缩+燃烧、燃烧等治理技术，调漆废气密闭收集并安装治理设施。</w:t>
                  </w:r>
                </w:p>
                <w:p w14:paraId="6238F103">
                  <w:pPr>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Times New Roman" w:hAnsi="Times New Roman" w:cs="Times New Roman"/>
                      <w:bCs/>
                      <w:color w:val="auto"/>
                      <w:spacing w:val="0"/>
                      <w:sz w:val="21"/>
                      <w:szCs w:val="21"/>
                      <w:highlight w:val="none"/>
                      <w:lang w:val="en-US" w:eastAsia="zh-CN"/>
                    </w:rPr>
                  </w:pPr>
                  <w:r>
                    <w:rPr>
                      <w:rFonts w:hint="default" w:ascii="Times New Roman" w:hAnsi="Times New Roman" w:cs="Times New Roman"/>
                      <w:bCs/>
                      <w:color w:val="auto"/>
                      <w:spacing w:val="0"/>
                      <w:sz w:val="21"/>
                      <w:szCs w:val="21"/>
                      <w:highlight w:val="none"/>
                      <w:lang w:val="en-US" w:eastAsia="zh-CN"/>
                    </w:rPr>
                    <w:t>4</w:t>
                  </w:r>
                  <w:r>
                    <w:rPr>
                      <w:rFonts w:hint="eastAsia" w:ascii="Times New Roman" w:hAnsi="Times New Roman" w:cs="Times New Roman"/>
                      <w:bCs/>
                      <w:color w:val="auto"/>
                      <w:spacing w:val="0"/>
                      <w:sz w:val="21"/>
                      <w:szCs w:val="21"/>
                      <w:highlight w:val="none"/>
                      <w:lang w:val="en-US" w:eastAsia="zh-CN"/>
                    </w:rPr>
                    <w:t>.</w:t>
                  </w:r>
                  <w:r>
                    <w:rPr>
                      <w:rFonts w:hint="default" w:ascii="Times New Roman" w:hAnsi="Times New Roman" w:cs="Times New Roman"/>
                      <w:bCs/>
                      <w:color w:val="auto"/>
                      <w:spacing w:val="0"/>
                      <w:sz w:val="21"/>
                      <w:szCs w:val="21"/>
                      <w:highlight w:val="none"/>
                      <w:lang w:val="en-US" w:eastAsia="zh-CN"/>
                    </w:rPr>
                    <w:t>开发区严禁新增</w:t>
                  </w:r>
                  <w:r>
                    <w:rPr>
                      <w:rFonts w:hint="eastAsia" w:ascii="Times New Roman" w:hAnsi="Times New Roman" w:cs="Times New Roman"/>
                      <w:bCs/>
                      <w:color w:val="auto"/>
                      <w:spacing w:val="0"/>
                      <w:sz w:val="21"/>
                      <w:szCs w:val="21"/>
                      <w:highlight w:val="none"/>
                      <w:lang w:val="en-US" w:eastAsia="zh-CN"/>
                    </w:rPr>
                    <w:t>“</w:t>
                  </w:r>
                  <w:r>
                    <w:rPr>
                      <w:rFonts w:hint="default" w:ascii="Times New Roman" w:hAnsi="Times New Roman" w:cs="Times New Roman"/>
                      <w:bCs/>
                      <w:color w:val="auto"/>
                      <w:spacing w:val="0"/>
                      <w:sz w:val="21"/>
                      <w:szCs w:val="21"/>
                      <w:highlight w:val="none"/>
                      <w:lang w:val="en-US" w:eastAsia="zh-CN"/>
                    </w:rPr>
                    <w:t>两高</w:t>
                  </w:r>
                  <w:r>
                    <w:rPr>
                      <w:rFonts w:hint="eastAsia" w:ascii="Times New Roman" w:hAnsi="Times New Roman" w:cs="Times New Roman"/>
                      <w:bCs/>
                      <w:color w:val="auto"/>
                      <w:spacing w:val="0"/>
                      <w:sz w:val="21"/>
                      <w:szCs w:val="21"/>
                      <w:highlight w:val="none"/>
                      <w:lang w:val="en-US" w:eastAsia="zh-CN"/>
                    </w:rPr>
                    <w:t>”</w:t>
                  </w:r>
                  <w:r>
                    <w:rPr>
                      <w:rFonts w:hint="default" w:ascii="Times New Roman" w:hAnsi="Times New Roman" w:cs="Times New Roman"/>
                      <w:bCs/>
                      <w:color w:val="auto"/>
                      <w:spacing w:val="0"/>
                      <w:sz w:val="21"/>
                      <w:szCs w:val="21"/>
                      <w:highlight w:val="none"/>
                      <w:lang w:val="en-US" w:eastAsia="zh-CN"/>
                    </w:rPr>
                    <w:t>项目等污染较重的项目入驻</w:t>
                  </w:r>
                </w:p>
              </w:tc>
              <w:tc>
                <w:tcPr>
                  <w:tcW w:w="1094" w:type="pct"/>
                  <w:noWrap w:val="0"/>
                  <w:vAlign w:val="center"/>
                </w:tcPr>
                <w:p w14:paraId="09B9603E">
                  <w:pPr>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Times New Roman" w:hAnsi="Times New Roman" w:eastAsia="宋体" w:cs="Times New Roman"/>
                      <w:bCs/>
                      <w:color w:val="auto"/>
                      <w:spacing w:val="0"/>
                      <w:sz w:val="21"/>
                      <w:szCs w:val="21"/>
                      <w:highlight w:val="none"/>
                      <w:lang w:val="en-US" w:eastAsia="zh-CN"/>
                    </w:rPr>
                  </w:pPr>
                  <w:r>
                    <w:rPr>
                      <w:rFonts w:hint="eastAsia"/>
                      <w:b w:val="0"/>
                      <w:bCs w:val="0"/>
                      <w:color w:val="auto"/>
                      <w:szCs w:val="21"/>
                      <w:lang w:val="en-US" w:eastAsia="zh-CN"/>
                    </w:rPr>
                    <w:t>本项目</w:t>
                  </w:r>
                  <w:r>
                    <w:rPr>
                      <w:rFonts w:hint="eastAsia"/>
                      <w:b w:val="0"/>
                      <w:bCs w:val="0"/>
                      <w:color w:val="auto"/>
                      <w:szCs w:val="21"/>
                    </w:rPr>
                    <w:t>废气、</w:t>
                  </w:r>
                  <w:r>
                    <w:rPr>
                      <w:rFonts w:hint="eastAsia"/>
                      <w:b w:val="0"/>
                      <w:bCs w:val="0"/>
                      <w:color w:val="auto"/>
                      <w:szCs w:val="21"/>
                      <w:lang w:val="en-US" w:eastAsia="zh-CN"/>
                    </w:rPr>
                    <w:t>废水、</w:t>
                  </w:r>
                  <w:r>
                    <w:rPr>
                      <w:rFonts w:hint="eastAsia"/>
                      <w:b w:val="0"/>
                      <w:bCs w:val="0"/>
                      <w:color w:val="auto"/>
                      <w:szCs w:val="21"/>
                    </w:rPr>
                    <w:t>噪声及固废污染物均采取了严格有效的治理和处置措施，</w:t>
                  </w:r>
                  <w:r>
                    <w:rPr>
                      <w:rFonts w:hint="eastAsia"/>
                      <w:b w:val="0"/>
                      <w:bCs w:val="0"/>
                      <w:color w:val="auto"/>
                      <w:szCs w:val="21"/>
                      <w:lang w:val="en-US" w:eastAsia="zh-CN"/>
                    </w:rPr>
                    <w:t>污染物均能达标排放；项目无绩效评级要求，未颁布行业清洁生产评价指标体系；项目挤出工序产生的废气采用喷淋塔+干式过滤+活性炭吸附脱附+催化燃烧处理后通过15m排气筒排放</w:t>
                  </w:r>
                  <w:r>
                    <w:rPr>
                      <w:rFonts w:hint="eastAsia" w:cs="Times New Roman"/>
                      <w:bCs/>
                      <w:color w:val="auto"/>
                      <w:spacing w:val="0"/>
                      <w:sz w:val="21"/>
                      <w:szCs w:val="21"/>
                      <w:highlight w:val="none"/>
                      <w:lang w:val="en-US" w:eastAsia="zh-CN"/>
                    </w:rPr>
                    <w:t>；项目不属于</w:t>
                  </w:r>
                  <w:r>
                    <w:rPr>
                      <w:rFonts w:hint="eastAsia" w:ascii="Times New Roman" w:hAnsi="Times New Roman" w:cs="Times New Roman"/>
                      <w:bCs/>
                      <w:color w:val="auto"/>
                      <w:spacing w:val="0"/>
                      <w:sz w:val="21"/>
                      <w:szCs w:val="21"/>
                      <w:highlight w:val="none"/>
                      <w:lang w:val="en-US" w:eastAsia="zh-CN"/>
                    </w:rPr>
                    <w:t>“</w:t>
                  </w:r>
                  <w:r>
                    <w:rPr>
                      <w:rFonts w:hint="default" w:ascii="Times New Roman" w:hAnsi="Times New Roman" w:cs="Times New Roman"/>
                      <w:bCs/>
                      <w:color w:val="auto"/>
                      <w:spacing w:val="0"/>
                      <w:sz w:val="21"/>
                      <w:szCs w:val="21"/>
                      <w:highlight w:val="none"/>
                      <w:lang w:val="en-US" w:eastAsia="zh-CN"/>
                    </w:rPr>
                    <w:t>两高</w:t>
                  </w:r>
                  <w:r>
                    <w:rPr>
                      <w:rFonts w:hint="eastAsia" w:ascii="Times New Roman" w:hAnsi="Times New Roman" w:cs="Times New Roman"/>
                      <w:bCs/>
                      <w:color w:val="auto"/>
                      <w:spacing w:val="0"/>
                      <w:sz w:val="21"/>
                      <w:szCs w:val="21"/>
                      <w:highlight w:val="none"/>
                      <w:lang w:val="en-US" w:eastAsia="zh-CN"/>
                    </w:rPr>
                    <w:t>”</w:t>
                  </w:r>
                  <w:r>
                    <w:rPr>
                      <w:rFonts w:hint="default" w:ascii="Times New Roman" w:hAnsi="Times New Roman" w:cs="Times New Roman"/>
                      <w:bCs/>
                      <w:color w:val="auto"/>
                      <w:spacing w:val="0"/>
                      <w:sz w:val="21"/>
                      <w:szCs w:val="21"/>
                      <w:highlight w:val="none"/>
                      <w:lang w:val="en-US" w:eastAsia="zh-CN"/>
                    </w:rPr>
                    <w:t>等污染较重的项目</w:t>
                  </w:r>
                </w:p>
              </w:tc>
              <w:tc>
                <w:tcPr>
                  <w:tcW w:w="483" w:type="pct"/>
                  <w:noWrap w:val="0"/>
                  <w:vAlign w:val="center"/>
                </w:tcPr>
                <w:p w14:paraId="00A95AE3">
                  <w:pPr>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Times New Roman" w:hAnsi="Times New Roman" w:cs="Times New Roman"/>
                      <w:bCs/>
                      <w:color w:val="auto"/>
                      <w:spacing w:val="0"/>
                      <w:sz w:val="21"/>
                      <w:szCs w:val="21"/>
                      <w:highlight w:val="none"/>
                      <w:lang w:val="en-US" w:eastAsia="zh-CN"/>
                    </w:rPr>
                  </w:pPr>
                  <w:r>
                    <w:rPr>
                      <w:rFonts w:hint="eastAsia" w:ascii="Times New Roman" w:hAnsi="Times New Roman" w:cs="Times New Roman"/>
                      <w:bCs/>
                      <w:color w:val="auto"/>
                      <w:spacing w:val="0"/>
                      <w:sz w:val="21"/>
                      <w:szCs w:val="21"/>
                      <w:highlight w:val="none"/>
                      <w:lang w:val="en-US" w:eastAsia="zh-CN"/>
                    </w:rPr>
                    <w:t>符合</w:t>
                  </w:r>
                </w:p>
              </w:tc>
            </w:tr>
            <w:tr w14:paraId="00D5DB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377" w:type="pct"/>
                  <w:noWrap w:val="0"/>
                  <w:vAlign w:val="center"/>
                </w:tcPr>
                <w:p w14:paraId="0C15906A">
                  <w:pPr>
                    <w:keepNext w:val="0"/>
                    <w:keepLines w:val="0"/>
                    <w:pageBreakBefore w:val="0"/>
                    <w:widowControl w:val="0"/>
                    <w:kinsoku/>
                    <w:wordWrap/>
                    <w:overflowPunct/>
                    <w:topLinePunct w:val="0"/>
                    <w:autoSpaceDE/>
                    <w:autoSpaceDN/>
                    <w:bidi w:val="0"/>
                    <w:snapToGrid/>
                    <w:spacing w:line="240" w:lineRule="exact"/>
                    <w:ind w:left="0" w:leftChars="0" w:right="0" w:rightChars="0"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空间布局约束</w:t>
                  </w:r>
                </w:p>
              </w:tc>
              <w:tc>
                <w:tcPr>
                  <w:tcW w:w="3043" w:type="pct"/>
                  <w:noWrap w:val="0"/>
                  <w:vAlign w:val="center"/>
                </w:tcPr>
                <w:p w14:paraId="577BD88E">
                  <w:pPr>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1.除再生铝外，禁止新建其他有色金属再生回收利用项目。根据《排污许可申请与核发技术规范 有色金属再生工业》，再生铝涉及的产排污工序主要为熔炼炉废气</w:t>
                  </w:r>
                  <w:r>
                    <w:rPr>
                      <w:rFonts w:hint="eastAsia" w:cs="Times New Roman"/>
                      <w:bCs/>
                      <w:color w:val="auto"/>
                      <w:spacing w:val="0"/>
                      <w:sz w:val="21"/>
                      <w:szCs w:val="21"/>
                      <w:highlight w:val="none"/>
                      <w:lang w:eastAsia="zh-CN"/>
                    </w:rPr>
                    <w:t>（</w:t>
                  </w:r>
                  <w:r>
                    <w:rPr>
                      <w:rFonts w:hint="default" w:ascii="Times New Roman" w:hAnsi="Times New Roman" w:eastAsia="宋体" w:cs="Times New Roman"/>
                      <w:bCs/>
                      <w:color w:val="auto"/>
                      <w:spacing w:val="0"/>
                      <w:sz w:val="21"/>
                      <w:szCs w:val="21"/>
                      <w:highlight w:val="none"/>
                    </w:rPr>
                    <w:t>污染因子涉及重金属、二噁英</w:t>
                  </w:r>
                  <w:r>
                    <w:rPr>
                      <w:rFonts w:hint="eastAsia" w:cs="Times New Roman"/>
                      <w:bCs/>
                      <w:color w:val="auto"/>
                      <w:spacing w:val="0"/>
                      <w:sz w:val="21"/>
                      <w:szCs w:val="21"/>
                      <w:highlight w:val="none"/>
                      <w:lang w:eastAsia="zh-CN"/>
                    </w:rPr>
                    <w:t>）</w:t>
                  </w:r>
                  <w:r>
                    <w:rPr>
                      <w:rFonts w:hint="default" w:ascii="Times New Roman" w:hAnsi="Times New Roman" w:eastAsia="宋体" w:cs="Times New Roman"/>
                      <w:bCs/>
                      <w:color w:val="auto"/>
                      <w:spacing w:val="0"/>
                      <w:sz w:val="21"/>
                      <w:szCs w:val="21"/>
                      <w:highlight w:val="none"/>
                    </w:rPr>
                    <w:t>。评价要求废铝再生过程中产生的废气严格采用排污许可证申请与核发技术规范等文件要求的可行技术。禁止发展危险废物处置项目、使用受到危险化学品或沾染危险废物等污染的废弃资源加工利用的项目。</w:t>
                  </w:r>
                </w:p>
                <w:p w14:paraId="5D21A104">
                  <w:pPr>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2.按照《基本农田保护条例》对开发区规划范围内基本农田进行严格保护，规划实施一律不得占用或损毁。</w:t>
                  </w:r>
                </w:p>
                <w:p w14:paraId="0F8E6ADB">
                  <w:pPr>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3.在公路两侧建筑控制线范围内，禁止建设除公路附属设施外的其他永久性建筑物、构筑物和设施。</w:t>
                  </w:r>
                </w:p>
                <w:p w14:paraId="74E3C68E">
                  <w:pPr>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4.禁止在规划绿地范围内开展与绿地无关的建设活动。</w:t>
                  </w:r>
                </w:p>
                <w:p w14:paraId="3908E085">
                  <w:pPr>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5.涉其它风险物质企业应在建设项目环评、安评阶段进一步详细论证其风险状态下的影响范围，新增风险源的大气毒性终点浓度-1范围内不得有常驻居民，具体控制距离根据项目环评的风险分析结论确定。</w:t>
                  </w:r>
                </w:p>
                <w:p w14:paraId="547B03C1">
                  <w:pPr>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6.对于现有工业企业后续退出及遗留宗地，应按照《中华人民共和国土壤污染防治法》、《关于贯彻落实土壤污染防治法推动解决突出土壤污染问题的实施意见》（环办土壤[2019]47 号）《污染地块土壤环境管理办法》、《工矿</w:t>
                  </w:r>
                </w:p>
                <w:p w14:paraId="58C7CF18">
                  <w:pPr>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用地土壤环境管理办法（试行）》、《关于加强工业企业关停、搬迁及原址场地再开发利用过程中污染防治工作的通知》等文件要求，土地用途变更为住宅、公共管理与公共服务用地的，变更前应当按照规定进行土壤、地下水环</w:t>
                  </w:r>
                </w:p>
                <w:p w14:paraId="62860232">
                  <w:pPr>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eastAsia" w:ascii="Times New Roman" w:hAnsi="Times New Roman" w:eastAsia="宋体" w:cs="Times New Roman"/>
                      <w:bCs/>
                      <w:color w:val="auto"/>
                      <w:spacing w:val="0"/>
                      <w:sz w:val="21"/>
                      <w:szCs w:val="21"/>
                      <w:highlight w:val="none"/>
                      <w:lang w:eastAsia="zh-CN"/>
                    </w:rPr>
                  </w:pPr>
                  <w:r>
                    <w:rPr>
                      <w:rFonts w:hint="default" w:ascii="Times New Roman" w:hAnsi="Times New Roman" w:eastAsia="宋体" w:cs="Times New Roman"/>
                      <w:bCs/>
                      <w:color w:val="auto"/>
                      <w:spacing w:val="0"/>
                      <w:sz w:val="21"/>
                      <w:szCs w:val="21"/>
                      <w:highlight w:val="none"/>
                    </w:rPr>
                    <w:t>境初步调查，编制调查报告。对于存在超过相关标准要求的，开展详细调查、风险评估、风险管控、治理与修复等活动</w:t>
                  </w:r>
                  <w:r>
                    <w:rPr>
                      <w:rFonts w:hint="eastAsia" w:cs="Times New Roman"/>
                      <w:bCs/>
                      <w:color w:val="auto"/>
                      <w:spacing w:val="0"/>
                      <w:sz w:val="21"/>
                      <w:szCs w:val="21"/>
                      <w:highlight w:val="none"/>
                      <w:lang w:eastAsia="zh-CN"/>
                    </w:rPr>
                    <w:t>。</w:t>
                  </w:r>
                </w:p>
                <w:p w14:paraId="4F7A622D">
                  <w:pPr>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7.城镇开发边界之外区域，在规划期内维持现状不变，不得开展城镇开发及工业开发建设；对于位于城镇规划边界之外的现有企业，均位于工业用地，且环保手续齐全，建议保留现状，</w:t>
                  </w:r>
                </w:p>
                <w:p w14:paraId="331EC35E">
                  <w:pPr>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在不新增占地的前提下只允许进行节能、环保措施升级改造，不允许扩建</w:t>
                  </w:r>
                </w:p>
              </w:tc>
              <w:tc>
                <w:tcPr>
                  <w:tcW w:w="1094" w:type="pct"/>
                  <w:noWrap w:val="0"/>
                  <w:vAlign w:val="center"/>
                </w:tcPr>
                <w:p w14:paraId="4BCA63B0">
                  <w:pPr>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eastAsia" w:ascii="Times New Roman" w:hAnsi="Times New Roman" w:eastAsia="宋体" w:cs="Times New Roman"/>
                      <w:bCs/>
                      <w:color w:val="FF0000"/>
                      <w:spacing w:val="0"/>
                      <w:sz w:val="21"/>
                      <w:szCs w:val="21"/>
                      <w:highlight w:val="none"/>
                      <w:lang w:val="en-US" w:eastAsia="zh-CN"/>
                    </w:rPr>
                  </w:pPr>
                  <w:r>
                    <w:rPr>
                      <w:rFonts w:hint="eastAsia" w:cs="Times New Roman"/>
                      <w:bCs/>
                      <w:color w:val="auto"/>
                      <w:spacing w:val="0"/>
                      <w:sz w:val="21"/>
                      <w:szCs w:val="21"/>
                      <w:highlight w:val="none"/>
                      <w:lang w:val="en-US" w:eastAsia="zh-CN"/>
                    </w:rPr>
                    <w:t>本项目为新建，属于再生资源循环经济产业（塑料循环经济），不涉及</w:t>
                  </w:r>
                  <w:r>
                    <w:rPr>
                      <w:rFonts w:hint="default" w:ascii="Times New Roman" w:hAnsi="Times New Roman" w:eastAsia="宋体" w:cs="Times New Roman"/>
                      <w:bCs/>
                      <w:color w:val="auto"/>
                      <w:spacing w:val="0"/>
                      <w:sz w:val="21"/>
                      <w:szCs w:val="21"/>
                      <w:highlight w:val="none"/>
                    </w:rPr>
                    <w:t>有色金属再生回收利用</w:t>
                  </w:r>
                  <w:r>
                    <w:rPr>
                      <w:rFonts w:hint="eastAsia" w:cs="Times New Roman"/>
                      <w:bCs/>
                      <w:color w:val="auto"/>
                      <w:spacing w:val="0"/>
                      <w:sz w:val="21"/>
                      <w:szCs w:val="21"/>
                      <w:highlight w:val="none"/>
                      <w:lang w:eastAsia="zh-CN"/>
                    </w:rPr>
                    <w:t>、</w:t>
                  </w:r>
                  <w:r>
                    <w:rPr>
                      <w:rFonts w:hint="default" w:ascii="Times New Roman" w:hAnsi="Times New Roman" w:eastAsia="宋体" w:cs="Times New Roman"/>
                      <w:bCs/>
                      <w:color w:val="auto"/>
                      <w:spacing w:val="0"/>
                      <w:sz w:val="21"/>
                      <w:szCs w:val="21"/>
                      <w:highlight w:val="none"/>
                    </w:rPr>
                    <w:t>危险废物处置、使用受到危险化学品或沾染危险废物等污染的废弃资源加工利用</w:t>
                  </w:r>
                  <w:r>
                    <w:rPr>
                      <w:rFonts w:hint="eastAsia" w:cs="Times New Roman"/>
                      <w:bCs/>
                      <w:color w:val="auto"/>
                      <w:spacing w:val="0"/>
                      <w:sz w:val="21"/>
                      <w:szCs w:val="21"/>
                      <w:highlight w:val="none"/>
                      <w:lang w:val="en-US" w:eastAsia="zh-CN"/>
                    </w:rPr>
                    <w:t>；项目占地为工业用地，不占用基本农田、规划绿地，不在公路两侧建筑控制线范围内；本次评价已提出相应环境风险防控措施</w:t>
                  </w:r>
                </w:p>
              </w:tc>
              <w:tc>
                <w:tcPr>
                  <w:tcW w:w="483" w:type="pct"/>
                  <w:noWrap w:val="0"/>
                  <w:vAlign w:val="center"/>
                </w:tcPr>
                <w:p w14:paraId="1C69D078">
                  <w:pPr>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Times New Roman" w:hAnsi="Times New Roman" w:cs="Times New Roman"/>
                      <w:bCs/>
                      <w:color w:val="FF0000"/>
                      <w:spacing w:val="0"/>
                      <w:sz w:val="21"/>
                      <w:szCs w:val="21"/>
                      <w:highlight w:val="none"/>
                      <w:lang w:val="en-US" w:eastAsia="zh-CN"/>
                    </w:rPr>
                  </w:pPr>
                  <w:r>
                    <w:rPr>
                      <w:rFonts w:hint="eastAsia" w:cs="Times New Roman"/>
                      <w:bCs/>
                      <w:color w:val="auto"/>
                      <w:spacing w:val="0"/>
                      <w:sz w:val="21"/>
                      <w:szCs w:val="21"/>
                      <w:highlight w:val="none"/>
                      <w:lang w:val="en-US" w:eastAsia="zh-CN"/>
                    </w:rPr>
                    <w:t>符合</w:t>
                  </w:r>
                </w:p>
              </w:tc>
            </w:tr>
            <w:tr w14:paraId="2C9F89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6" w:hRule="atLeast"/>
                <w:jc w:val="center"/>
              </w:trPr>
              <w:tc>
                <w:tcPr>
                  <w:tcW w:w="377" w:type="pct"/>
                  <w:noWrap w:val="0"/>
                  <w:vAlign w:val="center"/>
                </w:tcPr>
                <w:p w14:paraId="5D8F136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污染物排放管控</w:t>
                  </w:r>
                </w:p>
              </w:tc>
              <w:tc>
                <w:tcPr>
                  <w:tcW w:w="3043" w:type="pct"/>
                  <w:noWrap w:val="0"/>
                  <w:vAlign w:val="center"/>
                </w:tcPr>
                <w:p w14:paraId="3B35BDC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1.开发区允许排放量：颗粒物111.094t/a，二氧化硫434.358t/a，氮氧化物398.525t/a，挥发性有机物106.415t/a，苯0.615t/a，甲苯及二甲苯合计7.505t/a，氟化物1.852t/a，氯化氢15.906t/a，铅及其化合物0.834t/a，镉及其化合物0.0105t/a，砷及其化合物0.0099t/a，二噁英类1.381gTEQ/a，氨2.320t/a，H</w:t>
                  </w:r>
                  <w:r>
                    <w:rPr>
                      <w:rFonts w:hint="default" w:ascii="Times New Roman" w:hAnsi="Times New Roman" w:cs="Times New Roman"/>
                      <w:color w:val="auto"/>
                      <w:spacing w:val="0"/>
                      <w:sz w:val="21"/>
                      <w:szCs w:val="21"/>
                      <w:highlight w:val="none"/>
                      <w:vertAlign w:val="subscript"/>
                    </w:rPr>
                    <w:t>2</w:t>
                  </w:r>
                  <w:r>
                    <w:rPr>
                      <w:rFonts w:hint="default" w:ascii="Times New Roman" w:hAnsi="Times New Roman" w:cs="Times New Roman"/>
                      <w:color w:val="auto"/>
                      <w:spacing w:val="0"/>
                      <w:sz w:val="21"/>
                      <w:szCs w:val="21"/>
                      <w:highlight w:val="none"/>
                    </w:rPr>
                    <w:t>S1.225t/a，COD8.17t/a，氨氮0.41t/a，BOD</w:t>
                  </w:r>
                  <w:r>
                    <w:rPr>
                      <w:rFonts w:hint="default" w:ascii="Times New Roman" w:hAnsi="Times New Roman" w:cs="Times New Roman"/>
                      <w:color w:val="auto"/>
                      <w:spacing w:val="0"/>
                      <w:sz w:val="21"/>
                      <w:szCs w:val="21"/>
                      <w:highlight w:val="none"/>
                      <w:vertAlign w:val="subscript"/>
                    </w:rPr>
                    <w:t>5</w:t>
                  </w:r>
                  <w:r>
                    <w:rPr>
                      <w:rFonts w:hint="default" w:ascii="Times New Roman" w:hAnsi="Times New Roman" w:cs="Times New Roman"/>
                      <w:color w:val="auto"/>
                      <w:spacing w:val="0"/>
                      <w:sz w:val="21"/>
                      <w:szCs w:val="21"/>
                      <w:highlight w:val="none"/>
                    </w:rPr>
                    <w:t>1.63t/a，总磷0.08t/a，总氮4.08t/a。存量源削减量：颗粒物 12.568t/a，二氧化硫8.481t/a，氮氧化物36.525t/a，挥发性有机物23.960t//a；新增源控制量：颗粒物67.096t/a，二氧化硫25.872t/a，氮氧化物108.734t/a，挥发性有机物39.459t/a，苯1.358t/a，甲苯与二甲苯合计8.146t/a，氟化物5.274t/a，氯化氢2.601t/a，铅及其化合物0.2630t/a，镉及其化合物0.0030t/a，砷及其化合物0.0095t/a，二噁英类1.187gTEQ/a，氨0.462t/a，H</w:t>
                  </w:r>
                  <w:r>
                    <w:rPr>
                      <w:rFonts w:hint="default" w:ascii="Times New Roman" w:hAnsi="Times New Roman" w:cs="Times New Roman"/>
                      <w:color w:val="auto"/>
                      <w:spacing w:val="0"/>
                      <w:sz w:val="21"/>
                      <w:szCs w:val="21"/>
                      <w:highlight w:val="none"/>
                      <w:vertAlign w:val="subscript"/>
                    </w:rPr>
                    <w:t>2</w:t>
                  </w:r>
                  <w:r>
                    <w:rPr>
                      <w:rFonts w:hint="default" w:ascii="Times New Roman" w:hAnsi="Times New Roman" w:cs="Times New Roman"/>
                      <w:color w:val="auto"/>
                      <w:spacing w:val="0"/>
                      <w:sz w:val="21"/>
                      <w:szCs w:val="21"/>
                      <w:highlight w:val="none"/>
                    </w:rPr>
                    <w:t>S0.046t/a。化学需氧量、氨氮排放量</w:t>
                  </w:r>
                  <w:r>
                    <w:rPr>
                      <w:rFonts w:hint="eastAsia" w:cs="Times New Roman"/>
                      <w:color w:val="auto"/>
                      <w:spacing w:val="0"/>
                      <w:sz w:val="21"/>
                      <w:szCs w:val="21"/>
                      <w:highlight w:val="none"/>
                      <w:lang w:eastAsia="zh-CN"/>
                    </w:rPr>
                    <w:t>（</w:t>
                  </w:r>
                  <w:r>
                    <w:rPr>
                      <w:rFonts w:hint="default" w:ascii="Times New Roman" w:hAnsi="Times New Roman" w:cs="Times New Roman"/>
                      <w:color w:val="auto"/>
                      <w:spacing w:val="0"/>
                      <w:sz w:val="21"/>
                      <w:szCs w:val="21"/>
                      <w:highlight w:val="none"/>
                    </w:rPr>
                    <w:t>以污水处理厂出口计</w:t>
                  </w:r>
                  <w:r>
                    <w:rPr>
                      <w:rFonts w:hint="eastAsia" w:cs="Times New Roman"/>
                      <w:color w:val="auto"/>
                      <w:spacing w:val="0"/>
                      <w:sz w:val="21"/>
                      <w:szCs w:val="21"/>
                      <w:highlight w:val="none"/>
                      <w:lang w:eastAsia="zh-CN"/>
                    </w:rPr>
                    <w:t>）</w:t>
                  </w:r>
                  <w:r>
                    <w:rPr>
                      <w:rFonts w:hint="default" w:ascii="Times New Roman" w:hAnsi="Times New Roman" w:cs="Times New Roman"/>
                      <w:color w:val="auto"/>
                      <w:spacing w:val="0"/>
                      <w:sz w:val="21"/>
                      <w:szCs w:val="21"/>
                      <w:highlight w:val="none"/>
                    </w:rPr>
                    <w:t>不得突破35.55吨/年、1.84吨/年。</w:t>
                  </w:r>
                </w:p>
                <w:p w14:paraId="635CC67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2.开发区主要污染物排放强度准入要求：颗粒物0.490t/亿元产值，二氧化硫0.793t/亿元产值，氮氧化物2.283t/亿元产值，挥发性有机物0.356t/亿元产值；COD0.086t/亿元，氨氮0.004t/亿元。</w:t>
                  </w:r>
                </w:p>
                <w:p w14:paraId="5BA2E29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3.开发区碳排放强度准入总体要求：碳排放强度≤0.249tCO</w:t>
                  </w:r>
                  <w:r>
                    <w:rPr>
                      <w:rFonts w:hint="default" w:ascii="Times New Roman" w:hAnsi="Times New Roman" w:cs="Times New Roman"/>
                      <w:color w:val="auto"/>
                      <w:spacing w:val="0"/>
                      <w:sz w:val="21"/>
                      <w:szCs w:val="21"/>
                      <w:highlight w:val="none"/>
                      <w:vertAlign w:val="subscript"/>
                    </w:rPr>
                    <w:t>2</w:t>
                  </w:r>
                  <w:r>
                    <w:rPr>
                      <w:rFonts w:hint="default" w:ascii="Times New Roman" w:hAnsi="Times New Roman" w:cs="Times New Roman"/>
                      <w:color w:val="auto"/>
                      <w:spacing w:val="0"/>
                      <w:sz w:val="21"/>
                      <w:szCs w:val="21"/>
                      <w:highlight w:val="none"/>
                    </w:rPr>
                    <w:t>/万元产值。</w:t>
                  </w:r>
                </w:p>
                <w:p w14:paraId="34FADA3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4.新建、改建废塑料回收再生项目应满足《废塑料回收与再生利用污染控制技术规范（DB13 T5361-2021）》的相关要求；新建、改扩建的废轮胎加工利用企业应满足《废旧轮胎综合利用行业规范条件（2020年本）》相关要求；废</w:t>
                  </w:r>
                </w:p>
                <w:p w14:paraId="541D088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旧电子产品回收项目应满足《废弃电器电子产品回收处理管理条例》相关要求；新建报废机动车拆解项目应满足《报废机动车拆解企业污染控制技术规范》（HJ348-2022）相关要求。</w:t>
                  </w:r>
                </w:p>
                <w:p w14:paraId="3D4B020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5.重点行业建设项目按照《关于加强重点行业建设项目区域削减措施监督管理的通知</w:t>
                  </w:r>
                  <w:r>
                    <w:rPr>
                      <w:rFonts w:hint="eastAsia" w:cs="Times New Roman"/>
                      <w:color w:val="auto"/>
                      <w:spacing w:val="0"/>
                      <w:sz w:val="21"/>
                      <w:szCs w:val="21"/>
                      <w:highlight w:val="none"/>
                      <w:lang w:eastAsia="zh-CN"/>
                    </w:rPr>
                    <w:t>（</w:t>
                  </w:r>
                  <w:r>
                    <w:rPr>
                      <w:rFonts w:hint="default" w:ascii="Times New Roman" w:hAnsi="Times New Roman" w:cs="Times New Roman"/>
                      <w:color w:val="auto"/>
                      <w:spacing w:val="0"/>
                      <w:sz w:val="21"/>
                      <w:szCs w:val="21"/>
                      <w:highlight w:val="none"/>
                    </w:rPr>
                    <w:t>环办环评〔2020〕36号</w:t>
                  </w:r>
                  <w:r>
                    <w:rPr>
                      <w:rFonts w:hint="eastAsia" w:cs="Times New Roman"/>
                      <w:color w:val="auto"/>
                      <w:spacing w:val="0"/>
                      <w:sz w:val="21"/>
                      <w:szCs w:val="21"/>
                      <w:highlight w:val="none"/>
                      <w:lang w:eastAsia="zh-CN"/>
                    </w:rPr>
                    <w:t>）</w:t>
                  </w:r>
                  <w:r>
                    <w:rPr>
                      <w:rFonts w:hint="default" w:ascii="Times New Roman" w:hAnsi="Times New Roman" w:cs="Times New Roman"/>
                      <w:color w:val="auto"/>
                      <w:spacing w:val="0"/>
                      <w:sz w:val="21"/>
                      <w:szCs w:val="21"/>
                      <w:highlight w:val="none"/>
                    </w:rPr>
                    <w:t>》要求，严格落实区域主要污染物削减方案。</w:t>
                  </w:r>
                </w:p>
                <w:p w14:paraId="5B71092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6.结合《邯郸市重点行业环保绩效创A实施方案》要求，评价范围内涉及企业按照要求完成环保绩效创A工作；按照省、市关于涉挥发性有机物企业的要求，加强区内涉挥发性有机物企业车间的密闭和废气有效收集，开展低效挥发性有机物治理设施提标改造</w:t>
                  </w:r>
                </w:p>
              </w:tc>
              <w:tc>
                <w:tcPr>
                  <w:tcW w:w="1094" w:type="pct"/>
                  <w:noWrap w:val="0"/>
                  <w:vAlign w:val="center"/>
                </w:tcPr>
                <w:p w14:paraId="55AA175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宋体" w:cs="Times New Roman"/>
                      <w:color w:val="FF0000"/>
                      <w:spacing w:val="0"/>
                      <w:sz w:val="21"/>
                      <w:szCs w:val="21"/>
                      <w:highlight w:val="none"/>
                      <w:lang w:val="en-US" w:eastAsia="zh-CN"/>
                    </w:rPr>
                  </w:pPr>
                  <w:r>
                    <w:rPr>
                      <w:rFonts w:hint="eastAsia" w:ascii="Times New Roman" w:hAnsi="Times New Roman" w:cs="Times New Roman"/>
                      <w:color w:val="auto"/>
                      <w:spacing w:val="0"/>
                      <w:sz w:val="21"/>
                      <w:szCs w:val="21"/>
                      <w:highlight w:val="none"/>
                      <w:lang w:val="en-US" w:eastAsia="zh-CN"/>
                    </w:rPr>
                    <w:t>本项目产生的污染物主要为颗粒物、非甲烷总烃等，且污染物排放量较小，不属于重污染、高能耗类项目</w:t>
                  </w:r>
                  <w:r>
                    <w:rPr>
                      <w:rFonts w:hint="eastAsia" w:cs="Times New Roman"/>
                      <w:color w:val="auto"/>
                      <w:spacing w:val="0"/>
                      <w:sz w:val="21"/>
                      <w:szCs w:val="21"/>
                      <w:highlight w:val="none"/>
                      <w:lang w:val="en-US" w:eastAsia="zh-CN"/>
                    </w:rPr>
                    <w:t>；项目属于再生资源循环经济产业（塑料循环经济），满足《废塑料回收与再生利用污染控制技术规范（DB13 T5361-2021）》的相关要求；项目不涉及区域主要污染物削减，无</w:t>
                  </w:r>
                  <w:r>
                    <w:rPr>
                      <w:rFonts w:hint="default" w:ascii="Times New Roman" w:hAnsi="Times New Roman" w:cs="Times New Roman"/>
                      <w:color w:val="auto"/>
                      <w:spacing w:val="0"/>
                      <w:sz w:val="21"/>
                      <w:szCs w:val="21"/>
                      <w:highlight w:val="none"/>
                    </w:rPr>
                    <w:t>绩效评级要求</w:t>
                  </w:r>
                </w:p>
              </w:tc>
              <w:tc>
                <w:tcPr>
                  <w:tcW w:w="483" w:type="pct"/>
                  <w:noWrap w:val="0"/>
                  <w:vAlign w:val="center"/>
                </w:tcPr>
                <w:p w14:paraId="2589F88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cs="Times New Roman"/>
                      <w:color w:val="FF0000"/>
                      <w:spacing w:val="0"/>
                      <w:sz w:val="21"/>
                      <w:szCs w:val="21"/>
                      <w:highlight w:val="none"/>
                      <w:lang w:val="en-US" w:eastAsia="zh-CN"/>
                    </w:rPr>
                  </w:pPr>
                  <w:r>
                    <w:rPr>
                      <w:rFonts w:hint="eastAsia" w:ascii="Times New Roman" w:hAnsi="Times New Roman" w:cs="Times New Roman"/>
                      <w:bCs/>
                      <w:color w:val="auto"/>
                      <w:spacing w:val="0"/>
                      <w:sz w:val="21"/>
                      <w:szCs w:val="21"/>
                      <w:highlight w:val="none"/>
                      <w:lang w:val="en-US" w:eastAsia="zh-CN"/>
                    </w:rPr>
                    <w:t>符合</w:t>
                  </w:r>
                </w:p>
              </w:tc>
            </w:tr>
            <w:tr w14:paraId="02B18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377" w:type="pct"/>
                  <w:noWrap w:val="0"/>
                  <w:vAlign w:val="center"/>
                </w:tcPr>
                <w:p w14:paraId="057901F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环境风险防控</w:t>
                  </w:r>
                </w:p>
              </w:tc>
              <w:tc>
                <w:tcPr>
                  <w:tcW w:w="3043" w:type="pct"/>
                  <w:noWrap w:val="0"/>
                  <w:vAlign w:val="center"/>
                </w:tcPr>
                <w:p w14:paraId="129D520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宋体" w:cs="Times New Roman"/>
                      <w:color w:val="auto"/>
                      <w:spacing w:val="0"/>
                      <w:sz w:val="21"/>
                      <w:szCs w:val="21"/>
                      <w:highlight w:val="none"/>
                      <w:lang w:eastAsia="zh-CN"/>
                    </w:rPr>
                  </w:pPr>
                  <w:r>
                    <w:rPr>
                      <w:rFonts w:hint="default" w:ascii="Times New Roman" w:hAnsi="Times New Roman" w:cs="Times New Roman"/>
                      <w:color w:val="auto"/>
                      <w:spacing w:val="0"/>
                      <w:sz w:val="21"/>
                      <w:szCs w:val="21"/>
                      <w:highlight w:val="none"/>
                    </w:rPr>
                    <w:t>1.重点监管企业和开发区周边土壤环境，定期开展监督性监测，重点监测重金属和持久性有机污染物</w:t>
                  </w:r>
                  <w:r>
                    <w:rPr>
                      <w:rFonts w:hint="eastAsia" w:cs="Times New Roman"/>
                      <w:color w:val="auto"/>
                      <w:spacing w:val="0"/>
                      <w:sz w:val="21"/>
                      <w:szCs w:val="21"/>
                      <w:highlight w:val="none"/>
                      <w:lang w:eastAsia="zh-CN"/>
                    </w:rPr>
                    <w:t>。</w:t>
                  </w:r>
                </w:p>
                <w:p w14:paraId="3AF3BF9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2.对于易导致环境风险的有毒有害和易燃易爆物质的生产、使用、排放、贮运等新建、改扩建项目，风险防控措施应满足本评价提出的环境风险管理要求。</w:t>
                  </w:r>
                </w:p>
                <w:p w14:paraId="71D50B5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3.建立大气、地表水、地下水、噪声、土壤等环境监测体系，定期开展环境监测。</w:t>
                  </w:r>
                </w:p>
                <w:p w14:paraId="41879AC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4.强化区域环境风险联防联控，建立企业、园区、区域三级联动风险防控体系，定期开展环境安全隐患排查。</w:t>
                  </w:r>
                </w:p>
                <w:p w14:paraId="08F9FD3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5.产生危险废物的单位应当按照国家有关规定制定危险废物管理计划，建立危险废物管理台账，推动实现危险废物全过程监控和信息化追溯，做到全过程监管</w:t>
                  </w:r>
                </w:p>
              </w:tc>
              <w:tc>
                <w:tcPr>
                  <w:tcW w:w="1094" w:type="pct"/>
                  <w:noWrap w:val="0"/>
                  <w:vAlign w:val="center"/>
                </w:tcPr>
                <w:p w14:paraId="081FE69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宋体" w:cs="Times New Roman"/>
                      <w:color w:val="FF0000"/>
                      <w:spacing w:val="0"/>
                      <w:sz w:val="21"/>
                      <w:szCs w:val="21"/>
                      <w:highlight w:val="none"/>
                      <w:lang w:val="en-US" w:eastAsia="zh-CN"/>
                    </w:rPr>
                  </w:pPr>
                  <w:r>
                    <w:rPr>
                      <w:rFonts w:hint="eastAsia" w:ascii="Times New Roman" w:hAnsi="Times New Roman" w:cs="Times New Roman"/>
                      <w:color w:val="auto"/>
                      <w:spacing w:val="0"/>
                      <w:sz w:val="21"/>
                      <w:szCs w:val="21"/>
                      <w:highlight w:val="none"/>
                      <w:lang w:val="en-US" w:eastAsia="zh-CN"/>
                    </w:rPr>
                    <w:t>本次评价已提出相应风险防控措施，满足</w:t>
                  </w:r>
                  <w:r>
                    <w:rPr>
                      <w:rFonts w:hint="default" w:ascii="Times New Roman" w:hAnsi="Times New Roman" w:cs="Times New Roman"/>
                      <w:color w:val="auto"/>
                      <w:spacing w:val="0"/>
                      <w:sz w:val="21"/>
                      <w:szCs w:val="21"/>
                      <w:highlight w:val="none"/>
                    </w:rPr>
                    <w:t>环境风险管理要求</w:t>
                  </w:r>
                  <w:r>
                    <w:rPr>
                      <w:rFonts w:hint="eastAsia" w:cs="Times New Roman"/>
                      <w:color w:val="auto"/>
                      <w:spacing w:val="0"/>
                      <w:sz w:val="21"/>
                      <w:szCs w:val="21"/>
                      <w:highlight w:val="none"/>
                      <w:lang w:eastAsia="zh-CN"/>
                    </w:rPr>
                    <w:t>；</w:t>
                  </w:r>
                  <w:r>
                    <w:rPr>
                      <w:rFonts w:hint="eastAsia" w:cs="Times New Roman"/>
                      <w:color w:val="auto"/>
                      <w:spacing w:val="0"/>
                      <w:sz w:val="21"/>
                      <w:szCs w:val="21"/>
                      <w:highlight w:val="none"/>
                      <w:lang w:val="en-US" w:eastAsia="zh-CN"/>
                    </w:rPr>
                    <w:t>项目</w:t>
                  </w:r>
                  <w:r>
                    <w:rPr>
                      <w:rFonts w:hint="eastAsia" w:cs="Times New Roman"/>
                      <w:color w:val="auto"/>
                      <w:spacing w:val="0"/>
                      <w:sz w:val="21"/>
                      <w:szCs w:val="21"/>
                      <w:highlight w:val="none"/>
                      <w:lang w:eastAsia="zh-CN"/>
                    </w:rPr>
                    <w:t>不涉及环境空气、地表水等环境要素的监控体系；</w:t>
                  </w:r>
                  <w:r>
                    <w:rPr>
                      <w:rFonts w:hint="eastAsia" w:cs="Times New Roman"/>
                      <w:color w:val="auto"/>
                      <w:spacing w:val="0"/>
                      <w:sz w:val="21"/>
                      <w:szCs w:val="21"/>
                      <w:highlight w:val="none"/>
                      <w:lang w:val="en-US" w:eastAsia="zh-CN"/>
                    </w:rPr>
                    <w:t>项目建设完成后将</w:t>
                  </w:r>
                  <w:r>
                    <w:rPr>
                      <w:rFonts w:hint="default" w:ascii="Times New Roman" w:hAnsi="Times New Roman" w:cs="Times New Roman"/>
                      <w:color w:val="auto"/>
                      <w:spacing w:val="0"/>
                      <w:sz w:val="21"/>
                      <w:szCs w:val="21"/>
                      <w:highlight w:val="none"/>
                    </w:rPr>
                    <w:t>按照国家有关规定制定危险废物管理计划，建立危险废物管理台账</w:t>
                  </w:r>
                </w:p>
              </w:tc>
              <w:tc>
                <w:tcPr>
                  <w:tcW w:w="483" w:type="pct"/>
                  <w:noWrap w:val="0"/>
                  <w:vAlign w:val="center"/>
                </w:tcPr>
                <w:p w14:paraId="1DB59B8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宋体" w:cs="Times New Roman"/>
                      <w:color w:val="FF0000"/>
                      <w:spacing w:val="0"/>
                      <w:sz w:val="21"/>
                      <w:szCs w:val="21"/>
                      <w:highlight w:val="none"/>
                      <w:lang w:val="en-US" w:eastAsia="zh-CN"/>
                    </w:rPr>
                  </w:pPr>
                  <w:r>
                    <w:rPr>
                      <w:rFonts w:hint="eastAsia" w:ascii="Times New Roman" w:hAnsi="Times New Roman" w:cs="Times New Roman"/>
                      <w:color w:val="auto"/>
                      <w:spacing w:val="0"/>
                      <w:sz w:val="21"/>
                      <w:szCs w:val="21"/>
                      <w:highlight w:val="none"/>
                      <w:lang w:val="en-US" w:eastAsia="zh-CN"/>
                    </w:rPr>
                    <w:t>符合</w:t>
                  </w:r>
                </w:p>
              </w:tc>
            </w:tr>
            <w:tr w14:paraId="1A45D0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377" w:type="pct"/>
                  <w:noWrap w:val="0"/>
                  <w:vAlign w:val="center"/>
                </w:tcPr>
                <w:p w14:paraId="4D121D4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宋体" w:cs="Times New Roman"/>
                      <w:color w:val="auto"/>
                      <w:spacing w:val="0"/>
                      <w:sz w:val="21"/>
                      <w:szCs w:val="21"/>
                      <w:highlight w:val="none"/>
                      <w:lang w:val="en-US" w:eastAsia="zh-CN"/>
                    </w:rPr>
                  </w:pPr>
                  <w:r>
                    <w:rPr>
                      <w:rFonts w:hint="default" w:ascii="Times New Roman" w:hAnsi="Times New Roman" w:cs="Times New Roman"/>
                      <w:color w:val="auto"/>
                      <w:spacing w:val="0"/>
                      <w:sz w:val="21"/>
                      <w:szCs w:val="21"/>
                      <w:highlight w:val="none"/>
                    </w:rPr>
                    <w:t>资源开发利用</w:t>
                  </w:r>
                  <w:r>
                    <w:rPr>
                      <w:rFonts w:hint="eastAsia" w:cs="Times New Roman"/>
                      <w:color w:val="auto"/>
                      <w:spacing w:val="0"/>
                      <w:sz w:val="21"/>
                      <w:szCs w:val="21"/>
                      <w:highlight w:val="none"/>
                      <w:lang w:val="en-US" w:eastAsia="zh-CN"/>
                    </w:rPr>
                    <w:t>要求</w:t>
                  </w:r>
                </w:p>
              </w:tc>
              <w:tc>
                <w:tcPr>
                  <w:tcW w:w="3043" w:type="pct"/>
                  <w:noWrap w:val="0"/>
                  <w:vAlign w:val="center"/>
                </w:tcPr>
                <w:p w14:paraId="6721EBA1">
                  <w:pPr>
                    <w:keepNext w:val="0"/>
                    <w:keepLines w:val="0"/>
                    <w:pageBreakBefore w:val="0"/>
                    <w:widowControl w:val="0"/>
                    <w:kinsoku/>
                    <w:wordWrap/>
                    <w:overflowPunct/>
                    <w:topLinePunct w:val="0"/>
                    <w:autoSpaceDE/>
                    <w:autoSpaceDN/>
                    <w:bidi w:val="0"/>
                    <w:adjustRightInd w:val="0"/>
                    <w:snapToGrid w:val="0"/>
                    <w:spacing w:line="250" w:lineRule="exact"/>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1.入区项目应优先使用再生水，禁止开采地下水。</w:t>
                  </w:r>
                </w:p>
                <w:p w14:paraId="48E42204">
                  <w:pPr>
                    <w:keepNext w:val="0"/>
                    <w:keepLines w:val="0"/>
                    <w:pageBreakBefore w:val="0"/>
                    <w:widowControl w:val="0"/>
                    <w:kinsoku/>
                    <w:wordWrap/>
                    <w:overflowPunct/>
                    <w:topLinePunct w:val="0"/>
                    <w:autoSpaceDE/>
                    <w:autoSpaceDN/>
                    <w:bidi w:val="0"/>
                    <w:adjustRightInd w:val="0"/>
                    <w:snapToGrid w:val="0"/>
                    <w:spacing w:line="250" w:lineRule="exact"/>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2.入区项目资源和能源消耗量应满足开发区划定的土地、水、能源等主要资源能源可开发利用总量上线，其中，土地利用上线为工业用地面积779.92hm</w:t>
                  </w:r>
                  <w:r>
                    <w:rPr>
                      <w:rFonts w:hint="default" w:ascii="Times New Roman" w:hAnsi="Times New Roman" w:eastAsia="宋体" w:cs="Times New Roman"/>
                      <w:color w:val="auto"/>
                      <w:spacing w:val="0"/>
                      <w:sz w:val="21"/>
                      <w:szCs w:val="21"/>
                      <w:highlight w:val="none"/>
                      <w:vertAlign w:val="superscript"/>
                      <w:lang w:val="en-US" w:eastAsia="zh-CN"/>
                    </w:rPr>
                    <w:t>2</w:t>
                  </w:r>
                  <w:r>
                    <w:rPr>
                      <w:rFonts w:hint="default" w:ascii="Times New Roman" w:hAnsi="Times New Roman" w:eastAsia="宋体" w:cs="Times New Roman"/>
                      <w:color w:val="auto"/>
                      <w:spacing w:val="0"/>
                      <w:sz w:val="21"/>
                      <w:szCs w:val="21"/>
                      <w:highlight w:val="none"/>
                      <w:lang w:val="en-US" w:eastAsia="zh-CN"/>
                    </w:rPr>
                    <w:t>；水资源利用上线为地表水新水用量为222.85万m</w:t>
                  </w:r>
                  <w:r>
                    <w:rPr>
                      <w:rFonts w:hint="default" w:ascii="Times New Roman" w:hAnsi="Times New Roman" w:eastAsia="宋体" w:cs="Times New Roman"/>
                      <w:color w:val="auto"/>
                      <w:spacing w:val="0"/>
                      <w:sz w:val="21"/>
                      <w:szCs w:val="21"/>
                      <w:highlight w:val="none"/>
                      <w:vertAlign w:val="superscript"/>
                      <w:lang w:val="en-US" w:eastAsia="zh-CN"/>
                    </w:rPr>
                    <w:t>3</w:t>
                  </w:r>
                  <w:r>
                    <w:rPr>
                      <w:rFonts w:hint="default" w:ascii="Times New Roman" w:hAnsi="Times New Roman" w:eastAsia="宋体" w:cs="Times New Roman"/>
                      <w:color w:val="auto"/>
                      <w:spacing w:val="0"/>
                      <w:sz w:val="21"/>
                      <w:szCs w:val="21"/>
                      <w:highlight w:val="none"/>
                      <w:lang w:val="en-US" w:eastAsia="zh-CN"/>
                    </w:rPr>
                    <w:t>/a；能源利用上线为天然气用量为7531.70万m</w:t>
                  </w:r>
                  <w:r>
                    <w:rPr>
                      <w:rFonts w:hint="default" w:ascii="Times New Roman" w:hAnsi="Times New Roman" w:eastAsia="宋体" w:cs="Times New Roman"/>
                      <w:color w:val="auto"/>
                      <w:spacing w:val="0"/>
                      <w:sz w:val="21"/>
                      <w:szCs w:val="21"/>
                      <w:highlight w:val="none"/>
                      <w:vertAlign w:val="superscript"/>
                      <w:lang w:val="en-US" w:eastAsia="zh-CN"/>
                    </w:rPr>
                    <w:t>3</w:t>
                  </w:r>
                  <w:r>
                    <w:rPr>
                      <w:rFonts w:hint="default" w:ascii="Times New Roman" w:hAnsi="Times New Roman" w:eastAsia="宋体" w:cs="Times New Roman"/>
                      <w:color w:val="auto"/>
                      <w:spacing w:val="0"/>
                      <w:sz w:val="21"/>
                      <w:szCs w:val="21"/>
                      <w:highlight w:val="none"/>
                      <w:lang w:val="en-US" w:eastAsia="zh-CN"/>
                    </w:rPr>
                    <w:t>/a。新入开发区项目水耗、能耗等达到行业清洁生产标准先进水平。</w:t>
                  </w:r>
                </w:p>
                <w:p w14:paraId="6474FB73">
                  <w:pPr>
                    <w:keepNext w:val="0"/>
                    <w:keepLines w:val="0"/>
                    <w:pageBreakBefore w:val="0"/>
                    <w:widowControl w:val="0"/>
                    <w:kinsoku/>
                    <w:wordWrap/>
                    <w:overflowPunct/>
                    <w:topLinePunct w:val="0"/>
                    <w:autoSpaceDE/>
                    <w:autoSpaceDN/>
                    <w:bidi w:val="0"/>
                    <w:adjustRightInd w:val="0"/>
                    <w:snapToGrid w:val="0"/>
                    <w:spacing w:line="250" w:lineRule="exact"/>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3、加强工业项目建设用地管理，新建、改建、扩建工业项目占地应符合《工业项目建设用地控制指标》相关要求。</w:t>
                  </w:r>
                </w:p>
                <w:p w14:paraId="542CD5EB">
                  <w:pPr>
                    <w:keepNext w:val="0"/>
                    <w:keepLines w:val="0"/>
                    <w:pageBreakBefore w:val="0"/>
                    <w:widowControl w:val="0"/>
                    <w:kinsoku/>
                    <w:wordWrap/>
                    <w:overflowPunct/>
                    <w:topLinePunct w:val="0"/>
                    <w:autoSpaceDE/>
                    <w:autoSpaceDN/>
                    <w:bidi w:val="0"/>
                    <w:adjustRightInd w:val="0"/>
                    <w:snapToGrid w:val="0"/>
                    <w:spacing w:line="250" w:lineRule="exact"/>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4、不断优化能源消费结构，优先利用区域集中供热和工业余热资源，禁止建设分散燃煤供热设施</w:t>
                  </w:r>
                </w:p>
              </w:tc>
              <w:tc>
                <w:tcPr>
                  <w:tcW w:w="1094" w:type="pct"/>
                  <w:noWrap w:val="0"/>
                  <w:vAlign w:val="center"/>
                </w:tcPr>
                <w:p w14:paraId="0CD083D4">
                  <w:pPr>
                    <w:keepNext w:val="0"/>
                    <w:keepLines w:val="0"/>
                    <w:pageBreakBefore w:val="0"/>
                    <w:widowControl w:val="0"/>
                    <w:kinsoku/>
                    <w:wordWrap/>
                    <w:overflowPunct/>
                    <w:topLinePunct w:val="0"/>
                    <w:autoSpaceDE/>
                    <w:autoSpaceDN/>
                    <w:bidi w:val="0"/>
                    <w:adjustRightInd w:val="0"/>
                    <w:snapToGrid w:val="0"/>
                    <w:spacing w:line="250" w:lineRule="exact"/>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cs="Times New Roman"/>
                      <w:color w:val="auto"/>
                      <w:spacing w:val="0"/>
                      <w:sz w:val="21"/>
                      <w:szCs w:val="21"/>
                      <w:highlight w:val="none"/>
                      <w:lang w:val="en-US" w:eastAsia="zh-CN"/>
                    </w:rPr>
                    <w:t>本项目用水由园区供水管网供给，不取用地下水</w:t>
                  </w:r>
                  <w:r>
                    <w:rPr>
                      <w:rFonts w:hint="eastAsia" w:cs="Times New Roman"/>
                      <w:color w:val="auto"/>
                      <w:spacing w:val="0"/>
                      <w:sz w:val="21"/>
                      <w:szCs w:val="21"/>
                      <w:highlight w:val="none"/>
                      <w:lang w:val="en-US" w:eastAsia="zh-CN"/>
                    </w:rPr>
                    <w:t>；项目</w:t>
                  </w:r>
                  <w:r>
                    <w:rPr>
                      <w:rFonts w:hint="eastAsia" w:ascii="Times New Roman" w:hAnsi="Times New Roman" w:cs="Times New Roman"/>
                      <w:color w:val="auto"/>
                      <w:spacing w:val="0"/>
                      <w:sz w:val="21"/>
                      <w:szCs w:val="21"/>
                      <w:highlight w:val="none"/>
                      <w:lang w:val="en-US" w:eastAsia="zh-CN"/>
                    </w:rPr>
                    <w:t>不属于高污染、高消耗型企业，</w:t>
                  </w:r>
                  <w:r>
                    <w:rPr>
                      <w:rFonts w:hint="eastAsia" w:cs="Times New Roman"/>
                      <w:color w:val="auto"/>
                      <w:spacing w:val="0"/>
                      <w:sz w:val="21"/>
                      <w:szCs w:val="21"/>
                      <w:highlight w:val="none"/>
                      <w:lang w:val="en-US" w:eastAsia="zh-CN"/>
                    </w:rPr>
                    <w:t>资源能源消耗量相对区域资源能源利用总量较少，</w:t>
                  </w:r>
                  <w:r>
                    <w:rPr>
                      <w:rFonts w:hint="default" w:ascii="Times New Roman" w:hAnsi="Times New Roman" w:cs="Times New Roman"/>
                      <w:color w:val="auto"/>
                      <w:spacing w:val="0"/>
                      <w:sz w:val="21"/>
                      <w:szCs w:val="21"/>
                      <w:highlight w:val="none"/>
                    </w:rPr>
                    <w:t>资源和能源消耗量满足</w:t>
                  </w:r>
                  <w:r>
                    <w:rPr>
                      <w:rFonts w:hint="eastAsia" w:cs="Times New Roman"/>
                      <w:color w:val="auto"/>
                      <w:spacing w:val="0"/>
                      <w:sz w:val="21"/>
                      <w:szCs w:val="21"/>
                      <w:highlight w:val="none"/>
                      <w:lang w:val="en-US" w:eastAsia="zh-CN"/>
                    </w:rPr>
                    <w:t>可</w:t>
                  </w:r>
                  <w:r>
                    <w:rPr>
                      <w:rFonts w:hint="default" w:ascii="Times New Roman" w:hAnsi="Times New Roman" w:cs="Times New Roman"/>
                      <w:color w:val="auto"/>
                      <w:spacing w:val="0"/>
                      <w:sz w:val="21"/>
                      <w:szCs w:val="21"/>
                      <w:highlight w:val="none"/>
                    </w:rPr>
                    <w:t>开发利用总量上线</w:t>
                  </w:r>
                  <w:r>
                    <w:rPr>
                      <w:rFonts w:hint="eastAsia" w:cs="Times New Roman"/>
                      <w:color w:val="auto"/>
                      <w:spacing w:val="0"/>
                      <w:sz w:val="21"/>
                      <w:szCs w:val="21"/>
                      <w:highlight w:val="none"/>
                      <w:lang w:eastAsia="zh-CN"/>
                    </w:rPr>
                    <w:t>；</w:t>
                  </w:r>
                  <w:r>
                    <w:rPr>
                      <w:rFonts w:hint="eastAsia" w:cs="Times New Roman"/>
                      <w:color w:val="auto"/>
                      <w:spacing w:val="0"/>
                      <w:sz w:val="21"/>
                      <w:szCs w:val="21"/>
                      <w:highlight w:val="none"/>
                      <w:lang w:val="en-US" w:eastAsia="zh-CN"/>
                    </w:rPr>
                    <w:t>项目占地为工业用地；项目生产用热采用电加热，办公采暖及制冷均采用空调</w:t>
                  </w:r>
                </w:p>
              </w:tc>
              <w:tc>
                <w:tcPr>
                  <w:tcW w:w="483" w:type="pct"/>
                  <w:noWrap w:val="0"/>
                  <w:vAlign w:val="center"/>
                </w:tcPr>
                <w:p w14:paraId="0A65E30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cs="Times New Roman"/>
                      <w:color w:val="auto"/>
                      <w:spacing w:val="0"/>
                      <w:sz w:val="21"/>
                      <w:szCs w:val="21"/>
                      <w:highlight w:val="none"/>
                      <w:lang w:val="en-US" w:eastAsia="zh-CN"/>
                    </w:rPr>
                  </w:pPr>
                  <w:r>
                    <w:rPr>
                      <w:rFonts w:hint="eastAsia" w:ascii="Times New Roman" w:hAnsi="Times New Roman" w:cs="Times New Roman"/>
                      <w:bCs/>
                      <w:color w:val="auto"/>
                      <w:spacing w:val="0"/>
                      <w:sz w:val="21"/>
                      <w:szCs w:val="21"/>
                      <w:highlight w:val="none"/>
                      <w:lang w:val="en-US" w:eastAsia="zh-CN"/>
                    </w:rPr>
                    <w:t>符合</w:t>
                  </w:r>
                </w:p>
              </w:tc>
            </w:tr>
          </w:tbl>
          <w:p w14:paraId="6365EDFF">
            <w:pPr>
              <w:numPr>
                <w:ilvl w:val="0"/>
                <w:numId w:val="0"/>
              </w:numPr>
              <w:spacing w:line="480" w:lineRule="exact"/>
              <w:ind w:firstLine="480" w:firstLineChars="200"/>
              <w:outlineLvl w:val="0"/>
              <w:rPr>
                <w:rFonts w:hint="default" w:ascii="Times New Roman" w:hAnsi="Times New Roman" w:cs="Times New Roman" w:eastAsiaTheme="minorEastAsia"/>
                <w:color w:val="auto"/>
                <w:sz w:val="24"/>
                <w:szCs w:val="24"/>
              </w:rPr>
            </w:pPr>
            <w:r>
              <w:rPr>
                <w:rFonts w:hint="eastAsia" w:cs="Times New Roman" w:eastAsiaTheme="minorEastAsia"/>
                <w:color w:val="000000" w:themeColor="text1"/>
                <w:sz w:val="24"/>
                <w:szCs w:val="24"/>
                <w:lang w:val="en-US" w:eastAsia="zh-CN"/>
                <w14:textFill>
                  <w14:solidFill>
                    <w14:schemeClr w14:val="tx1"/>
                  </w14:solidFill>
                </w14:textFill>
              </w:rPr>
              <w:t>综上所述，项目符合开发区生态环境准入清单</w:t>
            </w:r>
            <w:r>
              <w:rPr>
                <w:rFonts w:hint="eastAsia" w:ascii="Times New Roman" w:hAnsi="Times New Roman" w:cs="Times New Roman"/>
                <w:bCs/>
                <w:color w:val="000000" w:themeColor="text1"/>
                <w:sz w:val="24"/>
                <w:lang w:val="en-US" w:eastAsia="zh-CN"/>
                <w14:textFill>
                  <w14:solidFill>
                    <w14:schemeClr w14:val="tx1"/>
                  </w14:solidFill>
                </w14:textFill>
              </w:rPr>
              <w:t>相关要求</w:t>
            </w:r>
            <w:r>
              <w:rPr>
                <w:rFonts w:hint="eastAsia" w:cs="Times New Roman" w:eastAsiaTheme="minorEastAsia"/>
                <w:color w:val="000000" w:themeColor="text1"/>
                <w:sz w:val="24"/>
                <w:szCs w:val="24"/>
                <w:lang w:eastAsia="zh-CN"/>
                <w14:textFill>
                  <w14:solidFill>
                    <w14:schemeClr w14:val="tx1"/>
                  </w14:solidFill>
                </w14:textFill>
              </w:rPr>
              <w:t>。</w:t>
            </w:r>
          </w:p>
          <w:p w14:paraId="5E7C4069">
            <w:pPr>
              <w:spacing w:line="480" w:lineRule="exact"/>
              <w:outlineLvl w:val="0"/>
              <w:rPr>
                <w:rFonts w:hint="eastAsia" w:ascii="Times New Roman" w:hAnsi="Times New Roman" w:cs="Times New Roman" w:eastAsiaTheme="minorEastAsia"/>
                <w:b/>
                <w:bCs w:val="0"/>
                <w:color w:val="000000" w:themeColor="text1"/>
                <w:kern w:val="0"/>
                <w:sz w:val="24"/>
                <w:lang w:val="en-US" w:eastAsia="zh-CN"/>
                <w14:textFill>
                  <w14:solidFill>
                    <w14:schemeClr w14:val="tx1"/>
                  </w14:solidFill>
                </w14:textFill>
              </w:rPr>
            </w:pPr>
            <w:r>
              <w:rPr>
                <w:rFonts w:hint="eastAsia" w:cs="Times New Roman" w:eastAsiaTheme="minorEastAsia"/>
                <w:b/>
                <w:bCs w:val="0"/>
                <w:color w:val="000000" w:themeColor="text1"/>
                <w:kern w:val="0"/>
                <w:sz w:val="24"/>
                <w:lang w:val="en-US" w:eastAsia="zh-CN"/>
                <w14:textFill>
                  <w14:solidFill>
                    <w14:schemeClr w14:val="tx1"/>
                  </w14:solidFill>
                </w14:textFill>
              </w:rPr>
              <w:t>4</w:t>
            </w:r>
            <w:r>
              <w:rPr>
                <w:rFonts w:hint="eastAsia" w:ascii="Times New Roman" w:hAnsi="Times New Roman" w:cs="Times New Roman" w:eastAsiaTheme="minorEastAsia"/>
                <w:b/>
                <w:bCs w:val="0"/>
                <w:color w:val="000000" w:themeColor="text1"/>
                <w:kern w:val="0"/>
                <w:sz w:val="24"/>
                <w:lang w:val="en-US" w:eastAsia="zh-CN"/>
                <w14:textFill>
                  <w14:solidFill>
                    <w14:schemeClr w14:val="tx1"/>
                  </w14:solidFill>
                </w14:textFill>
              </w:rPr>
              <w:t xml:space="preserve"> </w:t>
            </w:r>
            <w:r>
              <w:rPr>
                <w:rFonts w:hint="eastAsia" w:cs="Times New Roman" w:eastAsiaTheme="minorEastAsia"/>
                <w:b/>
                <w:bCs w:val="0"/>
                <w:color w:val="000000" w:themeColor="text1"/>
                <w:kern w:val="0"/>
                <w:sz w:val="24"/>
                <w:lang w:val="en-US" w:eastAsia="zh-CN"/>
                <w14:textFill>
                  <w14:solidFill>
                    <w14:schemeClr w14:val="tx1"/>
                  </w14:solidFill>
                </w14:textFill>
              </w:rPr>
              <w:t>与</w:t>
            </w:r>
            <w:r>
              <w:rPr>
                <w:rFonts w:hint="eastAsia" w:ascii="Times New Roman" w:hAnsi="Times New Roman" w:cs="Times New Roman" w:eastAsiaTheme="minorEastAsia"/>
                <w:b/>
                <w:bCs w:val="0"/>
                <w:color w:val="000000" w:themeColor="text1"/>
                <w:kern w:val="0"/>
                <w:sz w:val="24"/>
                <w:lang w:val="en-US" w:eastAsia="zh-CN"/>
                <w14:textFill>
                  <w14:solidFill>
                    <w14:schemeClr w14:val="tx1"/>
                  </w14:solidFill>
                </w14:textFill>
              </w:rPr>
              <w:t>《邯郸市生态环境准入清单》（202</w:t>
            </w:r>
            <w:r>
              <w:rPr>
                <w:rFonts w:hint="eastAsia" w:cs="Times New Roman" w:eastAsiaTheme="minorEastAsia"/>
                <w:b/>
                <w:bCs w:val="0"/>
                <w:color w:val="000000" w:themeColor="text1"/>
                <w:kern w:val="0"/>
                <w:sz w:val="24"/>
                <w:lang w:val="en-US" w:eastAsia="zh-CN"/>
                <w14:textFill>
                  <w14:solidFill>
                    <w14:schemeClr w14:val="tx1"/>
                  </w14:solidFill>
                </w14:textFill>
              </w:rPr>
              <w:t>5</w:t>
            </w:r>
            <w:r>
              <w:rPr>
                <w:rFonts w:hint="eastAsia" w:ascii="Times New Roman" w:hAnsi="Times New Roman" w:cs="Times New Roman" w:eastAsiaTheme="minorEastAsia"/>
                <w:b/>
                <w:bCs w:val="0"/>
                <w:color w:val="000000" w:themeColor="text1"/>
                <w:kern w:val="0"/>
                <w:sz w:val="24"/>
                <w:lang w:val="en-US" w:eastAsia="zh-CN"/>
                <w14:textFill>
                  <w14:solidFill>
                    <w14:schemeClr w14:val="tx1"/>
                  </w14:solidFill>
                </w14:textFill>
              </w:rPr>
              <w:t>年版）符合性分析</w:t>
            </w:r>
          </w:p>
          <w:p w14:paraId="46771867">
            <w:pPr>
              <w:spacing w:line="480" w:lineRule="exact"/>
              <w:ind w:firstLine="480" w:firstLineChars="200"/>
              <w:outlineLvl w:val="0"/>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本项目与《邯郸市生态环境准入清单》（202</w:t>
            </w:r>
            <w:r>
              <w:rPr>
                <w:rFonts w:hint="eastAsia" w:cs="Times New Roman" w:eastAsiaTheme="minorEastAsia"/>
                <w:color w:val="000000" w:themeColor="text1"/>
                <w:sz w:val="24"/>
                <w:szCs w:val="24"/>
                <w:lang w:val="en-US" w:eastAsia="zh-CN"/>
                <w14:textFill>
                  <w14:solidFill>
                    <w14:schemeClr w14:val="tx1"/>
                  </w14:solidFill>
                </w14:textFill>
              </w:rPr>
              <w:t>5</w:t>
            </w:r>
            <w:r>
              <w:rPr>
                <w:rFonts w:hint="default" w:ascii="Times New Roman" w:hAnsi="Times New Roman" w:cs="Times New Roman" w:eastAsiaTheme="minorEastAsia"/>
                <w:color w:val="000000" w:themeColor="text1"/>
                <w:sz w:val="24"/>
                <w:szCs w:val="24"/>
                <w14:textFill>
                  <w14:solidFill>
                    <w14:schemeClr w14:val="tx1"/>
                  </w14:solidFill>
                </w14:textFill>
              </w:rPr>
              <w:t>年版）符合性分析见下表。</w:t>
            </w:r>
          </w:p>
          <w:p w14:paraId="41313056">
            <w:pPr>
              <w:autoSpaceDE w:val="0"/>
              <w:autoSpaceDN w:val="0"/>
              <w:adjustRightInd w:val="0"/>
              <w:snapToGrid w:val="0"/>
              <w:spacing w:line="480" w:lineRule="exact"/>
              <w:jc w:val="center"/>
              <w:rPr>
                <w:rFonts w:hint="eastAsia" w:ascii="Times New Roman" w:hAnsi="Times New Roman" w:cs="Times New Roman" w:eastAsiaTheme="minorEastAsia"/>
                <w:b/>
                <w:bCs/>
                <w:color w:val="000000" w:themeColor="text1"/>
                <w:kern w:val="0"/>
                <w:sz w:val="24"/>
                <w:lang w:val="en-US" w:eastAsia="zh-CN"/>
                <w14:textFill>
                  <w14:solidFill>
                    <w14:schemeClr w14:val="tx1"/>
                  </w14:solidFill>
                </w14:textFill>
              </w:rPr>
            </w:pPr>
            <w:r>
              <w:rPr>
                <w:rFonts w:hint="eastAsia" w:ascii="Times New Roman" w:hAnsi="Times New Roman" w:cs="Times New Roman" w:eastAsiaTheme="minorEastAsia"/>
                <w:b/>
                <w:bCs/>
                <w:color w:val="000000" w:themeColor="text1"/>
                <w:kern w:val="0"/>
                <w:sz w:val="24"/>
                <w:lang w:val="en-US" w:eastAsia="zh-CN"/>
                <w14:textFill>
                  <w14:solidFill>
                    <w14:schemeClr w14:val="tx1"/>
                  </w14:solidFill>
                </w14:textFill>
              </w:rPr>
              <w:t>表</w:t>
            </w:r>
            <w:r>
              <w:rPr>
                <w:rFonts w:hint="eastAsia" w:cs="Times New Roman" w:eastAsiaTheme="minorEastAsia"/>
                <w:b/>
                <w:bCs/>
                <w:color w:val="000000" w:themeColor="text1"/>
                <w:kern w:val="0"/>
                <w:sz w:val="24"/>
                <w:lang w:val="en-US" w:eastAsia="zh-CN"/>
                <w14:textFill>
                  <w14:solidFill>
                    <w14:schemeClr w14:val="tx1"/>
                  </w14:solidFill>
                </w14:textFill>
              </w:rPr>
              <w:t>3</w:t>
            </w:r>
            <w:r>
              <w:rPr>
                <w:rFonts w:hint="eastAsia" w:ascii="Times New Roman" w:hAnsi="Times New Roman" w:cs="Times New Roman" w:eastAsiaTheme="minorEastAsia"/>
                <w:b/>
                <w:bCs/>
                <w:color w:val="000000" w:themeColor="text1"/>
                <w:kern w:val="0"/>
                <w:sz w:val="24"/>
                <w:lang w:val="en-US" w:eastAsia="zh-CN"/>
                <w14:textFill>
                  <w14:solidFill>
                    <w14:schemeClr w14:val="tx1"/>
                  </w14:solidFill>
                </w14:textFill>
              </w:rPr>
              <w:t xml:space="preserve">   项目与《邯郸市生态环境准入清单》（202</w:t>
            </w:r>
            <w:r>
              <w:rPr>
                <w:rFonts w:hint="eastAsia" w:cs="Times New Roman" w:eastAsiaTheme="minorEastAsia"/>
                <w:b/>
                <w:bCs/>
                <w:color w:val="000000" w:themeColor="text1"/>
                <w:kern w:val="0"/>
                <w:sz w:val="24"/>
                <w:lang w:val="en-US" w:eastAsia="zh-CN"/>
                <w14:textFill>
                  <w14:solidFill>
                    <w14:schemeClr w14:val="tx1"/>
                  </w14:solidFill>
                </w14:textFill>
              </w:rPr>
              <w:t>5</w:t>
            </w:r>
            <w:r>
              <w:rPr>
                <w:rFonts w:hint="eastAsia" w:ascii="Times New Roman" w:hAnsi="Times New Roman" w:cs="Times New Roman" w:eastAsiaTheme="minorEastAsia"/>
                <w:b/>
                <w:bCs/>
                <w:color w:val="000000" w:themeColor="text1"/>
                <w:kern w:val="0"/>
                <w:sz w:val="24"/>
                <w:lang w:val="en-US" w:eastAsia="zh-CN"/>
                <w14:textFill>
                  <w14:solidFill>
                    <w14:schemeClr w14:val="tx1"/>
                  </w14:solidFill>
                </w14:textFill>
              </w:rPr>
              <w:t>年版）</w:t>
            </w:r>
          </w:p>
          <w:p w14:paraId="0DBBFA16">
            <w:pPr>
              <w:autoSpaceDE w:val="0"/>
              <w:autoSpaceDN w:val="0"/>
              <w:adjustRightInd w:val="0"/>
              <w:snapToGrid w:val="0"/>
              <w:spacing w:line="480" w:lineRule="exact"/>
              <w:jc w:val="center"/>
              <w:rPr>
                <w:rFonts w:hint="eastAsia" w:ascii="Times New Roman" w:hAnsi="Times New Roman" w:cs="Times New Roman" w:eastAsiaTheme="minorEastAsia"/>
                <w:b/>
                <w:bCs/>
                <w:color w:val="000000" w:themeColor="text1"/>
                <w:kern w:val="0"/>
                <w:sz w:val="24"/>
                <w:lang w:val="en-US" w:eastAsia="zh-CN"/>
                <w14:textFill>
                  <w14:solidFill>
                    <w14:schemeClr w14:val="tx1"/>
                  </w14:solidFill>
                </w14:textFill>
              </w:rPr>
            </w:pPr>
            <w:r>
              <w:rPr>
                <w:rFonts w:hint="eastAsia" w:ascii="Times New Roman" w:hAnsi="Times New Roman" w:cs="Times New Roman" w:eastAsiaTheme="minorEastAsia"/>
                <w:b/>
                <w:bCs/>
                <w:color w:val="000000" w:themeColor="text1"/>
                <w:kern w:val="0"/>
                <w:sz w:val="24"/>
                <w:lang w:val="en-US" w:eastAsia="zh-CN"/>
                <w14:textFill>
                  <w14:solidFill>
                    <w14:schemeClr w14:val="tx1"/>
                  </w14:solidFill>
                </w14:textFill>
              </w:rPr>
              <w:t>符合性分析</w:t>
            </w:r>
          </w:p>
          <w:tbl>
            <w:tblPr>
              <w:tblStyle w:val="28"/>
              <w:tblW w:w="6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435"/>
              <w:gridCol w:w="4465"/>
              <w:gridCol w:w="1140"/>
              <w:gridCol w:w="497"/>
            </w:tblGrid>
            <w:tr w14:paraId="2892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gridSpan w:val="2"/>
                  <w:tcBorders>
                    <w:tl2br w:val="nil"/>
                    <w:tr2bl w:val="nil"/>
                  </w:tcBorders>
                  <w:vAlign w:val="center"/>
                </w:tcPr>
                <w:p w14:paraId="4E0A04B4">
                  <w:pPr>
                    <w:pStyle w:val="9"/>
                    <w:ind w:firstLine="0" w:firstLineChars="0"/>
                    <w:jc w:val="center"/>
                    <w:rPr>
                      <w:rFonts w:hint="eastAsia" w:ascii="Times New Roman" w:hAnsi="Times New Roman" w:eastAsia="宋体" w:cs="Times New Roman"/>
                      <w:b w:val="0"/>
                      <w:bCs w:val="0"/>
                      <w:color w:val="000000" w:themeColor="text1"/>
                      <w:kern w:val="0"/>
                      <w:szCs w:val="21"/>
                      <w:lang w:eastAsia="zh-CN"/>
                      <w14:textFill>
                        <w14:solidFill>
                          <w14:schemeClr w14:val="tx1"/>
                        </w14:solidFill>
                      </w14:textFill>
                    </w:rPr>
                  </w:pPr>
                  <w:r>
                    <w:rPr>
                      <w:rFonts w:hint="eastAsia" w:cs="Times New Roman"/>
                      <w:b w:val="0"/>
                      <w:bCs w:val="0"/>
                      <w:color w:val="000000" w:themeColor="text1"/>
                      <w:kern w:val="0"/>
                      <w:szCs w:val="21"/>
                      <w:lang w:val="en-US" w:eastAsia="zh-CN"/>
                      <w14:textFill>
                        <w14:solidFill>
                          <w14:schemeClr w14:val="tx1"/>
                        </w14:solidFill>
                      </w14:textFill>
                    </w:rPr>
                    <w:t>项目</w:t>
                  </w:r>
                </w:p>
              </w:tc>
              <w:tc>
                <w:tcPr>
                  <w:tcW w:w="4465" w:type="dxa"/>
                  <w:tcBorders>
                    <w:tl2br w:val="nil"/>
                    <w:tr2bl w:val="nil"/>
                  </w:tcBorders>
                  <w:vAlign w:val="center"/>
                </w:tcPr>
                <w:p w14:paraId="2980183C">
                  <w:pPr>
                    <w:pStyle w:val="9"/>
                    <w:ind w:firstLine="0" w:firstLineChars="0"/>
                    <w:jc w:val="center"/>
                    <w:rPr>
                      <w:rFonts w:hint="default" w:ascii="Times New Roman" w:hAnsi="Times New Roman" w:eastAsia="宋体" w:cs="Times New Roman"/>
                      <w:b w:val="0"/>
                      <w:bCs w:val="0"/>
                      <w:color w:val="000000" w:themeColor="text1"/>
                      <w:kern w:val="0"/>
                      <w:szCs w:val="21"/>
                      <w:lang w:val="en-US" w:eastAsia="zh-CN"/>
                      <w14:textFill>
                        <w14:solidFill>
                          <w14:schemeClr w14:val="tx1"/>
                        </w14:solidFill>
                      </w14:textFill>
                    </w:rPr>
                  </w:pPr>
                  <w:r>
                    <w:rPr>
                      <w:rFonts w:hint="eastAsia" w:ascii="Times New Roman" w:hAnsi="Times New Roman" w:cs="Times New Roman"/>
                      <w:b w:val="0"/>
                      <w:bCs w:val="0"/>
                      <w:color w:val="000000" w:themeColor="text1"/>
                      <w:kern w:val="0"/>
                      <w:szCs w:val="21"/>
                      <w:lang w:val="en-US" w:eastAsia="zh-CN"/>
                      <w14:textFill>
                        <w14:solidFill>
                          <w14:schemeClr w14:val="tx1"/>
                        </w14:solidFill>
                      </w14:textFill>
                    </w:rPr>
                    <w:t>相关内容</w:t>
                  </w:r>
                </w:p>
              </w:tc>
              <w:tc>
                <w:tcPr>
                  <w:tcW w:w="1140" w:type="dxa"/>
                  <w:tcBorders>
                    <w:tl2br w:val="nil"/>
                    <w:tr2bl w:val="nil"/>
                  </w:tcBorders>
                  <w:vAlign w:val="center"/>
                </w:tcPr>
                <w:p w14:paraId="4EB310C8">
                  <w:pPr>
                    <w:pStyle w:val="9"/>
                    <w:ind w:firstLine="0" w:firstLineChars="0"/>
                    <w:jc w:val="center"/>
                    <w:rPr>
                      <w:rFonts w:hint="default" w:ascii="Times New Roman" w:hAnsi="Times New Roman" w:cs="Times New Roman"/>
                      <w:b w:val="0"/>
                      <w:bCs w:val="0"/>
                      <w:color w:val="auto"/>
                      <w:kern w:val="0"/>
                      <w:szCs w:val="21"/>
                    </w:rPr>
                  </w:pPr>
                  <w:r>
                    <w:rPr>
                      <w:rFonts w:hint="eastAsia" w:cs="Times New Roman"/>
                      <w:b w:val="0"/>
                      <w:bCs w:val="0"/>
                      <w:color w:val="auto"/>
                      <w:kern w:val="0"/>
                      <w:szCs w:val="21"/>
                      <w:lang w:val="en-US" w:eastAsia="zh-CN"/>
                    </w:rPr>
                    <w:t>本项目</w:t>
                  </w:r>
                </w:p>
              </w:tc>
              <w:tc>
                <w:tcPr>
                  <w:tcW w:w="497" w:type="dxa"/>
                  <w:tcBorders>
                    <w:tl2br w:val="nil"/>
                    <w:tr2bl w:val="nil"/>
                  </w:tcBorders>
                  <w:vAlign w:val="center"/>
                </w:tcPr>
                <w:p w14:paraId="6550C83D">
                  <w:pPr>
                    <w:pStyle w:val="9"/>
                    <w:ind w:firstLine="0" w:firstLineChars="0"/>
                    <w:jc w:val="center"/>
                    <w:rPr>
                      <w:rFonts w:hint="default" w:ascii="Times New Roman" w:hAnsi="Times New Roman" w:cs="Times New Roman"/>
                      <w:b w:val="0"/>
                      <w:bCs w:val="0"/>
                      <w:color w:val="000000" w:themeColor="text1"/>
                      <w:kern w:val="0"/>
                      <w:szCs w:val="21"/>
                      <w14:textFill>
                        <w14:solidFill>
                          <w14:schemeClr w14:val="tx1"/>
                        </w14:solidFill>
                      </w14:textFill>
                    </w:rPr>
                  </w:pPr>
                  <w:r>
                    <w:rPr>
                      <w:rFonts w:hint="default" w:ascii="Times New Roman" w:hAnsi="Times New Roman" w:cs="Times New Roman"/>
                      <w:b w:val="0"/>
                      <w:bCs w:val="0"/>
                      <w:color w:val="000000" w:themeColor="text1"/>
                      <w:kern w:val="0"/>
                      <w:szCs w:val="21"/>
                      <w14:textFill>
                        <w14:solidFill>
                          <w14:schemeClr w14:val="tx1"/>
                        </w14:solidFill>
                      </w14:textFill>
                    </w:rPr>
                    <w:t>符合性</w:t>
                  </w:r>
                </w:p>
              </w:tc>
            </w:tr>
            <w:tr w14:paraId="53E1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dxa"/>
                  <w:tcBorders>
                    <w:tl2br w:val="nil"/>
                    <w:tr2bl w:val="nil"/>
                  </w:tcBorders>
                  <w:vAlign w:val="center"/>
                </w:tcPr>
                <w:p w14:paraId="114F6D33">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生态</w:t>
                  </w:r>
                </w:p>
                <w:p w14:paraId="7B55387D">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保护</w:t>
                  </w:r>
                </w:p>
                <w:p w14:paraId="31E17258">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红线</w:t>
                  </w:r>
                </w:p>
              </w:tc>
              <w:tc>
                <w:tcPr>
                  <w:tcW w:w="435" w:type="dxa"/>
                  <w:tcBorders>
                    <w:tl2br w:val="nil"/>
                    <w:tr2bl w:val="nil"/>
                  </w:tcBorders>
                  <w:vAlign w:val="center"/>
                </w:tcPr>
                <w:p w14:paraId="709D74A7">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空</w:t>
                  </w:r>
                </w:p>
                <w:p w14:paraId="2757A05F">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间</w:t>
                  </w:r>
                </w:p>
                <w:p w14:paraId="5B154654">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布</w:t>
                  </w:r>
                </w:p>
                <w:p w14:paraId="17BE7053">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局</w:t>
                  </w:r>
                </w:p>
                <w:p w14:paraId="2BF61803">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约</w:t>
                  </w:r>
                </w:p>
                <w:p w14:paraId="32B9A9B3">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束</w:t>
                  </w:r>
                </w:p>
              </w:tc>
              <w:tc>
                <w:tcPr>
                  <w:tcW w:w="4465" w:type="dxa"/>
                  <w:tcBorders>
                    <w:tl2br w:val="nil"/>
                    <w:tr2bl w:val="nil"/>
                  </w:tcBorders>
                  <w:vAlign w:val="center"/>
                </w:tcPr>
                <w:p w14:paraId="6080BC74">
                  <w:pPr>
                    <w:pStyle w:val="9"/>
                    <w:ind w:firstLine="0" w:firstLineChars="0"/>
                    <w:jc w:val="center"/>
                    <w:rPr>
                      <w:rFonts w:hint="eastAsia" w:cs="Times New Roman"/>
                      <w:b w:val="0"/>
                      <w:bCs w:val="0"/>
                      <w:color w:val="000000" w:themeColor="text1"/>
                      <w:kern w:val="0"/>
                      <w:szCs w:val="21"/>
                      <w:lang w:val="en-US" w:eastAsia="zh-CN"/>
                      <w14:textFill>
                        <w14:solidFill>
                          <w14:schemeClr w14:val="tx1"/>
                        </w14:solidFill>
                      </w14:textFill>
                    </w:rPr>
                  </w:pPr>
                  <w:r>
                    <w:rPr>
                      <w:rFonts w:hint="eastAsia" w:cs="Times New Roman"/>
                      <w:b w:val="0"/>
                      <w:bCs w:val="0"/>
                      <w:color w:val="000000" w:themeColor="text1"/>
                      <w:kern w:val="0"/>
                      <w:szCs w:val="21"/>
                      <w:lang w:val="en-US" w:eastAsia="zh-CN"/>
                      <w14:textFill>
                        <w14:solidFill>
                          <w14:schemeClr w14:val="tx1"/>
                        </w14:solidFill>
                      </w14:textFill>
                    </w:rPr>
                    <w:t>1、生态保护红线原则上按禁止开发区域的要求进行管理。严禁不符合主体功能定位的各类开发活动，严禁任意改变用途。</w:t>
                  </w:r>
                </w:p>
                <w:p w14:paraId="186CE30F">
                  <w:pPr>
                    <w:pStyle w:val="9"/>
                    <w:ind w:firstLine="0" w:firstLineChars="0"/>
                    <w:jc w:val="center"/>
                    <w:rPr>
                      <w:rFonts w:hint="eastAsia" w:cs="Times New Roman"/>
                      <w:b w:val="0"/>
                      <w:bCs w:val="0"/>
                      <w:color w:val="000000" w:themeColor="text1"/>
                      <w:kern w:val="0"/>
                      <w:szCs w:val="21"/>
                      <w:lang w:val="en-US" w:eastAsia="zh-CN"/>
                      <w14:textFill>
                        <w14:solidFill>
                          <w14:schemeClr w14:val="tx1"/>
                        </w14:solidFill>
                      </w14:textFill>
                    </w:rPr>
                  </w:pPr>
                  <w:r>
                    <w:rPr>
                      <w:rFonts w:hint="eastAsia" w:cs="Times New Roman"/>
                      <w:b w:val="0"/>
                      <w:bCs w:val="0"/>
                      <w:color w:val="000000" w:themeColor="text1"/>
                      <w:kern w:val="0"/>
                      <w:szCs w:val="21"/>
                      <w:lang w:val="en-US" w:eastAsia="zh-CN"/>
                      <w14:textFill>
                        <w14:solidFill>
                          <w14:schemeClr w14:val="tx1"/>
                        </w14:solidFill>
                      </w14:textFill>
                    </w:rPr>
                    <w:t>2、严格禁止任何单位和个人擅自占用和改变用地性质。禁止生态保护红线内空间违法转为城镇空间和农业空间。</w:t>
                  </w:r>
                </w:p>
                <w:p w14:paraId="46A9C253">
                  <w:pPr>
                    <w:pStyle w:val="9"/>
                    <w:ind w:firstLine="0" w:firstLineChars="0"/>
                    <w:jc w:val="center"/>
                    <w:rPr>
                      <w:rFonts w:hint="eastAsia" w:cs="Times New Roman"/>
                      <w:b w:val="0"/>
                      <w:bCs w:val="0"/>
                      <w:color w:val="000000" w:themeColor="text1"/>
                      <w:kern w:val="0"/>
                      <w:szCs w:val="21"/>
                      <w:lang w:val="en-US" w:eastAsia="zh-CN"/>
                      <w14:textFill>
                        <w14:solidFill>
                          <w14:schemeClr w14:val="tx1"/>
                        </w14:solidFill>
                      </w14:textFill>
                    </w:rPr>
                  </w:pPr>
                  <w:r>
                    <w:rPr>
                      <w:rFonts w:hint="eastAsia" w:cs="Times New Roman"/>
                      <w:b w:val="0"/>
                      <w:bCs w:val="0"/>
                      <w:color w:val="000000" w:themeColor="text1"/>
                      <w:kern w:val="0"/>
                      <w:szCs w:val="21"/>
                      <w:lang w:val="en-US" w:eastAsia="zh-CN"/>
                      <w14:textFill>
                        <w14:solidFill>
                          <w14:schemeClr w14:val="tx1"/>
                        </w14:solidFill>
                      </w14:textFill>
                    </w:rPr>
                    <w:t>3、生态保护红线内，自然保护地核心保护区原则上禁止人为活动，其他区域严格禁止开发性、生产性建设活动，法律法规另有规定的，从其规定。</w:t>
                  </w:r>
                </w:p>
              </w:tc>
              <w:tc>
                <w:tcPr>
                  <w:tcW w:w="1140" w:type="dxa"/>
                  <w:tcBorders>
                    <w:tl2br w:val="nil"/>
                    <w:tr2bl w:val="nil"/>
                  </w:tcBorders>
                  <w:vAlign w:val="center"/>
                </w:tcPr>
                <w:p w14:paraId="110CFA6C">
                  <w:pPr>
                    <w:pStyle w:val="9"/>
                    <w:ind w:firstLine="0" w:firstLineChars="0"/>
                    <w:jc w:val="center"/>
                    <w:rPr>
                      <w:rFonts w:hint="default" w:ascii="Times New Roman" w:hAnsi="Times New Roman" w:cs="Times New Roman"/>
                      <w:b w:val="0"/>
                      <w:bCs w:val="0"/>
                      <w:color w:val="auto"/>
                      <w:kern w:val="0"/>
                      <w:szCs w:val="21"/>
                      <w:lang w:val="en-US"/>
                    </w:rPr>
                  </w:pPr>
                  <w:r>
                    <w:rPr>
                      <w:rFonts w:hint="eastAsia" w:ascii="Times New Roman" w:hAnsi="Times New Roman" w:cs="Times New Roman"/>
                      <w:b w:val="0"/>
                      <w:bCs w:val="0"/>
                      <w:color w:val="auto"/>
                      <w:kern w:val="0"/>
                      <w:szCs w:val="21"/>
                      <w:lang w:val="en-US" w:eastAsia="zh-CN"/>
                    </w:rPr>
                    <w:t>项目</w:t>
                  </w:r>
                  <w:r>
                    <w:rPr>
                      <w:rFonts w:hint="default" w:ascii="Times New Roman" w:hAnsi="Times New Roman" w:cs="Times New Roman"/>
                      <w:b w:val="0"/>
                      <w:bCs w:val="0"/>
                      <w:color w:val="auto"/>
                      <w:kern w:val="0"/>
                      <w:szCs w:val="21"/>
                      <w:lang w:val="en-US"/>
                    </w:rPr>
                    <w:t>不在生态保护红线范围内</w:t>
                  </w:r>
                </w:p>
              </w:tc>
              <w:tc>
                <w:tcPr>
                  <w:tcW w:w="497" w:type="dxa"/>
                  <w:tcBorders>
                    <w:tl2br w:val="nil"/>
                    <w:tr2bl w:val="nil"/>
                  </w:tcBorders>
                  <w:vAlign w:val="center"/>
                </w:tcPr>
                <w:p w14:paraId="2E8D8FE2">
                  <w:pPr>
                    <w:pStyle w:val="9"/>
                    <w:ind w:firstLine="0" w:firstLineChars="0"/>
                    <w:jc w:val="center"/>
                    <w:rPr>
                      <w:rFonts w:hint="eastAsia" w:ascii="Times New Roman" w:hAnsi="Times New Roman" w:eastAsia="宋体" w:cs="Times New Roman"/>
                      <w:b w:val="0"/>
                      <w:bCs w:val="0"/>
                      <w:color w:val="000000" w:themeColor="text1"/>
                      <w:kern w:val="0"/>
                      <w:szCs w:val="21"/>
                      <w:lang w:val="en-US" w:eastAsia="zh-CN"/>
                      <w14:textFill>
                        <w14:solidFill>
                          <w14:schemeClr w14:val="tx1"/>
                        </w14:solidFill>
                      </w14:textFill>
                    </w:rPr>
                  </w:pPr>
                  <w:r>
                    <w:rPr>
                      <w:rFonts w:hint="eastAsia" w:cs="Times New Roman"/>
                      <w:b w:val="0"/>
                      <w:bCs w:val="0"/>
                      <w:color w:val="000000" w:themeColor="text1"/>
                      <w:kern w:val="0"/>
                      <w:szCs w:val="21"/>
                      <w:lang w:val="en-US" w:eastAsia="zh-CN"/>
                      <w14:textFill>
                        <w14:solidFill>
                          <w14:schemeClr w14:val="tx1"/>
                        </w14:solidFill>
                      </w14:textFill>
                    </w:rPr>
                    <w:t>符合</w:t>
                  </w:r>
                </w:p>
              </w:tc>
            </w:tr>
            <w:tr w14:paraId="3DA3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dxa"/>
                  <w:tcBorders>
                    <w:tl2br w:val="nil"/>
                    <w:tr2bl w:val="nil"/>
                  </w:tcBorders>
                  <w:vAlign w:val="center"/>
                </w:tcPr>
                <w:p w14:paraId="1FE6DE23">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一般</w:t>
                  </w:r>
                </w:p>
                <w:p w14:paraId="09298586">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生态</w:t>
                  </w:r>
                </w:p>
                <w:p w14:paraId="752CDF90">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空间</w:t>
                  </w:r>
                </w:p>
              </w:tc>
              <w:tc>
                <w:tcPr>
                  <w:tcW w:w="435" w:type="dxa"/>
                  <w:tcBorders>
                    <w:tl2br w:val="nil"/>
                    <w:tr2bl w:val="nil"/>
                  </w:tcBorders>
                  <w:vAlign w:val="center"/>
                </w:tcPr>
                <w:p w14:paraId="70B8EF36">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空</w:t>
                  </w:r>
                </w:p>
                <w:p w14:paraId="6666C860">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间</w:t>
                  </w:r>
                </w:p>
                <w:p w14:paraId="7E3A33E9">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布</w:t>
                  </w:r>
                </w:p>
                <w:p w14:paraId="6C848DC4">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局</w:t>
                  </w:r>
                </w:p>
                <w:p w14:paraId="0E38F5B0">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约</w:t>
                  </w:r>
                </w:p>
                <w:p w14:paraId="72C57BDB">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束</w:t>
                  </w:r>
                </w:p>
              </w:tc>
              <w:tc>
                <w:tcPr>
                  <w:tcW w:w="4465" w:type="dxa"/>
                  <w:tcBorders>
                    <w:tl2br w:val="nil"/>
                    <w:tr2bl w:val="nil"/>
                  </w:tcBorders>
                  <w:vAlign w:val="center"/>
                </w:tcPr>
                <w:p w14:paraId="2DC9EA28">
                  <w:pPr>
                    <w:pStyle w:val="9"/>
                    <w:ind w:firstLine="0" w:firstLineChars="0"/>
                    <w:jc w:val="center"/>
                    <w:rPr>
                      <w:rFonts w:hint="eastAsia" w:cs="Times New Roman"/>
                      <w:b w:val="0"/>
                      <w:bCs w:val="0"/>
                      <w:color w:val="000000" w:themeColor="text1"/>
                      <w:kern w:val="0"/>
                      <w:szCs w:val="21"/>
                      <w:lang w:val="en-US" w:eastAsia="zh-CN"/>
                      <w14:textFill>
                        <w14:solidFill>
                          <w14:schemeClr w14:val="tx1"/>
                        </w14:solidFill>
                      </w14:textFill>
                    </w:rPr>
                  </w:pPr>
                  <w:r>
                    <w:rPr>
                      <w:rFonts w:hint="eastAsia" w:cs="Times New Roman"/>
                      <w:b w:val="0"/>
                      <w:bCs w:val="0"/>
                      <w:color w:val="000000" w:themeColor="text1"/>
                      <w:kern w:val="0"/>
                      <w:szCs w:val="21"/>
                      <w:lang w:val="en-US" w:eastAsia="zh-CN"/>
                      <w14:textFill>
                        <w14:solidFill>
                          <w14:schemeClr w14:val="tx1"/>
                        </w14:solidFill>
                      </w14:textFill>
                    </w:rPr>
                    <w:t>1、生态保护红线外的生态空间，原则上按限制开发区域的要求进行管理。</w:t>
                  </w:r>
                </w:p>
                <w:p w14:paraId="373DED06">
                  <w:pPr>
                    <w:pStyle w:val="9"/>
                    <w:ind w:firstLine="0" w:firstLineChars="0"/>
                    <w:jc w:val="center"/>
                    <w:rPr>
                      <w:rFonts w:hint="eastAsia" w:cs="Times New Roman"/>
                      <w:b w:val="0"/>
                      <w:bCs w:val="0"/>
                      <w:color w:val="000000" w:themeColor="text1"/>
                      <w:kern w:val="0"/>
                      <w:szCs w:val="21"/>
                      <w:lang w:val="en-US" w:eastAsia="zh-CN"/>
                      <w14:textFill>
                        <w14:solidFill>
                          <w14:schemeClr w14:val="tx1"/>
                        </w14:solidFill>
                      </w14:textFill>
                    </w:rPr>
                  </w:pPr>
                  <w:r>
                    <w:rPr>
                      <w:rFonts w:hint="eastAsia" w:cs="Times New Roman"/>
                      <w:b w:val="0"/>
                      <w:bCs w:val="0"/>
                      <w:color w:val="000000" w:themeColor="text1"/>
                      <w:kern w:val="0"/>
                      <w:szCs w:val="21"/>
                      <w:lang w:val="en-US" w:eastAsia="zh-CN"/>
                      <w14:textFill>
                        <w14:solidFill>
                          <w14:schemeClr w14:val="tx1"/>
                        </w14:solidFill>
                      </w14:textFill>
                    </w:rPr>
                    <w:t>2、从严控制生态空间转为城镇空间和农业空间。</w:t>
                  </w:r>
                </w:p>
                <w:p w14:paraId="57BC12AF">
                  <w:pPr>
                    <w:pStyle w:val="9"/>
                    <w:ind w:firstLine="0" w:firstLineChars="0"/>
                    <w:jc w:val="center"/>
                    <w:rPr>
                      <w:rFonts w:hint="eastAsia" w:cs="Times New Roman"/>
                      <w:b w:val="0"/>
                      <w:bCs w:val="0"/>
                      <w:color w:val="000000" w:themeColor="text1"/>
                      <w:kern w:val="0"/>
                      <w:szCs w:val="21"/>
                      <w:lang w:val="en-US" w:eastAsia="zh-CN"/>
                      <w14:textFill>
                        <w14:solidFill>
                          <w14:schemeClr w14:val="tx1"/>
                        </w14:solidFill>
                      </w14:textFill>
                    </w:rPr>
                  </w:pPr>
                  <w:r>
                    <w:rPr>
                      <w:rFonts w:hint="eastAsia" w:cs="Times New Roman"/>
                      <w:b w:val="0"/>
                      <w:bCs w:val="0"/>
                      <w:color w:val="000000" w:themeColor="text1"/>
                      <w:kern w:val="0"/>
                      <w:szCs w:val="21"/>
                      <w:lang w:val="en-US" w:eastAsia="zh-CN"/>
                      <w14:textFill>
                        <w14:solidFill>
                          <w14:schemeClr w14:val="tx1"/>
                        </w14:solidFill>
                      </w14:textFill>
                    </w:rPr>
                    <w:t>3、严格控制新增建设占用生态保护红线外的生态空间。符合区域准入条件的建设项目，涉及占用生态空间中的林地、草原等，按有关法律法规规定办理；涉及占用生态空间中其他未作明确规定的用地，应当加强论证和管理。</w:t>
                  </w:r>
                </w:p>
                <w:p w14:paraId="2D25F276">
                  <w:pPr>
                    <w:pStyle w:val="9"/>
                    <w:ind w:firstLine="0" w:firstLineChars="0"/>
                    <w:jc w:val="center"/>
                    <w:rPr>
                      <w:rFonts w:hint="eastAsia" w:cs="Times New Roman"/>
                      <w:b w:val="0"/>
                      <w:bCs w:val="0"/>
                      <w:color w:val="000000" w:themeColor="text1"/>
                      <w:kern w:val="0"/>
                      <w:szCs w:val="21"/>
                      <w:lang w:val="en-US" w:eastAsia="zh-CN"/>
                      <w14:textFill>
                        <w14:solidFill>
                          <w14:schemeClr w14:val="tx1"/>
                        </w14:solidFill>
                      </w14:textFill>
                    </w:rPr>
                  </w:pPr>
                  <w:r>
                    <w:rPr>
                      <w:rFonts w:hint="eastAsia" w:cs="Times New Roman"/>
                      <w:b w:val="0"/>
                      <w:bCs w:val="0"/>
                      <w:color w:val="000000" w:themeColor="text1"/>
                      <w:kern w:val="0"/>
                      <w:szCs w:val="21"/>
                      <w:lang w:val="en-US" w:eastAsia="zh-CN"/>
                      <w14:textFill>
                        <w14:solidFill>
                          <w14:schemeClr w14:val="tx1"/>
                        </w14:solidFill>
                      </w14:textFill>
                    </w:rPr>
                    <w:t>4、严格限制农业开发占用生态保护红线外的生态空间，符合条件的农业开发项目，须依法由市县级及以上地方人民政府统筹安排。生态保护红线外的耕地，除符合国家生态退耕条件，并纳入国家生态退耕总体安排，或因国家重大生态工程建设需要外，不得随意转用。</w:t>
                  </w:r>
                </w:p>
              </w:tc>
              <w:tc>
                <w:tcPr>
                  <w:tcW w:w="1140" w:type="dxa"/>
                  <w:tcBorders>
                    <w:tl2br w:val="nil"/>
                    <w:tr2bl w:val="nil"/>
                  </w:tcBorders>
                  <w:vAlign w:val="center"/>
                </w:tcPr>
                <w:p w14:paraId="5F4588C4">
                  <w:pPr>
                    <w:pStyle w:val="9"/>
                    <w:ind w:firstLine="0" w:firstLineChars="0"/>
                    <w:jc w:val="center"/>
                    <w:rPr>
                      <w:rFonts w:hint="default" w:ascii="Times New Roman" w:hAnsi="Times New Roman" w:eastAsia="宋体" w:cs="Times New Roman"/>
                      <w:b w:val="0"/>
                      <w:bCs w:val="0"/>
                      <w:color w:val="FF0000"/>
                      <w:kern w:val="0"/>
                      <w:szCs w:val="21"/>
                      <w:lang w:val="en-US" w:eastAsia="zh-CN"/>
                    </w:rPr>
                  </w:pPr>
                  <w:r>
                    <w:rPr>
                      <w:rFonts w:hint="eastAsia" w:ascii="Times New Roman" w:hAnsi="Times New Roman" w:cs="Times New Roman"/>
                      <w:b w:val="0"/>
                      <w:bCs w:val="0"/>
                      <w:color w:val="auto"/>
                      <w:kern w:val="0"/>
                      <w:szCs w:val="21"/>
                      <w:lang w:val="en-US" w:eastAsia="zh-CN"/>
                    </w:rPr>
                    <w:t>本项目位于河北省邯郸市魏县绿环循环经济产业园1栋-4号，魏县经济开发区-再生资源循环利用产业园，占地为工业用地，不涉及占用生态空间中的林地、草原等</w:t>
                  </w:r>
                </w:p>
              </w:tc>
              <w:tc>
                <w:tcPr>
                  <w:tcW w:w="497" w:type="dxa"/>
                  <w:tcBorders>
                    <w:tl2br w:val="nil"/>
                    <w:tr2bl w:val="nil"/>
                  </w:tcBorders>
                  <w:vAlign w:val="center"/>
                </w:tcPr>
                <w:p w14:paraId="645A9134">
                  <w:pPr>
                    <w:ind w:firstLine="0" w:firstLineChars="0"/>
                    <w:jc w:val="center"/>
                    <w:rPr>
                      <w:rFonts w:hint="eastAsia" w:cs="Times New Roman"/>
                      <w:b w:val="0"/>
                      <w:bCs w:val="0"/>
                      <w:color w:val="000000" w:themeColor="text1"/>
                      <w:kern w:val="0"/>
                      <w:szCs w:val="21"/>
                      <w:lang w:val="en-US" w:eastAsia="zh-CN"/>
                      <w14:textFill>
                        <w14:solidFill>
                          <w14:schemeClr w14:val="tx1"/>
                        </w14:solidFill>
                      </w14:textFill>
                    </w:rPr>
                  </w:pPr>
                  <w:r>
                    <w:rPr>
                      <w:rFonts w:hint="eastAsia" w:cs="Times New Roman"/>
                      <w:b w:val="0"/>
                      <w:bCs w:val="0"/>
                      <w:color w:val="000000" w:themeColor="text1"/>
                      <w:kern w:val="0"/>
                      <w:szCs w:val="21"/>
                      <w:lang w:val="en-US" w:eastAsia="zh-CN"/>
                      <w14:textFill>
                        <w14:solidFill>
                          <w14:schemeClr w14:val="tx1"/>
                        </w14:solidFill>
                      </w14:textFill>
                    </w:rPr>
                    <w:t>符合</w:t>
                  </w:r>
                </w:p>
              </w:tc>
            </w:tr>
            <w:tr w14:paraId="5F25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dxa"/>
                  <w:vMerge w:val="restart"/>
                  <w:tcBorders>
                    <w:tl2br w:val="nil"/>
                    <w:tr2bl w:val="nil"/>
                  </w:tcBorders>
                  <w:vAlign w:val="center"/>
                </w:tcPr>
                <w:p w14:paraId="21B8D9DB">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全市</w:t>
                  </w:r>
                </w:p>
                <w:p w14:paraId="3D260F40">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产业</w:t>
                  </w:r>
                </w:p>
                <w:p w14:paraId="1324D1FA">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布局</w:t>
                  </w:r>
                </w:p>
                <w:p w14:paraId="63BC4179">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总体</w:t>
                  </w:r>
                </w:p>
                <w:p w14:paraId="3A23C2B4">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管控</w:t>
                  </w:r>
                </w:p>
                <w:p w14:paraId="6B4029D4">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要求</w:t>
                  </w:r>
                </w:p>
              </w:tc>
              <w:tc>
                <w:tcPr>
                  <w:tcW w:w="435" w:type="dxa"/>
                  <w:tcBorders>
                    <w:tl2br w:val="nil"/>
                    <w:tr2bl w:val="nil"/>
                  </w:tcBorders>
                  <w:vAlign w:val="center"/>
                </w:tcPr>
                <w:p w14:paraId="569EED22">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eastAsia" w:cs="Times New Roman"/>
                      <w:b w:val="0"/>
                      <w:bCs w:val="0"/>
                      <w:color w:val="000000" w:themeColor="text1"/>
                      <w:kern w:val="0"/>
                      <w:szCs w:val="21"/>
                      <w:lang w:val="en-US" w:eastAsia="zh-CN"/>
                      <w14:textFill>
                        <w14:solidFill>
                          <w14:schemeClr w14:val="tx1"/>
                        </w14:solidFill>
                      </w14:textFill>
                    </w:rPr>
                    <w:t>产业布局总体要求</w:t>
                  </w:r>
                </w:p>
              </w:tc>
              <w:tc>
                <w:tcPr>
                  <w:tcW w:w="4465" w:type="dxa"/>
                  <w:tcBorders>
                    <w:tl2br w:val="nil"/>
                    <w:tr2bl w:val="nil"/>
                  </w:tcBorders>
                  <w:vAlign w:val="center"/>
                </w:tcPr>
                <w:p w14:paraId="6B63ED93">
                  <w:pPr>
                    <w:pStyle w:val="9"/>
                    <w:numPr>
                      <w:ilvl w:val="0"/>
                      <w:numId w:val="0"/>
                    </w:numPr>
                    <w:jc w:val="center"/>
                    <w:rPr>
                      <w:rFonts w:hint="eastAsia" w:cs="Times New Roman"/>
                      <w:b w:val="0"/>
                      <w:bCs w:val="0"/>
                      <w:color w:val="000000" w:themeColor="text1"/>
                      <w:kern w:val="0"/>
                      <w:szCs w:val="21"/>
                      <w:lang w:val="en-US" w:eastAsia="zh-CN"/>
                      <w14:textFill>
                        <w14:solidFill>
                          <w14:schemeClr w14:val="tx1"/>
                        </w14:solidFill>
                      </w14:textFill>
                    </w:rPr>
                  </w:pPr>
                  <w:r>
                    <w:rPr>
                      <w:rFonts w:hint="eastAsia" w:cs="Times New Roman"/>
                      <w:b w:val="0"/>
                      <w:bCs w:val="0"/>
                      <w:color w:val="000000" w:themeColor="text1"/>
                      <w:kern w:val="0"/>
                      <w:szCs w:val="21"/>
                      <w:lang w:val="en-US" w:eastAsia="zh-CN"/>
                      <w14:textFill>
                        <w14:solidFill>
                          <w14:schemeClr w14:val="tx1"/>
                        </w14:solidFill>
                      </w14:textFill>
                    </w:rPr>
                    <w:t>1、严把项目准入关。严格落实生态保护红线、环境质量底线、资源利用上线、环境准入清单和产业准入政策，严格落实钢铁、水泥、平板玻璃等行业产能置换政策，严禁新增钢铁、焦化、水泥和平板玻璃等产能，禁止新增化工园区。</w:t>
                  </w:r>
                </w:p>
                <w:p w14:paraId="282586B9">
                  <w:pPr>
                    <w:pStyle w:val="9"/>
                    <w:numPr>
                      <w:ilvl w:val="0"/>
                      <w:numId w:val="0"/>
                    </w:numPr>
                    <w:jc w:val="center"/>
                    <w:rPr>
                      <w:rFonts w:hint="eastAsia" w:cs="Times New Roman"/>
                      <w:b w:val="0"/>
                      <w:bCs w:val="0"/>
                      <w:color w:val="000000" w:themeColor="text1"/>
                      <w:kern w:val="0"/>
                      <w:szCs w:val="21"/>
                      <w:lang w:val="en-US" w:eastAsia="zh-CN"/>
                      <w14:textFill>
                        <w14:solidFill>
                          <w14:schemeClr w14:val="tx1"/>
                        </w14:solidFill>
                      </w14:textFill>
                    </w:rPr>
                  </w:pPr>
                  <w:r>
                    <w:rPr>
                      <w:rFonts w:hint="eastAsia" w:cs="Times New Roman"/>
                      <w:b w:val="0"/>
                      <w:bCs w:val="0"/>
                      <w:color w:val="000000" w:themeColor="text1"/>
                      <w:kern w:val="0"/>
                      <w:szCs w:val="21"/>
                      <w:lang w:val="en-US" w:eastAsia="zh-CN"/>
                      <w14:textFill>
                        <w14:solidFill>
                          <w14:schemeClr w14:val="tx1"/>
                        </w14:solidFill>
                      </w14:textFill>
                    </w:rPr>
                    <w:t>2、进一步优化产业结构。以提升产业链水平为方向，推动产业向中高端迈进，优化提升精品钢材、装备制造、食品加工、现代物流、文化旅游五大现有优势产业，培育壮大新材料、新能源、生物健康三大新兴产业，谋划布局安防应急、电子信息和网络两大未来产业，构建高新技术产业优势凸显、现代服务业支撑强劲、传统产业优质高效的产业发展格局。</w:t>
                  </w:r>
                </w:p>
                <w:p w14:paraId="019E57CA">
                  <w:pPr>
                    <w:pStyle w:val="9"/>
                    <w:ind w:firstLine="0" w:firstLineChars="0"/>
                    <w:jc w:val="center"/>
                    <w:rPr>
                      <w:rFonts w:hint="eastAsia" w:cs="Times New Roman"/>
                      <w:b w:val="0"/>
                      <w:bCs w:val="0"/>
                      <w:color w:val="000000" w:themeColor="text1"/>
                      <w:kern w:val="0"/>
                      <w:szCs w:val="21"/>
                      <w:lang w:val="en-US" w:eastAsia="zh-CN"/>
                      <w14:textFill>
                        <w14:solidFill>
                          <w14:schemeClr w14:val="tx1"/>
                        </w14:solidFill>
                      </w14:textFill>
                    </w:rPr>
                  </w:pPr>
                  <w:r>
                    <w:rPr>
                      <w:rFonts w:hint="eastAsia" w:cs="Times New Roman"/>
                      <w:b w:val="0"/>
                      <w:bCs w:val="0"/>
                      <w:color w:val="000000" w:themeColor="text1"/>
                      <w:kern w:val="0"/>
                      <w:szCs w:val="21"/>
                      <w:lang w:val="en-US" w:eastAsia="zh-CN"/>
                      <w14:textFill>
                        <w14:solidFill>
                          <w14:schemeClr w14:val="tx1"/>
                        </w14:solidFill>
                      </w14:textFill>
                    </w:rPr>
                    <w:t>3、加快调整不符合生态环境功能定位的产业布局、产业规模和产业结构，明确禁止和限制发展的行业、生产工艺和产业目录。</w:t>
                  </w:r>
                </w:p>
                <w:p w14:paraId="185BEB52">
                  <w:pPr>
                    <w:pStyle w:val="9"/>
                    <w:ind w:firstLine="0" w:firstLineChars="0"/>
                    <w:jc w:val="center"/>
                    <w:rPr>
                      <w:rFonts w:hint="eastAsia" w:cs="Times New Roman"/>
                      <w:b w:val="0"/>
                      <w:bCs w:val="0"/>
                      <w:color w:val="000000" w:themeColor="text1"/>
                      <w:kern w:val="0"/>
                      <w:szCs w:val="21"/>
                      <w:lang w:val="en-US" w:eastAsia="zh-CN"/>
                      <w14:textFill>
                        <w14:solidFill>
                          <w14:schemeClr w14:val="tx1"/>
                        </w14:solidFill>
                      </w14:textFill>
                    </w:rPr>
                  </w:pPr>
                  <w:r>
                    <w:rPr>
                      <w:rFonts w:hint="eastAsia" w:cs="Times New Roman"/>
                      <w:b w:val="0"/>
                      <w:bCs w:val="0"/>
                      <w:color w:val="000000" w:themeColor="text1"/>
                      <w:kern w:val="0"/>
                      <w:szCs w:val="21"/>
                      <w:lang w:val="en-US" w:eastAsia="zh-CN"/>
                      <w14:textFill>
                        <w14:solidFill>
                          <w14:schemeClr w14:val="tx1"/>
                        </w14:solidFill>
                      </w14:textFill>
                    </w:rPr>
                    <w:t>4、发展壮大“532”市域主导产业，加快新旧动能转换。提升传统优势产业发展能级，完成钢铁产业整合重组，延伸钢铁产业链条，加快建设全国重要精品钢材生产基地，形成“一集群五基地”产业格局。</w:t>
                  </w:r>
                </w:p>
              </w:tc>
              <w:tc>
                <w:tcPr>
                  <w:tcW w:w="1140" w:type="dxa"/>
                  <w:tcBorders>
                    <w:tl2br w:val="nil"/>
                    <w:tr2bl w:val="nil"/>
                  </w:tcBorders>
                  <w:vAlign w:val="center"/>
                </w:tcPr>
                <w:p w14:paraId="5956E214">
                  <w:pPr>
                    <w:pStyle w:val="9"/>
                    <w:ind w:firstLine="0" w:firstLineChars="0"/>
                    <w:jc w:val="center"/>
                    <w:rPr>
                      <w:rFonts w:hint="default" w:ascii="Times New Roman" w:hAnsi="Times New Roman" w:eastAsia="宋体" w:cs="Times New Roman"/>
                      <w:b w:val="0"/>
                      <w:bCs w:val="0"/>
                      <w:color w:val="FF0000"/>
                      <w:kern w:val="0"/>
                      <w:szCs w:val="21"/>
                      <w:lang w:val="en-US" w:eastAsia="zh-CN"/>
                    </w:rPr>
                  </w:pPr>
                  <w:r>
                    <w:rPr>
                      <w:rFonts w:hint="default" w:ascii="Times New Roman" w:hAnsi="Times New Roman" w:cs="Times New Roman"/>
                      <w:b w:val="0"/>
                      <w:bCs w:val="0"/>
                      <w:color w:val="auto"/>
                      <w:kern w:val="0"/>
                      <w:szCs w:val="21"/>
                    </w:rPr>
                    <w:t>项目</w:t>
                  </w:r>
                  <w:r>
                    <w:rPr>
                      <w:rFonts w:hint="eastAsia" w:ascii="Times New Roman" w:hAnsi="Times New Roman" w:cs="Times New Roman"/>
                      <w:b w:val="0"/>
                      <w:bCs w:val="0"/>
                      <w:color w:val="auto"/>
                      <w:kern w:val="0"/>
                      <w:szCs w:val="21"/>
                      <w:lang w:val="en-US" w:eastAsia="zh-CN"/>
                    </w:rPr>
                    <w:t>满足</w:t>
                  </w:r>
                  <w:r>
                    <w:rPr>
                      <w:rFonts w:hint="eastAsia" w:cs="Times New Roman"/>
                      <w:b w:val="0"/>
                      <w:bCs w:val="0"/>
                      <w:color w:val="auto"/>
                      <w:kern w:val="0"/>
                      <w:szCs w:val="21"/>
                      <w:lang w:val="en-US" w:eastAsia="zh-CN"/>
                    </w:rPr>
                    <w:t>生态保护红线、环境质量底线、资源利用上线、环境准入清单和国家、地方产业政策要求；项目属于</w:t>
                  </w:r>
                  <w:r>
                    <w:rPr>
                      <w:rFonts w:hint="eastAsia" w:cs="Times New Roman"/>
                      <w:bCs/>
                      <w:color w:val="auto"/>
                      <w:spacing w:val="0"/>
                      <w:sz w:val="21"/>
                      <w:szCs w:val="21"/>
                      <w:highlight w:val="none"/>
                      <w:lang w:val="en-US" w:eastAsia="zh-CN"/>
                    </w:rPr>
                    <w:t>再生资源循环经济产业（塑料循环经济）</w:t>
                  </w:r>
                  <w:r>
                    <w:rPr>
                      <w:rFonts w:hint="eastAsia" w:cs="Times New Roman"/>
                      <w:b w:val="0"/>
                      <w:bCs w:val="0"/>
                      <w:color w:val="auto"/>
                      <w:kern w:val="0"/>
                      <w:szCs w:val="21"/>
                      <w:lang w:val="en-US" w:eastAsia="zh-CN"/>
                    </w:rPr>
                    <w:t>，位于再生资源循环经济产业区，符合园区产业定位、布局规划</w:t>
                  </w:r>
                </w:p>
              </w:tc>
              <w:tc>
                <w:tcPr>
                  <w:tcW w:w="497" w:type="dxa"/>
                  <w:tcBorders>
                    <w:tl2br w:val="nil"/>
                    <w:tr2bl w:val="nil"/>
                  </w:tcBorders>
                  <w:vAlign w:val="center"/>
                </w:tcPr>
                <w:p w14:paraId="6A29EC88">
                  <w:pPr>
                    <w:ind w:firstLine="0" w:firstLineChars="0"/>
                    <w:jc w:val="center"/>
                    <w:rPr>
                      <w:rFonts w:hint="eastAsia" w:cs="Times New Roman"/>
                      <w:b w:val="0"/>
                      <w:bCs w:val="0"/>
                      <w:color w:val="000000" w:themeColor="text1"/>
                      <w:kern w:val="0"/>
                      <w:szCs w:val="21"/>
                      <w:lang w:val="en-US" w:eastAsia="zh-CN"/>
                      <w14:textFill>
                        <w14:solidFill>
                          <w14:schemeClr w14:val="tx1"/>
                        </w14:solidFill>
                      </w14:textFill>
                    </w:rPr>
                  </w:pPr>
                  <w:r>
                    <w:rPr>
                      <w:rFonts w:hint="eastAsia" w:cs="Times New Roman"/>
                      <w:b w:val="0"/>
                      <w:bCs w:val="0"/>
                      <w:color w:val="000000" w:themeColor="text1"/>
                      <w:kern w:val="0"/>
                      <w:szCs w:val="21"/>
                      <w:lang w:val="en-US" w:eastAsia="zh-CN"/>
                      <w14:textFill>
                        <w14:solidFill>
                          <w14:schemeClr w14:val="tx1"/>
                        </w14:solidFill>
                      </w14:textFill>
                    </w:rPr>
                    <w:t>符合</w:t>
                  </w:r>
                </w:p>
              </w:tc>
            </w:tr>
            <w:tr w14:paraId="7D93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dxa"/>
                  <w:vMerge w:val="continue"/>
                  <w:tcBorders>
                    <w:tl2br w:val="nil"/>
                    <w:tr2bl w:val="nil"/>
                  </w:tcBorders>
                  <w:vAlign w:val="center"/>
                </w:tcPr>
                <w:p w14:paraId="31FB807F">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p>
              </w:tc>
              <w:tc>
                <w:tcPr>
                  <w:tcW w:w="435" w:type="dxa"/>
                  <w:tcBorders>
                    <w:tl2br w:val="nil"/>
                    <w:tr2bl w:val="nil"/>
                  </w:tcBorders>
                  <w:vAlign w:val="center"/>
                </w:tcPr>
                <w:p w14:paraId="025A73BB">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项</w:t>
                  </w:r>
                </w:p>
                <w:p w14:paraId="78D240A7">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目</w:t>
                  </w:r>
                  <w:r>
                    <w:rPr>
                      <w:rFonts w:hint="eastAsia" w:cs="Times New Roman"/>
                      <w:b w:val="0"/>
                      <w:bCs w:val="0"/>
                      <w:color w:val="000000" w:themeColor="text1"/>
                      <w:kern w:val="0"/>
                      <w:szCs w:val="21"/>
                      <w:lang w:val="en-US" w:eastAsia="zh-CN"/>
                      <w14:textFill>
                        <w14:solidFill>
                          <w14:schemeClr w14:val="tx1"/>
                        </w14:solidFill>
                      </w14:textFill>
                    </w:rPr>
                    <w:t>入园</w:t>
                  </w:r>
                </w:p>
                <w:p w14:paraId="3E5F8ABD">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准</w:t>
                  </w:r>
                </w:p>
                <w:p w14:paraId="2262E3AB">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入</w:t>
                  </w:r>
                </w:p>
                <w:p w14:paraId="0492B8BA">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要</w:t>
                  </w:r>
                </w:p>
                <w:p w14:paraId="63027B8B">
                  <w:pPr>
                    <w:pStyle w:val="9"/>
                    <w:ind w:firstLine="0" w:firstLineChars="0"/>
                    <w:jc w:val="center"/>
                    <w:rPr>
                      <w:rFonts w:hint="eastAsia"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求</w:t>
                  </w:r>
                </w:p>
              </w:tc>
              <w:tc>
                <w:tcPr>
                  <w:tcW w:w="4465" w:type="dxa"/>
                  <w:tcBorders>
                    <w:tl2br w:val="nil"/>
                    <w:tr2bl w:val="nil"/>
                  </w:tcBorders>
                  <w:vAlign w:val="center"/>
                </w:tcPr>
                <w:p w14:paraId="700D89ED">
                  <w:pPr>
                    <w:spacing w:beforeLines="0" w:afterLine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TimesNewRomanPSMT" w:cs="Times New Roman"/>
                      <w:color w:val="000000" w:themeColor="text1"/>
                      <w:sz w:val="21"/>
                      <w:szCs w:val="24"/>
                      <w14:textFill>
                        <w14:solidFill>
                          <w14:schemeClr w14:val="tx1"/>
                        </w14:solidFill>
                      </w14:textFill>
                    </w:rPr>
                    <w:t>1</w:t>
                  </w:r>
                  <w:r>
                    <w:rPr>
                      <w:rFonts w:hint="eastAsia" w:ascii="Times New Roman" w:hAnsi="Times New Roman" w:eastAsia="宋体"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造纸、焦化、氮肥、有色金属、印染、农副食品加工、原料药制造、皮革、农药、电镀、钢铁、水泥、平板玻璃、石灰、石化、化工等高污染工业项目必须入园进区，其他工业项目原则上也不在园区外布局。</w:t>
                  </w:r>
                </w:p>
                <w:p w14:paraId="70664125">
                  <w:pPr>
                    <w:spacing w:beforeLines="0" w:afterLines="0"/>
                    <w:jc w:val="center"/>
                    <w:rPr>
                      <w:rFonts w:hint="default" w:ascii="Times New Roman" w:hAnsi="Times New Roman" w:cs="Times New Roman"/>
                      <w:b w:val="0"/>
                      <w:bCs w:val="0"/>
                      <w:color w:val="000000" w:themeColor="text1"/>
                      <w:kern w:val="0"/>
                      <w:szCs w:val="21"/>
                      <w:lang w:val="en-US" w:eastAsia="zh-CN"/>
                      <w14:textFill>
                        <w14:solidFill>
                          <w14:schemeClr w14:val="tx1"/>
                        </w14:solidFill>
                      </w14:textFill>
                    </w:rPr>
                  </w:pPr>
                  <w:r>
                    <w:rPr>
                      <w:rFonts w:hint="default" w:ascii="Times New Roman" w:hAnsi="Times New Roman" w:eastAsia="TimesNewRomanPSMT" w:cs="Times New Roman"/>
                      <w:color w:val="000000" w:themeColor="text1"/>
                      <w:sz w:val="21"/>
                      <w:szCs w:val="24"/>
                      <w14:textFill>
                        <w14:solidFill>
                          <w14:schemeClr w14:val="tx1"/>
                        </w14:solidFill>
                      </w14:textFill>
                    </w:rPr>
                    <w:t>2</w:t>
                  </w:r>
                  <w:r>
                    <w:rPr>
                      <w:rFonts w:hint="eastAsia" w:ascii="Times New Roman" w:hAnsi="Times New Roman" w:eastAsia="宋体"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新（改、扩）建钢铁、石化、化工、焦化、建材、有色等项目的环境影响评价，应满足区域、规划环评要求。</w:t>
                  </w:r>
                </w:p>
              </w:tc>
              <w:tc>
                <w:tcPr>
                  <w:tcW w:w="1140" w:type="dxa"/>
                  <w:tcBorders>
                    <w:tl2br w:val="nil"/>
                    <w:tr2bl w:val="nil"/>
                  </w:tcBorders>
                  <w:vAlign w:val="center"/>
                </w:tcPr>
                <w:p w14:paraId="51E57C68">
                  <w:pPr>
                    <w:pStyle w:val="9"/>
                    <w:ind w:firstLine="0" w:firstLineChars="0"/>
                    <w:jc w:val="center"/>
                    <w:rPr>
                      <w:rFonts w:hint="default" w:ascii="Times New Roman" w:hAnsi="Times New Roman" w:eastAsia="宋体" w:cs="Times New Roman"/>
                      <w:b w:val="0"/>
                      <w:bCs w:val="0"/>
                      <w:color w:val="FF0000"/>
                      <w:kern w:val="0"/>
                      <w:szCs w:val="21"/>
                      <w:lang w:val="en-US" w:eastAsia="zh-CN"/>
                    </w:rPr>
                  </w:pPr>
                  <w:r>
                    <w:rPr>
                      <w:rFonts w:hint="eastAsia" w:ascii="Times New Roman" w:hAnsi="Times New Roman" w:cs="Times New Roman"/>
                      <w:b w:val="0"/>
                      <w:bCs w:val="0"/>
                      <w:color w:val="auto"/>
                      <w:kern w:val="0"/>
                      <w:szCs w:val="21"/>
                      <w:lang w:val="en-US" w:eastAsia="zh-CN"/>
                    </w:rPr>
                    <w:t>项目位于</w:t>
                  </w:r>
                  <w:r>
                    <w:rPr>
                      <w:rFonts w:hint="eastAsia" w:cs="Times New Roman"/>
                      <w:b w:val="0"/>
                      <w:bCs w:val="0"/>
                      <w:color w:val="auto"/>
                      <w:kern w:val="0"/>
                      <w:szCs w:val="21"/>
                      <w:lang w:val="en-US" w:eastAsia="zh-CN"/>
                    </w:rPr>
                    <w:t>魏县经济开发区-</w:t>
                  </w:r>
                  <w:r>
                    <w:rPr>
                      <w:rFonts w:hint="eastAsia" w:ascii="Times New Roman" w:hAnsi="Times New Roman" w:cs="Times New Roman"/>
                      <w:b w:val="0"/>
                      <w:bCs w:val="0"/>
                      <w:color w:val="auto"/>
                      <w:kern w:val="0"/>
                      <w:szCs w:val="21"/>
                      <w:lang w:val="en-US" w:eastAsia="zh-CN"/>
                    </w:rPr>
                    <w:t>再生资源循环利用产业园</w:t>
                  </w:r>
                  <w:r>
                    <w:rPr>
                      <w:rFonts w:hint="eastAsia" w:ascii="Times New Roman" w:hAnsi="Times New Roman" w:cs="Times New Roman"/>
                      <w:b w:val="0"/>
                      <w:bCs w:val="0"/>
                      <w:color w:val="auto"/>
                      <w:kern w:val="0"/>
                      <w:szCs w:val="21"/>
                      <w:lang w:eastAsia="zh-CN"/>
                    </w:rPr>
                    <w:t>，符合</w:t>
                  </w:r>
                  <w:r>
                    <w:rPr>
                      <w:rFonts w:hint="eastAsia" w:cs="Times New Roman"/>
                      <w:b w:val="0"/>
                      <w:bCs w:val="0"/>
                      <w:color w:val="auto"/>
                      <w:kern w:val="0"/>
                      <w:szCs w:val="21"/>
                      <w:lang w:val="en-US" w:eastAsia="zh-CN"/>
                    </w:rPr>
                    <w:t>园区</w:t>
                  </w:r>
                  <w:r>
                    <w:rPr>
                      <w:rFonts w:hint="eastAsia" w:ascii="Times New Roman" w:hAnsi="Times New Roman" w:cs="Times New Roman"/>
                      <w:b w:val="0"/>
                      <w:bCs w:val="0"/>
                      <w:color w:val="auto"/>
                      <w:kern w:val="0"/>
                      <w:szCs w:val="21"/>
                      <w:lang w:eastAsia="zh-CN"/>
                    </w:rPr>
                    <w:t>总体规划、规划环评、规划环评审查意见要求</w:t>
                  </w:r>
                </w:p>
              </w:tc>
              <w:tc>
                <w:tcPr>
                  <w:tcW w:w="497" w:type="dxa"/>
                  <w:tcBorders>
                    <w:tl2br w:val="nil"/>
                    <w:tr2bl w:val="nil"/>
                  </w:tcBorders>
                  <w:vAlign w:val="center"/>
                </w:tcPr>
                <w:p w14:paraId="396779D7">
                  <w:pPr>
                    <w:ind w:firstLine="0" w:firstLineChars="0"/>
                    <w:jc w:val="center"/>
                    <w:rPr>
                      <w:rFonts w:hint="eastAsia" w:cs="Times New Roman"/>
                      <w:b w:val="0"/>
                      <w:bCs w:val="0"/>
                      <w:color w:val="000000" w:themeColor="text1"/>
                      <w:kern w:val="0"/>
                      <w:szCs w:val="21"/>
                      <w:lang w:val="en-US" w:eastAsia="zh-CN"/>
                      <w14:textFill>
                        <w14:solidFill>
                          <w14:schemeClr w14:val="tx1"/>
                        </w14:solidFill>
                      </w14:textFill>
                    </w:rPr>
                  </w:pPr>
                  <w:r>
                    <w:rPr>
                      <w:rFonts w:hint="eastAsia" w:cs="Times New Roman"/>
                      <w:b w:val="0"/>
                      <w:bCs w:val="0"/>
                      <w:color w:val="000000" w:themeColor="text1"/>
                      <w:kern w:val="0"/>
                      <w:szCs w:val="21"/>
                      <w:lang w:val="en-US" w:eastAsia="zh-CN"/>
                      <w14:textFill>
                        <w14:solidFill>
                          <w14:schemeClr w14:val="tx1"/>
                        </w14:solidFill>
                      </w14:textFill>
                    </w:rPr>
                    <w:t>符合</w:t>
                  </w:r>
                </w:p>
              </w:tc>
            </w:tr>
            <w:tr w14:paraId="176B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dxa"/>
                  <w:vMerge w:val="restart"/>
                  <w:tcBorders>
                    <w:tl2br w:val="nil"/>
                    <w:tr2bl w:val="nil"/>
                  </w:tcBorders>
                  <w:vAlign w:val="center"/>
                </w:tcPr>
                <w:p w14:paraId="488CEBB2">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环境</w:t>
                  </w:r>
                </w:p>
                <w:p w14:paraId="3FEE0656">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质量</w:t>
                  </w:r>
                </w:p>
                <w:p w14:paraId="4926B439">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底线</w:t>
                  </w:r>
                </w:p>
              </w:tc>
              <w:tc>
                <w:tcPr>
                  <w:tcW w:w="435" w:type="dxa"/>
                  <w:tcBorders>
                    <w:tl2br w:val="nil"/>
                    <w:tr2bl w:val="nil"/>
                  </w:tcBorders>
                  <w:vAlign w:val="center"/>
                </w:tcPr>
                <w:p w14:paraId="7EDF83E3">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水</w:t>
                  </w:r>
                </w:p>
                <w:p w14:paraId="5C2C48BA">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环</w:t>
                  </w:r>
                </w:p>
                <w:p w14:paraId="322FBB7B">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境</w:t>
                  </w:r>
                </w:p>
                <w:p w14:paraId="2328977E">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总</w:t>
                  </w:r>
                </w:p>
                <w:p w14:paraId="2B184510">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体</w:t>
                  </w:r>
                </w:p>
                <w:p w14:paraId="5420A612">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管</w:t>
                  </w:r>
                </w:p>
                <w:p w14:paraId="6079AE15">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控</w:t>
                  </w:r>
                </w:p>
                <w:p w14:paraId="661F4971">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要</w:t>
                  </w:r>
                </w:p>
                <w:p w14:paraId="2755CF1D">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求</w:t>
                  </w:r>
                </w:p>
              </w:tc>
              <w:tc>
                <w:tcPr>
                  <w:tcW w:w="4465" w:type="dxa"/>
                  <w:tcBorders>
                    <w:tl2br w:val="nil"/>
                    <w:tr2bl w:val="nil"/>
                  </w:tcBorders>
                  <w:vAlign w:val="center"/>
                </w:tcPr>
                <w:p w14:paraId="527FA196">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1</w:t>
                  </w:r>
                  <w:r>
                    <w:rPr>
                      <w:rFonts w:hint="eastAsia" w:ascii="Times New Roman" w:hAnsi="Times New Roman" w:eastAsia="宋体"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强化饮用水水源保护。建立县级及以上集中式饮用水水源清单，明确水质目标，实行达标管理。</w:t>
                  </w:r>
                </w:p>
                <w:p w14:paraId="0C19B960">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2</w:t>
                  </w:r>
                  <w:r>
                    <w:rPr>
                      <w:rFonts w:hint="eastAsia" w:ascii="Times New Roman" w:hAnsi="Times New Roman" w:eastAsia="宋体"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开展水环境承载力评价。推进美丽河湖保护与建设，发挥引领示范作用。</w:t>
                  </w:r>
                </w:p>
                <w:p w14:paraId="1F059D48">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3</w:t>
                  </w:r>
                  <w:r>
                    <w:rPr>
                      <w:rFonts w:hint="eastAsia" w:ascii="Times New Roman" w:hAnsi="Times New Roman" w:eastAsia="宋体"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保护河湖生态空间。落实生态保护红线制度。禁止侵占自然湿地等水源涵养生态空间，已侵占的全部予以恢复。</w:t>
                  </w:r>
                </w:p>
                <w:p w14:paraId="7988024A">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4</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严格水域岸线用途管制和土地开发利用。新建项目应按照有关法律法规和技术标准要求，留足河道、湖泊、水库岸边地带的管理和保护范围。</w:t>
                  </w:r>
                </w:p>
                <w:p w14:paraId="3D23E715">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5</w:t>
                  </w:r>
                  <w:r>
                    <w:rPr>
                      <w:rFonts w:hint="eastAsia" w:ascii="Times New Roman" w:hAnsi="Times New Roman" w:eastAsia="宋体"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子牙河水系、漳卫南水系、黑龙港水系和徒骇马颊河水系干流沿岸以及岳城水库水源地、羊角铺地下水水源地等重要饮用水源地补给区，严格控制化学原料和化学制品制造、医药制造、制革、造纸、焦化、化学纤维制造、石油加工、纺织印染等项目，合理布局生产装置及危险化学品仓储等设施。</w:t>
                  </w:r>
                </w:p>
                <w:p w14:paraId="69C8E3F6">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6</w:t>
                  </w:r>
                  <w:r>
                    <w:rPr>
                      <w:rFonts w:hint="eastAsia" w:ascii="Times New Roman" w:hAnsi="Times New Roman" w:eastAsia="宋体"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优化养殖产业空间布局。以饮用水水源、水质较好湖库、国家级湿地（公园）等环境敏感区域为重点，科学划定养殖区，明确适养、限养和禁养区。全面清理禁养区相关养殖项目，严防反弹。</w:t>
                  </w:r>
                </w:p>
                <w:p w14:paraId="78750851">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7</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在跃峰渠工程管理范围内从事工程建设活动的，建设单位或个人应当将工程建设方案报送市水行政主管部门审查同意后，方可按照基本建设程序履行审批手续。市水行政主管部门依法对施工进行监督。穿、跨、临渠的桥梁、道路、管道、缆线、取水、排水、监测等工程设施的建设单位、产权单位或者使用单位，应当对设施进行日常检查和维护，保证其正常运行，发现危害渠道安全、妨碍渠水畅通等情况的，应当及时进行整改、消除安全隐患。</w:t>
                  </w:r>
                </w:p>
              </w:tc>
              <w:tc>
                <w:tcPr>
                  <w:tcW w:w="1140" w:type="dxa"/>
                  <w:tcBorders>
                    <w:tl2br w:val="nil"/>
                    <w:tr2bl w:val="nil"/>
                  </w:tcBorders>
                  <w:vAlign w:val="center"/>
                </w:tcPr>
                <w:p w14:paraId="36EA4226">
                  <w:pPr>
                    <w:pStyle w:val="9"/>
                    <w:ind w:firstLine="0" w:firstLineChars="0"/>
                    <w:jc w:val="center"/>
                    <w:rPr>
                      <w:rFonts w:hint="eastAsia" w:cs="Times New Roman"/>
                      <w:b w:val="0"/>
                      <w:bCs w:val="0"/>
                      <w:color w:val="auto"/>
                      <w:kern w:val="0"/>
                      <w:szCs w:val="21"/>
                      <w:lang w:val="en-US" w:eastAsia="zh-CN"/>
                    </w:rPr>
                  </w:pPr>
                  <w:r>
                    <w:rPr>
                      <w:rFonts w:hint="eastAsia" w:cs="Times New Roman"/>
                      <w:b w:val="0"/>
                      <w:bCs w:val="0"/>
                      <w:color w:val="auto"/>
                      <w:kern w:val="0"/>
                      <w:szCs w:val="21"/>
                      <w:lang w:val="en-US" w:eastAsia="zh-CN"/>
                    </w:rPr>
                    <w:t>项目</w:t>
                  </w:r>
                </w:p>
                <w:p w14:paraId="10E50ECB">
                  <w:pPr>
                    <w:pStyle w:val="9"/>
                    <w:ind w:firstLine="0" w:firstLineChars="0"/>
                    <w:jc w:val="center"/>
                    <w:rPr>
                      <w:rFonts w:hint="default" w:ascii="Times New Roman" w:hAnsi="Times New Roman" w:cs="Times New Roman"/>
                      <w:b w:val="0"/>
                      <w:bCs w:val="0"/>
                      <w:color w:val="FF0000"/>
                      <w:kern w:val="0"/>
                      <w:szCs w:val="21"/>
                      <w:lang w:val="en-US"/>
                    </w:rPr>
                  </w:pPr>
                  <w:r>
                    <w:rPr>
                      <w:rFonts w:hint="eastAsia" w:ascii="Times New Roman" w:hAnsi="Times New Roman" w:cs="Times New Roman"/>
                      <w:b w:val="0"/>
                      <w:bCs w:val="0"/>
                      <w:color w:val="auto"/>
                      <w:kern w:val="0"/>
                      <w:szCs w:val="21"/>
                      <w:lang w:eastAsia="zh-CN"/>
                    </w:rPr>
                    <w:t>不涉及</w:t>
                  </w:r>
                </w:p>
              </w:tc>
              <w:tc>
                <w:tcPr>
                  <w:tcW w:w="497" w:type="dxa"/>
                  <w:tcBorders>
                    <w:tl2br w:val="nil"/>
                    <w:tr2bl w:val="nil"/>
                  </w:tcBorders>
                  <w:vAlign w:val="center"/>
                </w:tcPr>
                <w:p w14:paraId="22E90BFA">
                  <w:pPr>
                    <w:ind w:firstLine="0" w:firstLineChars="0"/>
                    <w:jc w:val="center"/>
                    <w:rPr>
                      <w:rFonts w:hint="eastAsia" w:cs="Times New Roman"/>
                      <w:b w:val="0"/>
                      <w:bCs w:val="0"/>
                      <w:color w:val="000000" w:themeColor="text1"/>
                      <w:kern w:val="0"/>
                      <w:szCs w:val="21"/>
                      <w:lang w:val="en-US" w:eastAsia="zh-CN"/>
                      <w14:textFill>
                        <w14:solidFill>
                          <w14:schemeClr w14:val="tx1"/>
                        </w14:solidFill>
                      </w14:textFill>
                    </w:rPr>
                  </w:pPr>
                  <w:r>
                    <w:rPr>
                      <w:rFonts w:hint="eastAsia" w:cs="Times New Roman"/>
                      <w:b w:val="0"/>
                      <w:bCs w:val="0"/>
                      <w:color w:val="000000" w:themeColor="text1"/>
                      <w:kern w:val="0"/>
                      <w:szCs w:val="21"/>
                      <w:lang w:val="en-US" w:eastAsia="zh-CN"/>
                      <w14:textFill>
                        <w14:solidFill>
                          <w14:schemeClr w14:val="tx1"/>
                        </w14:solidFill>
                      </w14:textFill>
                    </w:rPr>
                    <w:t>符合</w:t>
                  </w:r>
                </w:p>
              </w:tc>
            </w:tr>
            <w:tr w14:paraId="6986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dxa"/>
                  <w:vMerge w:val="continue"/>
                  <w:tcBorders>
                    <w:tl2br w:val="nil"/>
                    <w:tr2bl w:val="nil"/>
                  </w:tcBorders>
                  <w:vAlign w:val="center"/>
                </w:tcPr>
                <w:p w14:paraId="37D2F58B">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p>
              </w:tc>
              <w:tc>
                <w:tcPr>
                  <w:tcW w:w="435" w:type="dxa"/>
                  <w:tcBorders>
                    <w:tl2br w:val="nil"/>
                    <w:tr2bl w:val="nil"/>
                  </w:tcBorders>
                  <w:vAlign w:val="center"/>
                </w:tcPr>
                <w:p w14:paraId="4FD7D3CC">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eastAsia" w:cs="Times New Roman"/>
                      <w:b w:val="0"/>
                      <w:bCs w:val="0"/>
                      <w:color w:val="000000" w:themeColor="text1"/>
                      <w:kern w:val="0"/>
                      <w:szCs w:val="21"/>
                      <w:lang w:val="en-US" w:eastAsia="zh-CN"/>
                      <w14:textFill>
                        <w14:solidFill>
                          <w14:schemeClr w14:val="tx1"/>
                        </w14:solidFill>
                      </w14:textFill>
                    </w:rPr>
                    <w:t>大气环境</w:t>
                  </w:r>
                  <w:r>
                    <w:rPr>
                      <w:rFonts w:hint="default" w:cs="Times New Roman"/>
                      <w:b w:val="0"/>
                      <w:bCs w:val="0"/>
                      <w:color w:val="000000" w:themeColor="text1"/>
                      <w:kern w:val="0"/>
                      <w:szCs w:val="21"/>
                      <w:lang w:val="en-US" w:eastAsia="zh-CN"/>
                      <w14:textFill>
                        <w14:solidFill>
                          <w14:schemeClr w14:val="tx1"/>
                        </w14:solidFill>
                      </w14:textFill>
                    </w:rPr>
                    <w:t>总</w:t>
                  </w:r>
                </w:p>
                <w:p w14:paraId="59F222C5">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体</w:t>
                  </w:r>
                </w:p>
                <w:p w14:paraId="129D7657">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管</w:t>
                  </w:r>
                </w:p>
                <w:p w14:paraId="77D7F214">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控</w:t>
                  </w:r>
                </w:p>
                <w:p w14:paraId="66DA2374">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要</w:t>
                  </w:r>
                </w:p>
                <w:p w14:paraId="38D1850B">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求</w:t>
                  </w:r>
                </w:p>
              </w:tc>
              <w:tc>
                <w:tcPr>
                  <w:tcW w:w="4465" w:type="dxa"/>
                  <w:tcBorders>
                    <w:tl2br w:val="nil"/>
                    <w:tr2bl w:val="nil"/>
                  </w:tcBorders>
                  <w:vAlign w:val="center"/>
                </w:tcPr>
                <w:p w14:paraId="7945ADC6">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1</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严格落实钢铁、水泥、平板玻璃等行业产能置换政策，严禁新增钢铁、焦化、水泥和平板玻璃等产能，禁止新增化工园区。</w:t>
                  </w:r>
                </w:p>
                <w:p w14:paraId="767E426F">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2</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严控“两高”产业规模。以钢铁、焦化、水泥、平板玻璃、煤电等行业企业为重点，严格控制新增产能，遏制高耗能、高排放项目盲目发展。持续巩固去产能成果，严格落实产业准入条件，坚决防止反弹。</w:t>
                  </w:r>
                </w:p>
                <w:p w14:paraId="585C5542">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3</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严格执行质量、环保、能耗、安全等法规标准，加大重点行业低效和过剩产能压减力度，淘汰4.3米焦炉，关停部分1000立方米以下高炉和100吨以下转炉。</w:t>
                  </w:r>
                </w:p>
                <w:p w14:paraId="38DBA0D7">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4</w:t>
                  </w:r>
                  <w:r>
                    <w:rPr>
                      <w:rFonts w:hint="eastAsia" w:cs="Times New Roman"/>
                      <w:color w:val="000000" w:themeColor="text1"/>
                      <w:sz w:val="21"/>
                      <w:szCs w:val="24"/>
                      <w:lang w:eastAsia="zh-CN"/>
                      <w14:textFill>
                        <w14:solidFill>
                          <w14:schemeClr w14:val="tx1"/>
                        </w14:solidFill>
                      </w14:textFill>
                    </w:rPr>
                    <w:t>、发展壮大“532”市域主导产业，加快新旧动能转换。提升传统优势产业发展能级，完成钢铁产业整合重组，延伸钢铁产业链条，加快建设全国重要精品钢材生产基地，形成“一集群五基地”产业格局</w:t>
                  </w:r>
                  <w:r>
                    <w:rPr>
                      <w:rFonts w:hint="default" w:ascii="Times New Roman" w:hAnsi="Times New Roman" w:eastAsia="宋体" w:cs="Times New Roman"/>
                      <w:color w:val="000000" w:themeColor="text1"/>
                      <w:sz w:val="21"/>
                      <w:szCs w:val="24"/>
                      <w14:textFill>
                        <w14:solidFill>
                          <w14:schemeClr w14:val="tx1"/>
                        </w14:solidFill>
                      </w14:textFill>
                    </w:rPr>
                    <w:t>。</w:t>
                  </w:r>
                </w:p>
                <w:p w14:paraId="7308ED86">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5</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严格控制高耗能项目建设，提高市场准入门槛，严格控制新增煤电机组装机规模，审慎发展石油化工等项目。</w:t>
                  </w:r>
                </w:p>
                <w:p w14:paraId="2F22C7D1">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6</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严格散煤生产、加工、储运、销售环节监管，“禁煤区”“高污染燃料禁燃区”不得新设散煤经营网点。</w:t>
                  </w:r>
                </w:p>
                <w:p w14:paraId="288DAD5F">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7</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推进煤炭、钢铁、焦化、水泥等大宗货物年运输量150万吨以上的大型工矿企业、大型物流园区以及港口集疏运铁路专用线、管道或封闭管廊等建设。</w:t>
                  </w:r>
                </w:p>
                <w:p w14:paraId="4D6B644E">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8</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确保</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散乱污</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企业动态清零。建立</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散乱污</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企业动态管理机制，定期开展</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回头看</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，坚决杜绝</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散乱污</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企业项目建设和已取缔的</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散乱污</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企业异地转移，死灰复燃。</w:t>
                  </w:r>
                </w:p>
                <w:p w14:paraId="55B7E5E3">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9</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对30万千瓦及以上热电联产机组覆盖范围内的自备燃煤电厂实施关停整合。</w:t>
                  </w:r>
                </w:p>
                <w:p w14:paraId="09F9270D">
                  <w:pPr>
                    <w:pStyle w:val="9"/>
                    <w:ind w:firstLine="0" w:firstLineChars="0"/>
                    <w:jc w:val="center"/>
                    <w:rPr>
                      <w:rFonts w:hint="eastAsia" w:ascii="Times New Roman" w:hAnsi="Times New Roman" w:eastAsia="宋体" w:cs="Times New Roman"/>
                      <w:color w:val="000000" w:themeColor="text1"/>
                      <w:sz w:val="21"/>
                      <w:szCs w:val="24"/>
                      <w:lang w:eastAsia="zh-CN"/>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10</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积极参与京津冀协同发展生态环境联建联防联治。聚焦对接服务京津，突出承接疏解合作功能，全力推进京津冀协同发展取得更大成效。强化多领域协同治理和保护，深化区域大气污染协同治理，强化区域生态环境联合执法，深化拓展生态保护补偿机制</w:t>
                  </w:r>
                  <w:r>
                    <w:rPr>
                      <w:rFonts w:hint="eastAsia" w:cs="Times New Roman"/>
                      <w:color w:val="000000" w:themeColor="text1"/>
                      <w:sz w:val="21"/>
                      <w:szCs w:val="24"/>
                      <w:lang w:eastAsia="zh-CN"/>
                      <w14:textFill>
                        <w14:solidFill>
                          <w14:schemeClr w14:val="tx1"/>
                        </w14:solidFill>
                      </w14:textFill>
                    </w:rPr>
                    <w:t>。</w:t>
                  </w:r>
                </w:p>
                <w:p w14:paraId="6733A3EE">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11</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按照统一规划、统一标准、统一监测、统一污染防治措施的要求，落实省内跨区域联防联控机制，强化与周边市联防联控，鼓励县（市、区）积极开展联防联控。落实</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省—市—县</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重污染天气应对三级预案体系，规范重污染天气预警、启动、响应、解除工作流程，严格执行重点行业企业绩效分级管控措施，加强应急减排清单标准化管理。</w:t>
                  </w:r>
                </w:p>
              </w:tc>
              <w:tc>
                <w:tcPr>
                  <w:tcW w:w="1140" w:type="dxa"/>
                  <w:tcBorders>
                    <w:tl2br w:val="nil"/>
                    <w:tr2bl w:val="nil"/>
                  </w:tcBorders>
                  <w:vAlign w:val="center"/>
                </w:tcPr>
                <w:p w14:paraId="5243F137">
                  <w:pPr>
                    <w:pStyle w:val="9"/>
                    <w:ind w:firstLine="0" w:firstLineChars="0"/>
                    <w:jc w:val="center"/>
                    <w:rPr>
                      <w:rFonts w:hint="default" w:ascii="Times New Roman" w:hAnsi="Times New Roman" w:eastAsia="宋体" w:cs="Times New Roman"/>
                      <w:b w:val="0"/>
                      <w:bCs w:val="0"/>
                      <w:color w:val="FF0000"/>
                      <w:kern w:val="0"/>
                      <w:szCs w:val="21"/>
                      <w:lang w:val="en-US" w:eastAsia="zh-CN"/>
                    </w:rPr>
                  </w:pPr>
                  <w:r>
                    <w:rPr>
                      <w:rFonts w:hint="eastAsia" w:cs="Times New Roman"/>
                      <w:b w:val="0"/>
                      <w:bCs w:val="0"/>
                      <w:color w:val="auto"/>
                      <w:kern w:val="0"/>
                      <w:szCs w:val="21"/>
                      <w:lang w:val="en-US" w:eastAsia="zh-CN"/>
                    </w:rPr>
                    <w:t>项目属于再生资源循环经济产业（塑料循环经济）</w:t>
                  </w:r>
                  <w:r>
                    <w:rPr>
                      <w:rFonts w:hint="eastAsia" w:ascii="Times New Roman" w:hAnsi="Times New Roman" w:cs="Times New Roman"/>
                      <w:b w:val="0"/>
                      <w:bCs w:val="0"/>
                      <w:color w:val="auto"/>
                      <w:kern w:val="0"/>
                      <w:szCs w:val="21"/>
                      <w:lang w:eastAsia="zh-CN"/>
                    </w:rPr>
                    <w:t>，</w:t>
                  </w:r>
                  <w:r>
                    <w:rPr>
                      <w:rFonts w:hint="eastAsia" w:ascii="Times New Roman" w:hAnsi="Times New Roman" w:cs="Times New Roman"/>
                      <w:b w:val="0"/>
                      <w:bCs w:val="0"/>
                      <w:color w:val="auto"/>
                      <w:kern w:val="0"/>
                      <w:szCs w:val="21"/>
                      <w:lang w:val="en-US" w:eastAsia="zh-CN"/>
                    </w:rPr>
                    <w:t>不属于</w:t>
                  </w:r>
                  <w:r>
                    <w:rPr>
                      <w:rFonts w:hint="default" w:ascii="Times New Roman" w:hAnsi="Times New Roman" w:eastAsia="宋体" w:cs="Times New Roman"/>
                      <w:color w:val="auto"/>
                      <w:sz w:val="21"/>
                      <w:szCs w:val="24"/>
                    </w:rPr>
                    <w:t>钢铁、焦化、水泥和平板玻璃等</w:t>
                  </w:r>
                  <w:r>
                    <w:rPr>
                      <w:rFonts w:hint="eastAsia" w:cs="Times New Roman"/>
                      <w:color w:val="auto"/>
                      <w:sz w:val="21"/>
                      <w:szCs w:val="24"/>
                      <w:lang w:val="en-US" w:eastAsia="zh-CN"/>
                    </w:rPr>
                    <w:t>两高产业</w:t>
                  </w:r>
                </w:p>
              </w:tc>
              <w:tc>
                <w:tcPr>
                  <w:tcW w:w="497" w:type="dxa"/>
                  <w:tcBorders>
                    <w:tl2br w:val="nil"/>
                    <w:tr2bl w:val="nil"/>
                  </w:tcBorders>
                  <w:vAlign w:val="center"/>
                </w:tcPr>
                <w:p w14:paraId="32DC8C38">
                  <w:pPr>
                    <w:ind w:firstLine="0" w:firstLineChars="0"/>
                    <w:jc w:val="center"/>
                    <w:rPr>
                      <w:rFonts w:hint="eastAsia" w:cs="Times New Roman"/>
                      <w:b w:val="0"/>
                      <w:bCs w:val="0"/>
                      <w:color w:val="000000" w:themeColor="text1"/>
                      <w:kern w:val="0"/>
                      <w:szCs w:val="21"/>
                      <w:lang w:val="en-US" w:eastAsia="zh-CN"/>
                      <w14:textFill>
                        <w14:solidFill>
                          <w14:schemeClr w14:val="tx1"/>
                        </w14:solidFill>
                      </w14:textFill>
                    </w:rPr>
                  </w:pPr>
                  <w:r>
                    <w:rPr>
                      <w:rFonts w:hint="eastAsia" w:cs="Times New Roman"/>
                      <w:b w:val="0"/>
                      <w:bCs w:val="0"/>
                      <w:color w:val="000000" w:themeColor="text1"/>
                      <w:kern w:val="0"/>
                      <w:szCs w:val="21"/>
                      <w:lang w:val="en-US" w:eastAsia="zh-CN"/>
                      <w14:textFill>
                        <w14:solidFill>
                          <w14:schemeClr w14:val="tx1"/>
                        </w14:solidFill>
                      </w14:textFill>
                    </w:rPr>
                    <w:t>符合</w:t>
                  </w:r>
                </w:p>
              </w:tc>
            </w:tr>
            <w:tr w14:paraId="584C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dxa"/>
                  <w:vMerge w:val="continue"/>
                  <w:tcBorders>
                    <w:tl2br w:val="nil"/>
                    <w:tr2bl w:val="nil"/>
                  </w:tcBorders>
                  <w:vAlign w:val="center"/>
                </w:tcPr>
                <w:p w14:paraId="06F4ACAD">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p>
              </w:tc>
              <w:tc>
                <w:tcPr>
                  <w:tcW w:w="435" w:type="dxa"/>
                  <w:tcBorders>
                    <w:tl2br w:val="nil"/>
                    <w:tr2bl w:val="nil"/>
                  </w:tcBorders>
                  <w:vAlign w:val="center"/>
                </w:tcPr>
                <w:p w14:paraId="7434CB1D">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土</w:t>
                  </w:r>
                </w:p>
                <w:p w14:paraId="00ABE1D4">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壤</w:t>
                  </w:r>
                </w:p>
                <w:p w14:paraId="56658D8C">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环</w:t>
                  </w:r>
                </w:p>
                <w:p w14:paraId="568F6B1D">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境</w:t>
                  </w:r>
                </w:p>
                <w:p w14:paraId="229D26F7">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总</w:t>
                  </w:r>
                </w:p>
                <w:p w14:paraId="72EE6979">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体</w:t>
                  </w:r>
                </w:p>
                <w:p w14:paraId="51E5C0D4">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管</w:t>
                  </w:r>
                </w:p>
                <w:p w14:paraId="76CB8911">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控</w:t>
                  </w:r>
                </w:p>
                <w:p w14:paraId="4CBB6A26">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要</w:t>
                  </w:r>
                </w:p>
                <w:p w14:paraId="674A4DC1">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求</w:t>
                  </w:r>
                </w:p>
              </w:tc>
              <w:tc>
                <w:tcPr>
                  <w:tcW w:w="4465" w:type="dxa"/>
                  <w:tcBorders>
                    <w:tl2br w:val="nil"/>
                    <w:tr2bl w:val="nil"/>
                  </w:tcBorders>
                  <w:vAlign w:val="center"/>
                </w:tcPr>
                <w:p w14:paraId="12A69C95">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1</w:t>
                  </w:r>
                  <w:r>
                    <w:rPr>
                      <w:rFonts w:hint="eastAsia" w:ascii="Times New Roman" w:hAnsi="Times New Roman" w:eastAsia="宋体"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在未污染耕地集中区域全面推进高标准农田建设，将符合条件的未污染耕地划入永久基本农田，不得新建有色金属冶炼、石油加工、化工、焦化、电镀、制革、铅蓄电池等可能造成土壤污染的建设项目。</w:t>
                  </w:r>
                </w:p>
                <w:p w14:paraId="715DE214">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2</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组织对关闭、搬迁、腾退工业企业用地进行全面排查，动态更新疑似污染地块名单、污染地块名录，确保符合《中华人民共和国土壤污染防治法》《污染地块土壤环境管理办法</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试行</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》等要求的建设用地地块全部纳入全国污染地块土壤环境管理信息系统加强监管。</w:t>
                  </w:r>
                </w:p>
                <w:p w14:paraId="4BE8828D">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3</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土壤污染重点监管单位应全面落实土壤污染防治义务，严格控制有毒有害物质排放，制定自行监测方案并组织实施。企业自行监测、隐患排查以及执法部分监督检查发现土壤和地下水污染的，相关企业要制定整改方案和建立台账清单。</w:t>
                  </w:r>
                </w:p>
                <w:p w14:paraId="5FFAB240">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4</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推动工业固废综合利用，促进工业固废减量化、资源化。加强塑料污染防控，强化对生产、使用、销售塑料制品单位的监督检查，有序禁止限制部分塑料制品生产、销售、使用。</w:t>
                  </w:r>
                </w:p>
                <w:p w14:paraId="3340B873">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5</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2021年底前，配合省相关部门对褐煤开采洗选、非金属</w:t>
                  </w:r>
                  <w:r>
                    <w:rPr>
                      <w:rFonts w:hint="eastAsia" w:cs="Times New Roman"/>
                      <w:color w:val="000000" w:themeColor="text1"/>
                      <w:sz w:val="21"/>
                      <w:szCs w:val="24"/>
                      <w:lang w:val="en-US" w:eastAsia="zh-CN"/>
                      <w14:textFill>
                        <w14:solidFill>
                          <w14:schemeClr w14:val="tx1"/>
                        </w14:solidFill>
                      </w14:textFill>
                    </w:rPr>
                    <w:t>废料</w:t>
                  </w:r>
                  <w:r>
                    <w:rPr>
                      <w:rFonts w:hint="default" w:ascii="Times New Roman" w:hAnsi="Times New Roman" w:eastAsia="宋体" w:cs="Times New Roman"/>
                      <w:color w:val="000000" w:themeColor="text1"/>
                      <w:sz w:val="21"/>
                      <w:szCs w:val="24"/>
                      <w14:textFill>
                        <w14:solidFill>
                          <w14:schemeClr w14:val="tx1"/>
                        </w14:solidFill>
                      </w14:textFill>
                    </w:rPr>
                    <w:t>和碎屑加工处理、白酒制造、金属家具制造、再生橡胶制造、生物药品制造行业企业等开展用地土壤污染状况调查，进一步摸清相关非重点行业企业土壤污染状况及分布，支撑非重点行业企业用地土壤污染防治和风险管控。</w:t>
                  </w:r>
                </w:p>
              </w:tc>
              <w:tc>
                <w:tcPr>
                  <w:tcW w:w="1140" w:type="dxa"/>
                  <w:tcBorders>
                    <w:tl2br w:val="nil"/>
                    <w:tr2bl w:val="nil"/>
                  </w:tcBorders>
                  <w:vAlign w:val="center"/>
                </w:tcPr>
                <w:p w14:paraId="2400C4FA">
                  <w:pPr>
                    <w:pStyle w:val="9"/>
                    <w:ind w:firstLine="0" w:firstLineChars="0"/>
                    <w:jc w:val="center"/>
                    <w:rPr>
                      <w:rFonts w:hint="default" w:ascii="Times New Roman" w:hAnsi="Times New Roman" w:cs="Times New Roman"/>
                      <w:b w:val="0"/>
                      <w:bCs w:val="0"/>
                      <w:color w:val="FF0000"/>
                      <w:kern w:val="0"/>
                      <w:szCs w:val="21"/>
                      <w:lang w:val="en-US"/>
                    </w:rPr>
                  </w:pPr>
                  <w:r>
                    <w:rPr>
                      <w:rFonts w:hint="eastAsia" w:cs="Times New Roman"/>
                      <w:b w:val="0"/>
                      <w:bCs w:val="0"/>
                      <w:color w:val="auto"/>
                      <w:kern w:val="0"/>
                      <w:szCs w:val="21"/>
                      <w:lang w:val="en-US" w:eastAsia="zh-CN"/>
                    </w:rPr>
                    <w:t>项目</w:t>
                  </w:r>
                  <w:r>
                    <w:rPr>
                      <w:rFonts w:hint="eastAsia" w:ascii="Times New Roman" w:hAnsi="Times New Roman" w:cs="Times New Roman"/>
                      <w:b w:val="0"/>
                      <w:bCs w:val="0"/>
                      <w:color w:val="auto"/>
                      <w:kern w:val="0"/>
                      <w:szCs w:val="21"/>
                      <w:lang w:val="en-US" w:eastAsia="zh-CN"/>
                    </w:rPr>
                    <w:t>位于魏县经济开发区-再生资源循环利用产业园</w:t>
                  </w:r>
                  <w:r>
                    <w:rPr>
                      <w:rFonts w:hint="eastAsia" w:ascii="Times New Roman" w:hAnsi="Times New Roman" w:cs="Times New Roman"/>
                      <w:b w:val="0"/>
                      <w:bCs w:val="0"/>
                      <w:color w:val="auto"/>
                      <w:kern w:val="0"/>
                      <w:szCs w:val="21"/>
                      <w:lang w:eastAsia="zh-CN"/>
                    </w:rPr>
                    <w:t>，</w:t>
                  </w:r>
                  <w:r>
                    <w:rPr>
                      <w:rFonts w:hint="eastAsia" w:ascii="Times New Roman" w:hAnsi="Times New Roman" w:cs="Times New Roman"/>
                      <w:b w:val="0"/>
                      <w:bCs w:val="0"/>
                      <w:color w:val="auto"/>
                      <w:kern w:val="0"/>
                      <w:szCs w:val="21"/>
                      <w:lang w:val="en-US" w:eastAsia="zh-CN"/>
                    </w:rPr>
                    <w:t>占地类型为工业用地，</w:t>
                  </w:r>
                  <w:r>
                    <w:rPr>
                      <w:rFonts w:hint="eastAsia" w:cs="Times New Roman"/>
                      <w:b w:val="0"/>
                      <w:bCs w:val="0"/>
                      <w:color w:val="auto"/>
                      <w:kern w:val="0"/>
                      <w:szCs w:val="21"/>
                      <w:lang w:val="en-US" w:eastAsia="zh-CN"/>
                    </w:rPr>
                    <w:t>不涉及占用基本农田；项目已制定切实可行的土壤污染防治措施，不会对土壤环境产生明显影响；项目</w:t>
                  </w:r>
                  <w:r>
                    <w:rPr>
                      <w:rFonts w:hint="eastAsia" w:ascii="Times New Roman" w:hAnsi="Times New Roman" w:cs="Times New Roman"/>
                      <w:b w:val="0"/>
                      <w:bCs w:val="0"/>
                      <w:color w:val="auto"/>
                      <w:kern w:val="0"/>
                      <w:szCs w:val="21"/>
                      <w:lang w:val="en-US" w:eastAsia="zh-CN"/>
                    </w:rPr>
                    <w:t>固体废物全部妥善</w:t>
                  </w:r>
                  <w:r>
                    <w:rPr>
                      <w:rFonts w:hint="eastAsia" w:cs="Times New Roman"/>
                      <w:b w:val="0"/>
                      <w:bCs w:val="0"/>
                      <w:color w:val="auto"/>
                      <w:kern w:val="0"/>
                      <w:szCs w:val="21"/>
                      <w:lang w:val="en-US" w:eastAsia="zh-CN"/>
                    </w:rPr>
                    <w:t>处置</w:t>
                  </w:r>
                </w:p>
              </w:tc>
              <w:tc>
                <w:tcPr>
                  <w:tcW w:w="497" w:type="dxa"/>
                  <w:tcBorders>
                    <w:tl2br w:val="nil"/>
                    <w:tr2bl w:val="nil"/>
                  </w:tcBorders>
                  <w:vAlign w:val="center"/>
                </w:tcPr>
                <w:p w14:paraId="1C211316">
                  <w:pPr>
                    <w:ind w:firstLine="0" w:firstLineChars="0"/>
                    <w:jc w:val="center"/>
                    <w:rPr>
                      <w:rFonts w:hint="eastAsia" w:cs="Times New Roman"/>
                      <w:b w:val="0"/>
                      <w:bCs w:val="0"/>
                      <w:color w:val="000000" w:themeColor="text1"/>
                      <w:kern w:val="0"/>
                      <w:szCs w:val="21"/>
                      <w:lang w:val="en-US" w:eastAsia="zh-CN"/>
                      <w14:textFill>
                        <w14:solidFill>
                          <w14:schemeClr w14:val="tx1"/>
                        </w14:solidFill>
                      </w14:textFill>
                    </w:rPr>
                  </w:pPr>
                  <w:r>
                    <w:rPr>
                      <w:rFonts w:hint="eastAsia" w:cs="Times New Roman"/>
                      <w:b w:val="0"/>
                      <w:bCs w:val="0"/>
                      <w:color w:val="000000" w:themeColor="text1"/>
                      <w:kern w:val="0"/>
                      <w:szCs w:val="21"/>
                      <w:lang w:val="en-US" w:eastAsia="zh-CN"/>
                      <w14:textFill>
                        <w14:solidFill>
                          <w14:schemeClr w14:val="tx1"/>
                        </w14:solidFill>
                      </w14:textFill>
                    </w:rPr>
                    <w:t>符合</w:t>
                  </w:r>
                </w:p>
              </w:tc>
            </w:tr>
            <w:tr w14:paraId="0316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dxa"/>
                  <w:vMerge w:val="restart"/>
                  <w:tcBorders>
                    <w:tl2br w:val="nil"/>
                    <w:tr2bl w:val="nil"/>
                  </w:tcBorders>
                  <w:vAlign w:val="center"/>
                </w:tcPr>
                <w:p w14:paraId="056A816A">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资源</w:t>
                  </w:r>
                </w:p>
                <w:p w14:paraId="135A44C2">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利用</w:t>
                  </w:r>
                </w:p>
                <w:p w14:paraId="58E54F2D">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上线</w:t>
                  </w:r>
                </w:p>
              </w:tc>
              <w:tc>
                <w:tcPr>
                  <w:tcW w:w="435" w:type="dxa"/>
                  <w:tcBorders>
                    <w:tl2br w:val="nil"/>
                    <w:tr2bl w:val="nil"/>
                  </w:tcBorders>
                  <w:vAlign w:val="center"/>
                </w:tcPr>
                <w:p w14:paraId="131E1E93">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eastAsia" w:cs="Times New Roman"/>
                      <w:b w:val="0"/>
                      <w:bCs w:val="0"/>
                      <w:color w:val="000000" w:themeColor="text1"/>
                      <w:kern w:val="0"/>
                      <w:szCs w:val="21"/>
                      <w:lang w:val="en-US" w:eastAsia="zh-CN"/>
                      <w14:textFill>
                        <w14:solidFill>
                          <w14:schemeClr w14:val="tx1"/>
                        </w14:solidFill>
                      </w14:textFill>
                    </w:rPr>
                    <w:t>水</w:t>
                  </w:r>
                  <w:r>
                    <w:rPr>
                      <w:rFonts w:hint="default" w:cs="Times New Roman"/>
                      <w:b w:val="0"/>
                      <w:bCs w:val="0"/>
                      <w:color w:val="000000" w:themeColor="text1"/>
                      <w:kern w:val="0"/>
                      <w:szCs w:val="21"/>
                      <w:lang w:val="en-US" w:eastAsia="zh-CN"/>
                      <w14:textFill>
                        <w14:solidFill>
                          <w14:schemeClr w14:val="tx1"/>
                        </w14:solidFill>
                      </w14:textFill>
                    </w:rPr>
                    <w:t>资源管控要求</w:t>
                  </w:r>
                </w:p>
              </w:tc>
              <w:tc>
                <w:tcPr>
                  <w:tcW w:w="4465" w:type="dxa"/>
                  <w:tcBorders>
                    <w:tl2br w:val="nil"/>
                    <w:tr2bl w:val="nil"/>
                  </w:tcBorders>
                  <w:vAlign w:val="center"/>
                </w:tcPr>
                <w:p w14:paraId="45584AEB">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1</w:t>
                  </w:r>
                  <w:r>
                    <w:rPr>
                      <w:rFonts w:hint="eastAsia" w:ascii="Times New Roman" w:hAnsi="Times New Roman" w:eastAsia="宋体"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强化地下水禁采限采管理。在地下水禁采区，除临时应急供水和无替代水源的农村地区少量分散生活用水外，严禁取用地下水，已有的要限期关闭；在地下水限采区，一律不新增地下水开采量。</w:t>
                  </w:r>
                </w:p>
                <w:p w14:paraId="5BBDF638">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2</w:t>
                  </w:r>
                  <w:r>
                    <w:rPr>
                      <w:rFonts w:hint="eastAsia" w:ascii="Times New Roman" w:hAnsi="Times New Roman" w:eastAsia="宋体"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在利用地表水灌溉水源有保障的区域和退耕实施雨养旱作的区域，对农业灌溉机井实施封填</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在深层承压水漏斗区，对农业灌溉取用深层承压水的机井有计划予以关停。</w:t>
                  </w:r>
                </w:p>
                <w:p w14:paraId="3D80AD04">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3</w:t>
                  </w:r>
                  <w:r>
                    <w:rPr>
                      <w:rFonts w:hint="eastAsia" w:ascii="Times New Roman" w:hAnsi="Times New Roman" w:eastAsia="宋体"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实行严格的产业准入制度，对地下水超采地区，严把取水许可关口，不得新建</w:t>
                  </w:r>
                  <w:r>
                    <w:rPr>
                      <w:rFonts w:hint="eastAsia" w:cs="Times New Roman"/>
                      <w:color w:val="000000" w:themeColor="text1"/>
                      <w:sz w:val="21"/>
                      <w:szCs w:val="24"/>
                      <w:lang w:val="en-US" w:eastAsia="zh-CN"/>
                      <w14:textFill>
                        <w14:solidFill>
                          <w14:schemeClr w14:val="tx1"/>
                        </w14:solidFill>
                      </w14:textFill>
                    </w:rPr>
                    <w:t>扩建</w:t>
                  </w:r>
                  <w:r>
                    <w:rPr>
                      <w:rFonts w:hint="default" w:ascii="Times New Roman" w:hAnsi="Times New Roman" w:eastAsia="宋体" w:cs="Times New Roman"/>
                      <w:color w:val="000000" w:themeColor="text1"/>
                      <w:sz w:val="21"/>
                      <w:szCs w:val="24"/>
                      <w14:textFill>
                        <w14:solidFill>
                          <w14:schemeClr w14:val="tx1"/>
                        </w14:solidFill>
                      </w14:textFill>
                    </w:rPr>
                    <w:t>高耗水项目。</w:t>
                  </w:r>
                </w:p>
                <w:p w14:paraId="43DFD9CB">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4</w:t>
                  </w:r>
                  <w:r>
                    <w:rPr>
                      <w:rFonts w:hint="eastAsia" w:ascii="Times New Roman" w:hAnsi="Times New Roman" w:eastAsia="宋体"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加快城镇供水水源置换。充分利用当地水和外调水，加快配套供水工程建设，加大水源切换力度，强制性关闭自备井，有效压减城镇生活和工业地下水开采量。</w:t>
                  </w:r>
                </w:p>
              </w:tc>
              <w:tc>
                <w:tcPr>
                  <w:tcW w:w="1140" w:type="dxa"/>
                  <w:tcBorders>
                    <w:tl2br w:val="nil"/>
                    <w:tr2bl w:val="nil"/>
                  </w:tcBorders>
                  <w:vAlign w:val="center"/>
                </w:tcPr>
                <w:p w14:paraId="7689A121">
                  <w:pPr>
                    <w:pStyle w:val="9"/>
                    <w:ind w:firstLine="0" w:firstLineChars="0"/>
                    <w:jc w:val="center"/>
                    <w:rPr>
                      <w:rFonts w:hint="default" w:ascii="Times New Roman" w:hAnsi="Times New Roman" w:eastAsia="宋体" w:cs="Times New Roman"/>
                      <w:b w:val="0"/>
                      <w:bCs w:val="0"/>
                      <w:color w:val="FF0000"/>
                      <w:kern w:val="0"/>
                      <w:szCs w:val="21"/>
                      <w:lang w:val="en-US" w:eastAsia="zh-CN"/>
                    </w:rPr>
                  </w:pPr>
                  <w:r>
                    <w:rPr>
                      <w:rFonts w:hint="default" w:ascii="Times New Roman" w:hAnsi="Times New Roman" w:cs="Times New Roman"/>
                      <w:b w:val="0"/>
                      <w:bCs w:val="0"/>
                      <w:color w:val="auto"/>
                      <w:kern w:val="0"/>
                      <w:szCs w:val="21"/>
                      <w:lang w:val="en-US"/>
                    </w:rPr>
                    <w:t>项目</w:t>
                  </w:r>
                  <w:r>
                    <w:rPr>
                      <w:rFonts w:hint="eastAsia" w:ascii="Times New Roman" w:hAnsi="Times New Roman" w:cs="Times New Roman"/>
                      <w:b w:val="0"/>
                      <w:bCs w:val="0"/>
                      <w:color w:val="auto"/>
                      <w:kern w:val="0"/>
                      <w:szCs w:val="21"/>
                      <w:lang w:val="en-US" w:eastAsia="zh-CN"/>
                    </w:rPr>
                    <w:t>不涉及灌溉水源有保障的区域和退耕实施雨养旱作的区域，不属于高耗水项目</w:t>
                  </w:r>
                  <w:r>
                    <w:rPr>
                      <w:rFonts w:hint="eastAsia" w:cs="Times New Roman"/>
                      <w:b w:val="0"/>
                      <w:bCs w:val="0"/>
                      <w:color w:val="auto"/>
                      <w:kern w:val="0"/>
                      <w:szCs w:val="21"/>
                      <w:lang w:val="en-US" w:eastAsia="zh-CN"/>
                    </w:rPr>
                    <w:t>；</w:t>
                  </w:r>
                  <w:r>
                    <w:rPr>
                      <w:rFonts w:hint="eastAsia" w:ascii="Times New Roman" w:hAnsi="Times New Roman" w:cs="Times New Roman"/>
                      <w:b w:val="0"/>
                      <w:bCs w:val="0"/>
                      <w:color w:val="auto"/>
                      <w:kern w:val="0"/>
                      <w:szCs w:val="21"/>
                      <w:lang w:val="en-US" w:eastAsia="zh-CN"/>
                    </w:rPr>
                    <w:t>项目用水由园区供水管网供给</w:t>
                  </w:r>
                </w:p>
              </w:tc>
              <w:tc>
                <w:tcPr>
                  <w:tcW w:w="497" w:type="dxa"/>
                  <w:tcBorders>
                    <w:tl2br w:val="nil"/>
                    <w:tr2bl w:val="nil"/>
                  </w:tcBorders>
                  <w:vAlign w:val="center"/>
                </w:tcPr>
                <w:p w14:paraId="09CA495C">
                  <w:pPr>
                    <w:ind w:firstLine="0" w:firstLineChars="0"/>
                    <w:jc w:val="center"/>
                    <w:rPr>
                      <w:rFonts w:hint="eastAsia" w:cs="Times New Roman"/>
                      <w:b w:val="0"/>
                      <w:bCs w:val="0"/>
                      <w:color w:val="000000" w:themeColor="text1"/>
                      <w:kern w:val="0"/>
                      <w:szCs w:val="21"/>
                      <w:lang w:val="en-US" w:eastAsia="zh-CN"/>
                      <w14:textFill>
                        <w14:solidFill>
                          <w14:schemeClr w14:val="tx1"/>
                        </w14:solidFill>
                      </w14:textFill>
                    </w:rPr>
                  </w:pPr>
                  <w:r>
                    <w:rPr>
                      <w:rFonts w:hint="eastAsia" w:cs="Times New Roman"/>
                      <w:b w:val="0"/>
                      <w:bCs w:val="0"/>
                      <w:color w:val="000000" w:themeColor="text1"/>
                      <w:kern w:val="0"/>
                      <w:szCs w:val="21"/>
                      <w:lang w:val="en-US" w:eastAsia="zh-CN"/>
                      <w14:textFill>
                        <w14:solidFill>
                          <w14:schemeClr w14:val="tx1"/>
                        </w14:solidFill>
                      </w14:textFill>
                    </w:rPr>
                    <w:t>符合</w:t>
                  </w:r>
                </w:p>
              </w:tc>
            </w:tr>
            <w:tr w14:paraId="6C2F5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dxa"/>
                  <w:vMerge w:val="continue"/>
                  <w:tcBorders>
                    <w:tl2br w:val="nil"/>
                    <w:tr2bl w:val="nil"/>
                  </w:tcBorders>
                  <w:vAlign w:val="center"/>
                </w:tcPr>
                <w:p w14:paraId="1625435F">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p>
              </w:tc>
              <w:tc>
                <w:tcPr>
                  <w:tcW w:w="435" w:type="dxa"/>
                  <w:tcBorders>
                    <w:tl2br w:val="nil"/>
                    <w:tr2bl w:val="nil"/>
                  </w:tcBorders>
                  <w:vAlign w:val="center"/>
                </w:tcPr>
                <w:p w14:paraId="57DCE554">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eastAsia" w:cs="Times New Roman"/>
                      <w:b w:val="0"/>
                      <w:bCs w:val="0"/>
                      <w:color w:val="000000" w:themeColor="text1"/>
                      <w:kern w:val="0"/>
                      <w:szCs w:val="21"/>
                      <w:lang w:val="en-US" w:eastAsia="zh-CN"/>
                      <w14:textFill>
                        <w14:solidFill>
                          <w14:schemeClr w14:val="tx1"/>
                        </w14:solidFill>
                      </w14:textFill>
                    </w:rPr>
                    <w:t>能源管控要求</w:t>
                  </w:r>
                </w:p>
              </w:tc>
              <w:tc>
                <w:tcPr>
                  <w:tcW w:w="4465" w:type="dxa"/>
                  <w:tcBorders>
                    <w:tl2br w:val="nil"/>
                    <w:tr2bl w:val="nil"/>
                  </w:tcBorders>
                  <w:vAlign w:val="center"/>
                </w:tcPr>
                <w:p w14:paraId="4A958698">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1</w:t>
                  </w:r>
                  <w:r>
                    <w:rPr>
                      <w:rFonts w:hint="eastAsia" w:ascii="Times New Roman" w:hAnsi="Times New Roman" w:eastAsia="宋体"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采取措施，调整能源结构，推广清洁能源的生产和使用；优化煤炭使用方式，推广煤炭清洁高效利用，逐步降低煤炭在一次能源消费中的比重</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减少煤炭生产、使用、转化过程中的大气污染物排放。</w:t>
                  </w:r>
                </w:p>
                <w:p w14:paraId="617D5D33">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2</w:t>
                  </w:r>
                  <w:r>
                    <w:rPr>
                      <w:rFonts w:hint="eastAsia" w:ascii="Times New Roman" w:hAnsi="Times New Roman" w:eastAsia="宋体"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国家推行煤炭洗选加工，降低煤炭的硫分和灰分，限制高硫分、高灰分煤炭的开采。禁止开采含放射性和砷等有毒有害物质超过规定标准的煤炭。</w:t>
                  </w:r>
                </w:p>
                <w:p w14:paraId="333FC174">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3</w:t>
                  </w:r>
                  <w:r>
                    <w:rPr>
                      <w:rFonts w:hint="eastAsia" w:ascii="Times New Roman" w:hAnsi="Times New Roman" w:eastAsia="宋体"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严控工业和民用燃煤质量，面向工业用销售的煤炭经营企业</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网点</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要严格执行《工业和民用燃料煤》</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DB13/2081-2014</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中关于工业用煤的标准规定</w:t>
                  </w:r>
                  <w:r>
                    <w:rPr>
                      <w:rFonts w:hint="eastAsia" w:ascii="Times New Roman" w:hAnsi="Times New Roman" w:eastAsia="宋体"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面向民用销售的型煤生产企业要严格执行国家强制性标准《商品煤质量民用散煤》</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GB34169-2017</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中</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1号</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质量指标的规定。</w:t>
                  </w:r>
                </w:p>
                <w:p w14:paraId="4B2CD4B1">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4</w:t>
                  </w:r>
                  <w:r>
                    <w:rPr>
                      <w:rFonts w:hint="eastAsia" w:ascii="Times New Roman" w:hAnsi="Times New Roman" w:eastAsia="宋体"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对新增耗煤项目实施等</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减</w:t>
                  </w:r>
                  <w:r>
                    <w:rPr>
                      <w:rFonts w:hint="eastAsia"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量替代。</w:t>
                  </w:r>
                </w:p>
                <w:p w14:paraId="242649AF">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5</w:t>
                  </w:r>
                  <w:r>
                    <w:rPr>
                      <w:rFonts w:hint="eastAsia" w:ascii="Times New Roman" w:hAnsi="Times New Roman" w:eastAsia="宋体"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平原地区农村全部完成生活和冬季取暖散煤替代，实现散煤动态清零。</w:t>
                  </w:r>
                </w:p>
              </w:tc>
              <w:tc>
                <w:tcPr>
                  <w:tcW w:w="1140" w:type="dxa"/>
                  <w:tcBorders>
                    <w:tl2br w:val="nil"/>
                    <w:tr2bl w:val="nil"/>
                  </w:tcBorders>
                  <w:vAlign w:val="center"/>
                </w:tcPr>
                <w:p w14:paraId="5D3A3267">
                  <w:pPr>
                    <w:pStyle w:val="9"/>
                    <w:ind w:firstLine="0" w:firstLineChars="0"/>
                    <w:jc w:val="center"/>
                    <w:rPr>
                      <w:rFonts w:hint="default" w:ascii="Times New Roman" w:hAnsi="Times New Roman" w:eastAsia="宋体" w:cs="Times New Roman"/>
                      <w:b w:val="0"/>
                      <w:bCs w:val="0"/>
                      <w:color w:val="FF0000"/>
                      <w:kern w:val="0"/>
                      <w:szCs w:val="21"/>
                      <w:lang w:val="en-US" w:eastAsia="zh-CN"/>
                    </w:rPr>
                  </w:pPr>
                  <w:r>
                    <w:rPr>
                      <w:rFonts w:hint="eastAsia" w:ascii="Times New Roman" w:hAnsi="Times New Roman" w:cs="Times New Roman"/>
                      <w:b w:val="0"/>
                      <w:bCs w:val="0"/>
                      <w:color w:val="auto"/>
                      <w:kern w:val="0"/>
                      <w:szCs w:val="21"/>
                      <w:lang w:val="en-US" w:eastAsia="zh-CN"/>
                    </w:rPr>
                    <w:t>项目不使用燃煤</w:t>
                  </w:r>
                </w:p>
              </w:tc>
              <w:tc>
                <w:tcPr>
                  <w:tcW w:w="497" w:type="dxa"/>
                  <w:tcBorders>
                    <w:tl2br w:val="nil"/>
                    <w:tr2bl w:val="nil"/>
                  </w:tcBorders>
                  <w:vAlign w:val="center"/>
                </w:tcPr>
                <w:p w14:paraId="140AAA5C">
                  <w:pPr>
                    <w:pStyle w:val="9"/>
                    <w:ind w:firstLine="0" w:firstLineChars="0"/>
                    <w:jc w:val="center"/>
                    <w:rPr>
                      <w:rFonts w:hint="eastAsia" w:cs="Times New Roman"/>
                      <w:b w:val="0"/>
                      <w:bCs w:val="0"/>
                      <w:color w:val="000000" w:themeColor="text1"/>
                      <w:kern w:val="0"/>
                      <w:szCs w:val="21"/>
                      <w:lang w:val="en-US" w:eastAsia="zh-CN"/>
                      <w14:textFill>
                        <w14:solidFill>
                          <w14:schemeClr w14:val="tx1"/>
                        </w14:solidFill>
                      </w14:textFill>
                    </w:rPr>
                  </w:pPr>
                  <w:r>
                    <w:rPr>
                      <w:rFonts w:hint="eastAsia" w:cs="Times New Roman"/>
                      <w:b w:val="0"/>
                      <w:bCs w:val="0"/>
                      <w:color w:val="000000" w:themeColor="text1"/>
                      <w:kern w:val="0"/>
                      <w:szCs w:val="21"/>
                      <w:lang w:val="en-US" w:eastAsia="zh-CN"/>
                      <w14:textFill>
                        <w14:solidFill>
                          <w14:schemeClr w14:val="tx1"/>
                        </w14:solidFill>
                      </w14:textFill>
                    </w:rPr>
                    <w:t>符合</w:t>
                  </w:r>
                </w:p>
              </w:tc>
            </w:tr>
            <w:tr w14:paraId="049E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dxa"/>
                  <w:vMerge w:val="continue"/>
                  <w:tcBorders>
                    <w:tl2br w:val="nil"/>
                    <w:tr2bl w:val="nil"/>
                  </w:tcBorders>
                  <w:vAlign w:val="center"/>
                </w:tcPr>
                <w:p w14:paraId="25C6BC1D">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p>
              </w:tc>
              <w:tc>
                <w:tcPr>
                  <w:tcW w:w="435" w:type="dxa"/>
                  <w:tcBorders>
                    <w:tl2br w:val="nil"/>
                    <w:tr2bl w:val="nil"/>
                  </w:tcBorders>
                  <w:vAlign w:val="center"/>
                </w:tcPr>
                <w:p w14:paraId="7B84C901">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土</w:t>
                  </w:r>
                </w:p>
                <w:p w14:paraId="67B42C74">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地</w:t>
                  </w:r>
                </w:p>
                <w:p w14:paraId="22C8A674">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资</w:t>
                  </w:r>
                </w:p>
                <w:p w14:paraId="12A3E8F0">
                  <w:pPr>
                    <w:pStyle w:val="9"/>
                    <w:ind w:firstLine="0" w:firstLineChars="0"/>
                    <w:jc w:val="center"/>
                    <w:rPr>
                      <w:rFonts w:hint="default" w:cs="Times New Roman"/>
                      <w:b w:val="0"/>
                      <w:bCs w:val="0"/>
                      <w:color w:val="000000" w:themeColor="text1"/>
                      <w:kern w:val="0"/>
                      <w:szCs w:val="21"/>
                      <w:lang w:val="en-US" w:eastAsia="zh-CN"/>
                      <w14:textFill>
                        <w14:solidFill>
                          <w14:schemeClr w14:val="tx1"/>
                        </w14:solidFill>
                      </w14:textFill>
                    </w:rPr>
                  </w:pPr>
                  <w:r>
                    <w:rPr>
                      <w:rFonts w:hint="default" w:cs="Times New Roman"/>
                      <w:b w:val="0"/>
                      <w:bCs w:val="0"/>
                      <w:color w:val="000000" w:themeColor="text1"/>
                      <w:kern w:val="0"/>
                      <w:szCs w:val="21"/>
                      <w:lang w:val="en-US" w:eastAsia="zh-CN"/>
                      <w14:textFill>
                        <w14:solidFill>
                          <w14:schemeClr w14:val="tx1"/>
                        </w14:solidFill>
                      </w14:textFill>
                    </w:rPr>
                    <w:t>源</w:t>
                  </w:r>
                  <w:r>
                    <w:rPr>
                      <w:rFonts w:hint="eastAsia" w:cs="Times New Roman"/>
                      <w:b w:val="0"/>
                      <w:bCs w:val="0"/>
                      <w:color w:val="000000" w:themeColor="text1"/>
                      <w:kern w:val="0"/>
                      <w:szCs w:val="21"/>
                      <w:lang w:val="en-US" w:eastAsia="zh-CN"/>
                      <w14:textFill>
                        <w14:solidFill>
                          <w14:schemeClr w14:val="tx1"/>
                        </w14:solidFill>
                      </w14:textFill>
                    </w:rPr>
                    <w:t>管控要求</w:t>
                  </w:r>
                </w:p>
              </w:tc>
              <w:tc>
                <w:tcPr>
                  <w:tcW w:w="4465" w:type="dxa"/>
                  <w:tcBorders>
                    <w:tl2br w:val="nil"/>
                    <w:tr2bl w:val="nil"/>
                  </w:tcBorders>
                  <w:vAlign w:val="center"/>
                </w:tcPr>
                <w:p w14:paraId="5ACBD055">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1</w:t>
                  </w:r>
                  <w:r>
                    <w:rPr>
                      <w:rFonts w:hint="eastAsia" w:ascii="Times New Roman" w:hAnsi="Times New Roman" w:eastAsia="宋体"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国家保护耕地</w:t>
                  </w:r>
                  <w:r>
                    <w:rPr>
                      <w:rFonts w:hint="eastAsia" w:ascii="Times New Roman" w:hAnsi="Times New Roman" w:eastAsia="宋体"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严格控制耕地转为非耕地。国家实行占用耕地补偿制度。</w:t>
                  </w:r>
                </w:p>
                <w:p w14:paraId="1CD39692">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2</w:t>
                  </w:r>
                  <w:r>
                    <w:rPr>
                      <w:rFonts w:hint="eastAsia" w:ascii="Times New Roman" w:hAnsi="Times New Roman" w:eastAsia="宋体"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禁止占用耕地建窑、建坟或者擅自在耕地上建房、挖砂、采石、采矿、取土等。禁止占用永久基本农田发展林果业和挖塘养鱼。</w:t>
                  </w:r>
                </w:p>
                <w:p w14:paraId="31E024DA">
                  <w:pPr>
                    <w:pStyle w:val="9"/>
                    <w:ind w:firstLine="0" w:firstLineChars="0"/>
                    <w:jc w:val="center"/>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w:t>3</w:t>
                  </w:r>
                  <w:r>
                    <w:rPr>
                      <w:rFonts w:hint="eastAsia" w:ascii="Times New Roman" w:hAnsi="Times New Roman" w:eastAsia="宋体" w:cs="Times New Roman"/>
                      <w:color w:val="000000" w:themeColor="text1"/>
                      <w:sz w:val="21"/>
                      <w:szCs w:val="24"/>
                      <w:lang w:eastAsia="zh-CN"/>
                      <w14:textFill>
                        <w14:solidFill>
                          <w14:schemeClr w14:val="tx1"/>
                        </w14:solidFill>
                      </w14:textFill>
                    </w:rPr>
                    <w:t>、</w:t>
                  </w:r>
                  <w:r>
                    <w:rPr>
                      <w:rFonts w:hint="default" w:ascii="Times New Roman" w:hAnsi="Times New Roman" w:eastAsia="宋体" w:cs="Times New Roman"/>
                      <w:color w:val="000000" w:themeColor="text1"/>
                      <w:sz w:val="21"/>
                      <w:szCs w:val="24"/>
                      <w14:textFill>
                        <w14:solidFill>
                          <w14:schemeClr w14:val="tx1"/>
                        </w14:solidFill>
                      </w14:textFill>
                    </w:rPr>
                    <w:t>建设占用土地，涉及农用地转为建设用地的，应当办理农用地转用审批手续。</w:t>
                  </w:r>
                </w:p>
              </w:tc>
              <w:tc>
                <w:tcPr>
                  <w:tcW w:w="1140" w:type="dxa"/>
                  <w:tcBorders>
                    <w:tl2br w:val="nil"/>
                    <w:tr2bl w:val="nil"/>
                  </w:tcBorders>
                  <w:vAlign w:val="center"/>
                </w:tcPr>
                <w:p w14:paraId="380D9C2D">
                  <w:pPr>
                    <w:pStyle w:val="9"/>
                    <w:ind w:firstLine="0" w:firstLineChars="0"/>
                    <w:jc w:val="center"/>
                    <w:rPr>
                      <w:rFonts w:hint="default" w:ascii="Times New Roman" w:hAnsi="Times New Roman" w:cs="Times New Roman"/>
                      <w:b w:val="0"/>
                      <w:bCs w:val="0"/>
                      <w:color w:val="FF0000"/>
                      <w:kern w:val="0"/>
                      <w:szCs w:val="21"/>
                      <w:lang w:val="en-US"/>
                    </w:rPr>
                  </w:pPr>
                  <w:r>
                    <w:rPr>
                      <w:rFonts w:hint="default" w:ascii="Times New Roman" w:hAnsi="Times New Roman" w:cs="Times New Roman"/>
                      <w:b w:val="0"/>
                      <w:bCs w:val="0"/>
                      <w:color w:val="auto"/>
                      <w:kern w:val="0"/>
                      <w:szCs w:val="21"/>
                      <w:lang w:val="en-US"/>
                    </w:rPr>
                    <w:t>项目不涉及占用耕地、基本农田等，占地</w:t>
                  </w:r>
                  <w:r>
                    <w:rPr>
                      <w:rFonts w:hint="eastAsia" w:ascii="Times New Roman" w:hAnsi="Times New Roman" w:cs="Times New Roman"/>
                      <w:b w:val="0"/>
                      <w:bCs w:val="0"/>
                      <w:color w:val="auto"/>
                      <w:kern w:val="0"/>
                      <w:szCs w:val="21"/>
                      <w:lang w:val="en-US" w:eastAsia="zh-CN"/>
                    </w:rPr>
                    <w:t>类型</w:t>
                  </w:r>
                  <w:r>
                    <w:rPr>
                      <w:rFonts w:hint="default" w:ascii="Times New Roman" w:hAnsi="Times New Roman" w:cs="Times New Roman"/>
                      <w:b w:val="0"/>
                      <w:bCs w:val="0"/>
                      <w:color w:val="auto"/>
                      <w:kern w:val="0"/>
                      <w:szCs w:val="21"/>
                      <w:lang w:val="en-US"/>
                    </w:rPr>
                    <w:t>为工业用地</w:t>
                  </w:r>
                </w:p>
              </w:tc>
              <w:tc>
                <w:tcPr>
                  <w:tcW w:w="497" w:type="dxa"/>
                  <w:tcBorders>
                    <w:tl2br w:val="nil"/>
                    <w:tr2bl w:val="nil"/>
                  </w:tcBorders>
                  <w:vAlign w:val="center"/>
                </w:tcPr>
                <w:p w14:paraId="7298DCE6">
                  <w:pPr>
                    <w:pStyle w:val="9"/>
                    <w:ind w:firstLine="0" w:firstLineChars="0"/>
                    <w:jc w:val="center"/>
                    <w:rPr>
                      <w:rFonts w:hint="eastAsia" w:cs="Times New Roman"/>
                      <w:b w:val="0"/>
                      <w:bCs w:val="0"/>
                      <w:color w:val="000000" w:themeColor="text1"/>
                      <w:kern w:val="0"/>
                      <w:szCs w:val="21"/>
                      <w:lang w:val="en-US" w:eastAsia="zh-CN"/>
                      <w14:textFill>
                        <w14:solidFill>
                          <w14:schemeClr w14:val="tx1"/>
                        </w14:solidFill>
                      </w14:textFill>
                    </w:rPr>
                  </w:pPr>
                  <w:r>
                    <w:rPr>
                      <w:rFonts w:hint="eastAsia" w:cs="Times New Roman"/>
                      <w:b w:val="0"/>
                      <w:bCs w:val="0"/>
                      <w:color w:val="000000" w:themeColor="text1"/>
                      <w:kern w:val="0"/>
                      <w:szCs w:val="21"/>
                      <w:lang w:val="en-US" w:eastAsia="zh-CN"/>
                      <w14:textFill>
                        <w14:solidFill>
                          <w14:schemeClr w14:val="tx1"/>
                        </w14:solidFill>
                      </w14:textFill>
                    </w:rPr>
                    <w:t>符合</w:t>
                  </w:r>
                </w:p>
              </w:tc>
            </w:tr>
          </w:tbl>
          <w:p w14:paraId="1AB731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0"/>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b w:val="0"/>
                <w:bCs w:val="0"/>
                <w:color w:val="000000" w:themeColor="text1"/>
                <w:sz w:val="24"/>
                <w14:textFill>
                  <w14:solidFill>
                    <w14:schemeClr w14:val="tx1"/>
                  </w14:solidFill>
                </w14:textFill>
              </w:rPr>
              <w:t>本项目位于</w:t>
            </w:r>
            <w:r>
              <w:rPr>
                <w:rFonts w:hint="eastAsia" w:cs="Times New Roman" w:eastAsiaTheme="minorEastAsia"/>
                <w:color w:val="000000" w:themeColor="text1"/>
                <w:sz w:val="24"/>
                <w:szCs w:val="24"/>
                <w:lang w:eastAsia="zh-CN"/>
                <w14:textFill>
                  <w14:solidFill>
                    <w14:schemeClr w14:val="tx1"/>
                  </w14:solidFill>
                </w14:textFill>
              </w:rPr>
              <w:t>河北省邯郸市魏县绿环循环经济产业园1栋-4号，魏县经济开发区-再生资源循环利用产业园</w:t>
            </w: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区块编号：</w:t>
            </w:r>
            <w:r>
              <w:rPr>
                <w:rFonts w:hint="eastAsia" w:ascii="Times New Roman" w:hAnsi="Times New Roman" w:eastAsia="宋体" w:cs="Times New Roman"/>
                <w:b w:val="0"/>
                <w:bCs w:val="0"/>
                <w:color w:val="auto"/>
                <w:sz w:val="24"/>
                <w:szCs w:val="24"/>
                <w:lang w:val="en-US" w:eastAsia="zh-CN"/>
              </w:rPr>
              <w:t>ZH13043420139</w:t>
            </w: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，属于重点管控单元，与所在管控区生态环境准入清单符合性</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分析</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见下表。</w:t>
            </w:r>
          </w:p>
          <w:p w14:paraId="03C7AEBD">
            <w:pPr>
              <w:pStyle w:val="25"/>
              <w:keepNext w:val="0"/>
              <w:keepLines w:val="0"/>
              <w:pageBreakBefore w:val="0"/>
              <w:widowControl w:val="0"/>
              <w:kinsoku/>
              <w:wordWrap/>
              <w:overflowPunct/>
              <w:topLinePunct w:val="0"/>
              <w:autoSpaceDE/>
              <w:autoSpaceDN/>
              <w:bidi w:val="0"/>
              <w:adjustRightInd/>
              <w:snapToGrid/>
              <w:spacing w:before="0" w:after="0" w:line="500" w:lineRule="exact"/>
              <w:textAlignment w:val="auto"/>
              <w:rPr>
                <w:rFonts w:hint="eastAsia"/>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表</w:t>
            </w:r>
            <w:r>
              <w:rPr>
                <w:rFonts w:hint="eastAsia" w:ascii="Times New Roman" w:hAnsi="Times New Roman" w:cs="Times New Roman"/>
                <w:b/>
                <w:bCs/>
                <w:color w:val="000000" w:themeColor="text1"/>
                <w:sz w:val="24"/>
                <w:lang w:val="en-US" w:eastAsia="zh-CN"/>
                <w14:textFill>
                  <w14:solidFill>
                    <w14:schemeClr w14:val="tx1"/>
                  </w14:solidFill>
                </w14:textFill>
              </w:rPr>
              <w:t>4</w:t>
            </w:r>
            <w:r>
              <w:rPr>
                <w:rFonts w:hint="eastAsia" w:ascii="Times New Roman" w:hAnsi="Times New Roman" w:eastAsia="宋体" w:cs="Times New Roman"/>
                <w:b/>
                <w:bCs/>
                <w:color w:val="000000" w:themeColor="text1"/>
                <w:sz w:val="24"/>
                <w:lang w:val="en-US" w:eastAsia="zh-CN"/>
                <w14:textFill>
                  <w14:solidFill>
                    <w14:schemeClr w14:val="tx1"/>
                  </w14:solidFill>
                </w14:textFill>
              </w:rPr>
              <w:t xml:space="preserve">   项目与所在管控区生态环境准入清单符合性分析</w:t>
            </w:r>
          </w:p>
          <w:tbl>
            <w:tblPr>
              <w:tblStyle w:val="29"/>
              <w:tblW w:w="6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781"/>
              <w:gridCol w:w="454"/>
              <w:gridCol w:w="3172"/>
              <w:gridCol w:w="1268"/>
              <w:gridCol w:w="690"/>
            </w:tblGrid>
            <w:tr w14:paraId="207C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378" w:type="pct"/>
                  <w:noWrap w:val="0"/>
                  <w:vAlign w:val="center"/>
                </w:tcPr>
                <w:p w14:paraId="0401CAD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r>
                    <w:rPr>
                      <w:rFonts w:hint="default" w:ascii="Times New Roman" w:hAnsi="Times New Roman" w:cs="Times New Roman"/>
                      <w:bCs/>
                      <w:color w:val="auto"/>
                      <w:sz w:val="21"/>
                      <w:szCs w:val="21"/>
                      <w:vertAlign w:val="baseline"/>
                      <w:lang w:eastAsia="zh-CN"/>
                    </w:rPr>
                    <w:t>单元类别</w:t>
                  </w:r>
                </w:p>
              </w:tc>
              <w:tc>
                <w:tcPr>
                  <w:tcW w:w="567" w:type="pct"/>
                  <w:noWrap w:val="0"/>
                  <w:vAlign w:val="center"/>
                </w:tcPr>
                <w:p w14:paraId="1965AAE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r>
                    <w:rPr>
                      <w:rFonts w:hint="default" w:ascii="Times New Roman" w:hAnsi="Times New Roman" w:cs="Times New Roman"/>
                      <w:bCs/>
                      <w:color w:val="auto"/>
                      <w:sz w:val="21"/>
                      <w:szCs w:val="21"/>
                      <w:vertAlign w:val="baseline"/>
                      <w:lang w:eastAsia="zh-CN"/>
                    </w:rPr>
                    <w:t>环境要素</w:t>
                  </w:r>
                </w:p>
                <w:p w14:paraId="58F90A9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r>
                    <w:rPr>
                      <w:rFonts w:hint="default" w:ascii="Times New Roman" w:hAnsi="Times New Roman" w:cs="Times New Roman"/>
                      <w:bCs/>
                      <w:color w:val="auto"/>
                      <w:sz w:val="21"/>
                      <w:szCs w:val="21"/>
                      <w:vertAlign w:val="baseline"/>
                      <w:lang w:eastAsia="zh-CN"/>
                    </w:rPr>
                    <w:t>类别</w:t>
                  </w:r>
                </w:p>
              </w:tc>
              <w:tc>
                <w:tcPr>
                  <w:tcW w:w="329" w:type="pct"/>
                  <w:noWrap w:val="0"/>
                  <w:vAlign w:val="center"/>
                </w:tcPr>
                <w:p w14:paraId="434E752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r>
                    <w:rPr>
                      <w:rFonts w:hint="default" w:ascii="Times New Roman" w:hAnsi="Times New Roman" w:cs="Times New Roman"/>
                      <w:bCs/>
                      <w:color w:val="auto"/>
                      <w:sz w:val="21"/>
                      <w:szCs w:val="21"/>
                      <w:vertAlign w:val="baseline"/>
                      <w:lang w:eastAsia="zh-CN"/>
                    </w:rPr>
                    <w:t>维度</w:t>
                  </w:r>
                </w:p>
              </w:tc>
              <w:tc>
                <w:tcPr>
                  <w:tcW w:w="2303" w:type="pct"/>
                  <w:noWrap w:val="0"/>
                  <w:vAlign w:val="center"/>
                </w:tcPr>
                <w:p w14:paraId="68363AA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r>
                    <w:rPr>
                      <w:rFonts w:hint="default" w:ascii="Times New Roman" w:hAnsi="Times New Roman" w:cs="Times New Roman"/>
                      <w:bCs/>
                      <w:color w:val="auto"/>
                      <w:sz w:val="21"/>
                      <w:szCs w:val="21"/>
                      <w:vertAlign w:val="baseline"/>
                      <w:lang w:eastAsia="zh-CN"/>
                    </w:rPr>
                    <w:t>管控措施</w:t>
                  </w:r>
                </w:p>
              </w:tc>
              <w:tc>
                <w:tcPr>
                  <w:tcW w:w="920" w:type="pct"/>
                  <w:noWrap w:val="0"/>
                  <w:vAlign w:val="center"/>
                </w:tcPr>
                <w:p w14:paraId="02D6E5F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r>
                    <w:rPr>
                      <w:rFonts w:hint="eastAsia" w:ascii="Times New Roman" w:hAnsi="Times New Roman" w:cs="Times New Roman"/>
                      <w:bCs/>
                      <w:color w:val="auto"/>
                      <w:sz w:val="21"/>
                      <w:szCs w:val="21"/>
                      <w:vertAlign w:val="baseline"/>
                      <w:lang w:eastAsia="zh-CN"/>
                    </w:rPr>
                    <w:t>本项目</w:t>
                  </w:r>
                </w:p>
              </w:tc>
              <w:tc>
                <w:tcPr>
                  <w:tcW w:w="501" w:type="pct"/>
                  <w:noWrap w:val="0"/>
                  <w:vAlign w:val="center"/>
                </w:tcPr>
                <w:p w14:paraId="3B10BDE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bCs/>
                      <w:color w:val="auto"/>
                      <w:sz w:val="21"/>
                      <w:szCs w:val="21"/>
                      <w:vertAlign w:val="baseline"/>
                      <w:lang w:eastAsia="zh-CN"/>
                    </w:rPr>
                  </w:pPr>
                  <w:r>
                    <w:rPr>
                      <w:rFonts w:hint="eastAsia" w:cs="Times New Roman"/>
                      <w:bCs/>
                      <w:color w:val="auto"/>
                      <w:sz w:val="21"/>
                      <w:szCs w:val="21"/>
                      <w:vertAlign w:val="baseline"/>
                      <w:lang w:val="en-US" w:eastAsia="zh-CN"/>
                    </w:rPr>
                    <w:t>符合性</w:t>
                  </w:r>
                </w:p>
              </w:tc>
            </w:tr>
            <w:tr w14:paraId="24F5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vMerge w:val="restart"/>
                  <w:noWrap w:val="0"/>
                  <w:vAlign w:val="center"/>
                </w:tcPr>
                <w:p w14:paraId="3E065B9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r>
                    <w:rPr>
                      <w:rFonts w:hint="default" w:ascii="Times New Roman" w:hAnsi="Times New Roman" w:cs="Times New Roman"/>
                      <w:bCs/>
                      <w:color w:val="auto"/>
                      <w:sz w:val="21"/>
                      <w:szCs w:val="21"/>
                      <w:vertAlign w:val="baseline"/>
                      <w:lang w:eastAsia="zh-CN"/>
                    </w:rPr>
                    <w:t>重点</w:t>
                  </w:r>
                </w:p>
                <w:p w14:paraId="1A8840B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r>
                    <w:rPr>
                      <w:rFonts w:hint="default" w:ascii="Times New Roman" w:hAnsi="Times New Roman" w:cs="Times New Roman"/>
                      <w:bCs/>
                      <w:color w:val="auto"/>
                      <w:sz w:val="21"/>
                      <w:szCs w:val="21"/>
                      <w:vertAlign w:val="baseline"/>
                      <w:lang w:eastAsia="zh-CN"/>
                    </w:rPr>
                    <w:t>管控</w:t>
                  </w:r>
                </w:p>
                <w:p w14:paraId="3C6034C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r>
                    <w:rPr>
                      <w:rFonts w:hint="default" w:ascii="Times New Roman" w:hAnsi="Times New Roman" w:cs="Times New Roman"/>
                      <w:bCs/>
                      <w:color w:val="auto"/>
                      <w:sz w:val="21"/>
                      <w:szCs w:val="21"/>
                      <w:vertAlign w:val="baseline"/>
                      <w:lang w:eastAsia="zh-CN"/>
                    </w:rPr>
                    <w:t>单元</w:t>
                  </w:r>
                </w:p>
              </w:tc>
              <w:tc>
                <w:tcPr>
                  <w:tcW w:w="567" w:type="pct"/>
                  <w:vMerge w:val="restart"/>
                  <w:noWrap w:val="0"/>
                  <w:vAlign w:val="center"/>
                </w:tcPr>
                <w:p w14:paraId="7B75CB4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r>
                    <w:rPr>
                      <w:rFonts w:hint="default" w:ascii="Times New Roman" w:hAnsi="Times New Roman" w:cs="Times New Roman"/>
                      <w:bCs/>
                      <w:color w:val="auto"/>
                      <w:sz w:val="21"/>
                      <w:szCs w:val="21"/>
                      <w:vertAlign w:val="baseline"/>
                      <w:lang w:eastAsia="zh-CN"/>
                    </w:rPr>
                    <w:t>大气环境高排放重点管控区、水环境工业污染重点管控区、魏县张二庄镇循环经济产业园区</w:t>
                  </w:r>
                </w:p>
              </w:tc>
              <w:tc>
                <w:tcPr>
                  <w:tcW w:w="329" w:type="pct"/>
                  <w:noWrap w:val="0"/>
                  <w:vAlign w:val="center"/>
                </w:tcPr>
                <w:p w14:paraId="10E61EF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r>
                    <w:rPr>
                      <w:rFonts w:hint="default" w:ascii="Times New Roman" w:hAnsi="Times New Roman" w:cs="Times New Roman"/>
                      <w:bCs/>
                      <w:color w:val="auto"/>
                      <w:sz w:val="21"/>
                      <w:szCs w:val="21"/>
                      <w:vertAlign w:val="baseline"/>
                      <w:lang w:eastAsia="zh-CN"/>
                    </w:rPr>
                    <w:t>空间布</w:t>
                  </w:r>
                </w:p>
                <w:p w14:paraId="387A59A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r>
                    <w:rPr>
                      <w:rFonts w:hint="default" w:ascii="Times New Roman" w:hAnsi="Times New Roman" w:cs="Times New Roman"/>
                      <w:bCs/>
                      <w:color w:val="auto"/>
                      <w:sz w:val="21"/>
                      <w:szCs w:val="21"/>
                      <w:vertAlign w:val="baseline"/>
                      <w:lang w:eastAsia="zh-CN"/>
                    </w:rPr>
                    <w:t>局</w:t>
                  </w:r>
                </w:p>
              </w:tc>
              <w:tc>
                <w:tcPr>
                  <w:tcW w:w="2303" w:type="pct"/>
                  <w:noWrap w:val="0"/>
                  <w:vAlign w:val="center"/>
                </w:tcPr>
                <w:p w14:paraId="48007F7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r>
                    <w:rPr>
                      <w:rFonts w:hint="default" w:ascii="Times New Roman" w:hAnsi="Times New Roman" w:cs="Times New Roman"/>
                      <w:bCs/>
                      <w:color w:val="auto"/>
                      <w:sz w:val="21"/>
                      <w:szCs w:val="21"/>
                      <w:vertAlign w:val="baseline"/>
                      <w:lang w:eastAsia="zh-CN"/>
                    </w:rPr>
                    <w:t>1.禁止建设《产业结构调整指导目录</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2019年本</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》中禁止类项目及设备</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如砖瓦轮窑以及立窑、无顶轮窑、马蹄窑等土窑、普通挤砖机等</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。2.满足《河北省大运河文化保护传承利用实施规划-生态环境保护修复专项规划》《河北省大运河文化保护传承利用生态环境保护修复专项规划实施方案》中相应要求</w:t>
                  </w:r>
                </w:p>
              </w:tc>
              <w:tc>
                <w:tcPr>
                  <w:tcW w:w="920" w:type="pct"/>
                  <w:noWrap w:val="0"/>
                  <w:vAlign w:val="center"/>
                </w:tcPr>
                <w:p w14:paraId="7F5C8FE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val="en-US" w:eastAsia="zh-CN"/>
                    </w:rPr>
                  </w:pPr>
                  <w:r>
                    <w:rPr>
                      <w:rFonts w:hint="eastAsia" w:ascii="Times New Roman" w:hAnsi="Times New Roman" w:cs="Times New Roman"/>
                      <w:bCs/>
                      <w:color w:val="auto"/>
                      <w:sz w:val="21"/>
                      <w:szCs w:val="21"/>
                      <w:vertAlign w:val="baseline"/>
                      <w:lang w:eastAsia="zh-CN"/>
                    </w:rPr>
                    <w:t>项目建设符合国家及地方产业政策要求</w:t>
                  </w:r>
                  <w:r>
                    <w:rPr>
                      <w:rFonts w:hint="eastAsia" w:cs="Times New Roman"/>
                      <w:bCs/>
                      <w:color w:val="auto"/>
                      <w:sz w:val="21"/>
                      <w:szCs w:val="21"/>
                      <w:vertAlign w:val="baseline"/>
                      <w:lang w:eastAsia="zh-CN"/>
                    </w:rPr>
                    <w:t>；</w:t>
                  </w:r>
                  <w:r>
                    <w:rPr>
                      <w:rFonts w:hint="eastAsia" w:cs="Times New Roman"/>
                      <w:bCs/>
                      <w:color w:val="auto"/>
                      <w:sz w:val="21"/>
                      <w:szCs w:val="21"/>
                      <w:vertAlign w:val="baseline"/>
                      <w:lang w:val="en-US" w:eastAsia="zh-CN"/>
                    </w:rPr>
                    <w:t>项目位于魏县经济开发区-再生资源循环利用产业园，占地为工业用地，不在</w:t>
                  </w:r>
                  <w:r>
                    <w:rPr>
                      <w:rFonts w:hint="eastAsia"/>
                      <w:b w:val="0"/>
                      <w:bCs w:val="0"/>
                      <w:color w:val="auto"/>
                      <w:szCs w:val="21"/>
                      <w:lang w:val="en-US" w:eastAsia="zh-CN"/>
                    </w:rPr>
                    <w:t>大运河岸线核心监控区范围内</w:t>
                  </w:r>
                </w:p>
              </w:tc>
              <w:tc>
                <w:tcPr>
                  <w:tcW w:w="501" w:type="pct"/>
                  <w:noWrap w:val="0"/>
                  <w:vAlign w:val="center"/>
                </w:tcPr>
                <w:p w14:paraId="3934F46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r>
                    <w:rPr>
                      <w:rFonts w:hint="eastAsia" w:cs="Times New Roman"/>
                      <w:b w:val="0"/>
                      <w:bCs w:val="0"/>
                      <w:color w:val="auto"/>
                      <w:kern w:val="0"/>
                      <w:szCs w:val="21"/>
                      <w:lang w:val="en-US" w:eastAsia="zh-CN"/>
                    </w:rPr>
                    <w:t>符合</w:t>
                  </w:r>
                </w:p>
              </w:tc>
            </w:tr>
            <w:tr w14:paraId="0C36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vMerge w:val="continue"/>
                  <w:noWrap w:val="0"/>
                  <w:vAlign w:val="center"/>
                </w:tcPr>
                <w:p w14:paraId="3569666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p>
              </w:tc>
              <w:tc>
                <w:tcPr>
                  <w:tcW w:w="567" w:type="pct"/>
                  <w:vMerge w:val="continue"/>
                  <w:noWrap w:val="0"/>
                  <w:vAlign w:val="center"/>
                </w:tcPr>
                <w:p w14:paraId="4645A34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p>
              </w:tc>
              <w:tc>
                <w:tcPr>
                  <w:tcW w:w="329" w:type="pct"/>
                  <w:noWrap w:val="0"/>
                  <w:vAlign w:val="center"/>
                </w:tcPr>
                <w:p w14:paraId="445FAA1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r>
                    <w:rPr>
                      <w:rFonts w:hint="default" w:ascii="Times New Roman" w:hAnsi="Times New Roman" w:cs="Times New Roman"/>
                      <w:bCs/>
                      <w:color w:val="auto"/>
                      <w:sz w:val="21"/>
                      <w:szCs w:val="21"/>
                      <w:vertAlign w:val="baseline"/>
                      <w:lang w:eastAsia="zh-CN"/>
                    </w:rPr>
                    <w:t>污染物排</w:t>
                  </w:r>
                </w:p>
                <w:p w14:paraId="26EF39E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r>
                    <w:rPr>
                      <w:rFonts w:hint="default" w:ascii="Times New Roman" w:hAnsi="Times New Roman" w:cs="Times New Roman"/>
                      <w:bCs/>
                      <w:color w:val="auto"/>
                      <w:sz w:val="21"/>
                      <w:szCs w:val="21"/>
                      <w:vertAlign w:val="baseline"/>
                      <w:lang w:eastAsia="zh-CN"/>
                    </w:rPr>
                    <w:t>放管控</w:t>
                  </w:r>
                </w:p>
              </w:tc>
              <w:tc>
                <w:tcPr>
                  <w:tcW w:w="2303" w:type="pct"/>
                  <w:noWrap w:val="0"/>
                  <w:vAlign w:val="center"/>
                </w:tcPr>
                <w:p w14:paraId="29776AA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r>
                    <w:rPr>
                      <w:rFonts w:hint="default" w:ascii="Times New Roman" w:hAnsi="Times New Roman" w:cs="Times New Roman"/>
                      <w:bCs/>
                      <w:color w:val="auto"/>
                      <w:sz w:val="21"/>
                      <w:szCs w:val="21"/>
                      <w:vertAlign w:val="baseline"/>
                      <w:lang w:eastAsia="zh-CN"/>
                    </w:rPr>
                    <w:t>1.砖瓦行业污染物排放满足《砖瓦工业大气污染物排放标准》（GB2962-2013）及修改单中相应排放限值要求。2.冲天炉、玻璃熔窑、以煤和煤矸石为燃料的砖瓦烧结窑、耐火材料焙烧窑</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电窑除外</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、炭素焙</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煅</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烧炉</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窑</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 xml:space="preserve">、石灰窑、和精炼炉等，原则上应纳入重点排污单位名录，安装自动监控设施。3.工业炉窑污染物排放满足《工业炉窑大气污染物排放标准》 </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DB13/1640-2012</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和《关于印发&lt;河北省工业炉窑综合治理实施方案&gt;的通知》</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冀环大气〔2019〕607号</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及</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退后十</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方案中邯郸限值要求。4.全面加强原辅材料源头替代，从源头减少VOCs产生。涉VOCs重点企业全面执行《挥发性有机物无组织排放控制标准》</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GB37822-2019</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。选择适宜的废气治理工艺，对VOCs污染源进行有效处理。5.塑料加工等工序产生的有机废气等应执行《工业企业挥发性有机物排放控制标准》</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DB13/2322-2016</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、《合成树脂工业污染物排放标准》</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GB31527-2015</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 《挥发性有机物无组织排放控制标准》</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GB37822-2019</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。6.锅炉废气执行《锅炉大气污染物排放标准》</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DB13/5161-2020</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标准要求</w:t>
                  </w:r>
                </w:p>
              </w:tc>
              <w:tc>
                <w:tcPr>
                  <w:tcW w:w="920" w:type="pct"/>
                  <w:noWrap w:val="0"/>
                  <w:vAlign w:val="center"/>
                </w:tcPr>
                <w:p w14:paraId="158694B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val="en-US" w:eastAsia="zh-CN"/>
                    </w:rPr>
                  </w:pPr>
                  <w:r>
                    <w:rPr>
                      <w:rFonts w:hint="eastAsia" w:cs="Times New Roman"/>
                      <w:b w:val="0"/>
                      <w:bCs w:val="0"/>
                      <w:color w:val="auto"/>
                      <w:kern w:val="0"/>
                      <w:szCs w:val="21"/>
                      <w:lang w:val="en-US" w:eastAsia="zh-CN"/>
                    </w:rPr>
                    <w:t>项目属于再生资源循环经济产业（塑料循环经济）</w:t>
                  </w:r>
                  <w:r>
                    <w:rPr>
                      <w:rFonts w:hint="eastAsia" w:ascii="Times New Roman" w:hAnsi="Times New Roman" w:cs="Times New Roman"/>
                      <w:b w:val="0"/>
                      <w:bCs w:val="0"/>
                      <w:color w:val="auto"/>
                      <w:kern w:val="0"/>
                      <w:szCs w:val="21"/>
                      <w:lang w:eastAsia="zh-CN"/>
                    </w:rPr>
                    <w:t>，</w:t>
                  </w:r>
                  <w:r>
                    <w:rPr>
                      <w:rFonts w:hint="eastAsia" w:cs="Times New Roman"/>
                      <w:color w:val="auto"/>
                      <w:spacing w:val="0"/>
                      <w:kern w:val="21"/>
                      <w:sz w:val="21"/>
                      <w:szCs w:val="21"/>
                      <w:vertAlign w:val="baseline"/>
                      <w:lang w:val="en-US" w:eastAsia="zh-CN"/>
                    </w:rPr>
                    <w:t>不涉及工业炉窑、锅炉；</w:t>
                  </w:r>
                  <w:r>
                    <w:rPr>
                      <w:rFonts w:hint="eastAsia"/>
                      <w:b w:val="0"/>
                      <w:bCs w:val="0"/>
                      <w:color w:val="auto"/>
                      <w:szCs w:val="21"/>
                      <w:lang w:val="en-US" w:eastAsia="zh-CN"/>
                    </w:rPr>
                    <w:t>项目挤出工序产生的废气采用喷淋塔+干式过滤+活性炭吸附脱附+催化燃烧处理后通过15m排气筒排放，废气排放满足《合成树脂工业污染物排放标准》（GB31572-2015，含2024年修改单）表5 大气污染物特别排放限值，</w:t>
                  </w:r>
                  <w:r>
                    <w:rPr>
                      <w:rFonts w:hint="eastAsia" w:cs="Times New Roman"/>
                      <w:color w:val="auto"/>
                      <w:spacing w:val="0"/>
                      <w:kern w:val="21"/>
                      <w:sz w:val="21"/>
                      <w:szCs w:val="21"/>
                      <w:vertAlign w:val="baseline"/>
                      <w:lang w:val="en-US" w:eastAsia="zh-CN"/>
                    </w:rPr>
                    <w:t>无组织非甲烷总烃排放满足《工业企业挥发性有机物排放控制标准》（DB13/ 2322-2025）表2厂区内挥发性有机物无组织排放限值及《合成树脂工业污染物排放标准》（GB31572-2015，含2024年修改单）表9企业边界大气污染物浓度限值</w:t>
                  </w:r>
                </w:p>
              </w:tc>
              <w:tc>
                <w:tcPr>
                  <w:tcW w:w="501" w:type="pct"/>
                  <w:noWrap w:val="0"/>
                  <w:vAlign w:val="center"/>
                </w:tcPr>
                <w:p w14:paraId="3B1B952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r>
                    <w:rPr>
                      <w:rFonts w:hint="eastAsia" w:cs="Times New Roman"/>
                      <w:b w:val="0"/>
                      <w:bCs w:val="0"/>
                      <w:color w:val="auto"/>
                      <w:kern w:val="0"/>
                      <w:szCs w:val="21"/>
                      <w:lang w:val="en-US" w:eastAsia="zh-CN"/>
                    </w:rPr>
                    <w:t>符合</w:t>
                  </w:r>
                </w:p>
              </w:tc>
            </w:tr>
            <w:tr w14:paraId="6C23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vMerge w:val="continue"/>
                  <w:noWrap w:val="0"/>
                  <w:vAlign w:val="center"/>
                </w:tcPr>
                <w:p w14:paraId="6BC177C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p>
              </w:tc>
              <w:tc>
                <w:tcPr>
                  <w:tcW w:w="567" w:type="pct"/>
                  <w:vMerge w:val="continue"/>
                  <w:noWrap w:val="0"/>
                  <w:vAlign w:val="center"/>
                </w:tcPr>
                <w:p w14:paraId="205D398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p>
              </w:tc>
              <w:tc>
                <w:tcPr>
                  <w:tcW w:w="329" w:type="pct"/>
                  <w:noWrap w:val="0"/>
                  <w:vAlign w:val="center"/>
                </w:tcPr>
                <w:p w14:paraId="60F880C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r>
                    <w:rPr>
                      <w:rFonts w:hint="default" w:ascii="Times New Roman" w:hAnsi="Times New Roman" w:cs="Times New Roman"/>
                      <w:bCs/>
                      <w:color w:val="auto"/>
                      <w:sz w:val="21"/>
                      <w:szCs w:val="21"/>
                      <w:vertAlign w:val="baseline"/>
                      <w:lang w:eastAsia="zh-CN"/>
                    </w:rPr>
                    <w:t>环境风</w:t>
                  </w:r>
                </w:p>
                <w:p w14:paraId="2FB1D89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r>
                    <w:rPr>
                      <w:rFonts w:hint="default" w:ascii="Times New Roman" w:hAnsi="Times New Roman" w:cs="Times New Roman"/>
                      <w:bCs/>
                      <w:color w:val="auto"/>
                      <w:sz w:val="21"/>
                      <w:szCs w:val="21"/>
                      <w:vertAlign w:val="baseline"/>
                      <w:lang w:eastAsia="zh-CN"/>
                    </w:rPr>
                    <w:t>险防控</w:t>
                  </w:r>
                </w:p>
              </w:tc>
              <w:tc>
                <w:tcPr>
                  <w:tcW w:w="2303" w:type="pct"/>
                  <w:noWrap w:val="0"/>
                  <w:vAlign w:val="center"/>
                </w:tcPr>
                <w:p w14:paraId="2684557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r>
                    <w:rPr>
                      <w:rFonts w:hint="default" w:ascii="Times New Roman" w:hAnsi="Times New Roman" w:cs="Times New Roman"/>
                      <w:bCs/>
                      <w:color w:val="auto"/>
                      <w:sz w:val="21"/>
                      <w:szCs w:val="21"/>
                      <w:vertAlign w:val="baseline"/>
                      <w:lang w:eastAsia="zh-CN"/>
                    </w:rPr>
                    <w:t>工艺过程中产生的含VOCs废料</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渣、液</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满足《挥发性有机物无组织排放控制标准》</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GB37822-2019</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中的要求</w:t>
                  </w:r>
                </w:p>
              </w:tc>
              <w:tc>
                <w:tcPr>
                  <w:tcW w:w="920" w:type="pct"/>
                  <w:noWrap w:val="0"/>
                  <w:vAlign w:val="center"/>
                </w:tcPr>
                <w:p w14:paraId="32E70CB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color w:val="auto"/>
                      <w:spacing w:val="0"/>
                      <w:sz w:val="21"/>
                      <w:szCs w:val="21"/>
                      <w:highlight w:val="none"/>
                      <w:lang w:val="en-US" w:eastAsia="zh-CN"/>
                    </w:rPr>
                    <w:t>项目不涉及</w:t>
                  </w:r>
                </w:p>
              </w:tc>
              <w:tc>
                <w:tcPr>
                  <w:tcW w:w="501" w:type="pct"/>
                  <w:noWrap w:val="0"/>
                  <w:vAlign w:val="center"/>
                </w:tcPr>
                <w:p w14:paraId="66FF343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r>
                    <w:rPr>
                      <w:rFonts w:hint="eastAsia" w:cs="Times New Roman"/>
                      <w:b w:val="0"/>
                      <w:bCs w:val="0"/>
                      <w:color w:val="auto"/>
                      <w:kern w:val="0"/>
                      <w:szCs w:val="21"/>
                      <w:lang w:val="en-US" w:eastAsia="zh-CN"/>
                    </w:rPr>
                    <w:t>符合</w:t>
                  </w:r>
                </w:p>
              </w:tc>
            </w:tr>
            <w:tr w14:paraId="0407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vMerge w:val="continue"/>
                  <w:noWrap w:val="0"/>
                  <w:vAlign w:val="center"/>
                </w:tcPr>
                <w:p w14:paraId="187E634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p>
              </w:tc>
              <w:tc>
                <w:tcPr>
                  <w:tcW w:w="567" w:type="pct"/>
                  <w:vMerge w:val="continue"/>
                  <w:noWrap w:val="0"/>
                  <w:vAlign w:val="center"/>
                </w:tcPr>
                <w:p w14:paraId="288CD2E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p>
              </w:tc>
              <w:tc>
                <w:tcPr>
                  <w:tcW w:w="329" w:type="pct"/>
                  <w:noWrap w:val="0"/>
                  <w:vAlign w:val="center"/>
                </w:tcPr>
                <w:p w14:paraId="55D92CB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r>
                    <w:rPr>
                      <w:rFonts w:hint="default" w:ascii="Times New Roman" w:hAnsi="Times New Roman" w:cs="Times New Roman"/>
                      <w:bCs/>
                      <w:color w:val="auto"/>
                      <w:sz w:val="21"/>
                      <w:szCs w:val="21"/>
                      <w:vertAlign w:val="baseline"/>
                      <w:lang w:eastAsia="zh-CN"/>
                    </w:rPr>
                    <w:t>资源利</w:t>
                  </w:r>
                </w:p>
                <w:p w14:paraId="0E0F8C2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r>
                    <w:rPr>
                      <w:rFonts w:hint="default" w:ascii="Times New Roman" w:hAnsi="Times New Roman" w:cs="Times New Roman"/>
                      <w:bCs/>
                      <w:color w:val="auto"/>
                      <w:sz w:val="21"/>
                      <w:szCs w:val="21"/>
                      <w:vertAlign w:val="baseline"/>
                      <w:lang w:eastAsia="zh-CN"/>
                    </w:rPr>
                    <w:t>用效率</w:t>
                  </w:r>
                </w:p>
              </w:tc>
              <w:tc>
                <w:tcPr>
                  <w:tcW w:w="2303" w:type="pct"/>
                  <w:noWrap w:val="0"/>
                  <w:vAlign w:val="center"/>
                </w:tcPr>
                <w:p w14:paraId="224FFF3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r>
                    <w:rPr>
                      <w:rFonts w:hint="default" w:ascii="Times New Roman" w:hAnsi="Times New Roman" w:cs="Times New Roman"/>
                      <w:bCs/>
                      <w:color w:val="auto"/>
                      <w:sz w:val="21"/>
                      <w:szCs w:val="21"/>
                      <w:vertAlign w:val="baseline"/>
                      <w:lang w:eastAsia="zh-CN"/>
                    </w:rPr>
                    <w:t>1.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GB30526-2019</w:t>
                  </w:r>
                  <w:r>
                    <w:rPr>
                      <w:rFonts w:hint="eastAsia" w:cs="Times New Roman"/>
                      <w:bCs/>
                      <w:color w:val="auto"/>
                      <w:sz w:val="21"/>
                      <w:szCs w:val="21"/>
                      <w:vertAlign w:val="baseline"/>
                      <w:lang w:eastAsia="zh-CN"/>
                    </w:rPr>
                    <w:t>）</w:t>
                  </w:r>
                  <w:r>
                    <w:rPr>
                      <w:rFonts w:hint="default" w:ascii="Times New Roman" w:hAnsi="Times New Roman" w:cs="Times New Roman"/>
                      <w:bCs/>
                      <w:color w:val="auto"/>
                      <w:sz w:val="21"/>
                      <w:szCs w:val="21"/>
                      <w:vertAlign w:val="baseline"/>
                      <w:lang w:eastAsia="zh-CN"/>
                    </w:rPr>
                    <w:t>限定值，争取达到先进值。2.地下水开发利用应当以浅层地下水为主。深层地下水作为战略储备水源、应急供水水源、无替代水源地区的居民生活水源，应当严格限制开采</w:t>
                  </w:r>
                </w:p>
              </w:tc>
              <w:tc>
                <w:tcPr>
                  <w:tcW w:w="920" w:type="pct"/>
                  <w:noWrap w:val="0"/>
                  <w:vAlign w:val="center"/>
                </w:tcPr>
                <w:p w14:paraId="4F6358A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r>
                    <w:rPr>
                      <w:rFonts w:hint="eastAsia" w:cs="Times New Roman"/>
                      <w:b w:val="0"/>
                      <w:bCs w:val="0"/>
                      <w:color w:val="auto"/>
                      <w:kern w:val="0"/>
                      <w:szCs w:val="21"/>
                      <w:lang w:val="en-US" w:eastAsia="zh-CN"/>
                    </w:rPr>
                    <w:t>项目属于再生资源循环经济产业（塑料循环经济），不属于</w:t>
                  </w:r>
                  <w:r>
                    <w:rPr>
                      <w:rFonts w:hint="default" w:ascii="Times New Roman" w:hAnsi="Times New Roman" w:cs="Times New Roman"/>
                      <w:bCs/>
                      <w:color w:val="auto"/>
                      <w:sz w:val="21"/>
                      <w:szCs w:val="21"/>
                      <w:vertAlign w:val="baseline"/>
                      <w:lang w:eastAsia="zh-CN"/>
                    </w:rPr>
                    <w:t>烧结砖瓦</w:t>
                  </w:r>
                  <w:r>
                    <w:rPr>
                      <w:rFonts w:hint="eastAsia" w:ascii="Times New Roman" w:hAnsi="Times New Roman" w:cs="Times New Roman"/>
                      <w:bCs/>
                      <w:color w:val="auto"/>
                      <w:sz w:val="21"/>
                      <w:szCs w:val="21"/>
                      <w:vertAlign w:val="baseline"/>
                      <w:lang w:eastAsia="zh-CN"/>
                    </w:rPr>
                    <w:t>、烧结墙体材料</w:t>
                  </w:r>
                  <w:r>
                    <w:rPr>
                      <w:rFonts w:hint="default" w:ascii="Times New Roman" w:hAnsi="Times New Roman" w:cs="Times New Roman"/>
                      <w:bCs/>
                      <w:color w:val="auto"/>
                      <w:sz w:val="21"/>
                      <w:szCs w:val="21"/>
                      <w:vertAlign w:val="baseline"/>
                      <w:lang w:eastAsia="zh-CN"/>
                    </w:rPr>
                    <w:t>生产企业</w:t>
                  </w:r>
                  <w:r>
                    <w:rPr>
                      <w:rFonts w:hint="eastAsia" w:ascii="Times New Roman" w:hAnsi="Times New Roman" w:cs="Times New Roman"/>
                      <w:b w:val="0"/>
                      <w:bCs w:val="0"/>
                      <w:color w:val="auto"/>
                      <w:kern w:val="0"/>
                      <w:szCs w:val="21"/>
                      <w:lang w:eastAsia="zh-CN"/>
                    </w:rPr>
                    <w:t>；</w:t>
                  </w:r>
                  <w:r>
                    <w:rPr>
                      <w:rFonts w:hint="eastAsia" w:eastAsia="宋体"/>
                      <w:b w:val="0"/>
                      <w:bCs w:val="0"/>
                      <w:color w:val="auto"/>
                      <w:szCs w:val="21"/>
                      <w:lang w:val="en-US" w:eastAsia="zh-CN"/>
                    </w:rPr>
                    <w:t>项目用水由园区供水管网供给，不开采地下水</w:t>
                  </w:r>
                </w:p>
              </w:tc>
              <w:tc>
                <w:tcPr>
                  <w:tcW w:w="501" w:type="pct"/>
                  <w:noWrap w:val="0"/>
                  <w:vAlign w:val="center"/>
                </w:tcPr>
                <w:p w14:paraId="5310697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Cs/>
                      <w:color w:val="auto"/>
                      <w:sz w:val="21"/>
                      <w:szCs w:val="21"/>
                      <w:vertAlign w:val="baseline"/>
                      <w:lang w:eastAsia="zh-CN"/>
                    </w:rPr>
                  </w:pPr>
                  <w:r>
                    <w:rPr>
                      <w:rFonts w:hint="eastAsia" w:cs="Times New Roman"/>
                      <w:b w:val="0"/>
                      <w:bCs w:val="0"/>
                      <w:color w:val="auto"/>
                      <w:kern w:val="0"/>
                      <w:szCs w:val="21"/>
                      <w:lang w:val="en-US" w:eastAsia="zh-CN"/>
                    </w:rPr>
                    <w:t>符合</w:t>
                  </w:r>
                </w:p>
              </w:tc>
            </w:tr>
          </w:tbl>
          <w:p w14:paraId="2174F475">
            <w:pPr>
              <w:spacing w:line="480" w:lineRule="exact"/>
              <w:ind w:firstLine="480" w:firstLineChars="200"/>
              <w:outlineLvl w:val="0"/>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cs="Times New Roman" w:eastAsiaTheme="minorEastAsia"/>
                <w:color w:val="000000" w:themeColor="text1"/>
                <w:sz w:val="24"/>
                <w:szCs w:val="24"/>
                <w:lang w:val="en-US" w:eastAsia="zh-CN"/>
                <w14:textFill>
                  <w14:solidFill>
                    <w14:schemeClr w14:val="tx1"/>
                  </w14:solidFill>
                </w14:textFill>
              </w:rPr>
              <w:t>综上所述，</w:t>
            </w:r>
            <w:r>
              <w:rPr>
                <w:rFonts w:hint="default" w:ascii="Times New Roman" w:hAnsi="Times New Roman" w:cs="Times New Roman" w:eastAsiaTheme="minorEastAsia"/>
                <w:color w:val="000000" w:themeColor="text1"/>
                <w:sz w:val="24"/>
                <w:szCs w:val="24"/>
                <w14:textFill>
                  <w14:solidFill>
                    <w14:schemeClr w14:val="tx1"/>
                  </w14:solidFill>
                </w14:textFill>
              </w:rPr>
              <w:t>项目</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符合</w:t>
            </w:r>
            <w:r>
              <w:rPr>
                <w:rFonts w:hint="default" w:ascii="Times New Roman" w:hAnsi="Times New Roman" w:cs="Times New Roman" w:eastAsiaTheme="minorEastAsia"/>
                <w:color w:val="000000" w:themeColor="text1"/>
                <w:sz w:val="24"/>
                <w:szCs w:val="24"/>
                <w14:textFill>
                  <w14:solidFill>
                    <w14:schemeClr w14:val="tx1"/>
                  </w14:solidFill>
                </w14:textFill>
              </w:rPr>
              <w:t>《邯郸市生态环境准入清单》（202</w:t>
            </w:r>
            <w:r>
              <w:rPr>
                <w:rFonts w:hint="eastAsia" w:cs="Times New Roman" w:eastAsiaTheme="minorEastAsia"/>
                <w:color w:val="000000" w:themeColor="text1"/>
                <w:sz w:val="24"/>
                <w:szCs w:val="24"/>
                <w:lang w:val="en-US" w:eastAsia="zh-CN"/>
                <w14:textFill>
                  <w14:solidFill>
                    <w14:schemeClr w14:val="tx1"/>
                  </w14:solidFill>
                </w14:textFill>
              </w:rPr>
              <w:t>5</w:t>
            </w:r>
            <w:r>
              <w:rPr>
                <w:rFonts w:hint="default" w:ascii="Times New Roman" w:hAnsi="Times New Roman" w:cs="Times New Roman" w:eastAsiaTheme="minorEastAsia"/>
                <w:color w:val="000000" w:themeColor="text1"/>
                <w:sz w:val="24"/>
                <w:szCs w:val="24"/>
                <w14:textFill>
                  <w14:solidFill>
                    <w14:schemeClr w14:val="tx1"/>
                  </w14:solidFill>
                </w14:textFill>
              </w:rPr>
              <w:t>年版）</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相关要求。</w:t>
            </w:r>
          </w:p>
          <w:p w14:paraId="2BC8ACE5">
            <w:pPr>
              <w:spacing w:line="480" w:lineRule="exact"/>
              <w:outlineLvl w:val="0"/>
              <w:rPr>
                <w:rFonts w:hint="default" w:ascii="Times New Roman" w:hAnsi="Times New Roman" w:cs="Times New Roman" w:eastAsiaTheme="minorEastAsia"/>
                <w:b/>
                <w:color w:val="auto"/>
                <w:kern w:val="0"/>
                <w:sz w:val="24"/>
                <w:lang w:val="en-US" w:eastAsia="zh-CN"/>
              </w:rPr>
            </w:pPr>
            <w:r>
              <w:rPr>
                <w:rFonts w:hint="eastAsia" w:cs="Times New Roman" w:eastAsiaTheme="minorEastAsia"/>
                <w:b/>
                <w:color w:val="auto"/>
                <w:kern w:val="0"/>
                <w:sz w:val="24"/>
                <w:lang w:val="en-US" w:eastAsia="zh-CN"/>
              </w:rPr>
              <w:t>5 其他相关环境政策</w:t>
            </w:r>
            <w:r>
              <w:rPr>
                <w:rFonts w:hint="default" w:ascii="Times New Roman" w:hAnsi="Times New Roman" w:cs="Times New Roman" w:eastAsiaTheme="minorEastAsia"/>
                <w:b/>
                <w:color w:val="auto"/>
                <w:kern w:val="0"/>
                <w:sz w:val="24"/>
                <w:lang w:val="en-US" w:eastAsia="zh-CN"/>
              </w:rPr>
              <w:t>符合性分析</w:t>
            </w:r>
          </w:p>
          <w:p w14:paraId="73FE7159">
            <w:pPr>
              <w:spacing w:line="480" w:lineRule="exact"/>
              <w:ind w:firstLine="480" w:firstLineChars="200"/>
              <w:jc w:val="both"/>
              <w:outlineLvl w:val="0"/>
              <w:rPr>
                <w:rFonts w:hint="default" w:ascii="Times New Roman" w:hAnsi="Times New Roman" w:eastAsia="宋体" w:cs="Times New Roman"/>
                <w:b w:val="0"/>
                <w:bCs w:val="0"/>
                <w:color w:val="auto"/>
                <w:sz w:val="24"/>
                <w:lang w:eastAsia="zh-CN"/>
              </w:rPr>
            </w:pPr>
            <w:r>
              <w:rPr>
                <w:rFonts w:hint="eastAsia" w:cs="Times New Roman"/>
                <w:b w:val="0"/>
                <w:bCs w:val="0"/>
                <w:color w:val="auto"/>
                <w:sz w:val="24"/>
                <w:lang w:val="en-US" w:eastAsia="zh-CN"/>
              </w:rPr>
              <w:t>项目与其他相关</w:t>
            </w:r>
            <w:r>
              <w:rPr>
                <w:rFonts w:hint="default" w:ascii="Times New Roman" w:hAnsi="Times New Roman" w:eastAsia="宋体" w:cs="Times New Roman"/>
                <w:b w:val="0"/>
                <w:bCs w:val="0"/>
                <w:color w:val="auto"/>
                <w:sz w:val="24"/>
                <w:lang w:eastAsia="zh-CN"/>
              </w:rPr>
              <w:t>环境政策符合性分析详见表</w:t>
            </w:r>
            <w:r>
              <w:rPr>
                <w:rFonts w:hint="eastAsia" w:cs="Times New Roman"/>
                <w:b w:val="0"/>
                <w:bCs w:val="0"/>
                <w:color w:val="auto"/>
                <w:sz w:val="24"/>
                <w:lang w:val="en-US" w:eastAsia="zh-CN"/>
              </w:rPr>
              <w:t>5</w:t>
            </w:r>
            <w:r>
              <w:rPr>
                <w:rFonts w:hint="eastAsia" w:cs="Times New Roman"/>
                <w:b w:val="0"/>
                <w:bCs w:val="0"/>
                <w:color w:val="auto"/>
                <w:sz w:val="24"/>
                <w:lang w:eastAsia="zh-CN"/>
              </w:rPr>
              <w:t>。</w:t>
            </w:r>
          </w:p>
          <w:p w14:paraId="607DF29D">
            <w:pPr>
              <w:spacing w:line="480" w:lineRule="exact"/>
              <w:jc w:val="center"/>
              <w:outlineLvl w:val="0"/>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color w:val="auto"/>
                <w:sz w:val="24"/>
                <w:lang w:eastAsia="zh-CN"/>
              </w:rPr>
              <w:t>表</w:t>
            </w:r>
            <w:r>
              <w:rPr>
                <w:rFonts w:hint="eastAsia" w:cs="Times New Roman"/>
                <w:b/>
                <w:bCs/>
                <w:color w:val="auto"/>
                <w:sz w:val="24"/>
                <w:lang w:val="en-US" w:eastAsia="zh-CN"/>
              </w:rPr>
              <w:t>5</w:t>
            </w:r>
            <w:r>
              <w:rPr>
                <w:rFonts w:hint="eastAsia" w:ascii="Times New Roman" w:hAnsi="Times New Roman" w:eastAsia="宋体" w:cs="Times New Roman"/>
                <w:b/>
                <w:bCs/>
                <w:color w:val="auto"/>
                <w:sz w:val="24"/>
                <w:lang w:val="en-US" w:eastAsia="zh-CN"/>
              </w:rPr>
              <w:t xml:space="preserve">   项目与其他相关环境政策符合性分析</w:t>
            </w:r>
            <w:r>
              <w:rPr>
                <w:rFonts w:hint="eastAsia" w:cs="Times New Roman"/>
                <w:b/>
                <w:bCs/>
                <w:color w:val="auto"/>
                <w:sz w:val="24"/>
                <w:lang w:val="en-US" w:eastAsia="zh-CN"/>
              </w:rPr>
              <w:t>一览表</w:t>
            </w:r>
          </w:p>
          <w:tbl>
            <w:tblPr>
              <w:tblStyle w:val="28"/>
              <w:tblW w:w="50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
              <w:gridCol w:w="1070"/>
              <w:gridCol w:w="3390"/>
              <w:gridCol w:w="1767"/>
              <w:gridCol w:w="451"/>
            </w:tblGrid>
            <w:tr w14:paraId="3C33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 w:hRule="atLeast"/>
                <w:tblHeader/>
                <w:jc w:val="center"/>
              </w:trPr>
              <w:tc>
                <w:tcPr>
                  <w:tcW w:w="192" w:type="pct"/>
                  <w:noWrap w:val="0"/>
                  <w:tcMar>
                    <w:left w:w="0" w:type="dxa"/>
                    <w:right w:w="0" w:type="dxa"/>
                  </w:tcMar>
                  <w:vAlign w:val="center"/>
                </w:tcPr>
                <w:p w14:paraId="386FCC5E">
                  <w:pPr>
                    <w:pStyle w:val="15"/>
                    <w:spacing w:line="0" w:lineRule="atLeast"/>
                    <w:jc w:val="center"/>
                    <w:rPr>
                      <w:rFonts w:hint="default" w:ascii="Times New Roman" w:hAnsi="Times New Roman" w:eastAsia="宋体" w:cs="Times New Roman"/>
                      <w:b/>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
                      <w:color w:val="000000" w:themeColor="text1"/>
                      <w:spacing w:val="0"/>
                      <w:sz w:val="21"/>
                      <w:szCs w:val="21"/>
                      <w:lang w:val="en-US" w:eastAsia="zh-CN"/>
                      <w14:textFill>
                        <w14:solidFill>
                          <w14:schemeClr w14:val="tx1"/>
                        </w14:solidFill>
                      </w14:textFill>
                    </w:rPr>
                    <w:t>序号</w:t>
                  </w:r>
                </w:p>
              </w:tc>
              <w:tc>
                <w:tcPr>
                  <w:tcW w:w="3210" w:type="pct"/>
                  <w:gridSpan w:val="2"/>
                  <w:noWrap w:val="0"/>
                  <w:tcMar>
                    <w:left w:w="0" w:type="dxa"/>
                    <w:right w:w="0" w:type="dxa"/>
                  </w:tcMar>
                  <w:vAlign w:val="center"/>
                </w:tcPr>
                <w:p w14:paraId="09226858">
                  <w:pPr>
                    <w:pStyle w:val="15"/>
                    <w:spacing w:line="0" w:lineRule="atLeast"/>
                    <w:jc w:val="center"/>
                    <w:rPr>
                      <w:rFonts w:hint="default" w:ascii="Times New Roman" w:hAnsi="Times New Roman" w:eastAsia="宋体" w:cs="Times New Roman"/>
                      <w:b/>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
                      <w:color w:val="000000" w:themeColor="text1"/>
                      <w:spacing w:val="0"/>
                      <w:sz w:val="21"/>
                      <w:szCs w:val="21"/>
                      <w:lang w:val="en-US" w:eastAsia="zh-CN"/>
                      <w14:textFill>
                        <w14:solidFill>
                          <w14:schemeClr w14:val="tx1"/>
                        </w14:solidFill>
                      </w14:textFill>
                    </w:rPr>
                    <w:t>政策</w:t>
                  </w:r>
                </w:p>
              </w:tc>
              <w:tc>
                <w:tcPr>
                  <w:tcW w:w="1271" w:type="pct"/>
                  <w:noWrap w:val="0"/>
                  <w:tcMar>
                    <w:left w:w="0" w:type="dxa"/>
                    <w:right w:w="0" w:type="dxa"/>
                  </w:tcMar>
                  <w:vAlign w:val="center"/>
                </w:tcPr>
                <w:p w14:paraId="2A518AF0">
                  <w:pPr>
                    <w:pStyle w:val="15"/>
                    <w:spacing w:line="0" w:lineRule="atLeast"/>
                    <w:jc w:val="center"/>
                    <w:rPr>
                      <w:rFonts w:hint="default" w:ascii="Times New Roman" w:hAnsi="Times New Roman" w:eastAsia="宋体" w:cs="Times New Roman"/>
                      <w:b/>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
                      <w:color w:val="000000" w:themeColor="text1"/>
                      <w:spacing w:val="0"/>
                      <w:sz w:val="21"/>
                      <w:szCs w:val="21"/>
                      <w:lang w:val="en-US" w:eastAsia="zh-CN"/>
                      <w14:textFill>
                        <w14:solidFill>
                          <w14:schemeClr w14:val="tx1"/>
                        </w14:solidFill>
                      </w14:textFill>
                    </w:rPr>
                    <w:t>本项目</w:t>
                  </w:r>
                  <w:r>
                    <w:rPr>
                      <w:rFonts w:hint="default" w:ascii="Times New Roman" w:hAnsi="Times New Roman" w:cs="Times New Roman"/>
                      <w:b/>
                      <w:color w:val="000000" w:themeColor="text1"/>
                      <w:spacing w:val="0"/>
                      <w:sz w:val="21"/>
                      <w:szCs w:val="21"/>
                      <w:lang w:val="en-US" w:eastAsia="zh-CN"/>
                      <w14:textFill>
                        <w14:solidFill>
                          <w14:schemeClr w14:val="tx1"/>
                        </w14:solidFill>
                      </w14:textFill>
                    </w:rPr>
                    <w:t>情况</w:t>
                  </w:r>
                </w:p>
              </w:tc>
              <w:tc>
                <w:tcPr>
                  <w:tcW w:w="324" w:type="pct"/>
                  <w:noWrap w:val="0"/>
                  <w:tcMar>
                    <w:left w:w="0" w:type="dxa"/>
                    <w:right w:w="0" w:type="dxa"/>
                  </w:tcMar>
                  <w:vAlign w:val="center"/>
                </w:tcPr>
                <w:p w14:paraId="27EA592A">
                  <w:pPr>
                    <w:spacing w:line="0" w:lineRule="atLeast"/>
                    <w:jc w:val="center"/>
                    <w:rPr>
                      <w:rFonts w:hint="default" w:ascii="Times New Roman" w:hAnsi="Times New Roman" w:eastAsia="宋体" w:cs="Times New Roman"/>
                      <w:b/>
                      <w:color w:val="000000" w:themeColor="text1"/>
                      <w:spacing w:val="0"/>
                      <w:sz w:val="21"/>
                      <w:szCs w:val="21"/>
                      <w:lang w:val="en-US" w:eastAsia="zh-CN"/>
                      <w14:textFill>
                        <w14:solidFill>
                          <w14:schemeClr w14:val="tx1"/>
                        </w14:solidFill>
                      </w14:textFill>
                    </w:rPr>
                  </w:pPr>
                  <w:r>
                    <w:rPr>
                      <w:rFonts w:hint="default" w:ascii="Times New Roman" w:hAnsi="Times New Roman" w:cs="Times New Roman"/>
                      <w:b/>
                      <w:color w:val="000000" w:themeColor="text1"/>
                      <w:spacing w:val="0"/>
                      <w:sz w:val="21"/>
                      <w:szCs w:val="21"/>
                      <w:lang w:val="en-US" w:eastAsia="zh-CN"/>
                      <w14:textFill>
                        <w14:solidFill>
                          <w14:schemeClr w14:val="tx1"/>
                        </w14:solidFill>
                      </w14:textFill>
                    </w:rPr>
                    <w:t>符合性</w:t>
                  </w:r>
                </w:p>
              </w:tc>
            </w:tr>
            <w:tr w14:paraId="026F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92" w:type="pct"/>
                  <w:vMerge w:val="restart"/>
                  <w:noWrap w:val="0"/>
                  <w:tcMar>
                    <w:left w:w="0" w:type="dxa"/>
                    <w:right w:w="0" w:type="dxa"/>
                  </w:tcMar>
                  <w:vAlign w:val="center"/>
                </w:tcPr>
                <w:p w14:paraId="36E6261E">
                  <w:pPr>
                    <w:pStyle w:val="15"/>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t>1</w:t>
                  </w:r>
                </w:p>
              </w:tc>
              <w:tc>
                <w:tcPr>
                  <w:tcW w:w="770" w:type="pct"/>
                  <w:vMerge w:val="restart"/>
                  <w:noWrap w:val="0"/>
                  <w:tcMar>
                    <w:left w:w="0" w:type="dxa"/>
                    <w:right w:w="0" w:type="dxa"/>
                  </w:tcMar>
                  <w:vAlign w:val="center"/>
                </w:tcPr>
                <w:p w14:paraId="4B3B2344">
                  <w:pPr>
                    <w:widowControl/>
                    <w:spacing w:line="300" w:lineRule="exac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t>国务院关于印发《空气质量持续改善行动计划》的通知</w:t>
                  </w:r>
                </w:p>
              </w:tc>
              <w:tc>
                <w:tcPr>
                  <w:tcW w:w="2440" w:type="pct"/>
                  <w:noWrap w:val="0"/>
                  <w:tcMar>
                    <w:left w:w="0" w:type="dxa"/>
                    <w:right w:w="0" w:type="dxa"/>
                  </w:tcMar>
                  <w:vAlign w:val="center"/>
                </w:tcPr>
                <w:p w14:paraId="4B4630E3">
                  <w:pPr>
                    <w:widowControl/>
                    <w:numPr>
                      <w:ilvl w:val="0"/>
                      <w:numId w:val="0"/>
                    </w:numPr>
                    <w:spacing w:line="300" w:lineRule="exact"/>
                    <w:ind w:left="0" w:leftChars="0" w:firstLine="0" w:firstLineChars="0"/>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default" w:ascii="Times New Roman" w:hAnsi="Times New Roman" w:cs="Times New Roman"/>
                      <w:bCs/>
                      <w:color w:val="000000" w:themeColor="text1"/>
                      <w:spacing w:val="0"/>
                      <w:sz w:val="21"/>
                      <w:szCs w:val="21"/>
                      <w:lang w:val="en-US" w:eastAsia="zh-CN"/>
                      <w14:textFill>
                        <w14:solidFill>
                          <w14:schemeClr w14:val="tx1"/>
                        </w14:solidFill>
                      </w14:textFill>
                    </w:rPr>
                    <w:t>新改扩建项目严格落实国家产业规划、产业政策、生态环境分区管控方案、规划环评、项目环评、节能审查、产能置换、重点污染物总量控制、污染物排放区域削减、碳排放达峰目标等相关要求，原则上采用清洁运输方式。涉及产能置换的项目，被置换产能及其配套设施关停后，新建项目方可投产；</w:t>
                  </w:r>
                  <w: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t>严禁新增钢铁产能。推行钢铁、焦化、烧结一体化布局，大幅减少独立焦化、烧结、球团和热轧企业及工序，淘汰落后煤炭洗选产能；有序引导高炉—转炉长流程炼钢转型为电炉短流程炼钢。到2025年，短流程炼钢产量占比达15%。京津冀及周边地区继续实施</w:t>
                  </w:r>
                  <w:r>
                    <w:rPr>
                      <w:rFonts w:hint="default" w:ascii="Times New Roman" w:hAnsi="Times New Roman" w:cs="Times New Roman"/>
                      <w:bCs/>
                      <w:color w:val="000000" w:themeColor="text1"/>
                      <w:spacing w:val="0"/>
                      <w:sz w:val="21"/>
                      <w:szCs w:val="21"/>
                      <w:lang w:val="en-US" w:eastAsia="zh-CN"/>
                      <w14:textFill>
                        <w14:solidFill>
                          <w14:schemeClr w14:val="tx1"/>
                        </w14:solidFill>
                      </w14:textFill>
                    </w:rPr>
                    <w:t>“</w:t>
                  </w:r>
                  <w: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t>以钢定焦</w:t>
                  </w:r>
                  <w:r>
                    <w:rPr>
                      <w:rFonts w:hint="default" w:ascii="Times New Roman" w:hAnsi="Times New Roman" w:cs="Times New Roman"/>
                      <w:bCs/>
                      <w:color w:val="000000" w:themeColor="text1"/>
                      <w:spacing w:val="0"/>
                      <w:sz w:val="21"/>
                      <w:szCs w:val="21"/>
                      <w:lang w:val="en-US" w:eastAsia="zh-CN"/>
                      <w14:textFill>
                        <w14:solidFill>
                          <w14:schemeClr w14:val="tx1"/>
                        </w14:solidFill>
                      </w14:textFill>
                    </w:rPr>
                    <w:t>”</w:t>
                  </w:r>
                  <w: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t>，炼焦产能与长流程炼钢产能比控制在0.4左右</w:t>
                  </w:r>
                </w:p>
              </w:tc>
              <w:tc>
                <w:tcPr>
                  <w:tcW w:w="1271" w:type="pct"/>
                  <w:noWrap w:val="0"/>
                  <w:tcMar>
                    <w:left w:w="0" w:type="dxa"/>
                    <w:right w:w="0" w:type="dxa"/>
                  </w:tcMar>
                  <w:vAlign w:val="center"/>
                </w:tcPr>
                <w:p w14:paraId="671BFD0F">
                  <w:pPr>
                    <w:widowControl/>
                    <w:spacing w:line="300" w:lineRule="exac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项目</w:t>
                  </w:r>
                  <w:r>
                    <w:rPr>
                      <w:rFonts w:hint="eastAsia" w:cs="Times New Roman"/>
                      <w:color w:val="000000" w:themeColor="text1"/>
                      <w:sz w:val="21"/>
                      <w:szCs w:val="21"/>
                      <w:highlight w:val="none"/>
                      <w:lang w:val="en-US" w:eastAsia="zh-CN"/>
                      <w14:textFill>
                        <w14:solidFill>
                          <w14:schemeClr w14:val="tx1"/>
                        </w14:solidFill>
                      </w14:textFill>
                    </w:rPr>
                    <w:t>属于再生资源循环经济产业</w:t>
                  </w:r>
                  <w:r>
                    <w:rPr>
                      <w:rFonts w:hint="eastAsia" w:cs="Times New Roman"/>
                      <w:b w:val="0"/>
                      <w:bCs w:val="0"/>
                      <w:color w:val="auto"/>
                      <w:kern w:val="0"/>
                      <w:szCs w:val="21"/>
                      <w:lang w:val="en-US" w:eastAsia="zh-CN"/>
                    </w:rPr>
                    <w:t>（塑料循环经济）</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，满足产业政策、规划环评、规划环评审查意见等要求</w:t>
                  </w:r>
                  <w:r>
                    <w:rPr>
                      <w:rFonts w:hint="eastAsia" w:cs="Times New Roman"/>
                      <w:color w:val="000000" w:themeColor="text1"/>
                      <w:sz w:val="21"/>
                      <w:szCs w:val="21"/>
                      <w:highlight w:val="none"/>
                      <w:lang w:val="en-US" w:eastAsia="zh-CN"/>
                      <w14:textFill>
                        <w14:solidFill>
                          <w14:schemeClr w14:val="tx1"/>
                        </w14:solidFill>
                      </w14:textFill>
                    </w:rPr>
                    <w:t>；物料公路运输车辆达到国五及以上排放标准或使用新能源，厂内非道路移动机械全部达到国三及以上排放标准或使用新能源；</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项目不涉及产能置换</w:t>
                  </w:r>
                </w:p>
              </w:tc>
              <w:tc>
                <w:tcPr>
                  <w:tcW w:w="324" w:type="pct"/>
                  <w:noWrap w:val="0"/>
                  <w:tcMar>
                    <w:left w:w="0" w:type="dxa"/>
                    <w:right w:w="0" w:type="dxa"/>
                  </w:tcMar>
                  <w:vAlign w:val="center"/>
                </w:tcPr>
                <w:p w14:paraId="0EA8E533">
                  <w:pPr>
                    <w:pStyle w:val="15"/>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t>符合</w:t>
                  </w:r>
                </w:p>
              </w:tc>
            </w:tr>
            <w:tr w14:paraId="7CF0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92" w:type="pct"/>
                  <w:vMerge w:val="continue"/>
                  <w:noWrap w:val="0"/>
                  <w:tcMar>
                    <w:left w:w="0" w:type="dxa"/>
                    <w:right w:w="0" w:type="dxa"/>
                  </w:tcMar>
                  <w:vAlign w:val="center"/>
                </w:tcPr>
                <w:p w14:paraId="2C282558">
                  <w:pPr>
                    <w:pStyle w:val="15"/>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1F182005">
                  <w:pPr>
                    <w:widowControl/>
                    <w:spacing w:line="300" w:lineRule="exac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p>
              </w:tc>
              <w:tc>
                <w:tcPr>
                  <w:tcW w:w="2440" w:type="pct"/>
                  <w:noWrap w:val="0"/>
                  <w:tcMar>
                    <w:left w:w="0" w:type="dxa"/>
                    <w:right w:w="0" w:type="dxa"/>
                  </w:tcMar>
                  <w:vAlign w:val="center"/>
                </w:tcPr>
                <w:p w14:paraId="67428DCA">
                  <w:pPr>
                    <w:widowControl/>
                    <w:numPr>
                      <w:ilvl w:val="0"/>
                      <w:numId w:val="0"/>
                    </w:numPr>
                    <w:spacing w:line="300" w:lineRule="exact"/>
                    <w:ind w:left="0" w:leftChars="0" w:firstLine="0" w:firstLineChars="0"/>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t>修订《产业结构调整指导目录》，研究将污染物或温室气体排放明显高出行业平均水平、能效和清洁生产水平低的工艺和装备纳入淘汰类和限制类名单。重点区域进一步提高落后产能能耗、环保、质量、安全、技术等要求，逐步退出限制类涉气行业工艺和装备；逐步淘汰步进式烧结机和球团竖炉以及半封闭式硅锰合金、镍铁、高碳铬铁、高碳锰铁电炉。引导重点区域钢铁、焦化、电解铝等产业有序调整优化</w:t>
                  </w:r>
                </w:p>
              </w:tc>
              <w:tc>
                <w:tcPr>
                  <w:tcW w:w="1271" w:type="pct"/>
                  <w:noWrap w:val="0"/>
                  <w:tcMar>
                    <w:left w:w="0" w:type="dxa"/>
                    <w:right w:w="0" w:type="dxa"/>
                  </w:tcMar>
                  <w:vAlign w:val="center"/>
                </w:tcPr>
                <w:p w14:paraId="0DAD46F8">
                  <w:pPr>
                    <w:widowControl/>
                    <w:spacing w:line="300" w:lineRule="exact"/>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项目</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不涉及</w:t>
                  </w:r>
                </w:p>
              </w:tc>
              <w:tc>
                <w:tcPr>
                  <w:tcW w:w="324" w:type="pct"/>
                  <w:noWrap w:val="0"/>
                  <w:tcMar>
                    <w:left w:w="0" w:type="dxa"/>
                    <w:right w:w="0" w:type="dxa"/>
                  </w:tcMar>
                  <w:vAlign w:val="center"/>
                </w:tcPr>
                <w:p w14:paraId="2400F3D6">
                  <w:pPr>
                    <w:pStyle w:val="15"/>
                    <w:spacing w:line="0" w:lineRule="atLeast"/>
                    <w:jc w:val="center"/>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t>符合</w:t>
                  </w:r>
                </w:p>
              </w:tc>
            </w:tr>
            <w:tr w14:paraId="6CA3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jc w:val="center"/>
              </w:trPr>
              <w:tc>
                <w:tcPr>
                  <w:tcW w:w="192" w:type="pct"/>
                  <w:vMerge w:val="continue"/>
                  <w:noWrap w:val="0"/>
                  <w:tcMar>
                    <w:left w:w="0" w:type="dxa"/>
                    <w:right w:w="0" w:type="dxa"/>
                  </w:tcMar>
                  <w:vAlign w:val="center"/>
                </w:tcPr>
                <w:p w14:paraId="7E32B3E4">
                  <w:pPr>
                    <w:pStyle w:val="15"/>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5B5ED4E6">
                  <w:pPr>
                    <w:widowControl/>
                    <w:spacing w:line="300" w:lineRule="exac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p>
              </w:tc>
              <w:tc>
                <w:tcPr>
                  <w:tcW w:w="2440" w:type="pct"/>
                  <w:noWrap w:val="0"/>
                  <w:tcMar>
                    <w:left w:w="0" w:type="dxa"/>
                    <w:right w:w="0" w:type="dxa"/>
                  </w:tcMar>
                  <w:vAlign w:val="center"/>
                </w:tcPr>
                <w:p w14:paraId="092E84BF">
                  <w:pPr>
                    <w:widowControl/>
                    <w:numPr>
                      <w:ilvl w:val="0"/>
                      <w:numId w:val="0"/>
                    </w:numPr>
                    <w:spacing w:line="300" w:lineRule="exact"/>
                    <w:ind w:left="0" w:leftChars="0" w:firstLine="0" w:firstLineChars="0"/>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t>中小型传统制造企业集中的城市要制定涉气产业集群发展规划，严格项目审批，严防污染下乡。针对现有产业集群制定专项整治方案，依法淘汰关停一批、搬迁入园一批、就地改造一批、做优做强一批。各地要结合产业集群特点，因地制宜建设集中供热中心、集中喷涂中心、有机溶剂集中回收处置中心、活性炭集中再生中心</w:t>
                  </w:r>
                </w:p>
              </w:tc>
              <w:tc>
                <w:tcPr>
                  <w:tcW w:w="1271" w:type="pct"/>
                  <w:noWrap w:val="0"/>
                  <w:tcMar>
                    <w:left w:w="0" w:type="dxa"/>
                    <w:right w:w="0" w:type="dxa"/>
                  </w:tcMar>
                  <w:vAlign w:val="center"/>
                </w:tcPr>
                <w:p w14:paraId="25C82A0B">
                  <w:pPr>
                    <w:widowControl/>
                    <w:spacing w:line="300" w:lineRule="exact"/>
                    <w:jc w:val="center"/>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项目</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不涉及</w:t>
                  </w:r>
                </w:p>
              </w:tc>
              <w:tc>
                <w:tcPr>
                  <w:tcW w:w="324" w:type="pct"/>
                  <w:noWrap w:val="0"/>
                  <w:tcMar>
                    <w:left w:w="0" w:type="dxa"/>
                    <w:right w:w="0" w:type="dxa"/>
                  </w:tcMar>
                  <w:vAlign w:val="center"/>
                </w:tcPr>
                <w:p w14:paraId="6F6439C1">
                  <w:pPr>
                    <w:pStyle w:val="15"/>
                    <w:spacing w:line="0" w:lineRule="atLeast"/>
                    <w:jc w:val="center"/>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t>符合</w:t>
                  </w:r>
                </w:p>
              </w:tc>
            </w:tr>
            <w:tr w14:paraId="59E9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jc w:val="center"/>
              </w:trPr>
              <w:tc>
                <w:tcPr>
                  <w:tcW w:w="192" w:type="pct"/>
                  <w:vMerge w:val="continue"/>
                  <w:noWrap w:val="0"/>
                  <w:tcMar>
                    <w:left w:w="0" w:type="dxa"/>
                    <w:right w:w="0" w:type="dxa"/>
                  </w:tcMar>
                  <w:vAlign w:val="center"/>
                </w:tcPr>
                <w:p w14:paraId="1AEA5134">
                  <w:pPr>
                    <w:pStyle w:val="15"/>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12EC5E99">
                  <w:pPr>
                    <w:widowControl/>
                    <w:spacing w:line="300" w:lineRule="exac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p>
              </w:tc>
              <w:tc>
                <w:tcPr>
                  <w:tcW w:w="2440" w:type="pct"/>
                  <w:noWrap w:val="0"/>
                  <w:tcMar>
                    <w:left w:w="0" w:type="dxa"/>
                    <w:right w:w="0" w:type="dxa"/>
                  </w:tcMar>
                  <w:vAlign w:val="center"/>
                </w:tcPr>
                <w:p w14:paraId="134F6B1F">
                  <w:pPr>
                    <w:widowControl/>
                    <w:numPr>
                      <w:ilvl w:val="0"/>
                      <w:numId w:val="0"/>
                    </w:numPr>
                    <w:spacing w:line="300" w:lineRule="exact"/>
                    <w:ind w:left="0" w:leftChars="0" w:firstLine="0" w:firstLineChars="0"/>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t>严格控制生产和使用高VOCs含量涂料、油墨、胶粘剂、清洗剂等建设项目，提高低（无）VOCs含量产品比重。实施源头替代工程，加大工业涂装、包装印刷和电子行业低（无）VOCs含量原辅材料替代力度。室外构筑物防护和城市道路交通标志推广使用低（无）VOCs含量涂料。在生产、销售、进口、使用等环节严格执行VOCs含量限值标准</w:t>
                  </w:r>
                  <w:r>
                    <w:rPr>
                      <w:rFonts w:hint="default" w:ascii="Times New Roman" w:hAnsi="Times New Roman" w:cs="Times New Roman"/>
                      <w:bCs/>
                      <w:color w:val="000000" w:themeColor="text1"/>
                      <w:spacing w:val="0"/>
                      <w:sz w:val="21"/>
                      <w:szCs w:val="21"/>
                      <w:lang w:val="en-US" w:eastAsia="zh-CN"/>
                      <w14:textFill>
                        <w14:solidFill>
                          <w14:schemeClr w14:val="tx1"/>
                        </w14:solidFill>
                      </w14:textFill>
                    </w:rPr>
                    <w:t>；</w:t>
                  </w:r>
                </w:p>
              </w:tc>
              <w:tc>
                <w:tcPr>
                  <w:tcW w:w="1271" w:type="pct"/>
                  <w:vMerge w:val="restart"/>
                  <w:noWrap w:val="0"/>
                  <w:tcMar>
                    <w:left w:w="0" w:type="dxa"/>
                    <w:right w:w="0" w:type="dxa"/>
                  </w:tcMar>
                  <w:vAlign w:val="center"/>
                </w:tcPr>
                <w:p w14:paraId="58E7D36A">
                  <w:pPr>
                    <w:widowControl/>
                    <w:spacing w:line="300" w:lineRule="exact"/>
                    <w:jc w:val="center"/>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eastAsia"/>
                      <w:b w:val="0"/>
                      <w:bCs w:val="0"/>
                      <w:color w:val="auto"/>
                      <w:szCs w:val="21"/>
                      <w:lang w:val="en-US" w:eastAsia="zh-CN"/>
                    </w:rPr>
                    <w:t>项目挤出工序产生的废气采用喷淋塔+干式过滤+活性炭吸附脱附+催化燃烧处理后通过15m排气筒排放</w:t>
                  </w:r>
                </w:p>
              </w:tc>
              <w:tc>
                <w:tcPr>
                  <w:tcW w:w="324" w:type="pct"/>
                  <w:vMerge w:val="restart"/>
                  <w:noWrap w:val="0"/>
                  <w:tcMar>
                    <w:left w:w="0" w:type="dxa"/>
                    <w:right w:w="0" w:type="dxa"/>
                  </w:tcMar>
                  <w:vAlign w:val="center"/>
                </w:tcPr>
                <w:p w14:paraId="2F144231">
                  <w:pPr>
                    <w:pStyle w:val="15"/>
                    <w:spacing w:line="0" w:lineRule="atLeast"/>
                    <w:jc w:val="center"/>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t>符合</w:t>
                  </w:r>
                </w:p>
              </w:tc>
            </w:tr>
            <w:tr w14:paraId="3093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192" w:type="pct"/>
                  <w:vMerge w:val="continue"/>
                  <w:noWrap w:val="0"/>
                  <w:tcMar>
                    <w:left w:w="0" w:type="dxa"/>
                    <w:right w:w="0" w:type="dxa"/>
                  </w:tcMar>
                  <w:vAlign w:val="center"/>
                </w:tcPr>
                <w:p w14:paraId="742964DD">
                  <w:pPr>
                    <w:pStyle w:val="15"/>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4B12BA57">
                  <w:pPr>
                    <w:widowControl/>
                    <w:spacing w:line="300" w:lineRule="exac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p>
              </w:tc>
              <w:tc>
                <w:tcPr>
                  <w:tcW w:w="2440" w:type="pct"/>
                  <w:noWrap w:val="0"/>
                  <w:tcMar>
                    <w:left w:w="0" w:type="dxa"/>
                    <w:right w:w="0" w:type="dxa"/>
                  </w:tcMar>
                  <w:vAlign w:val="center"/>
                </w:tcPr>
                <w:p w14:paraId="506869DE">
                  <w:pPr>
                    <w:widowControl/>
                    <w:numPr>
                      <w:ilvl w:val="0"/>
                      <w:numId w:val="0"/>
                    </w:numPr>
                    <w:spacing w:line="300" w:lineRule="exact"/>
                    <w:ind w:left="0" w:leftChars="0" w:firstLine="0" w:firstLineChars="0"/>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t>加大政策支持力度，在低（无）VOCs含量原辅材料生产和使用、VOCs污染治理、超低排放、环境和大气成分监测等领域支持培育一批龙头企业。多措并举治理环保领域低价低质中标乱象，营造公平竞争环境，推动产业健康有序发展</w:t>
                  </w:r>
                </w:p>
              </w:tc>
              <w:tc>
                <w:tcPr>
                  <w:tcW w:w="1271" w:type="pct"/>
                  <w:vMerge w:val="continue"/>
                  <w:noWrap w:val="0"/>
                  <w:tcMar>
                    <w:left w:w="0" w:type="dxa"/>
                    <w:right w:w="0" w:type="dxa"/>
                  </w:tcMar>
                  <w:vAlign w:val="center"/>
                </w:tcPr>
                <w:p w14:paraId="46528A71">
                  <w:pPr>
                    <w:widowControl/>
                    <w:spacing w:line="300" w:lineRule="exact"/>
                    <w:jc w:val="both"/>
                    <w:rPr>
                      <w:rFonts w:hint="default" w:ascii="Times New Roman" w:hAnsi="Times New Roman" w:cs="Times New Roman"/>
                      <w:color w:val="000000" w:themeColor="text1"/>
                      <w:sz w:val="21"/>
                      <w:szCs w:val="21"/>
                      <w:highlight w:val="none"/>
                      <w:lang w:eastAsia="zh-CN"/>
                      <w14:textFill>
                        <w14:solidFill>
                          <w14:schemeClr w14:val="tx1"/>
                        </w14:solidFill>
                      </w14:textFill>
                    </w:rPr>
                  </w:pPr>
                </w:p>
              </w:tc>
              <w:tc>
                <w:tcPr>
                  <w:tcW w:w="324" w:type="pct"/>
                  <w:vMerge w:val="continue"/>
                  <w:noWrap w:val="0"/>
                  <w:tcMar>
                    <w:left w:w="0" w:type="dxa"/>
                    <w:right w:w="0" w:type="dxa"/>
                  </w:tcMar>
                  <w:vAlign w:val="center"/>
                </w:tcPr>
                <w:p w14:paraId="161F8070">
                  <w:pPr>
                    <w:pStyle w:val="15"/>
                    <w:spacing w:line="0" w:lineRule="atLeast"/>
                    <w:jc w:val="center"/>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pPr>
                </w:p>
              </w:tc>
            </w:tr>
            <w:tr w14:paraId="0F18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192" w:type="pct"/>
                  <w:vMerge w:val="continue"/>
                  <w:noWrap w:val="0"/>
                  <w:tcMar>
                    <w:left w:w="0" w:type="dxa"/>
                    <w:right w:w="0" w:type="dxa"/>
                  </w:tcMar>
                  <w:vAlign w:val="center"/>
                </w:tcPr>
                <w:p w14:paraId="29B47ABF">
                  <w:pPr>
                    <w:pStyle w:val="15"/>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1F3A1078">
                  <w:pPr>
                    <w:widowControl/>
                    <w:spacing w:line="300" w:lineRule="exac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p>
              </w:tc>
              <w:tc>
                <w:tcPr>
                  <w:tcW w:w="2440" w:type="pct"/>
                  <w:noWrap w:val="0"/>
                  <w:tcMar>
                    <w:left w:w="0" w:type="dxa"/>
                    <w:right w:w="0" w:type="dxa"/>
                  </w:tcMar>
                  <w:vAlign w:val="center"/>
                </w:tcPr>
                <w:p w14:paraId="672FA769">
                  <w:pPr>
                    <w:widowControl/>
                    <w:numPr>
                      <w:ilvl w:val="0"/>
                      <w:numId w:val="0"/>
                    </w:numPr>
                    <w:spacing w:line="300" w:lineRule="exact"/>
                    <w:ind w:left="0" w:leftChars="0" w:firstLine="0" w:firstLineChars="0"/>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t>各地要将燃煤供热锅炉替代项目纳入城镇供热规划。县级及以上城市建成区原则上不再新建35蒸吨/小时及以下燃煤锅炉，重点区域原则上不再新建除集中供暖外的燃煤锅炉。加快热力管网建设，依托电厂、大型工业企业开展远距离供热示范，淘汰管网覆盖范围内的燃煤锅炉和散煤。到2025年，PM</w:t>
                  </w:r>
                  <w:r>
                    <w:rPr>
                      <w:rFonts w:hint="default" w:ascii="Times New Roman" w:hAnsi="Times New Roman" w:eastAsia="宋体" w:cs="Times New Roman"/>
                      <w:bCs/>
                      <w:color w:val="000000" w:themeColor="text1"/>
                      <w:spacing w:val="0"/>
                      <w:sz w:val="21"/>
                      <w:szCs w:val="21"/>
                      <w:vertAlign w:val="subscript"/>
                      <w:lang w:val="en-US" w:eastAsia="zh-CN"/>
                      <w14:textFill>
                        <w14:solidFill>
                          <w14:schemeClr w14:val="tx1"/>
                        </w14:solidFill>
                      </w14:textFill>
                    </w:rPr>
                    <w:t>2.5</w:t>
                  </w:r>
                  <w: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t>未达标城市基本淘汰10蒸吨/小时及以下燃煤锅炉；重点区域基本淘汰35蒸吨/小时及以下燃煤锅炉及茶水炉、经营性炉灶、储粮烘干设备、农产品加工等燃煤设施，充分发挥30万千瓦及以上热电联产电厂的供热能力，对其供热半径30公里范围内的燃煤锅炉和落后燃煤小热电机组（含自备电厂）进行关停或整合。有序推进以电代煤，积极稳妥推进以气代煤。重点区域不再新增燃料类煤气发生炉，新改扩建加热炉、热处理炉、干燥炉、熔化炉原则上采用清洁低碳能源；安全稳妥推进使用高污染燃料的工业炉窑改用工业余热、电能、天然气等；燃料类煤气发生炉实行清洁能源替代，或因地制宜采取园区（集群）集中供气、分散使用方式；逐步淘汰固定床间歇式煤气发生炉</w:t>
                  </w:r>
                </w:p>
              </w:tc>
              <w:tc>
                <w:tcPr>
                  <w:tcW w:w="1271" w:type="pct"/>
                  <w:noWrap w:val="0"/>
                  <w:tcMar>
                    <w:left w:w="0" w:type="dxa"/>
                    <w:right w:w="0" w:type="dxa"/>
                  </w:tcMar>
                  <w:vAlign w:val="center"/>
                </w:tcPr>
                <w:p w14:paraId="08C02671">
                  <w:pPr>
                    <w:widowControl/>
                    <w:spacing w:line="300" w:lineRule="exact"/>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项目</w:t>
                  </w:r>
                  <w:r>
                    <w:rPr>
                      <w:rFonts w:hint="eastAsia" w:cs="Times New Roman"/>
                      <w:color w:val="000000" w:themeColor="text1"/>
                      <w:sz w:val="21"/>
                      <w:szCs w:val="21"/>
                      <w:highlight w:val="none"/>
                      <w:lang w:val="en-US" w:eastAsia="zh-CN"/>
                      <w14:textFill>
                        <w14:solidFill>
                          <w14:schemeClr w14:val="tx1"/>
                        </w14:solidFill>
                      </w14:textFill>
                    </w:rPr>
                    <w:t>不涉及锅炉，生产用热采用电加热</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，办公采暖及制冷均采用空调</w:t>
                  </w:r>
                </w:p>
              </w:tc>
              <w:tc>
                <w:tcPr>
                  <w:tcW w:w="324" w:type="pct"/>
                  <w:noWrap w:val="0"/>
                  <w:tcMar>
                    <w:left w:w="0" w:type="dxa"/>
                    <w:right w:w="0" w:type="dxa"/>
                  </w:tcMar>
                  <w:vAlign w:val="center"/>
                </w:tcPr>
                <w:p w14:paraId="463D8B08">
                  <w:pPr>
                    <w:pStyle w:val="15"/>
                    <w:spacing w:line="0" w:lineRule="atLeast"/>
                    <w:jc w:val="center"/>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t>符合</w:t>
                  </w:r>
                </w:p>
              </w:tc>
            </w:tr>
            <w:tr w14:paraId="0623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2" w:type="pct"/>
                  <w:noWrap w:val="0"/>
                  <w:tcMar>
                    <w:left w:w="0" w:type="dxa"/>
                    <w:right w:w="0" w:type="dxa"/>
                  </w:tcMar>
                  <w:vAlign w:val="center"/>
                </w:tcPr>
                <w:p w14:paraId="7FEB80C0">
                  <w:pPr>
                    <w:pStyle w:val="15"/>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default" w:ascii="Times New Roman" w:hAnsi="Times New Roman" w:cs="Times New Roman"/>
                      <w:bCs/>
                      <w:color w:val="000000" w:themeColor="text1"/>
                      <w:spacing w:val="0"/>
                      <w:sz w:val="21"/>
                      <w:szCs w:val="21"/>
                      <w:lang w:val="en-US" w:eastAsia="zh-CN"/>
                      <w14:textFill>
                        <w14:solidFill>
                          <w14:schemeClr w14:val="tx1"/>
                        </w14:solidFill>
                      </w14:textFill>
                    </w:rPr>
                    <w:t>2</w:t>
                  </w:r>
                </w:p>
              </w:tc>
              <w:tc>
                <w:tcPr>
                  <w:tcW w:w="770" w:type="pct"/>
                  <w:noWrap w:val="0"/>
                  <w:tcMar>
                    <w:left w:w="0" w:type="dxa"/>
                    <w:right w:w="0" w:type="dxa"/>
                  </w:tcMar>
                  <w:vAlign w:val="center"/>
                </w:tcPr>
                <w:p w14:paraId="0AA35778">
                  <w:pPr>
                    <w:widowControl/>
                    <w:spacing w:line="300" w:lineRule="exac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t>《</w:t>
                  </w:r>
                  <w:r>
                    <w:rPr>
                      <w:rFonts w:hint="default" w:ascii="Times New Roman" w:hAnsi="Times New Roman" w:cs="Times New Roman"/>
                      <w:bCs/>
                      <w:color w:val="000000" w:themeColor="text1"/>
                      <w:spacing w:val="0"/>
                      <w:sz w:val="21"/>
                      <w:szCs w:val="21"/>
                      <w:lang w:val="en-US" w:eastAsia="zh-CN"/>
                      <w14:textFill>
                        <w14:solidFill>
                          <w14:schemeClr w14:val="tx1"/>
                        </w14:solidFill>
                      </w14:textFill>
                    </w:rPr>
                    <w:t>“</w:t>
                  </w:r>
                  <w: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t>十四五</w:t>
                  </w:r>
                  <w:r>
                    <w:rPr>
                      <w:rFonts w:hint="default" w:ascii="Times New Roman" w:hAnsi="Times New Roman" w:cs="Times New Roman"/>
                      <w:bCs/>
                      <w:color w:val="000000" w:themeColor="text1"/>
                      <w:spacing w:val="0"/>
                      <w:sz w:val="21"/>
                      <w:szCs w:val="21"/>
                      <w:lang w:val="en-US" w:eastAsia="zh-CN"/>
                      <w14:textFill>
                        <w14:solidFill>
                          <w14:schemeClr w14:val="tx1"/>
                        </w14:solidFill>
                      </w14:textFill>
                    </w:rPr>
                    <w:t>”</w:t>
                  </w:r>
                  <w: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t>噪声污染防治行动计划》</w:t>
                  </w:r>
                </w:p>
              </w:tc>
              <w:tc>
                <w:tcPr>
                  <w:tcW w:w="2440" w:type="pct"/>
                  <w:noWrap w:val="0"/>
                  <w:tcMar>
                    <w:left w:w="0" w:type="dxa"/>
                    <w:right w:w="0" w:type="dxa"/>
                  </w:tcMar>
                  <w:vAlign w:val="center"/>
                </w:tcPr>
                <w:p w14:paraId="2A50EB2D">
                  <w:pPr>
                    <w:widowControl/>
                    <w:numPr>
                      <w:ilvl w:val="0"/>
                      <w:numId w:val="0"/>
                    </w:numPr>
                    <w:spacing w:line="300" w:lineRule="exact"/>
                    <w:ind w:left="0" w:leftChars="0" w:firstLine="0" w:firstLineChars="0"/>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t>树立工业噪声污染治理标杆。排放噪声的工业企业应切实采取减振降噪措施，加强厂区内固定设备、运输工具、货物装卸等噪声源管理，同时避免突发噪声扰民。鼓励企业采用先进治理技术，打造行业噪声污染治理示范典型。中央企业要主动承担社会责任，切实发挥模范带头和引领示范作用，创建一批行业标杆。加强工业园区管控。鼓励工业园区进行噪声污染分区管控，优化设备布局和物流运输路线，采用低噪声设备和运输工具。严控噪声污染严重的工业企业向乡村居住区域转移</w:t>
                  </w:r>
                </w:p>
              </w:tc>
              <w:tc>
                <w:tcPr>
                  <w:tcW w:w="1271" w:type="pct"/>
                  <w:noWrap w:val="0"/>
                  <w:tcMar>
                    <w:left w:w="0" w:type="dxa"/>
                    <w:right w:w="0" w:type="dxa"/>
                  </w:tcMar>
                  <w:vAlign w:val="center"/>
                </w:tcPr>
                <w:p w14:paraId="5FDE99FA">
                  <w:pPr>
                    <w:widowControl/>
                    <w:spacing w:line="300" w:lineRule="exact"/>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项目</w:t>
                  </w:r>
                  <w:r>
                    <w:rPr>
                      <w:rFonts w:hint="default" w:ascii="Times New Roman" w:hAnsi="Times New Roman" w:cs="Times New Roman"/>
                      <w:color w:val="000000" w:themeColor="text1"/>
                      <w:sz w:val="21"/>
                      <w:szCs w:val="21"/>
                      <w:highlight w:val="none"/>
                      <w:lang w:eastAsia="zh-CN"/>
                      <w14:textFill>
                        <w14:solidFill>
                          <w14:schemeClr w14:val="tx1"/>
                        </w14:solidFill>
                      </w14:textFill>
                    </w:rPr>
                    <w:t>通过采取基础减振，厂房</w:t>
                  </w:r>
                  <w:r>
                    <w:rPr>
                      <w:rFonts w:hint="eastAsia" w:cs="Times New Roman"/>
                      <w:color w:val="000000" w:themeColor="text1"/>
                      <w:sz w:val="21"/>
                      <w:szCs w:val="21"/>
                      <w:highlight w:val="none"/>
                      <w:lang w:val="en-US" w:eastAsia="zh-CN"/>
                      <w14:textFill>
                        <w14:solidFill>
                          <w14:schemeClr w14:val="tx1"/>
                        </w14:solidFill>
                      </w14:textFill>
                    </w:rPr>
                    <w:t>隔声</w:t>
                  </w:r>
                  <w:r>
                    <w:rPr>
                      <w:rFonts w:hint="default" w:ascii="Times New Roman" w:hAnsi="Times New Roman" w:cs="Times New Roman"/>
                      <w:color w:val="000000" w:themeColor="text1"/>
                      <w:sz w:val="21"/>
                      <w:szCs w:val="21"/>
                      <w:highlight w:val="none"/>
                      <w:lang w:eastAsia="zh-CN"/>
                      <w14:textFill>
                        <w14:solidFill>
                          <w14:schemeClr w14:val="tx1"/>
                        </w14:solidFill>
                      </w14:textFill>
                    </w:rPr>
                    <w:t>等措施</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降噪</w:t>
                  </w:r>
                </w:p>
              </w:tc>
              <w:tc>
                <w:tcPr>
                  <w:tcW w:w="324" w:type="pct"/>
                  <w:noWrap w:val="0"/>
                  <w:tcMar>
                    <w:left w:w="0" w:type="dxa"/>
                    <w:right w:w="0" w:type="dxa"/>
                  </w:tcMar>
                  <w:vAlign w:val="center"/>
                </w:tcPr>
                <w:p w14:paraId="3F02C579">
                  <w:pPr>
                    <w:pStyle w:val="15"/>
                    <w:spacing w:line="0" w:lineRule="atLeast"/>
                    <w:jc w:val="center"/>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t>符合</w:t>
                  </w:r>
                </w:p>
              </w:tc>
            </w:tr>
            <w:tr w14:paraId="6EF1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2" w:type="pct"/>
                  <w:vMerge w:val="restart"/>
                  <w:noWrap w:val="0"/>
                  <w:tcMar>
                    <w:left w:w="0" w:type="dxa"/>
                    <w:right w:w="0" w:type="dxa"/>
                  </w:tcMar>
                  <w:vAlign w:val="center"/>
                </w:tcPr>
                <w:p w14:paraId="7130DE0A">
                  <w:pPr>
                    <w:pStyle w:val="15"/>
                    <w:spacing w:line="0" w:lineRule="atLeast"/>
                    <w:jc w:val="center"/>
                    <w:rPr>
                      <w:rFonts w:hint="default" w:ascii="Times New Roman" w:hAnsi="Times New Roman"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3</w:t>
                  </w:r>
                </w:p>
              </w:tc>
              <w:tc>
                <w:tcPr>
                  <w:tcW w:w="770" w:type="pct"/>
                  <w:vMerge w:val="restart"/>
                  <w:noWrap w:val="0"/>
                  <w:tcMar>
                    <w:left w:w="0" w:type="dxa"/>
                    <w:right w:w="0" w:type="dxa"/>
                  </w:tcMar>
                  <w:vAlign w:val="center"/>
                </w:tcPr>
                <w:p w14:paraId="777B0725">
                  <w:pPr>
                    <w:widowControl/>
                    <w:spacing w:line="300" w:lineRule="exac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t>《挥发性有机物无组织排放控制标准》（GB37822-2019）</w:t>
                  </w:r>
                </w:p>
              </w:tc>
              <w:tc>
                <w:tcPr>
                  <w:tcW w:w="2440" w:type="pct"/>
                  <w:noWrap w:val="0"/>
                  <w:tcMar>
                    <w:left w:w="0" w:type="dxa"/>
                    <w:right w:w="0" w:type="dxa"/>
                  </w:tcMar>
                  <w:vAlign w:val="center"/>
                </w:tcPr>
                <w:p w14:paraId="3897A1B0">
                  <w:pPr>
                    <w:adjustRightInd w:val="0"/>
                    <w:snapToGrid w:val="0"/>
                    <w:spacing w:line="240" w:lineRule="exac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2"/>
                      <w:sz w:val="21"/>
                      <w:szCs w:val="21"/>
                      <w:lang w:val="en-US" w:eastAsia="zh-CN" w:bidi="ar-SA"/>
                      <w14:textFill>
                        <w14:solidFill>
                          <w14:schemeClr w14:val="tx1"/>
                        </w14:solidFill>
                      </w14:textFill>
                    </w:rPr>
                    <w:t>排气筒高度不低于15 m</w:t>
                  </w:r>
                  <w:r>
                    <w:rPr>
                      <w:rFonts w:hint="eastAsia" w:cs="Times New Roman"/>
                      <w:color w:val="000000" w:themeColor="text1"/>
                      <w:spacing w:val="0"/>
                      <w:kern w:val="2"/>
                      <w:sz w:val="21"/>
                      <w:szCs w:val="21"/>
                      <w:lang w:val="en-US" w:eastAsia="zh-CN" w:bidi="ar-SA"/>
                      <w14:textFill>
                        <w14:solidFill>
                          <w14:schemeClr w14:val="tx1"/>
                        </w14:solidFill>
                      </w14:textFill>
                    </w:rPr>
                    <w:t>（</w:t>
                  </w:r>
                  <w:r>
                    <w:rPr>
                      <w:rFonts w:hint="default" w:ascii="Times New Roman" w:hAnsi="Times New Roman" w:eastAsia="宋体" w:cs="Times New Roman"/>
                      <w:color w:val="000000" w:themeColor="text1"/>
                      <w:spacing w:val="0"/>
                      <w:kern w:val="2"/>
                      <w:sz w:val="21"/>
                      <w:szCs w:val="21"/>
                      <w:lang w:val="en-US" w:eastAsia="zh-CN" w:bidi="ar-SA"/>
                      <w14:textFill>
                        <w14:solidFill>
                          <w14:schemeClr w14:val="tx1"/>
                        </w14:solidFill>
                      </w14:textFill>
                    </w:rPr>
                    <w:t>因安全考虑或有特殊工艺要求的除外</w:t>
                  </w:r>
                  <w:r>
                    <w:rPr>
                      <w:rFonts w:hint="eastAsia" w:cs="Times New Roman"/>
                      <w:color w:val="000000" w:themeColor="text1"/>
                      <w:spacing w:val="0"/>
                      <w:kern w:val="2"/>
                      <w:sz w:val="21"/>
                      <w:szCs w:val="21"/>
                      <w:lang w:val="en-US" w:eastAsia="zh-CN" w:bidi="ar-SA"/>
                      <w14:textFill>
                        <w14:solidFill>
                          <w14:schemeClr w14:val="tx1"/>
                        </w14:solidFill>
                      </w14:textFill>
                    </w:rPr>
                    <w:t>）</w:t>
                  </w:r>
                  <w:r>
                    <w:rPr>
                      <w:rFonts w:hint="default" w:ascii="Times New Roman" w:hAnsi="Times New Roman" w:eastAsia="宋体" w:cs="Times New Roman"/>
                      <w:color w:val="000000" w:themeColor="text1"/>
                      <w:spacing w:val="0"/>
                      <w:kern w:val="2"/>
                      <w:sz w:val="21"/>
                      <w:szCs w:val="21"/>
                      <w:lang w:val="en-US" w:eastAsia="zh-CN" w:bidi="ar-SA"/>
                      <w14:textFill>
                        <w14:solidFill>
                          <w14:schemeClr w14:val="tx1"/>
                        </w14:solidFill>
                      </w14:textFill>
                    </w:rPr>
                    <w:t>，具体高度以及与周围建筑物的相对高度关系应根据环境影响评价文件确定</w:t>
                  </w:r>
                </w:p>
              </w:tc>
              <w:tc>
                <w:tcPr>
                  <w:tcW w:w="1271" w:type="pct"/>
                  <w:noWrap w:val="0"/>
                  <w:tcMar>
                    <w:left w:w="0" w:type="dxa"/>
                    <w:right w:w="0" w:type="dxa"/>
                  </w:tcMar>
                  <w:vAlign w:val="center"/>
                </w:tcPr>
                <w:p w14:paraId="1FA467D7">
                  <w:pPr>
                    <w:adjustRightInd w:val="0"/>
                    <w:snapToGrid w:val="0"/>
                    <w:spacing w:line="240" w:lineRule="exact"/>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auto"/>
                      <w:spacing w:val="0"/>
                      <w:kern w:val="2"/>
                      <w:sz w:val="21"/>
                      <w:szCs w:val="21"/>
                      <w:lang w:val="en-US" w:eastAsia="zh-CN" w:bidi="ar-SA"/>
                    </w:rPr>
                    <w:t>项目</w:t>
                  </w:r>
                  <w:r>
                    <w:rPr>
                      <w:rFonts w:hint="default" w:ascii="Times New Roman" w:hAnsi="Times New Roman" w:eastAsia="宋体" w:cs="Times New Roman"/>
                      <w:color w:val="auto"/>
                      <w:spacing w:val="0"/>
                      <w:kern w:val="2"/>
                      <w:sz w:val="21"/>
                      <w:szCs w:val="21"/>
                      <w:lang w:val="en-US" w:eastAsia="zh-CN" w:bidi="ar-SA"/>
                    </w:rPr>
                    <w:t>废气排气筒高度</w:t>
                  </w:r>
                  <w:r>
                    <w:rPr>
                      <w:rFonts w:hint="eastAsia" w:cs="Times New Roman"/>
                      <w:color w:val="auto"/>
                      <w:spacing w:val="0"/>
                      <w:kern w:val="2"/>
                      <w:sz w:val="21"/>
                      <w:szCs w:val="21"/>
                      <w:lang w:val="en-US" w:eastAsia="zh-CN" w:bidi="ar-SA"/>
                    </w:rPr>
                    <w:t>为15</w:t>
                  </w:r>
                  <w:r>
                    <w:rPr>
                      <w:rFonts w:hint="default" w:ascii="Times New Roman" w:hAnsi="Times New Roman" w:eastAsia="宋体" w:cs="Times New Roman"/>
                      <w:color w:val="auto"/>
                      <w:spacing w:val="0"/>
                      <w:kern w:val="2"/>
                      <w:sz w:val="21"/>
                      <w:szCs w:val="21"/>
                      <w:lang w:val="en-US" w:eastAsia="zh-CN" w:bidi="ar-SA"/>
                    </w:rPr>
                    <w:t>m</w:t>
                  </w:r>
                </w:p>
              </w:tc>
              <w:tc>
                <w:tcPr>
                  <w:tcW w:w="324" w:type="pct"/>
                  <w:noWrap w:val="0"/>
                  <w:tcMar>
                    <w:left w:w="0" w:type="dxa"/>
                    <w:right w:w="0" w:type="dxa"/>
                  </w:tcMar>
                  <w:vAlign w:val="center"/>
                </w:tcPr>
                <w:p w14:paraId="020F55F8">
                  <w:pPr>
                    <w:spacing w:line="0" w:lineRule="atLeast"/>
                    <w:jc w:val="center"/>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t>符合</w:t>
                  </w:r>
                </w:p>
              </w:tc>
            </w:tr>
            <w:tr w14:paraId="47DE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2" w:type="pct"/>
                  <w:vMerge w:val="continue"/>
                  <w:noWrap w:val="0"/>
                  <w:tcMar>
                    <w:left w:w="0" w:type="dxa"/>
                    <w:right w:w="0" w:type="dxa"/>
                  </w:tcMar>
                  <w:vAlign w:val="center"/>
                </w:tcPr>
                <w:p w14:paraId="0886E61A">
                  <w:pPr>
                    <w:pStyle w:val="15"/>
                    <w:spacing w:line="0" w:lineRule="atLeast"/>
                    <w:jc w:val="center"/>
                    <w:rPr>
                      <w:rFonts w:hint="default" w:ascii="Times New Roman" w:hAnsi="Times New Roman"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516AC185">
                  <w:pPr>
                    <w:widowControl/>
                    <w:spacing w:line="300" w:lineRule="exac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p>
              </w:tc>
              <w:tc>
                <w:tcPr>
                  <w:tcW w:w="2440" w:type="pct"/>
                  <w:noWrap w:val="0"/>
                  <w:tcMar>
                    <w:left w:w="0" w:type="dxa"/>
                    <w:right w:w="0" w:type="dxa"/>
                  </w:tcMar>
                  <w:vAlign w:val="center"/>
                </w:tcPr>
                <w:p w14:paraId="4301498E">
                  <w:pPr>
                    <w:adjustRightInd w:val="0"/>
                    <w:snapToGrid w:val="0"/>
                    <w:spacing w:line="240" w:lineRule="exac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2"/>
                      <w:sz w:val="21"/>
                      <w:szCs w:val="21"/>
                      <w:lang w:val="en-US" w:eastAsia="zh-CN" w:bidi="ar-SA"/>
                      <w14:textFill>
                        <w14:solidFill>
                          <w14:schemeClr w14:val="tx1"/>
                        </w14:solidFill>
                      </w14:textFill>
                    </w:rPr>
                    <w:t>VOCs质量占比大于等于10%的含VOCs产品，其使用过程应采用密闭设备或在密闭空间内操作，废气应排至VOCs废气收集处理系统；无法密闭的，应采取局部气体收集措施，废气应排至VOCs废气收集处理系统</w:t>
                  </w:r>
                </w:p>
              </w:tc>
              <w:tc>
                <w:tcPr>
                  <w:tcW w:w="1271" w:type="pct"/>
                  <w:noWrap w:val="0"/>
                  <w:tcMar>
                    <w:left w:w="0" w:type="dxa"/>
                    <w:right w:w="0" w:type="dxa"/>
                  </w:tcMar>
                  <w:vAlign w:val="center"/>
                </w:tcPr>
                <w:p w14:paraId="404D4852">
                  <w:pPr>
                    <w:adjustRightInd w:val="0"/>
                    <w:snapToGrid w:val="0"/>
                    <w:spacing w:line="240" w:lineRule="exact"/>
                    <w:jc w:val="center"/>
                    <w:rPr>
                      <w:rFonts w:hint="default" w:ascii="Times New Roman" w:hAnsi="Times New Roman" w:cs="Times New Roman"/>
                      <w:color w:val="auto"/>
                      <w:sz w:val="21"/>
                      <w:szCs w:val="21"/>
                      <w:highlight w:val="none"/>
                      <w:lang w:val="en-US" w:eastAsia="zh-CN"/>
                    </w:rPr>
                  </w:pPr>
                  <w:r>
                    <w:rPr>
                      <w:rFonts w:hint="eastAsia"/>
                      <w:b w:val="0"/>
                      <w:bCs w:val="0"/>
                      <w:color w:val="auto"/>
                      <w:szCs w:val="21"/>
                      <w:lang w:val="en-US" w:eastAsia="zh-CN"/>
                    </w:rPr>
                    <w:t>项目挤出机四周安装皮帘，上方设置集气罩，挤出工序产生的废气采用喷淋塔+干式过滤+活性炭吸附脱附+催化燃烧处理后通过15m排气筒排放</w:t>
                  </w:r>
                </w:p>
              </w:tc>
              <w:tc>
                <w:tcPr>
                  <w:tcW w:w="324" w:type="pct"/>
                  <w:noWrap w:val="0"/>
                  <w:tcMar>
                    <w:left w:w="0" w:type="dxa"/>
                    <w:right w:w="0" w:type="dxa"/>
                  </w:tcMar>
                  <w:vAlign w:val="center"/>
                </w:tcPr>
                <w:p w14:paraId="59AE2BB7">
                  <w:pPr>
                    <w:spacing w:line="0" w:lineRule="atLeast"/>
                    <w:jc w:val="center"/>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t>符合</w:t>
                  </w:r>
                </w:p>
              </w:tc>
            </w:tr>
            <w:tr w14:paraId="63FE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2" w:type="pct"/>
                  <w:noWrap w:val="0"/>
                  <w:tcMar>
                    <w:left w:w="0" w:type="dxa"/>
                    <w:right w:w="0" w:type="dxa"/>
                  </w:tcMar>
                  <w:vAlign w:val="center"/>
                </w:tcPr>
                <w:p w14:paraId="2F56701B">
                  <w:pPr>
                    <w:pStyle w:val="15"/>
                    <w:spacing w:line="0" w:lineRule="atLeast"/>
                    <w:jc w:val="center"/>
                    <w:rPr>
                      <w:rFonts w:hint="default" w:ascii="Times New Roman" w:hAnsi="Times New Roman"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4</w:t>
                  </w:r>
                </w:p>
              </w:tc>
              <w:tc>
                <w:tcPr>
                  <w:tcW w:w="770" w:type="pct"/>
                  <w:noWrap w:val="0"/>
                  <w:tcMar>
                    <w:left w:w="0" w:type="dxa"/>
                    <w:right w:w="0" w:type="dxa"/>
                  </w:tcMar>
                  <w:vAlign w:val="center"/>
                </w:tcPr>
                <w:p w14:paraId="7BF2CDDA">
                  <w:pPr>
                    <w:spacing w:line="300" w:lineRule="exac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重点行业挥发性有机物综合治理方案（环大气[2019]53号文）</w:t>
                  </w:r>
                </w:p>
              </w:tc>
              <w:tc>
                <w:tcPr>
                  <w:tcW w:w="2440" w:type="pct"/>
                  <w:noWrap w:val="0"/>
                  <w:tcMar>
                    <w:left w:w="0" w:type="dxa"/>
                    <w:right w:w="0" w:type="dxa"/>
                  </w:tcMar>
                  <w:vAlign w:val="center"/>
                </w:tcPr>
                <w:p w14:paraId="6FE2C758">
                  <w:pPr>
                    <w:pStyle w:val="23"/>
                    <w:spacing w:before="0" w:beforeAutospacing="0" w:after="0" w:afterAutospacing="0"/>
                    <w:jc w:val="center"/>
                    <w:rPr>
                      <w:rFonts w:hint="default" w:ascii="Times New Roman" w:hAnsi="Times New Roman" w:eastAsia="宋体" w:cs="Times New Roman"/>
                      <w:color w:val="0000FF"/>
                      <w:spacing w:val="0"/>
                      <w:kern w:val="2"/>
                      <w:sz w:val="21"/>
                      <w:szCs w:val="21"/>
                      <w:lang w:val="en-US" w:eastAsia="zh-CN" w:bidi="ar-SA"/>
                    </w:rPr>
                  </w:pPr>
                  <w:r>
                    <w:rPr>
                      <w:rFonts w:hint="default" w:ascii="Times New Roman" w:hAnsi="Times New Roman" w:eastAsia="宋体" w:cs="Times New Roman"/>
                      <w:color w:val="000000" w:themeColor="text1"/>
                      <w:spacing w:val="0"/>
                      <w:kern w:val="0"/>
                      <w:sz w:val="21"/>
                      <w:szCs w:val="21"/>
                      <w:lang w:val="en-US" w:eastAsia="zh-CN" w:bidi="ar-SA"/>
                      <w14:textFill>
                        <w14:solidFill>
                          <w14:schemeClr w14:val="tx1"/>
                        </w14:solidFill>
                      </w14:textFill>
                    </w:rPr>
                    <w:t>调配、涂装、印刷、粘结、印染、干燥、清洗等过程中使用VOCs含量大于等于10%的产品，应采用密闭设备，或在密闭空间内操作，或采取局部气体收集措施；废气应排至VOCs废气收集处理系统；有机聚合物（合成树脂、合成橡胶、合成纤维等）的混合/混炼、塑炼/塑化/熔化、加工成型（挤出、注射、压制、压延、发泡、纺丝等）等制品生产过程，应采用密闭设备，或在密闭空间内操作，或采取局部气体收集措施；废气应排至VOCs废气收集处理系统</w:t>
                  </w:r>
                </w:p>
              </w:tc>
              <w:tc>
                <w:tcPr>
                  <w:tcW w:w="1271" w:type="pct"/>
                  <w:noWrap w:val="0"/>
                  <w:tcMar>
                    <w:left w:w="0" w:type="dxa"/>
                    <w:right w:w="0" w:type="dxa"/>
                  </w:tcMar>
                  <w:vAlign w:val="center"/>
                </w:tcPr>
                <w:p w14:paraId="52AFFC5C">
                  <w:pPr>
                    <w:adjustRightInd w:val="0"/>
                    <w:snapToGrid w:val="0"/>
                    <w:spacing w:line="240" w:lineRule="exact"/>
                    <w:jc w:val="center"/>
                    <w:rPr>
                      <w:rFonts w:hint="eastAsia" w:cs="Times New Roman"/>
                      <w:color w:val="auto"/>
                      <w:spacing w:val="0"/>
                      <w:kern w:val="2"/>
                      <w:sz w:val="21"/>
                      <w:szCs w:val="21"/>
                      <w:lang w:val="en-US" w:eastAsia="zh-CN" w:bidi="ar-SA"/>
                    </w:rPr>
                  </w:pPr>
                  <w:r>
                    <w:rPr>
                      <w:rFonts w:hint="eastAsia"/>
                      <w:b w:val="0"/>
                      <w:bCs w:val="0"/>
                      <w:color w:val="auto"/>
                      <w:szCs w:val="21"/>
                      <w:lang w:val="en-US" w:eastAsia="zh-CN"/>
                    </w:rPr>
                    <w:t>项目挤出机四周安装皮帘，上方设置集气罩，挤出工序产生的废气采用喷淋塔+干式过滤+活性炭吸附脱附+催化燃烧处理后通过15m排气筒排放</w:t>
                  </w:r>
                </w:p>
              </w:tc>
              <w:tc>
                <w:tcPr>
                  <w:tcW w:w="324" w:type="pct"/>
                  <w:noWrap w:val="0"/>
                  <w:tcMar>
                    <w:left w:w="0" w:type="dxa"/>
                    <w:right w:w="0" w:type="dxa"/>
                  </w:tcMar>
                  <w:vAlign w:val="center"/>
                </w:tcPr>
                <w:p w14:paraId="56D699DF">
                  <w:pPr>
                    <w:spacing w:line="0" w:lineRule="atLeast"/>
                    <w:jc w:val="center"/>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t>符合</w:t>
                  </w:r>
                </w:p>
              </w:tc>
            </w:tr>
            <w:tr w14:paraId="099C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2" w:type="pct"/>
                  <w:vMerge w:val="restart"/>
                  <w:noWrap w:val="0"/>
                  <w:tcMar>
                    <w:left w:w="0" w:type="dxa"/>
                    <w:right w:w="0" w:type="dxa"/>
                  </w:tcMar>
                  <w:vAlign w:val="center"/>
                </w:tcPr>
                <w:p w14:paraId="55AD3F10">
                  <w:pPr>
                    <w:pStyle w:val="15"/>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5</w:t>
                  </w:r>
                </w:p>
              </w:tc>
              <w:tc>
                <w:tcPr>
                  <w:tcW w:w="770" w:type="pct"/>
                  <w:vMerge w:val="restart"/>
                  <w:noWrap w:val="0"/>
                  <w:tcMar>
                    <w:left w:w="0" w:type="dxa"/>
                    <w:right w:w="0" w:type="dxa"/>
                  </w:tcMar>
                  <w:vAlign w:val="center"/>
                </w:tcPr>
                <w:p w14:paraId="73501BA7">
                  <w:pPr>
                    <w:widowControl/>
                    <w:spacing w:line="300" w:lineRule="exact"/>
                    <w:jc w:val="center"/>
                    <w:rPr>
                      <w:rFonts w:hint="default" w:ascii="Times New Roman" w:hAnsi="Times New Roman" w:eastAsia="宋体" w:cs="Times New Roman"/>
                      <w:color w:val="000000" w:themeColor="text1"/>
                      <w:spacing w:val="0"/>
                      <w:sz w:val="21"/>
                      <w:szCs w:val="21"/>
                      <w:lang w:val="zh-TW"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lang w:val="zh-TW" w:eastAsia="zh-CN"/>
                      <w14:textFill>
                        <w14:solidFill>
                          <w14:schemeClr w14:val="tx1"/>
                        </w14:solidFill>
                      </w14:textFill>
                    </w:rPr>
                    <w:t>《河北省大气污染防治条例》（2021年修正）</w:t>
                  </w:r>
                </w:p>
              </w:tc>
              <w:tc>
                <w:tcPr>
                  <w:tcW w:w="2440" w:type="pct"/>
                  <w:noWrap w:val="0"/>
                  <w:tcMar>
                    <w:left w:w="0" w:type="dxa"/>
                    <w:right w:w="0" w:type="dxa"/>
                  </w:tcMar>
                  <w:vAlign w:val="center"/>
                </w:tcPr>
                <w:p w14:paraId="71DBF889">
                  <w:pPr>
                    <w:adjustRightInd w:val="0"/>
                    <w:snapToGrid w:val="0"/>
                    <w:spacing w:line="240" w:lineRule="exact"/>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县级以上人民政府应当统筹考虑区域环境资源承载能力，合理确定重点产业和能源结构，制定和推行有利于大气污染防治的经济政策，促进污染企业进行技术改造与产业升级。县级以上人民政府应当优化产业布局，逐步将钢铁、水泥、平板玻璃、化学合成制药、有色金属冶炼、化工等重污染企业搬出城市建成区和生态红线控制区。在完成落实技术改造措施和达到排放污染防治标准要求后，迁入工业园区</w:t>
                  </w:r>
                </w:p>
              </w:tc>
              <w:tc>
                <w:tcPr>
                  <w:tcW w:w="1271" w:type="pct"/>
                  <w:noWrap w:val="0"/>
                  <w:tcMar>
                    <w:left w:w="0" w:type="dxa"/>
                    <w:right w:w="0" w:type="dxa"/>
                  </w:tcMar>
                  <w:vAlign w:val="center"/>
                </w:tcPr>
                <w:p w14:paraId="72BC3260">
                  <w:pPr>
                    <w:adjustRightInd w:val="0"/>
                    <w:snapToGrid w:val="0"/>
                    <w:spacing w:line="240" w:lineRule="exact"/>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b w:val="0"/>
                      <w:bCs w:val="0"/>
                      <w:color w:val="auto"/>
                      <w:kern w:val="0"/>
                      <w:szCs w:val="21"/>
                      <w:lang w:val="en-US" w:eastAsia="zh-CN"/>
                    </w:rPr>
                    <w:t>项目属于再生资源循环经济产业（塑料循环经济）</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，位于</w:t>
                  </w:r>
                  <w:r>
                    <w:rPr>
                      <w:rFonts w:hint="eastAsia" w:cs="Times New Roman"/>
                      <w:bCs/>
                      <w:color w:val="auto"/>
                      <w:sz w:val="21"/>
                      <w:szCs w:val="21"/>
                      <w:vertAlign w:val="baseline"/>
                      <w:lang w:val="en-US" w:eastAsia="zh-CN"/>
                    </w:rPr>
                    <w:t>魏县经济开发区-再生资源循环利用产业园</w:t>
                  </w:r>
                  <w:r>
                    <w:rPr>
                      <w:rFonts w:hint="eastAsia" w:cs="Times New Roman"/>
                      <w:color w:val="000000" w:themeColor="text1"/>
                      <w:sz w:val="21"/>
                      <w:szCs w:val="21"/>
                      <w:highlight w:val="none"/>
                      <w:lang w:val="en-US" w:eastAsia="zh-CN"/>
                      <w14:textFill>
                        <w14:solidFill>
                          <w14:schemeClr w14:val="tx1"/>
                        </w14:solidFill>
                      </w14:textFill>
                    </w:rPr>
                    <w:t>，不属于重污染企业</w:t>
                  </w:r>
                </w:p>
              </w:tc>
              <w:tc>
                <w:tcPr>
                  <w:tcW w:w="324" w:type="pct"/>
                  <w:noWrap w:val="0"/>
                  <w:tcMar>
                    <w:left w:w="0" w:type="dxa"/>
                    <w:right w:w="0" w:type="dxa"/>
                  </w:tcMar>
                  <w:vAlign w:val="center"/>
                </w:tcPr>
                <w:p w14:paraId="4E1B918A">
                  <w:pPr>
                    <w:pStyle w:val="15"/>
                    <w:spacing w:line="0" w:lineRule="atLeast"/>
                    <w:jc w:val="center"/>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t>符合</w:t>
                  </w:r>
                </w:p>
              </w:tc>
            </w:tr>
            <w:tr w14:paraId="0888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2" w:type="pct"/>
                  <w:vMerge w:val="continue"/>
                  <w:noWrap w:val="0"/>
                  <w:tcMar>
                    <w:left w:w="0" w:type="dxa"/>
                    <w:right w:w="0" w:type="dxa"/>
                  </w:tcMar>
                  <w:vAlign w:val="center"/>
                </w:tcPr>
                <w:p w14:paraId="07B6FD65">
                  <w:pPr>
                    <w:pStyle w:val="15"/>
                    <w:spacing w:line="0" w:lineRule="atLeast"/>
                    <w:jc w:val="center"/>
                    <w:rPr>
                      <w:rFonts w:hint="default" w:ascii="Times New Roman" w:hAnsi="Times New Roman"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2C4CA164">
                  <w:pPr>
                    <w:widowControl/>
                    <w:spacing w:line="300" w:lineRule="exact"/>
                    <w:jc w:val="center"/>
                    <w:rPr>
                      <w:rFonts w:hint="default" w:ascii="Times New Roman" w:hAnsi="Times New Roman" w:eastAsia="宋体" w:cs="Times New Roman"/>
                      <w:color w:val="000000" w:themeColor="text1"/>
                      <w:spacing w:val="0"/>
                      <w:sz w:val="21"/>
                      <w:szCs w:val="21"/>
                      <w:lang w:val="zh-TW" w:eastAsia="zh-CN"/>
                      <w14:textFill>
                        <w14:solidFill>
                          <w14:schemeClr w14:val="tx1"/>
                        </w14:solidFill>
                      </w14:textFill>
                    </w:rPr>
                  </w:pPr>
                </w:p>
              </w:tc>
              <w:tc>
                <w:tcPr>
                  <w:tcW w:w="2440" w:type="pct"/>
                  <w:noWrap w:val="0"/>
                  <w:tcMar>
                    <w:left w:w="0" w:type="dxa"/>
                    <w:right w:w="0" w:type="dxa"/>
                  </w:tcMar>
                  <w:vAlign w:val="center"/>
                </w:tcPr>
                <w:p w14:paraId="7C7AE0EE">
                  <w:pPr>
                    <w:adjustRightInd w:val="0"/>
                    <w:snapToGrid w:val="0"/>
                    <w:spacing w:line="240" w:lineRule="exact"/>
                    <w:jc w:val="cente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向大气排放污染物的重点排污单位，应当按照国家和本省有关规定安装使用大气污染物排放自动监测设备，并与环境保护主管部门的监控设备联网，保证监测设备正常运行并依法公开排放信息</w:t>
                  </w:r>
                  <w:r>
                    <w:rPr>
                      <w:rFonts w:hint="default" w:ascii="Times New Roman" w:hAnsi="Times New Roman" w:cs="Times New Roman"/>
                      <w:color w:val="000000" w:themeColor="text1"/>
                      <w:spacing w:val="0"/>
                      <w:sz w:val="21"/>
                      <w:szCs w:val="21"/>
                      <w:lang w:eastAsia="zh-CN"/>
                      <w14:textFill>
                        <w14:solidFill>
                          <w14:schemeClr w14:val="tx1"/>
                        </w14:solidFill>
                      </w14:textFill>
                    </w:rPr>
                    <w:t>。重点排污单位不得破坏、损毁或者擅自拆除、闲置大气污染物排放自动监测设备，不得篡改、伪造监测数据</w:t>
                  </w:r>
                </w:p>
              </w:tc>
              <w:tc>
                <w:tcPr>
                  <w:tcW w:w="1271" w:type="pct"/>
                  <w:noWrap w:val="0"/>
                  <w:tcMar>
                    <w:left w:w="0" w:type="dxa"/>
                    <w:right w:w="0" w:type="dxa"/>
                  </w:tcMar>
                  <w:vAlign w:val="center"/>
                </w:tcPr>
                <w:p w14:paraId="5C1C7E75">
                  <w:pPr>
                    <w:adjustRightInd w:val="0"/>
                    <w:snapToGrid w:val="0"/>
                    <w:spacing w:line="240" w:lineRule="exact"/>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项目不涉及</w:t>
                  </w:r>
                </w:p>
              </w:tc>
              <w:tc>
                <w:tcPr>
                  <w:tcW w:w="324" w:type="pct"/>
                  <w:noWrap w:val="0"/>
                  <w:tcMar>
                    <w:left w:w="0" w:type="dxa"/>
                    <w:right w:w="0" w:type="dxa"/>
                  </w:tcMar>
                  <w:vAlign w:val="center"/>
                </w:tcPr>
                <w:p w14:paraId="42334750">
                  <w:pPr>
                    <w:spacing w:line="0" w:lineRule="atLeast"/>
                    <w:jc w:val="center"/>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t>符合</w:t>
                  </w:r>
                </w:p>
              </w:tc>
            </w:tr>
            <w:tr w14:paraId="77B7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2" w:type="pct"/>
                  <w:vMerge w:val="continue"/>
                  <w:noWrap w:val="0"/>
                  <w:tcMar>
                    <w:left w:w="0" w:type="dxa"/>
                    <w:right w:w="0" w:type="dxa"/>
                  </w:tcMar>
                  <w:vAlign w:val="center"/>
                </w:tcPr>
                <w:p w14:paraId="553DD28A">
                  <w:pPr>
                    <w:pStyle w:val="15"/>
                    <w:spacing w:line="0" w:lineRule="atLeast"/>
                    <w:jc w:val="center"/>
                    <w:rPr>
                      <w:rFonts w:hint="default" w:ascii="Times New Roman" w:hAnsi="Times New Roman"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50DF1AF7">
                  <w:pPr>
                    <w:widowControl/>
                    <w:spacing w:line="300" w:lineRule="exact"/>
                    <w:jc w:val="center"/>
                    <w:rPr>
                      <w:rFonts w:hint="default" w:ascii="Times New Roman" w:hAnsi="Times New Roman" w:eastAsia="宋体" w:cs="Times New Roman"/>
                      <w:color w:val="000000" w:themeColor="text1"/>
                      <w:spacing w:val="0"/>
                      <w:sz w:val="21"/>
                      <w:szCs w:val="21"/>
                      <w:lang w:val="zh-TW" w:eastAsia="zh-CN"/>
                      <w14:textFill>
                        <w14:solidFill>
                          <w14:schemeClr w14:val="tx1"/>
                        </w14:solidFill>
                      </w14:textFill>
                    </w:rPr>
                  </w:pPr>
                </w:p>
              </w:tc>
              <w:tc>
                <w:tcPr>
                  <w:tcW w:w="2440" w:type="pct"/>
                  <w:noWrap w:val="0"/>
                  <w:tcMar>
                    <w:left w:w="0" w:type="dxa"/>
                    <w:right w:w="0" w:type="dxa"/>
                  </w:tcMar>
                  <w:vAlign w:val="center"/>
                </w:tcPr>
                <w:p w14:paraId="2E15FA26">
                  <w:pPr>
                    <w:adjustRightInd w:val="0"/>
                    <w:snapToGrid w:val="0"/>
                    <w:spacing w:line="240" w:lineRule="exact"/>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县级以上人民政府应当限期淘汰不符合国家规定规模的燃煤锅炉，加快改造燃煤锅炉和燃煤工业窑炉，推广使用清洁燃料。禁止燃煤锅炉、燃煤工业窑炉、单位使用或者经营性的炉灶等设施排放明显可见黑烟</w:t>
                  </w:r>
                </w:p>
              </w:tc>
              <w:tc>
                <w:tcPr>
                  <w:tcW w:w="1271" w:type="pct"/>
                  <w:noWrap w:val="0"/>
                  <w:tcMar>
                    <w:left w:w="0" w:type="dxa"/>
                    <w:right w:w="0" w:type="dxa"/>
                  </w:tcMar>
                  <w:vAlign w:val="center"/>
                </w:tcPr>
                <w:p w14:paraId="6BF5702D">
                  <w:pPr>
                    <w:adjustRightInd w:val="0"/>
                    <w:snapToGrid w:val="0"/>
                    <w:spacing w:line="240" w:lineRule="exact"/>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项目</w:t>
                  </w:r>
                  <w:r>
                    <w:rPr>
                      <w:rFonts w:hint="eastAsia" w:cs="Times New Roman"/>
                      <w:color w:val="000000" w:themeColor="text1"/>
                      <w:sz w:val="21"/>
                      <w:szCs w:val="21"/>
                      <w:highlight w:val="none"/>
                      <w:lang w:val="en-US" w:eastAsia="zh-CN"/>
                      <w14:textFill>
                        <w14:solidFill>
                          <w14:schemeClr w14:val="tx1"/>
                        </w14:solidFill>
                      </w14:textFill>
                    </w:rPr>
                    <w:t>不涉及</w:t>
                  </w:r>
                </w:p>
              </w:tc>
              <w:tc>
                <w:tcPr>
                  <w:tcW w:w="324" w:type="pct"/>
                  <w:noWrap w:val="0"/>
                  <w:tcMar>
                    <w:left w:w="0" w:type="dxa"/>
                    <w:right w:w="0" w:type="dxa"/>
                  </w:tcMar>
                  <w:vAlign w:val="center"/>
                </w:tcPr>
                <w:p w14:paraId="3B47F01B">
                  <w:pPr>
                    <w:spacing w:line="0" w:lineRule="atLeast"/>
                    <w:jc w:val="center"/>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t>符合</w:t>
                  </w:r>
                </w:p>
              </w:tc>
            </w:tr>
            <w:tr w14:paraId="310A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2" w:type="pct"/>
                  <w:vMerge w:val="continue"/>
                  <w:noWrap w:val="0"/>
                  <w:tcMar>
                    <w:left w:w="0" w:type="dxa"/>
                    <w:right w:w="0" w:type="dxa"/>
                  </w:tcMar>
                  <w:vAlign w:val="center"/>
                </w:tcPr>
                <w:p w14:paraId="1BE80C1B">
                  <w:pPr>
                    <w:pStyle w:val="15"/>
                    <w:spacing w:line="0" w:lineRule="atLeast"/>
                    <w:jc w:val="center"/>
                    <w:rPr>
                      <w:rFonts w:hint="default" w:ascii="Times New Roman" w:hAnsi="Times New Roman"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6AA229C8">
                  <w:pPr>
                    <w:widowControl/>
                    <w:spacing w:line="300" w:lineRule="exact"/>
                    <w:jc w:val="center"/>
                    <w:rPr>
                      <w:rFonts w:hint="default" w:ascii="Times New Roman" w:hAnsi="Times New Roman" w:eastAsia="宋体" w:cs="Times New Roman"/>
                      <w:color w:val="000000" w:themeColor="text1"/>
                      <w:spacing w:val="0"/>
                      <w:sz w:val="21"/>
                      <w:szCs w:val="21"/>
                      <w:lang w:val="zh-TW" w:eastAsia="zh-CN"/>
                      <w14:textFill>
                        <w14:solidFill>
                          <w14:schemeClr w14:val="tx1"/>
                        </w14:solidFill>
                      </w14:textFill>
                    </w:rPr>
                  </w:pPr>
                </w:p>
              </w:tc>
              <w:tc>
                <w:tcPr>
                  <w:tcW w:w="2440" w:type="pct"/>
                  <w:noWrap w:val="0"/>
                  <w:tcMar>
                    <w:left w:w="0" w:type="dxa"/>
                    <w:right w:w="0" w:type="dxa"/>
                  </w:tcMar>
                  <w:vAlign w:val="center"/>
                </w:tcPr>
                <w:p w14:paraId="4F16516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color w:val="auto"/>
                      <w:spacing w:val="0"/>
                      <w:sz w:val="21"/>
                      <w:szCs w:val="21"/>
                    </w:rPr>
                  </w:pPr>
                  <w:r>
                    <w:rPr>
                      <w:rFonts w:hint="default" w:ascii="Times New Roman" w:hAnsi="Times New Roman" w:eastAsia="宋体" w:cs="Times New Roman"/>
                      <w:color w:val="auto"/>
                      <w:spacing w:val="0"/>
                      <w:sz w:val="21"/>
                      <w:szCs w:val="21"/>
                    </w:rPr>
                    <w:t>新建项目禁止配套建设自备燃煤电站。除热电联产外，禁止审批新建燃煤发电项目，现有多台燃煤机组装机容量合计达到国家规定要求的，可以按照煤炭等量替代的原则建设为大容量燃煤机组。具备稳定热源的集中供热区域和联片采暖区域内的热力用户，应当使用集中供应的热源，不得建设分散的燃煤供热设施，原有分散的中小型燃煤供热设施应当限期拆除。推广集中供热计量收费，提高供热效率，降低能源消耗。</w:t>
                  </w:r>
                </w:p>
              </w:tc>
              <w:tc>
                <w:tcPr>
                  <w:tcW w:w="1271" w:type="pct"/>
                  <w:noWrap w:val="0"/>
                  <w:tcMar>
                    <w:left w:w="0" w:type="dxa"/>
                    <w:right w:w="0" w:type="dxa"/>
                  </w:tcMar>
                  <w:vAlign w:val="center"/>
                </w:tcPr>
                <w:p w14:paraId="3F5F76D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项目</w:t>
                  </w:r>
                  <w:r>
                    <w:rPr>
                      <w:rFonts w:hint="eastAsia" w:cs="Times New Roman"/>
                      <w:color w:val="000000" w:themeColor="text1"/>
                      <w:sz w:val="21"/>
                      <w:szCs w:val="21"/>
                      <w:highlight w:val="none"/>
                      <w:lang w:val="en-US" w:eastAsia="zh-CN"/>
                      <w14:textFill>
                        <w14:solidFill>
                          <w14:schemeClr w14:val="tx1"/>
                        </w14:solidFill>
                      </w14:textFill>
                    </w:rPr>
                    <w:t>生产用热采用电加热</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，办公采暖及制冷均采用空调</w:t>
                  </w:r>
                </w:p>
              </w:tc>
              <w:tc>
                <w:tcPr>
                  <w:tcW w:w="324" w:type="pct"/>
                  <w:noWrap w:val="0"/>
                  <w:tcMar>
                    <w:left w:w="0" w:type="dxa"/>
                    <w:right w:w="0" w:type="dxa"/>
                  </w:tcMar>
                  <w:vAlign w:val="center"/>
                </w:tcPr>
                <w:p w14:paraId="63E2327E">
                  <w:pPr>
                    <w:spacing w:line="0" w:lineRule="atLeast"/>
                    <w:jc w:val="center"/>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t>符合</w:t>
                  </w:r>
                </w:p>
              </w:tc>
            </w:tr>
            <w:tr w14:paraId="691F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92" w:type="pct"/>
                  <w:vMerge w:val="continue"/>
                  <w:noWrap w:val="0"/>
                  <w:tcMar>
                    <w:left w:w="0" w:type="dxa"/>
                    <w:right w:w="0" w:type="dxa"/>
                  </w:tcMar>
                  <w:vAlign w:val="center"/>
                </w:tcPr>
                <w:p w14:paraId="768AD8D5">
                  <w:pPr>
                    <w:pStyle w:val="15"/>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6BFE509F">
                  <w:pPr>
                    <w:widowControl/>
                    <w:spacing w:line="300" w:lineRule="exact"/>
                    <w:jc w:val="center"/>
                    <w:rPr>
                      <w:rFonts w:hint="default" w:ascii="Times New Roman" w:hAnsi="Times New Roman" w:eastAsia="宋体" w:cs="Times New Roman"/>
                      <w:color w:val="000000" w:themeColor="text1"/>
                      <w:spacing w:val="0"/>
                      <w:sz w:val="21"/>
                      <w:szCs w:val="21"/>
                      <w:lang w:val="zh-TW" w:eastAsia="zh-CN"/>
                      <w14:textFill>
                        <w14:solidFill>
                          <w14:schemeClr w14:val="tx1"/>
                        </w14:solidFill>
                      </w14:textFill>
                    </w:rPr>
                  </w:pPr>
                </w:p>
              </w:tc>
              <w:tc>
                <w:tcPr>
                  <w:tcW w:w="2440" w:type="pct"/>
                  <w:noWrap w:val="0"/>
                  <w:tcMar>
                    <w:left w:w="0" w:type="dxa"/>
                    <w:right w:w="0" w:type="dxa"/>
                  </w:tcMar>
                  <w:vAlign w:val="center"/>
                </w:tcPr>
                <w:p w14:paraId="3C309634">
                  <w:pPr>
                    <w:adjustRightInd w:val="0"/>
                    <w:snapToGrid w:val="0"/>
                    <w:spacing w:line="240" w:lineRule="exact"/>
                    <w:jc w:val="center"/>
                    <w:rPr>
                      <w:rFonts w:hint="default" w:ascii="Times New Roman" w:hAnsi="Times New Roman" w:eastAsia="宋体" w:cs="Times New Roman"/>
                      <w:color w:val="auto"/>
                      <w:spacing w:val="0"/>
                      <w:sz w:val="21"/>
                      <w:szCs w:val="21"/>
                      <w:lang w:eastAsia="zh-CN"/>
                    </w:rPr>
                  </w:pPr>
                  <w:r>
                    <w:rPr>
                      <w:rFonts w:hint="default" w:ascii="Times New Roman" w:hAnsi="Times New Roman" w:eastAsia="宋体" w:cs="Times New Roman"/>
                      <w:color w:val="auto"/>
                      <w:spacing w:val="0"/>
                      <w:sz w:val="21"/>
                      <w:szCs w:val="21"/>
                    </w:rPr>
                    <w:t>企业料堆场应当按照有关规定进行封闭，不能封闭的应当安装防尘设施或者采取其他抑尘措施。装卸易产生扬尘的物料时，应当采取密闭或者喷淋等抑尘措施</w:t>
                  </w:r>
                </w:p>
              </w:tc>
              <w:tc>
                <w:tcPr>
                  <w:tcW w:w="1271" w:type="pct"/>
                  <w:noWrap w:val="0"/>
                  <w:tcMar>
                    <w:left w:w="0" w:type="dxa"/>
                    <w:right w:w="0" w:type="dxa"/>
                  </w:tcMar>
                  <w:vAlign w:val="center"/>
                </w:tcPr>
                <w:p w14:paraId="6DC885AE">
                  <w:pPr>
                    <w:adjustRightInd w:val="0"/>
                    <w:snapToGrid w:val="0"/>
                    <w:spacing w:line="240" w:lineRule="exact"/>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项目物料堆存、装卸位于封闭原料区、成品区</w:t>
                  </w:r>
                </w:p>
              </w:tc>
              <w:tc>
                <w:tcPr>
                  <w:tcW w:w="324" w:type="pct"/>
                  <w:noWrap w:val="0"/>
                  <w:tcMar>
                    <w:left w:w="0" w:type="dxa"/>
                    <w:right w:w="0" w:type="dxa"/>
                  </w:tcMar>
                  <w:vAlign w:val="center"/>
                </w:tcPr>
                <w:p w14:paraId="601A008D">
                  <w:pPr>
                    <w:pStyle w:val="15"/>
                    <w:spacing w:line="0" w:lineRule="atLeast"/>
                    <w:jc w:val="center"/>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pPr>
                  <w:r>
                    <w:rPr>
                      <w:rFonts w:hint="default" w:ascii="Times New Roman" w:hAnsi="Times New Roman" w:cs="Times New Roman"/>
                      <w:bCs/>
                      <w:color w:val="000000" w:themeColor="text1"/>
                      <w:spacing w:val="0"/>
                      <w:sz w:val="21"/>
                      <w:szCs w:val="21"/>
                      <w:lang w:val="en-US" w:eastAsia="zh-CN"/>
                      <w14:textFill>
                        <w14:solidFill>
                          <w14:schemeClr w14:val="tx1"/>
                        </w14:solidFill>
                      </w14:textFill>
                    </w:rPr>
                    <w:t>符合</w:t>
                  </w:r>
                </w:p>
              </w:tc>
            </w:tr>
            <w:tr w14:paraId="4D48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2" w:type="pct"/>
                  <w:vMerge w:val="continue"/>
                  <w:noWrap w:val="0"/>
                  <w:tcMar>
                    <w:left w:w="0" w:type="dxa"/>
                    <w:right w:w="0" w:type="dxa"/>
                  </w:tcMar>
                  <w:vAlign w:val="center"/>
                </w:tcPr>
                <w:p w14:paraId="00C46B17">
                  <w:pPr>
                    <w:pStyle w:val="15"/>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04B207BD">
                  <w:pPr>
                    <w:widowControl/>
                    <w:spacing w:line="300" w:lineRule="exact"/>
                    <w:jc w:val="center"/>
                    <w:rPr>
                      <w:rFonts w:hint="default" w:ascii="Times New Roman" w:hAnsi="Times New Roman" w:eastAsia="宋体" w:cs="Times New Roman"/>
                      <w:color w:val="000000" w:themeColor="text1"/>
                      <w:spacing w:val="0"/>
                      <w:sz w:val="21"/>
                      <w:szCs w:val="21"/>
                      <w:lang w:val="zh-TW" w:eastAsia="zh-CN"/>
                      <w14:textFill>
                        <w14:solidFill>
                          <w14:schemeClr w14:val="tx1"/>
                        </w14:solidFill>
                      </w14:textFill>
                    </w:rPr>
                  </w:pPr>
                </w:p>
              </w:tc>
              <w:tc>
                <w:tcPr>
                  <w:tcW w:w="2440" w:type="pct"/>
                  <w:noWrap w:val="0"/>
                  <w:tcMar>
                    <w:left w:w="0" w:type="dxa"/>
                    <w:right w:w="0" w:type="dxa"/>
                  </w:tcMar>
                  <w:vAlign w:val="center"/>
                </w:tcPr>
                <w:p w14:paraId="7F89907C">
                  <w:pPr>
                    <w:adjustRightInd w:val="0"/>
                    <w:snapToGrid w:val="0"/>
                    <w:spacing w:line="240" w:lineRule="exact"/>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运输渣土、砂石、建筑垃圾等易产生扬尘污染物料的车辆应当密闭，物料不得沿途散落或者飞扬，并按照规定路线行驶</w:t>
                  </w:r>
                </w:p>
              </w:tc>
              <w:tc>
                <w:tcPr>
                  <w:tcW w:w="1271" w:type="pct"/>
                  <w:noWrap w:val="0"/>
                  <w:tcMar>
                    <w:left w:w="0" w:type="dxa"/>
                    <w:right w:w="0" w:type="dxa"/>
                  </w:tcMar>
                  <w:vAlign w:val="center"/>
                </w:tcPr>
                <w:p w14:paraId="64E57D42">
                  <w:pPr>
                    <w:adjustRightInd w:val="0"/>
                    <w:snapToGrid w:val="0"/>
                    <w:spacing w:line="240" w:lineRule="exact"/>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项目物料公路运输车辆均密闭，</w:t>
                  </w:r>
                  <w:r>
                    <w:rPr>
                      <w:rFonts w:hint="default" w:ascii="Times New Roman" w:hAnsi="Times New Roman" w:eastAsia="宋体" w:cs="Times New Roman"/>
                      <w:color w:val="000000" w:themeColor="text1"/>
                      <w:spacing w:val="0"/>
                      <w:sz w:val="21"/>
                      <w:szCs w:val="21"/>
                      <w14:textFill>
                        <w14:solidFill>
                          <w14:schemeClr w14:val="tx1"/>
                        </w14:solidFill>
                      </w14:textFill>
                    </w:rPr>
                    <w:t>并按照规定路线行驶</w:t>
                  </w:r>
                </w:p>
              </w:tc>
              <w:tc>
                <w:tcPr>
                  <w:tcW w:w="324" w:type="pct"/>
                  <w:noWrap w:val="0"/>
                  <w:tcMar>
                    <w:left w:w="0" w:type="dxa"/>
                    <w:right w:w="0" w:type="dxa"/>
                  </w:tcMar>
                  <w:vAlign w:val="center"/>
                </w:tcPr>
                <w:p w14:paraId="7CF2C8BB">
                  <w:pPr>
                    <w:pStyle w:val="15"/>
                    <w:spacing w:line="0" w:lineRule="atLeast"/>
                    <w:jc w:val="center"/>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t>符合</w:t>
                  </w:r>
                </w:p>
              </w:tc>
            </w:tr>
            <w:tr w14:paraId="7431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2" w:type="pct"/>
                  <w:vMerge w:val="restart"/>
                  <w:noWrap w:val="0"/>
                  <w:tcMar>
                    <w:left w:w="0" w:type="dxa"/>
                    <w:right w:w="0" w:type="dxa"/>
                  </w:tcMar>
                  <w:vAlign w:val="center"/>
                </w:tcPr>
                <w:p w14:paraId="0C0A3A80">
                  <w:pPr>
                    <w:pStyle w:val="15"/>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6</w:t>
                  </w:r>
                </w:p>
              </w:tc>
              <w:tc>
                <w:tcPr>
                  <w:tcW w:w="770" w:type="pct"/>
                  <w:vMerge w:val="restart"/>
                  <w:noWrap w:val="0"/>
                  <w:tcMar>
                    <w:left w:w="0" w:type="dxa"/>
                    <w:right w:w="0" w:type="dxa"/>
                  </w:tcMar>
                  <w:vAlign w:val="center"/>
                </w:tcPr>
                <w:p w14:paraId="461CE556">
                  <w:pPr>
                    <w:spacing w:line="300" w:lineRule="exact"/>
                    <w:jc w:val="center"/>
                    <w:rPr>
                      <w:rFonts w:hint="default" w:ascii="Times New Roman" w:hAnsi="Times New Roman" w:eastAsia="宋体" w:cs="Times New Roman"/>
                      <w:color w:val="000000" w:themeColor="text1"/>
                      <w:spacing w:val="0"/>
                      <w:sz w:val="21"/>
                      <w:szCs w:val="21"/>
                      <w:lang w:val="zh-TW"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lang w:val="zh-TW" w:eastAsia="zh-CN"/>
                      <w14:textFill>
                        <w14:solidFill>
                          <w14:schemeClr w14:val="tx1"/>
                        </w14:solidFill>
                      </w14:textFill>
                    </w:rPr>
                    <w:t>河北省土壤与地下水污染防治</w:t>
                  </w:r>
                  <w:r>
                    <w:rPr>
                      <w:rFonts w:hint="eastAsia" w:eastAsia="宋体" w:cs="Times New Roman"/>
                      <w:color w:val="000000" w:themeColor="text1"/>
                      <w:spacing w:val="0"/>
                      <w:sz w:val="21"/>
                      <w:szCs w:val="21"/>
                      <w:lang w:val="zh-TW" w:eastAsia="zh-CN"/>
                      <w14:textFill>
                        <w14:solidFill>
                          <w14:schemeClr w14:val="tx1"/>
                        </w14:solidFill>
                      </w14:textFill>
                    </w:rPr>
                    <w:t>“</w:t>
                  </w:r>
                  <w:r>
                    <w:rPr>
                      <w:rFonts w:hint="default" w:ascii="Times New Roman" w:hAnsi="Times New Roman" w:eastAsia="宋体" w:cs="Times New Roman"/>
                      <w:color w:val="000000" w:themeColor="text1"/>
                      <w:spacing w:val="0"/>
                      <w:sz w:val="21"/>
                      <w:szCs w:val="21"/>
                      <w:lang w:val="zh-TW" w:eastAsia="zh-CN"/>
                      <w14:textFill>
                        <w14:solidFill>
                          <w14:schemeClr w14:val="tx1"/>
                        </w14:solidFill>
                      </w14:textFill>
                    </w:rPr>
                    <w:t>十四五</w:t>
                  </w:r>
                  <w:r>
                    <w:rPr>
                      <w:rFonts w:hint="eastAsia" w:eastAsia="宋体" w:cs="Times New Roman"/>
                      <w:color w:val="000000" w:themeColor="text1"/>
                      <w:spacing w:val="0"/>
                      <w:sz w:val="21"/>
                      <w:szCs w:val="21"/>
                      <w:lang w:val="zh-TW" w:eastAsia="zh-CN"/>
                      <w14:textFill>
                        <w14:solidFill>
                          <w14:schemeClr w14:val="tx1"/>
                        </w14:solidFill>
                      </w14:textFill>
                    </w:rPr>
                    <w:t>”</w:t>
                  </w:r>
                  <w:r>
                    <w:rPr>
                      <w:rFonts w:hint="default" w:ascii="Times New Roman" w:hAnsi="Times New Roman" w:eastAsia="宋体" w:cs="Times New Roman"/>
                      <w:color w:val="000000" w:themeColor="text1"/>
                      <w:spacing w:val="0"/>
                      <w:sz w:val="21"/>
                      <w:szCs w:val="21"/>
                      <w:lang w:val="zh-TW" w:eastAsia="zh-CN"/>
                      <w14:textFill>
                        <w14:solidFill>
                          <w14:schemeClr w14:val="tx1"/>
                        </w14:solidFill>
                      </w14:textFill>
                    </w:rPr>
                    <w:t>规划</w:t>
                  </w:r>
                </w:p>
              </w:tc>
              <w:tc>
                <w:tcPr>
                  <w:tcW w:w="2440" w:type="pct"/>
                  <w:noWrap w:val="0"/>
                  <w:tcMar>
                    <w:left w:w="0" w:type="dxa"/>
                    <w:right w:w="0" w:type="dxa"/>
                  </w:tcMar>
                  <w:vAlign w:val="center"/>
                </w:tcPr>
                <w:p w14:paraId="259C3414">
                  <w:pPr>
                    <w:pStyle w:val="23"/>
                    <w:spacing w:before="0" w:beforeAutospacing="0" w:after="0" w:afterAutospacing="0"/>
                    <w:jc w:val="center"/>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eastAsia="宋体" w:cs="Times New Roman"/>
                      <w:color w:val="auto"/>
                      <w:spacing w:val="0"/>
                      <w:kern w:val="2"/>
                      <w:sz w:val="21"/>
                      <w:szCs w:val="21"/>
                      <w:lang w:val="en-US" w:eastAsia="zh-CN" w:bidi="ar-SA"/>
                    </w:rPr>
                    <w:t>严格控制重点重金属污染物排放。持续推进重金属减排，动态更新涉重金属重点行业企业全口径清单，按照国家部署明确重点区域执行颗粒物和重点重金属特别排放限值。2022年3月底前，依法依规将符合条件的排放镉、汞、砷、铅、铬等有毒有害大气、水污染物的企业纳入重点排污单位名录进行管理。2023年底前</w:t>
                  </w:r>
                  <w:r>
                    <w:rPr>
                      <w:rFonts w:hint="eastAsia" w:ascii="Times New Roman" w:hAnsi="Times New Roman" w:cs="Times New Roman"/>
                      <w:color w:val="auto"/>
                      <w:spacing w:val="0"/>
                      <w:kern w:val="2"/>
                      <w:sz w:val="21"/>
                      <w:szCs w:val="21"/>
                      <w:lang w:val="en-US" w:eastAsia="zh-CN" w:bidi="ar-SA"/>
                    </w:rPr>
                    <w:t>，</w:t>
                  </w:r>
                  <w:r>
                    <w:rPr>
                      <w:rFonts w:hint="default" w:ascii="Times New Roman" w:hAnsi="Times New Roman" w:eastAsia="宋体" w:cs="Times New Roman"/>
                      <w:color w:val="auto"/>
                      <w:spacing w:val="0"/>
                      <w:kern w:val="2"/>
                      <w:sz w:val="21"/>
                      <w:szCs w:val="21"/>
                      <w:lang w:val="en-US" w:eastAsia="zh-CN" w:bidi="ar-SA"/>
                    </w:rPr>
                    <w:t>涉重点重金属排放的大气重点排污单位对大气污染物中的颗粒物按排污许可证规定实现自动监测，并核算颗粒物等排放量</w:t>
                  </w:r>
                </w:p>
              </w:tc>
              <w:tc>
                <w:tcPr>
                  <w:tcW w:w="1271" w:type="pct"/>
                  <w:noWrap w:val="0"/>
                  <w:tcMar>
                    <w:left w:w="0" w:type="dxa"/>
                    <w:right w:w="0" w:type="dxa"/>
                  </w:tcMar>
                  <w:vAlign w:val="center"/>
                </w:tcPr>
                <w:p w14:paraId="14E61A89">
                  <w:pPr>
                    <w:adjustRightInd w:val="0"/>
                    <w:snapToGrid w:val="0"/>
                    <w:spacing w:line="240" w:lineRule="exact"/>
                    <w:jc w:val="center"/>
                    <w:rPr>
                      <w:rFonts w:hint="default" w:ascii="Times New Roman" w:hAnsi="Times New Roman" w:cs="Times New Roman"/>
                      <w:color w:val="auto"/>
                      <w:spacing w:val="0"/>
                      <w:kern w:val="2"/>
                      <w:sz w:val="21"/>
                      <w:szCs w:val="21"/>
                      <w:lang w:val="en-US" w:eastAsia="zh-CN" w:bidi="ar-SA"/>
                    </w:rPr>
                  </w:pPr>
                  <w:r>
                    <w:rPr>
                      <w:rFonts w:hint="eastAsia" w:cs="Times New Roman"/>
                      <w:color w:val="auto"/>
                      <w:spacing w:val="0"/>
                      <w:kern w:val="2"/>
                      <w:sz w:val="21"/>
                      <w:szCs w:val="21"/>
                      <w:lang w:val="en-US" w:eastAsia="zh-CN" w:bidi="ar-SA"/>
                    </w:rPr>
                    <w:t>项目不涉及</w:t>
                  </w:r>
                  <w:r>
                    <w:rPr>
                      <w:rFonts w:hint="default" w:ascii="Times New Roman" w:hAnsi="Times New Roman" w:eastAsia="宋体" w:cs="Times New Roman"/>
                      <w:color w:val="auto"/>
                      <w:spacing w:val="0"/>
                      <w:kern w:val="2"/>
                      <w:sz w:val="21"/>
                      <w:szCs w:val="21"/>
                      <w:lang w:val="en-US" w:eastAsia="zh-CN" w:bidi="ar-SA"/>
                    </w:rPr>
                    <w:t>重金属污染物排放</w:t>
                  </w:r>
                </w:p>
              </w:tc>
              <w:tc>
                <w:tcPr>
                  <w:tcW w:w="324" w:type="pct"/>
                  <w:noWrap w:val="0"/>
                  <w:tcMar>
                    <w:left w:w="0" w:type="dxa"/>
                    <w:right w:w="0" w:type="dxa"/>
                  </w:tcMar>
                  <w:vAlign w:val="center"/>
                </w:tcPr>
                <w:p w14:paraId="0F381C21">
                  <w:pPr>
                    <w:spacing w:line="0" w:lineRule="atLeast"/>
                    <w:jc w:val="center"/>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t>符合</w:t>
                  </w:r>
                </w:p>
              </w:tc>
            </w:tr>
            <w:tr w14:paraId="7425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2" w:type="pct"/>
                  <w:vMerge w:val="continue"/>
                  <w:noWrap w:val="0"/>
                  <w:tcMar>
                    <w:left w:w="0" w:type="dxa"/>
                    <w:right w:w="0" w:type="dxa"/>
                  </w:tcMar>
                  <w:vAlign w:val="center"/>
                </w:tcPr>
                <w:p w14:paraId="4DC00FDA">
                  <w:pPr>
                    <w:pStyle w:val="15"/>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6962F611">
                  <w:pPr>
                    <w:spacing w:line="300" w:lineRule="exact"/>
                    <w:jc w:val="center"/>
                    <w:rPr>
                      <w:rFonts w:hint="default" w:ascii="Times New Roman" w:hAnsi="Times New Roman" w:eastAsia="宋体" w:cs="Times New Roman"/>
                      <w:color w:val="000000" w:themeColor="text1"/>
                      <w:spacing w:val="0"/>
                      <w:sz w:val="21"/>
                      <w:szCs w:val="21"/>
                      <w:lang w:val="zh-TW" w:eastAsia="zh-CN"/>
                      <w14:textFill>
                        <w14:solidFill>
                          <w14:schemeClr w14:val="tx1"/>
                        </w14:solidFill>
                      </w14:textFill>
                    </w:rPr>
                  </w:pPr>
                </w:p>
              </w:tc>
              <w:tc>
                <w:tcPr>
                  <w:tcW w:w="2440" w:type="pct"/>
                  <w:noWrap w:val="0"/>
                  <w:tcMar>
                    <w:left w:w="0" w:type="dxa"/>
                    <w:right w:w="0" w:type="dxa"/>
                  </w:tcMar>
                  <w:vAlign w:val="center"/>
                </w:tcPr>
                <w:p w14:paraId="004851FD">
                  <w:pPr>
                    <w:pStyle w:val="23"/>
                    <w:spacing w:before="0" w:beforeAutospacing="0" w:after="0" w:afterAutospacing="0"/>
                    <w:jc w:val="center"/>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eastAsia="宋体" w:cs="Times New Roman"/>
                      <w:color w:val="auto"/>
                      <w:spacing w:val="0"/>
                      <w:kern w:val="2"/>
                      <w:sz w:val="21"/>
                      <w:szCs w:val="21"/>
                      <w:lang w:val="en-US" w:eastAsia="zh-CN" w:bidi="ar-SA"/>
                    </w:rPr>
                    <w:t>针对存在地下水污染的化工园区、危险废物处置场和生活垃圾填埋场等，实施地下水污染风险管控，阻止污染扩散，加强风险管控后期地下水环境监管</w:t>
                  </w:r>
                </w:p>
              </w:tc>
              <w:tc>
                <w:tcPr>
                  <w:tcW w:w="1271" w:type="pct"/>
                  <w:noWrap w:val="0"/>
                  <w:tcMar>
                    <w:left w:w="0" w:type="dxa"/>
                    <w:right w:w="0" w:type="dxa"/>
                  </w:tcMar>
                  <w:vAlign w:val="center"/>
                </w:tcPr>
                <w:p w14:paraId="04EBAA81">
                  <w:pPr>
                    <w:adjustRightInd w:val="0"/>
                    <w:snapToGrid w:val="0"/>
                    <w:spacing w:line="240" w:lineRule="exact"/>
                    <w:jc w:val="center"/>
                    <w:rPr>
                      <w:rFonts w:hint="default" w:ascii="Times New Roman" w:hAnsi="Times New Roman" w:cs="Times New Roman"/>
                      <w:color w:val="auto"/>
                      <w:spacing w:val="0"/>
                      <w:kern w:val="2"/>
                      <w:sz w:val="21"/>
                      <w:szCs w:val="21"/>
                      <w:lang w:val="en-US" w:eastAsia="zh-CN" w:bidi="ar-SA"/>
                    </w:rPr>
                  </w:pPr>
                  <w:r>
                    <w:rPr>
                      <w:rFonts w:hint="eastAsia" w:cs="Times New Roman"/>
                      <w:color w:val="auto"/>
                      <w:spacing w:val="0"/>
                      <w:kern w:val="2"/>
                      <w:sz w:val="21"/>
                      <w:szCs w:val="21"/>
                      <w:lang w:val="en-US" w:eastAsia="zh-CN" w:bidi="ar-SA"/>
                    </w:rPr>
                    <w:t>项目不涉及</w:t>
                  </w:r>
                </w:p>
              </w:tc>
              <w:tc>
                <w:tcPr>
                  <w:tcW w:w="324" w:type="pct"/>
                  <w:noWrap w:val="0"/>
                  <w:tcMar>
                    <w:left w:w="0" w:type="dxa"/>
                    <w:right w:w="0" w:type="dxa"/>
                  </w:tcMar>
                  <w:vAlign w:val="center"/>
                </w:tcPr>
                <w:p w14:paraId="43F8F4CD">
                  <w:pPr>
                    <w:spacing w:line="0" w:lineRule="atLeast"/>
                    <w:jc w:val="center"/>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t>符合</w:t>
                  </w:r>
                </w:p>
              </w:tc>
            </w:tr>
            <w:tr w14:paraId="7441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92" w:type="pct"/>
                  <w:vMerge w:val="restart"/>
                  <w:noWrap w:val="0"/>
                  <w:tcMar>
                    <w:left w:w="0" w:type="dxa"/>
                    <w:right w:w="0" w:type="dxa"/>
                  </w:tcMar>
                  <w:vAlign w:val="center"/>
                </w:tcPr>
                <w:p w14:paraId="64CE8CD1">
                  <w:pPr>
                    <w:pStyle w:val="15"/>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7</w:t>
                  </w:r>
                </w:p>
              </w:tc>
              <w:tc>
                <w:tcPr>
                  <w:tcW w:w="770" w:type="pct"/>
                  <w:vMerge w:val="restart"/>
                  <w:noWrap w:val="0"/>
                  <w:tcMar>
                    <w:left w:w="0" w:type="dxa"/>
                    <w:right w:w="0" w:type="dxa"/>
                  </w:tcMar>
                  <w:vAlign w:val="center"/>
                </w:tcPr>
                <w:p w14:paraId="2E483554">
                  <w:pPr>
                    <w:pStyle w:val="15"/>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auto"/>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t>《河北省人民政府关于印发&lt;河北省生态环境保护“十四五”规划&gt;的通知》（冀政字〔2022〕2 号）</w:t>
                  </w:r>
                </w:p>
              </w:tc>
              <w:tc>
                <w:tcPr>
                  <w:tcW w:w="2440" w:type="pct"/>
                  <w:noWrap w:val="0"/>
                  <w:tcMar>
                    <w:left w:w="0" w:type="dxa"/>
                    <w:right w:w="0" w:type="dxa"/>
                  </w:tcMar>
                  <w:vAlign w:val="center"/>
                </w:tcPr>
                <w:p w14:paraId="044AB7B7">
                  <w:pPr>
                    <w:pStyle w:val="15"/>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t>推动重点行业深度治理和超低排放。巩固钢铁、焦化、煤电、水泥、平板玻璃、陶瓷等行业超低排放成效，实施工艺全流程深度治理，全面加强无组织排放管控。推进砖瓦、石灰、铸造、铁合金、耐火材料等重点行业污染深度治理。以工业炉窑污染综合治理为重点，深化工业氮氧化物减排。开展生活垃圾焚烧烟气深度治理，探索研发二噁英治理和控制技术，到2025年，所有焚烧炉烟气达到生活垃圾焚烧大气污染物排放控制标准</w:t>
                  </w:r>
                </w:p>
              </w:tc>
              <w:tc>
                <w:tcPr>
                  <w:tcW w:w="1271" w:type="pct"/>
                  <w:noWrap w:val="0"/>
                  <w:tcMar>
                    <w:left w:w="0" w:type="dxa"/>
                    <w:right w:w="0" w:type="dxa"/>
                  </w:tcMar>
                  <w:vAlign w:val="center"/>
                </w:tcPr>
                <w:p w14:paraId="47497F63">
                  <w:pPr>
                    <w:pStyle w:val="15"/>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auto"/>
                      <w:sz w:val="21"/>
                      <w:szCs w:val="21"/>
                      <w:vertAlign w:val="baseline"/>
                      <w:lang w:eastAsia="zh-CN"/>
                    </w:rPr>
                    <w:t>项目废气</w:t>
                  </w:r>
                  <w:r>
                    <w:rPr>
                      <w:rFonts w:hint="eastAsia" w:ascii="Times New Roman" w:hAnsi="Times New Roman" w:cs="Times New Roman"/>
                      <w:bCs/>
                      <w:color w:val="auto"/>
                      <w:sz w:val="21"/>
                      <w:szCs w:val="21"/>
                      <w:vertAlign w:val="baseline"/>
                      <w:lang w:val="en-US" w:eastAsia="zh-CN"/>
                    </w:rPr>
                    <w:t>均</w:t>
                  </w:r>
                  <w:r>
                    <w:rPr>
                      <w:rFonts w:hint="eastAsia" w:ascii="Times New Roman" w:hAnsi="Times New Roman" w:cs="Times New Roman"/>
                      <w:bCs/>
                      <w:color w:val="auto"/>
                      <w:sz w:val="21"/>
                      <w:szCs w:val="21"/>
                      <w:vertAlign w:val="baseline"/>
                      <w:lang w:eastAsia="zh-CN"/>
                    </w:rPr>
                    <w:t>设置集气罩进行收集，有效减少车间</w:t>
                  </w:r>
                  <w:r>
                    <w:rPr>
                      <w:rFonts w:hint="eastAsia" w:ascii="Times New Roman" w:hAnsi="Times New Roman" w:cs="Times New Roman"/>
                      <w:bCs/>
                      <w:color w:val="auto"/>
                      <w:sz w:val="21"/>
                      <w:szCs w:val="21"/>
                      <w:vertAlign w:val="baseline"/>
                      <w:lang w:val="en-US" w:eastAsia="zh-CN"/>
                    </w:rPr>
                    <w:t>废气</w:t>
                  </w:r>
                  <w:r>
                    <w:rPr>
                      <w:rFonts w:hint="eastAsia" w:ascii="Times New Roman" w:hAnsi="Times New Roman" w:cs="Times New Roman"/>
                      <w:bCs/>
                      <w:color w:val="auto"/>
                      <w:sz w:val="21"/>
                      <w:szCs w:val="21"/>
                      <w:vertAlign w:val="baseline"/>
                      <w:lang w:eastAsia="zh-CN"/>
                    </w:rPr>
                    <w:t>无组织排放；</w:t>
                  </w:r>
                  <w:r>
                    <w:rPr>
                      <w:rFonts w:hint="eastAsia" w:ascii="Times New Roman" w:hAnsi="Times New Roman" w:cs="Times New Roman"/>
                      <w:bCs/>
                      <w:color w:val="auto"/>
                      <w:sz w:val="21"/>
                      <w:szCs w:val="21"/>
                      <w:vertAlign w:val="baseline"/>
                      <w:lang w:val="en-US" w:eastAsia="zh-CN"/>
                    </w:rPr>
                    <w:t>项目不涉及</w:t>
                  </w:r>
                  <w: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t>工业炉窑</w:t>
                  </w:r>
                </w:p>
              </w:tc>
              <w:tc>
                <w:tcPr>
                  <w:tcW w:w="324" w:type="pct"/>
                  <w:noWrap w:val="0"/>
                  <w:tcMar>
                    <w:left w:w="0" w:type="dxa"/>
                    <w:right w:w="0" w:type="dxa"/>
                  </w:tcMar>
                  <w:vAlign w:val="center"/>
                </w:tcPr>
                <w:p w14:paraId="5B358C46">
                  <w:pPr>
                    <w:pStyle w:val="15"/>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t>符合</w:t>
                  </w:r>
                </w:p>
              </w:tc>
            </w:tr>
            <w:tr w14:paraId="2862F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92" w:type="pct"/>
                  <w:vMerge w:val="continue"/>
                  <w:noWrap w:val="0"/>
                  <w:tcMar>
                    <w:left w:w="0" w:type="dxa"/>
                    <w:right w:w="0" w:type="dxa"/>
                  </w:tcMar>
                  <w:vAlign w:val="center"/>
                </w:tcPr>
                <w:p w14:paraId="2B633F44">
                  <w:pPr>
                    <w:pStyle w:val="15"/>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71C811F4">
                  <w:pPr>
                    <w:pStyle w:val="15"/>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p>
              </w:tc>
              <w:tc>
                <w:tcPr>
                  <w:tcW w:w="2440" w:type="pct"/>
                  <w:noWrap w:val="0"/>
                  <w:tcMar>
                    <w:left w:w="0" w:type="dxa"/>
                    <w:right w:w="0" w:type="dxa"/>
                  </w:tcMar>
                  <w:vAlign w:val="center"/>
                </w:tcPr>
                <w:p w14:paraId="4800D3D1">
                  <w:pPr>
                    <w:pStyle w:val="15"/>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t>深化重点行业挥发性有机物（VOCs）治理。以石化、化工、涂装、医药、包装印刷、油品储运销等行业领域为重点，安全高效推进挥发性有机物（VOCs）综合治理，实施原辅材料和产品源头替代、无组织排放和末端深度治理等提升改造工程。取消非必要的挥发性有机物（VOCs）废气排放系统旁路，必须保留的加强监管与治理。推行加油站夏季高温时段错时装卸油，提倡城市主城区和县城建筑墙体涂刷、建筑装饰以及道路划线、栏杆喷涂、沥青铺装等户外工程错时作业。加强汽修行业挥发性有机物（VOCs）综合治理，加大餐饮油烟污染治理力度。开展工业园区和产业集群挥发性有机物（VOCs）综合治理，重点工业园区建立统一的泄漏检测与修复（LDAR）管理系统，推广建设涉挥发性有机物（VOCs）“绿岛”项目，规划建设一批集中涂装中心、活性炭集中处理中心、溶剂回收中心等。建立健全监测预警监控体系，探索挥发性有机物（VOCs）有组织、无组织超标排放自动留样监测，强化自动监测数据执法应用</w:t>
                  </w:r>
                </w:p>
              </w:tc>
              <w:tc>
                <w:tcPr>
                  <w:tcW w:w="1271" w:type="pct"/>
                  <w:noWrap w:val="0"/>
                  <w:tcMar>
                    <w:left w:w="0" w:type="dxa"/>
                    <w:right w:w="0" w:type="dxa"/>
                  </w:tcMar>
                  <w:vAlign w:val="center"/>
                </w:tcPr>
                <w:p w14:paraId="50492AD4">
                  <w:pPr>
                    <w:pStyle w:val="15"/>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t>项目挤出机四周安装皮帘，上方设置集气罩，挤出工序产生的废气</w:t>
                  </w:r>
                  <w:r>
                    <w:rPr>
                      <w:rFonts w:hint="default" w:ascii="Times New Roman" w:hAnsi="Times New Roman" w:eastAsia="宋体" w:cs="Times New Roman"/>
                      <w:bCs/>
                      <w:color w:val="auto"/>
                      <w:spacing w:val="0"/>
                      <w:sz w:val="21"/>
                      <w:szCs w:val="21"/>
                      <w:lang w:val="en-US" w:eastAsia="zh-CN"/>
                    </w:rPr>
                    <w:t>采用喷淋塔+干式过滤+活性炭吸附脱附+催化燃烧处理后通过15m排气筒排放</w:t>
                  </w:r>
                </w:p>
              </w:tc>
              <w:tc>
                <w:tcPr>
                  <w:tcW w:w="324" w:type="pct"/>
                  <w:noWrap w:val="0"/>
                  <w:tcMar>
                    <w:left w:w="0" w:type="dxa"/>
                    <w:right w:w="0" w:type="dxa"/>
                  </w:tcMar>
                  <w:vAlign w:val="center"/>
                </w:tcPr>
                <w:p w14:paraId="32A4F044">
                  <w:pPr>
                    <w:pStyle w:val="15"/>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t>符合</w:t>
                  </w:r>
                </w:p>
              </w:tc>
            </w:tr>
            <w:tr w14:paraId="44C6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92" w:type="pct"/>
                  <w:vMerge w:val="continue"/>
                  <w:noWrap w:val="0"/>
                  <w:tcMar>
                    <w:left w:w="0" w:type="dxa"/>
                    <w:right w:w="0" w:type="dxa"/>
                  </w:tcMar>
                  <w:vAlign w:val="center"/>
                </w:tcPr>
                <w:p w14:paraId="570B532E">
                  <w:pPr>
                    <w:pStyle w:val="15"/>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64AC7B9D">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p>
              </w:tc>
              <w:tc>
                <w:tcPr>
                  <w:tcW w:w="2440" w:type="pct"/>
                  <w:noWrap w:val="0"/>
                  <w:tcMar>
                    <w:left w:w="0" w:type="dxa"/>
                    <w:right w:w="0" w:type="dxa"/>
                  </w:tcMar>
                  <w:vAlign w:val="center"/>
                </w:tcPr>
                <w:p w14:paraId="078797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强化工业污染减排。实施差别化环境准入政策，推进涉水工业企业全面入园进区</w:t>
                  </w:r>
                </w:p>
              </w:tc>
              <w:tc>
                <w:tcPr>
                  <w:tcW w:w="1271" w:type="pct"/>
                  <w:noWrap w:val="0"/>
                  <w:tcMar>
                    <w:left w:w="0" w:type="dxa"/>
                    <w:right w:w="0" w:type="dxa"/>
                  </w:tcMar>
                  <w:vAlign w:val="center"/>
                </w:tcPr>
                <w:p w14:paraId="1C6D42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r>
                    <w:rPr>
                      <w:rFonts w:hint="eastAsia" w:eastAsia="宋体"/>
                      <w:b w:val="0"/>
                      <w:bCs w:val="0"/>
                      <w:color w:val="000000" w:themeColor="text1"/>
                      <w:szCs w:val="21"/>
                      <w:lang w:val="en-US" w:eastAsia="zh-CN"/>
                      <w14:textFill>
                        <w14:solidFill>
                          <w14:schemeClr w14:val="tx1"/>
                        </w14:solidFill>
                      </w14:textFill>
                    </w:rPr>
                    <w:t>项目</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位于魏县经济开发区-再生资源循环利用产业园</w:t>
                  </w:r>
                </w:p>
              </w:tc>
              <w:tc>
                <w:tcPr>
                  <w:tcW w:w="324" w:type="pct"/>
                  <w:noWrap w:val="0"/>
                  <w:tcMar>
                    <w:left w:w="0" w:type="dxa"/>
                    <w:right w:w="0" w:type="dxa"/>
                  </w:tcMar>
                  <w:vAlign w:val="center"/>
                </w:tcPr>
                <w:p w14:paraId="555694DC">
                  <w:pPr>
                    <w:pStyle w:val="15"/>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t>符合</w:t>
                  </w:r>
                </w:p>
              </w:tc>
            </w:tr>
            <w:tr w14:paraId="4289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92" w:type="pct"/>
                  <w:vMerge w:val="continue"/>
                  <w:noWrap w:val="0"/>
                  <w:tcMar>
                    <w:left w:w="0" w:type="dxa"/>
                    <w:right w:w="0" w:type="dxa"/>
                  </w:tcMar>
                  <w:vAlign w:val="center"/>
                </w:tcPr>
                <w:p w14:paraId="164BF627">
                  <w:pPr>
                    <w:pStyle w:val="15"/>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1B8A9793">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p>
              </w:tc>
              <w:tc>
                <w:tcPr>
                  <w:tcW w:w="2440" w:type="pct"/>
                  <w:noWrap w:val="0"/>
                  <w:tcMar>
                    <w:left w:w="0" w:type="dxa"/>
                    <w:right w:w="0" w:type="dxa"/>
                  </w:tcMar>
                  <w:vAlign w:val="center"/>
                </w:tcPr>
                <w:p w14:paraId="549CEB9F">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加强空间布局管控。将土壤和地下水环境要求纳入相关规划。永久基本农田集中区域禁止新建可能造成土壤污染的建设项目。污染地块再开发利用，严格落实规划用途及相应的土壤环境质量要求，科学设定成片污染地块及周边土地开发时序。强化工业企业土壤污染风险防控。新（改、扩）建项目涉及有毒有害物质可能造成土壤污染的，落实土壤和地下水污染防治要求。严格控制重金属排放总量。新（改、扩）建涉重金属重点行业建设项目实施污染物排放减量替代。推动涉重金属企业清洁生产技术改造，实施强制性清洁生产审核。新（扩）建铅锌冶炼、铜冶炼建设项目执行颗粒物、重点重金属污染物特别排放限值。加快有色金属行业企业提升改造，加强钢铁、硫酸、磷肥等行业废水总铊治理，深入推进电镀、铅蓄电池制造、制革等行业整治提升。到2025年，重点行业重点重金属污染物排放量下降比例达到国家要求</w:t>
                  </w:r>
                </w:p>
              </w:tc>
              <w:tc>
                <w:tcPr>
                  <w:tcW w:w="1271" w:type="pct"/>
                  <w:noWrap w:val="0"/>
                  <w:tcMar>
                    <w:left w:w="0" w:type="dxa"/>
                    <w:right w:w="0" w:type="dxa"/>
                  </w:tcMar>
                  <w:vAlign w:val="center"/>
                </w:tcPr>
                <w:p w14:paraId="4FE0D585">
                  <w:pPr>
                    <w:pStyle w:val="25"/>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项目用地</w:t>
                  </w: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类型</w:t>
                  </w:r>
                  <w:r>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为工业用地；项目不涉及重金属，已制定切实可行的土壤和地下水污染防治措施，不会对土壤和地下水环境产生明显影响</w:t>
                  </w:r>
                </w:p>
              </w:tc>
              <w:tc>
                <w:tcPr>
                  <w:tcW w:w="324" w:type="pct"/>
                  <w:noWrap w:val="0"/>
                  <w:tcMar>
                    <w:left w:w="0" w:type="dxa"/>
                    <w:right w:w="0" w:type="dxa"/>
                  </w:tcMar>
                  <w:vAlign w:val="center"/>
                </w:tcPr>
                <w:p w14:paraId="5CEBD16F">
                  <w:pPr>
                    <w:pStyle w:val="15"/>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t>符合</w:t>
                  </w:r>
                </w:p>
              </w:tc>
            </w:tr>
            <w:tr w14:paraId="41B2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92" w:type="pct"/>
                  <w:noWrap w:val="0"/>
                  <w:tcMar>
                    <w:left w:w="0" w:type="dxa"/>
                    <w:right w:w="0" w:type="dxa"/>
                  </w:tcMar>
                  <w:vAlign w:val="center"/>
                </w:tcPr>
                <w:p w14:paraId="6A60EF4E">
                  <w:pPr>
                    <w:pStyle w:val="15"/>
                    <w:spacing w:line="0" w:lineRule="atLeast"/>
                    <w:jc w:val="center"/>
                    <w:rPr>
                      <w:rFonts w:hint="default" w:ascii="Times New Roman" w:hAnsi="Times New Roman"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8</w:t>
                  </w:r>
                </w:p>
              </w:tc>
              <w:tc>
                <w:tcPr>
                  <w:tcW w:w="770" w:type="pct"/>
                  <w:noWrap w:val="0"/>
                  <w:tcMar>
                    <w:left w:w="0" w:type="dxa"/>
                    <w:right w:w="0" w:type="dxa"/>
                  </w:tcMar>
                  <w:vAlign w:val="center"/>
                </w:tcPr>
                <w:p w14:paraId="16567440">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《关于进一步做好沙区建设项目环境影响评价工作的通知》</w:t>
                  </w:r>
                  <w:r>
                    <w:rPr>
                      <w:rFonts w:hint="eastAsia" w:cs="Times New Roman"/>
                      <w:bCs/>
                      <w:color w:val="000000" w:themeColor="text1"/>
                      <w:spacing w:val="0"/>
                      <w:kern w:val="2"/>
                      <w:sz w:val="21"/>
                      <w:szCs w:val="21"/>
                      <w:lang w:val="en-US" w:eastAsia="zh-CN" w:bidi="ar-SA"/>
                      <w14:textFill>
                        <w14:solidFill>
                          <w14:schemeClr w14:val="tx1"/>
                        </w14:solidFill>
                      </w14:textFill>
                    </w:rPr>
                    <w:t>（</w:t>
                  </w: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冀</w:t>
                  </w:r>
                </w:p>
                <w:p w14:paraId="173C7809">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环办字函[2023]326 号</w:t>
                  </w:r>
                  <w:r>
                    <w:rPr>
                      <w:rFonts w:hint="eastAsia" w:cs="Times New Roman"/>
                      <w:bCs/>
                      <w:color w:val="000000" w:themeColor="text1"/>
                      <w:spacing w:val="0"/>
                      <w:kern w:val="2"/>
                      <w:sz w:val="21"/>
                      <w:szCs w:val="21"/>
                      <w:lang w:val="en-US" w:eastAsia="zh-CN" w:bidi="ar-SA"/>
                      <w14:textFill>
                        <w14:solidFill>
                          <w14:schemeClr w14:val="tx1"/>
                        </w14:solidFill>
                      </w14:textFill>
                    </w:rPr>
                    <w:t>）</w:t>
                  </w:r>
                </w:p>
              </w:tc>
              <w:tc>
                <w:tcPr>
                  <w:tcW w:w="2440" w:type="pct"/>
                  <w:noWrap w:val="0"/>
                  <w:tcMar>
                    <w:left w:w="0" w:type="dxa"/>
                    <w:right w:w="0" w:type="dxa"/>
                  </w:tcMar>
                  <w:vAlign w:val="center"/>
                </w:tcPr>
                <w:p w14:paraId="69DC2FF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为贯彻落实《中华人民共和国防沙治沙法》，按照</w:t>
                  </w:r>
                  <w:r>
                    <w:rPr>
                      <w:rFonts w:hint="eastAsia" w:cs="Times New Roman"/>
                      <w:bCs/>
                      <w:color w:val="000000" w:themeColor="text1"/>
                      <w:spacing w:val="0"/>
                      <w:kern w:val="2"/>
                      <w:sz w:val="21"/>
                      <w:szCs w:val="21"/>
                      <w:lang w:val="en-US" w:eastAsia="zh-CN" w:bidi="ar-SA"/>
                      <w14:textFill>
                        <w14:solidFill>
                          <w14:schemeClr w14:val="tx1"/>
                        </w14:solidFill>
                      </w14:textFill>
                    </w:rPr>
                    <w:t>“</w:t>
                  </w: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在沙化土地范围内从</w:t>
                  </w:r>
                </w:p>
                <w:p w14:paraId="5BEE7CA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事开发建设活动的</w:t>
                  </w:r>
                  <w:r>
                    <w:rPr>
                      <w:rFonts w:hint="eastAsia" w:cs="Times New Roman"/>
                      <w:bCs/>
                      <w:color w:val="000000" w:themeColor="text1"/>
                      <w:spacing w:val="0"/>
                      <w:kern w:val="2"/>
                      <w:sz w:val="21"/>
                      <w:szCs w:val="21"/>
                      <w:lang w:val="en-US" w:eastAsia="zh-CN" w:bidi="ar-SA"/>
                      <w14:textFill>
                        <w14:solidFill>
                          <w14:schemeClr w14:val="tx1"/>
                        </w14:solidFill>
                      </w14:textFill>
                    </w:rPr>
                    <w:t>，</w:t>
                  </w: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必须事先就该项目可能对当地及相关地区生态产生的影响进行环境影响评价，依法提交环境影响报告</w:t>
                  </w:r>
                  <w:r>
                    <w:rPr>
                      <w:rFonts w:hint="eastAsia" w:cs="Times New Roman"/>
                      <w:bCs/>
                      <w:color w:val="000000" w:themeColor="text1"/>
                      <w:spacing w:val="0"/>
                      <w:kern w:val="2"/>
                      <w:sz w:val="21"/>
                      <w:szCs w:val="21"/>
                      <w:lang w:val="en-US" w:eastAsia="zh-CN" w:bidi="ar-SA"/>
                      <w14:textFill>
                        <w14:solidFill>
                          <w14:schemeClr w14:val="tx1"/>
                        </w14:solidFill>
                      </w14:textFill>
                    </w:rPr>
                    <w:t>；</w:t>
                  </w: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环境影响报告应当包括有关防沙治沙的内容</w:t>
                  </w:r>
                  <w:r>
                    <w:rPr>
                      <w:rFonts w:hint="eastAsia" w:cs="Times New Roman"/>
                      <w:bCs/>
                      <w:color w:val="000000" w:themeColor="text1"/>
                      <w:spacing w:val="0"/>
                      <w:kern w:val="2"/>
                      <w:sz w:val="21"/>
                      <w:szCs w:val="21"/>
                      <w:lang w:val="en-US" w:eastAsia="zh-CN" w:bidi="ar-SA"/>
                      <w14:textFill>
                        <w14:solidFill>
                          <w14:schemeClr w14:val="tx1"/>
                        </w14:solidFill>
                      </w14:textFill>
                    </w:rPr>
                    <w:t>”</w:t>
                  </w: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规定，进一步做好沙区建设项目环境影响评价制度执行工作，我厅已将全省沙区范围数据添加至</w:t>
                  </w:r>
                  <w:r>
                    <w:rPr>
                      <w:rFonts w:hint="eastAsia" w:cs="Times New Roman"/>
                      <w:bCs/>
                      <w:color w:val="000000" w:themeColor="text1"/>
                      <w:spacing w:val="0"/>
                      <w:kern w:val="2"/>
                      <w:sz w:val="21"/>
                      <w:szCs w:val="21"/>
                      <w:lang w:val="en-US" w:eastAsia="zh-CN" w:bidi="ar-SA"/>
                      <w14:textFill>
                        <w14:solidFill>
                          <w14:schemeClr w14:val="tx1"/>
                        </w14:solidFill>
                      </w14:textFill>
                    </w:rPr>
                    <w:t>“</w:t>
                  </w: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三线一单</w:t>
                  </w:r>
                  <w:r>
                    <w:rPr>
                      <w:rFonts w:hint="eastAsia" w:cs="Times New Roman"/>
                      <w:bCs/>
                      <w:color w:val="000000" w:themeColor="text1"/>
                      <w:spacing w:val="0"/>
                      <w:kern w:val="2"/>
                      <w:sz w:val="21"/>
                      <w:szCs w:val="21"/>
                      <w:lang w:val="en-US" w:eastAsia="zh-CN" w:bidi="ar-SA"/>
                      <w14:textFill>
                        <w14:solidFill>
                          <w14:schemeClr w14:val="tx1"/>
                        </w14:solidFill>
                      </w14:textFill>
                    </w:rPr>
                    <w:t>”</w:t>
                  </w: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数据平台，供市县环评审批和监管部门在环评文件审批和技术复核工作中查询使用</w:t>
                  </w:r>
                </w:p>
              </w:tc>
              <w:tc>
                <w:tcPr>
                  <w:tcW w:w="1271" w:type="pct"/>
                  <w:noWrap w:val="0"/>
                  <w:tcMar>
                    <w:left w:w="0" w:type="dxa"/>
                    <w:right w:w="0" w:type="dxa"/>
                  </w:tcMar>
                  <w:vAlign w:val="center"/>
                </w:tcPr>
                <w:p w14:paraId="030F1AC8">
                  <w:pPr>
                    <w:pStyle w:val="25"/>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沙区范围主要涉及的地域</w:t>
                  </w: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不涉及魏县</w:t>
                  </w:r>
                </w:p>
              </w:tc>
              <w:tc>
                <w:tcPr>
                  <w:tcW w:w="324" w:type="pct"/>
                  <w:noWrap w:val="0"/>
                  <w:tcMar>
                    <w:left w:w="0" w:type="dxa"/>
                    <w:right w:w="0" w:type="dxa"/>
                  </w:tcMar>
                  <w:vAlign w:val="center"/>
                </w:tcPr>
                <w:p w14:paraId="35A010F2">
                  <w:pPr>
                    <w:pStyle w:val="15"/>
                    <w:spacing w:line="0" w:lineRule="atLeast"/>
                    <w:jc w:val="center"/>
                    <w:rPr>
                      <w:rFonts w:hint="default" w:ascii="Times New Roman" w:hAnsi="Times New Roman"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符合</w:t>
                  </w:r>
                </w:p>
              </w:tc>
            </w:tr>
            <w:tr w14:paraId="786F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2" w:type="pct"/>
                  <w:vMerge w:val="restart"/>
                  <w:noWrap w:val="0"/>
                  <w:tcMar>
                    <w:left w:w="0" w:type="dxa"/>
                    <w:right w:w="0" w:type="dxa"/>
                  </w:tcMar>
                  <w:vAlign w:val="center"/>
                </w:tcPr>
                <w:p w14:paraId="3AC770DC">
                  <w:pPr>
                    <w:pStyle w:val="15"/>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9</w:t>
                  </w:r>
                </w:p>
              </w:tc>
              <w:tc>
                <w:tcPr>
                  <w:tcW w:w="770" w:type="pct"/>
                  <w:vMerge w:val="restart"/>
                  <w:noWrap w:val="0"/>
                  <w:tcMar>
                    <w:left w:w="0" w:type="dxa"/>
                    <w:right w:w="0" w:type="dxa"/>
                  </w:tcMar>
                  <w:vAlign w:val="center"/>
                </w:tcPr>
                <w:p w14:paraId="6328A04F">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邯郸市生态环境保护</w:t>
                  </w:r>
                  <w:r>
                    <w:rPr>
                      <w:rFonts w:hint="eastAsia" w:cs="Times New Roman"/>
                      <w:bCs/>
                      <w:color w:val="000000" w:themeColor="text1"/>
                      <w:spacing w:val="0"/>
                      <w:kern w:val="2"/>
                      <w:sz w:val="21"/>
                      <w:szCs w:val="21"/>
                      <w:lang w:val="en-US" w:eastAsia="zh-CN" w:bidi="ar-SA"/>
                      <w14:textFill>
                        <w14:solidFill>
                          <w14:schemeClr w14:val="tx1"/>
                        </w14:solidFill>
                      </w14:textFill>
                    </w:rPr>
                    <w:t>“</w:t>
                  </w: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十四五</w:t>
                  </w:r>
                  <w:r>
                    <w:rPr>
                      <w:rFonts w:hint="eastAsia" w:cs="Times New Roman"/>
                      <w:bCs/>
                      <w:color w:val="000000" w:themeColor="text1"/>
                      <w:spacing w:val="0"/>
                      <w:kern w:val="2"/>
                      <w:sz w:val="21"/>
                      <w:szCs w:val="21"/>
                      <w:lang w:val="en-US" w:eastAsia="zh-CN" w:bidi="ar-SA"/>
                      <w14:textFill>
                        <w14:solidFill>
                          <w14:schemeClr w14:val="tx1"/>
                        </w14:solidFill>
                      </w14:textFill>
                    </w:rPr>
                    <w:t>”</w:t>
                  </w: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规划</w:t>
                  </w:r>
                </w:p>
              </w:tc>
              <w:tc>
                <w:tcPr>
                  <w:tcW w:w="2440" w:type="pct"/>
                  <w:noWrap w:val="0"/>
                  <w:tcMar>
                    <w:left w:w="0" w:type="dxa"/>
                    <w:right w:w="0" w:type="dxa"/>
                  </w:tcMar>
                  <w:vAlign w:val="center"/>
                </w:tcPr>
                <w:p w14:paraId="7EA5421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VOCs综合治理工程。以化工、涂装、制药、包装印刷和油品储运销等为重点，加强VOCs源头、过程、末端全流程治理，建设适宜高效VOCs治理设施。在涉县、馆陶县、魏县等谋划建设集中喷涂中心</w:t>
                  </w:r>
                </w:p>
              </w:tc>
              <w:tc>
                <w:tcPr>
                  <w:tcW w:w="1271" w:type="pct"/>
                  <w:vMerge w:val="restart"/>
                  <w:noWrap w:val="0"/>
                  <w:tcMar>
                    <w:left w:w="0" w:type="dxa"/>
                    <w:right w:w="0" w:type="dxa"/>
                  </w:tcMar>
                  <w:vAlign w:val="center"/>
                </w:tcPr>
                <w:p w14:paraId="066B069D">
                  <w:pPr>
                    <w:pStyle w:val="25"/>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项目废气设置集气罩进行收集，有效减少车间挥发性有机物无组织排放；项目挤出机四周安装皮帘，上方设置集气罩，挤出工序产生的</w:t>
                  </w:r>
                  <w:r>
                    <w:rPr>
                      <w:rFonts w:hint="default" w:ascii="Times New Roman" w:hAnsi="Times New Roman" w:eastAsia="宋体" w:cs="Times New Roman"/>
                      <w:b w:val="0"/>
                      <w:bCs w:val="0"/>
                      <w:color w:val="auto"/>
                      <w:spacing w:val="0"/>
                      <w:sz w:val="21"/>
                      <w:szCs w:val="21"/>
                      <w:lang w:val="en-US" w:eastAsia="zh-CN"/>
                    </w:rPr>
                    <w:t>废气采用喷淋塔+干式过滤+活性炭吸附脱附+催化燃烧</w:t>
                  </w:r>
                  <w:r>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处理后通过15m排气筒排放</w:t>
                  </w:r>
                </w:p>
              </w:tc>
              <w:tc>
                <w:tcPr>
                  <w:tcW w:w="324" w:type="pct"/>
                  <w:vMerge w:val="restart"/>
                  <w:noWrap w:val="0"/>
                  <w:tcMar>
                    <w:left w:w="0" w:type="dxa"/>
                    <w:right w:w="0" w:type="dxa"/>
                  </w:tcMar>
                  <w:vAlign w:val="center"/>
                </w:tcPr>
                <w:p w14:paraId="44CE7B97">
                  <w:pPr>
                    <w:pStyle w:val="15"/>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符合</w:t>
                  </w:r>
                </w:p>
              </w:tc>
            </w:tr>
            <w:tr w14:paraId="6C54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2" w:type="pct"/>
                  <w:vMerge w:val="continue"/>
                  <w:noWrap w:val="0"/>
                  <w:tcMar>
                    <w:left w:w="0" w:type="dxa"/>
                    <w:right w:w="0" w:type="dxa"/>
                  </w:tcMar>
                  <w:vAlign w:val="center"/>
                </w:tcPr>
                <w:p w14:paraId="6355B6C2">
                  <w:pPr>
                    <w:pStyle w:val="15"/>
                    <w:spacing w:line="0" w:lineRule="atLeast"/>
                    <w:jc w:val="center"/>
                    <w:rPr>
                      <w:rFonts w:hint="eastAsia" w:ascii="Times New Roman" w:hAnsi="Times New Roman"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6494DD61">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p>
              </w:tc>
              <w:tc>
                <w:tcPr>
                  <w:tcW w:w="2440" w:type="pct"/>
                  <w:noWrap w:val="0"/>
                  <w:tcMar>
                    <w:left w:w="0" w:type="dxa"/>
                    <w:right w:w="0" w:type="dxa"/>
                  </w:tcMar>
                  <w:vAlign w:val="center"/>
                </w:tcPr>
                <w:p w14:paraId="0888793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开展挥发性有机物污染治理达标行动，严控挥发性有机物无组织排放，全面清理整治简易低效治理设施，提高废气收集率、治理设施同步运行率和去除率</w:t>
                  </w:r>
                </w:p>
              </w:tc>
              <w:tc>
                <w:tcPr>
                  <w:tcW w:w="1271" w:type="pct"/>
                  <w:vMerge w:val="continue"/>
                  <w:noWrap w:val="0"/>
                  <w:tcMar>
                    <w:left w:w="0" w:type="dxa"/>
                    <w:right w:w="0" w:type="dxa"/>
                  </w:tcMar>
                  <w:vAlign w:val="center"/>
                </w:tcPr>
                <w:p w14:paraId="13957152">
                  <w:pPr>
                    <w:pStyle w:val="25"/>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p>
              </w:tc>
              <w:tc>
                <w:tcPr>
                  <w:tcW w:w="324" w:type="pct"/>
                  <w:vMerge w:val="continue"/>
                  <w:noWrap w:val="0"/>
                  <w:tcMar>
                    <w:left w:w="0" w:type="dxa"/>
                    <w:right w:w="0" w:type="dxa"/>
                  </w:tcMar>
                  <w:vAlign w:val="center"/>
                </w:tcPr>
                <w:p w14:paraId="0CC5E88B">
                  <w:pPr>
                    <w:pStyle w:val="15"/>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p>
              </w:tc>
            </w:tr>
            <w:tr w14:paraId="294D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2" w:type="pct"/>
                  <w:vMerge w:val="restart"/>
                  <w:noWrap w:val="0"/>
                  <w:tcMar>
                    <w:left w:w="0" w:type="dxa"/>
                    <w:right w:w="0" w:type="dxa"/>
                  </w:tcMar>
                  <w:vAlign w:val="center"/>
                </w:tcPr>
                <w:p w14:paraId="6189146B">
                  <w:pPr>
                    <w:pStyle w:val="15"/>
                    <w:spacing w:line="0" w:lineRule="atLeast"/>
                    <w:jc w:val="center"/>
                    <w:rPr>
                      <w:rFonts w:hint="default" w:ascii="Times New Roman" w:hAnsi="Times New Roman"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10</w:t>
                  </w:r>
                </w:p>
              </w:tc>
              <w:tc>
                <w:tcPr>
                  <w:tcW w:w="770" w:type="pct"/>
                  <w:vMerge w:val="restart"/>
                  <w:noWrap w:val="0"/>
                  <w:tcMar>
                    <w:left w:w="0" w:type="dxa"/>
                    <w:right w:w="0" w:type="dxa"/>
                  </w:tcMar>
                  <w:vAlign w:val="center"/>
                </w:tcPr>
                <w:p w14:paraId="0DE434F6">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eastAsia" w:cs="Times New Roman"/>
                      <w:bCs/>
                      <w:color w:val="000000" w:themeColor="text1"/>
                      <w:spacing w:val="0"/>
                      <w:kern w:val="2"/>
                      <w:sz w:val="21"/>
                      <w:szCs w:val="21"/>
                      <w:lang w:val="en-US" w:eastAsia="zh-CN" w:bidi="ar-SA"/>
                      <w14:textFill>
                        <w14:solidFill>
                          <w14:schemeClr w14:val="tx1"/>
                        </w14:solidFill>
                      </w14:textFill>
                    </w:rPr>
                    <w:t>《</w:t>
                  </w: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废塑料综合利用行业规范条件</w:t>
                  </w:r>
                  <w:r>
                    <w:rPr>
                      <w:rFonts w:hint="eastAsia" w:cs="Times New Roman"/>
                      <w:bCs/>
                      <w:color w:val="000000" w:themeColor="text1"/>
                      <w:spacing w:val="0"/>
                      <w:kern w:val="2"/>
                      <w:sz w:val="21"/>
                      <w:szCs w:val="21"/>
                      <w:lang w:val="en-US" w:eastAsia="zh-CN" w:bidi="ar-SA"/>
                      <w14:textFill>
                        <w14:solidFill>
                          <w14:schemeClr w14:val="tx1"/>
                        </w14:solidFill>
                      </w14:textFill>
                    </w:rPr>
                    <w:t>》</w:t>
                  </w:r>
                </w:p>
              </w:tc>
              <w:tc>
                <w:tcPr>
                  <w:tcW w:w="2440" w:type="pct"/>
                  <w:noWrap w:val="0"/>
                  <w:tcMar>
                    <w:left w:w="0" w:type="dxa"/>
                    <w:right w:w="0" w:type="dxa"/>
                  </w:tcMar>
                  <w:vAlign w:val="center"/>
                </w:tcPr>
                <w:p w14:paraId="40287F9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废塑料综合利用企业所涉及的热塑性废塑料原料，不包括受到危险化学品、农药等污染的废弃塑料包装物、废弃一次性医疗用塑料制品等塑料类危险废物以及氟塑料等特种工程塑料</w:t>
                  </w:r>
                </w:p>
              </w:tc>
              <w:tc>
                <w:tcPr>
                  <w:tcW w:w="1271" w:type="pct"/>
                  <w:noWrap w:val="0"/>
                  <w:tcMar>
                    <w:left w:w="0" w:type="dxa"/>
                    <w:right w:w="0" w:type="dxa"/>
                  </w:tcMar>
                  <w:vAlign w:val="center"/>
                </w:tcPr>
                <w:p w14:paraId="45869C55">
                  <w:pPr>
                    <w:pStyle w:val="25"/>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本项目原料为废吨包（PP吨包和PE吨包）、PP、ABS片料和PP、PE新料，不包括受到危险化学品、农药等污染的废弃塑料包装物、废弃一次性医疗用塑料制品等塑料类危险废物以及氟塑料等特种工程塑料</w:t>
                  </w:r>
                </w:p>
              </w:tc>
              <w:tc>
                <w:tcPr>
                  <w:tcW w:w="324" w:type="pct"/>
                  <w:noWrap w:val="0"/>
                  <w:tcMar>
                    <w:left w:w="0" w:type="dxa"/>
                    <w:right w:w="0" w:type="dxa"/>
                  </w:tcMar>
                  <w:vAlign w:val="center"/>
                </w:tcPr>
                <w:p w14:paraId="551069F2">
                  <w:pPr>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符合</w:t>
                  </w:r>
                </w:p>
              </w:tc>
            </w:tr>
            <w:tr w14:paraId="49AB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2" w:type="pct"/>
                  <w:vMerge w:val="continue"/>
                  <w:noWrap w:val="0"/>
                  <w:tcMar>
                    <w:left w:w="0" w:type="dxa"/>
                    <w:right w:w="0" w:type="dxa"/>
                  </w:tcMar>
                  <w:vAlign w:val="center"/>
                </w:tcPr>
                <w:p w14:paraId="4314D9E1">
                  <w:pPr>
                    <w:pStyle w:val="15"/>
                    <w:spacing w:line="0" w:lineRule="atLeast"/>
                    <w:jc w:val="center"/>
                    <w:rPr>
                      <w:rFonts w:hint="eastAsia" w:ascii="Times New Roman" w:hAnsi="Times New Roman"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5DF3A77B">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p>
              </w:tc>
              <w:tc>
                <w:tcPr>
                  <w:tcW w:w="2440" w:type="pct"/>
                  <w:noWrap w:val="0"/>
                  <w:tcMar>
                    <w:left w:w="0" w:type="dxa"/>
                    <w:right w:w="0" w:type="dxa"/>
                  </w:tcMar>
                  <w:vAlign w:val="center"/>
                </w:tcPr>
                <w:p w14:paraId="536F542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新建及改造、扩建废塑料加工企业应符合国家产业政策及所在地区土地利用总体规划、城乡建设规划、环境保护、污染防治规划。企业建设应有规范化设计要求，采用节能环保技术及生产装备</w:t>
                  </w:r>
                </w:p>
              </w:tc>
              <w:tc>
                <w:tcPr>
                  <w:tcW w:w="1271" w:type="pct"/>
                  <w:noWrap w:val="0"/>
                  <w:tcMar>
                    <w:left w:w="0" w:type="dxa"/>
                    <w:right w:w="0" w:type="dxa"/>
                  </w:tcMar>
                  <w:vAlign w:val="center"/>
                </w:tcPr>
                <w:p w14:paraId="33713B1E">
                  <w:pPr>
                    <w:pStyle w:val="25"/>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项目满足产业政策、规划环评、规划环评审查意见等要求；项目采用节能环保技术及生产装备</w:t>
                  </w:r>
                </w:p>
              </w:tc>
              <w:tc>
                <w:tcPr>
                  <w:tcW w:w="324" w:type="pct"/>
                  <w:noWrap w:val="0"/>
                  <w:tcMar>
                    <w:left w:w="0" w:type="dxa"/>
                    <w:right w:w="0" w:type="dxa"/>
                  </w:tcMar>
                  <w:vAlign w:val="center"/>
                </w:tcPr>
                <w:p w14:paraId="0CD9037B">
                  <w:pPr>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符合</w:t>
                  </w:r>
                </w:p>
              </w:tc>
            </w:tr>
            <w:tr w14:paraId="2A19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2" w:type="pct"/>
                  <w:vMerge w:val="continue"/>
                  <w:noWrap w:val="0"/>
                  <w:tcMar>
                    <w:left w:w="0" w:type="dxa"/>
                    <w:right w:w="0" w:type="dxa"/>
                  </w:tcMar>
                  <w:vAlign w:val="center"/>
                </w:tcPr>
                <w:p w14:paraId="783F2BBE">
                  <w:pPr>
                    <w:pStyle w:val="15"/>
                    <w:spacing w:line="0" w:lineRule="atLeast"/>
                    <w:jc w:val="center"/>
                    <w:rPr>
                      <w:rFonts w:hint="eastAsia" w:ascii="Times New Roman" w:hAnsi="Times New Roman"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08681CB0">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p>
              </w:tc>
              <w:tc>
                <w:tcPr>
                  <w:tcW w:w="2440" w:type="pct"/>
                  <w:noWrap w:val="0"/>
                  <w:tcMar>
                    <w:left w:w="0" w:type="dxa"/>
                    <w:right w:w="0" w:type="dxa"/>
                  </w:tcMar>
                  <w:vAlign w:val="center"/>
                </w:tcPr>
                <w:p w14:paraId="49688AD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在国家法律、法规、规章和规划确定或县级及以上人民政府规定的自然保护区、风景名胜区、饮用水源保护区、基本农田保护区和其他需要特别保护的区域内，不得新建废塑料综合利用企业；已在上述区域投产运营的废塑料综合利用企业，要根据该区域规划要求，依法通过搬迁、转产等方式逐步退出</w:t>
                  </w:r>
                </w:p>
              </w:tc>
              <w:tc>
                <w:tcPr>
                  <w:tcW w:w="1271" w:type="pct"/>
                  <w:noWrap w:val="0"/>
                  <w:tcMar>
                    <w:left w:w="0" w:type="dxa"/>
                    <w:right w:w="0" w:type="dxa"/>
                  </w:tcMar>
                  <w:vAlign w:val="center"/>
                </w:tcPr>
                <w:p w14:paraId="4DA327C4">
                  <w:pPr>
                    <w:pStyle w:val="25"/>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项目位于魏县经济开发区-再生资源循环利用产业园</w:t>
                  </w: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，不在自然保护区、风景名胜区、饮用水源保护区、基本农田保护区和其他需要特别保护的区域内</w:t>
                  </w:r>
                </w:p>
              </w:tc>
              <w:tc>
                <w:tcPr>
                  <w:tcW w:w="324" w:type="pct"/>
                  <w:noWrap w:val="0"/>
                  <w:tcMar>
                    <w:left w:w="0" w:type="dxa"/>
                    <w:right w:w="0" w:type="dxa"/>
                  </w:tcMar>
                  <w:vAlign w:val="center"/>
                </w:tcPr>
                <w:p w14:paraId="3066376D">
                  <w:pPr>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符合</w:t>
                  </w:r>
                </w:p>
              </w:tc>
            </w:tr>
            <w:tr w14:paraId="79C3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2" w:type="pct"/>
                  <w:vMerge w:val="continue"/>
                  <w:noWrap w:val="0"/>
                  <w:tcMar>
                    <w:left w:w="0" w:type="dxa"/>
                    <w:right w:w="0" w:type="dxa"/>
                  </w:tcMar>
                  <w:vAlign w:val="center"/>
                </w:tcPr>
                <w:p w14:paraId="08B4F0F8">
                  <w:pPr>
                    <w:pStyle w:val="15"/>
                    <w:spacing w:line="0" w:lineRule="atLeast"/>
                    <w:jc w:val="center"/>
                    <w:rPr>
                      <w:rFonts w:hint="eastAsia" w:ascii="Times New Roman" w:hAnsi="Times New Roman"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7A0C9DAD">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p>
              </w:tc>
              <w:tc>
                <w:tcPr>
                  <w:tcW w:w="2440" w:type="pct"/>
                  <w:noWrap w:val="0"/>
                  <w:tcMar>
                    <w:left w:w="0" w:type="dxa"/>
                    <w:right w:w="0" w:type="dxa"/>
                  </w:tcMar>
                  <w:vAlign w:val="center"/>
                </w:tcPr>
                <w:p w14:paraId="40987DE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塑料再生造粒类企业：新建企业年废塑料处理能力不低于5000吨；已建企业年废塑料处理能力不低于3000吨</w:t>
                  </w:r>
                  <w:r>
                    <w:rPr>
                      <w:rFonts w:hint="eastAsia" w:cs="Times New Roman"/>
                      <w:bCs/>
                      <w:color w:val="000000" w:themeColor="text1"/>
                      <w:spacing w:val="0"/>
                      <w:kern w:val="2"/>
                      <w:sz w:val="21"/>
                      <w:szCs w:val="21"/>
                      <w:lang w:val="en-US" w:eastAsia="zh-CN" w:bidi="ar-SA"/>
                      <w14:textFill>
                        <w14:solidFill>
                          <w14:schemeClr w14:val="tx1"/>
                        </w14:solidFill>
                      </w14:textFill>
                    </w:rPr>
                    <w:t>；企业应具有与生产能力相匹配的厂区作业场地面积</w:t>
                  </w:r>
                </w:p>
              </w:tc>
              <w:tc>
                <w:tcPr>
                  <w:tcW w:w="1271" w:type="pct"/>
                  <w:noWrap w:val="0"/>
                  <w:tcMar>
                    <w:left w:w="0" w:type="dxa"/>
                    <w:right w:w="0" w:type="dxa"/>
                  </w:tcMar>
                  <w:vAlign w:val="center"/>
                </w:tcPr>
                <w:p w14:paraId="0A97B337">
                  <w:pPr>
                    <w:pStyle w:val="25"/>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项目建成后年生产 12000吨再生塑料颗粒</w:t>
                  </w: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；项目占地面积1666.67m</w:t>
                  </w:r>
                  <w:r>
                    <w:rPr>
                      <w:rFonts w:hint="eastAsia" w:ascii="Times New Roman" w:hAnsi="Times New Roman" w:eastAsia="宋体" w:cs="Times New Roman"/>
                      <w:b w:val="0"/>
                      <w:bCs w:val="0"/>
                      <w:color w:val="000000" w:themeColor="text1"/>
                      <w:spacing w:val="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，可满足生产需求</w:t>
                  </w:r>
                </w:p>
              </w:tc>
              <w:tc>
                <w:tcPr>
                  <w:tcW w:w="324" w:type="pct"/>
                  <w:noWrap w:val="0"/>
                  <w:tcMar>
                    <w:left w:w="0" w:type="dxa"/>
                    <w:right w:w="0" w:type="dxa"/>
                  </w:tcMar>
                  <w:vAlign w:val="center"/>
                </w:tcPr>
                <w:p w14:paraId="39FAD40C">
                  <w:pPr>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符合</w:t>
                  </w:r>
                </w:p>
              </w:tc>
            </w:tr>
            <w:tr w14:paraId="6C2D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2" w:type="pct"/>
                  <w:vMerge w:val="continue"/>
                  <w:noWrap w:val="0"/>
                  <w:tcMar>
                    <w:left w:w="0" w:type="dxa"/>
                    <w:right w:w="0" w:type="dxa"/>
                  </w:tcMar>
                  <w:vAlign w:val="center"/>
                </w:tcPr>
                <w:p w14:paraId="1540AA8A">
                  <w:pPr>
                    <w:pStyle w:val="15"/>
                    <w:spacing w:line="0" w:lineRule="atLeast"/>
                    <w:jc w:val="center"/>
                    <w:rPr>
                      <w:rFonts w:hint="eastAsia" w:ascii="Times New Roman" w:hAnsi="Times New Roman"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1B3495DF">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p>
              </w:tc>
              <w:tc>
                <w:tcPr>
                  <w:tcW w:w="2440" w:type="pct"/>
                  <w:noWrap w:val="0"/>
                  <w:tcMar>
                    <w:left w:w="0" w:type="dxa"/>
                    <w:right w:w="0" w:type="dxa"/>
                  </w:tcMar>
                  <w:vAlign w:val="center"/>
                </w:tcPr>
                <w:p w14:paraId="7061AA4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塑料再生造粒类企业。应具有与加工利用能力相适应的预处理设备和造粒设备。其中，造粒设备应具有强制排气系统，通过集气装置实现废气的集中处理；过滤装置的废弃过滤网应按照环境保护有关规定处理，禁止露天焚烧</w:t>
                  </w:r>
                </w:p>
              </w:tc>
              <w:tc>
                <w:tcPr>
                  <w:tcW w:w="1271" w:type="pct"/>
                  <w:noWrap w:val="0"/>
                  <w:tcMar>
                    <w:left w:w="0" w:type="dxa"/>
                    <w:right w:w="0" w:type="dxa"/>
                  </w:tcMar>
                  <w:vAlign w:val="center"/>
                </w:tcPr>
                <w:p w14:paraId="3385CCCA">
                  <w:pPr>
                    <w:pStyle w:val="25"/>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项目</w:t>
                  </w:r>
                  <w:r>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具有与加工利用能力相适应的预处理设备和造粒设备</w:t>
                  </w: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挤出工序产生的废气采</w:t>
                  </w:r>
                  <w:r>
                    <w:rPr>
                      <w:rFonts w:hint="default" w:ascii="Times New Roman" w:hAnsi="Times New Roman" w:eastAsia="宋体" w:cs="Times New Roman"/>
                      <w:b w:val="0"/>
                      <w:bCs w:val="0"/>
                      <w:color w:val="auto"/>
                      <w:spacing w:val="0"/>
                      <w:sz w:val="21"/>
                      <w:szCs w:val="21"/>
                      <w:lang w:val="en-US" w:eastAsia="zh-CN"/>
                    </w:rPr>
                    <w:t>用喷淋塔+干式过滤+活性炭吸附脱附+催化燃烧</w:t>
                  </w:r>
                  <w:r>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处理后通过15m排气筒排放</w:t>
                  </w: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；项目</w:t>
                  </w:r>
                  <w:r>
                    <w:rPr>
                      <w:rFonts w:hint="eastAsia" w:ascii="Times New Roman" w:hAnsi="Times New Roman" w:eastAsia="宋体" w:cs="Times New Roman"/>
                      <w:b w:val="0"/>
                      <w:bCs w:val="0"/>
                      <w:color w:val="auto"/>
                      <w:spacing w:val="0"/>
                      <w:sz w:val="21"/>
                      <w:szCs w:val="21"/>
                      <w:lang w:val="en-US" w:eastAsia="zh-CN"/>
                    </w:rPr>
                    <w:t>废弃过滤网委托专人处置后回用</w:t>
                  </w:r>
                </w:p>
              </w:tc>
              <w:tc>
                <w:tcPr>
                  <w:tcW w:w="324" w:type="pct"/>
                  <w:noWrap w:val="0"/>
                  <w:tcMar>
                    <w:left w:w="0" w:type="dxa"/>
                    <w:right w:w="0" w:type="dxa"/>
                  </w:tcMar>
                  <w:vAlign w:val="center"/>
                </w:tcPr>
                <w:p w14:paraId="39511547">
                  <w:pPr>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符合</w:t>
                  </w:r>
                </w:p>
              </w:tc>
            </w:tr>
            <w:tr w14:paraId="698C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 w:type="pct"/>
                  <w:vMerge w:val="continue"/>
                  <w:noWrap w:val="0"/>
                  <w:tcMar>
                    <w:left w:w="0" w:type="dxa"/>
                    <w:right w:w="0" w:type="dxa"/>
                  </w:tcMar>
                  <w:vAlign w:val="center"/>
                </w:tcPr>
                <w:p w14:paraId="0EE1E7B0">
                  <w:pPr>
                    <w:pStyle w:val="15"/>
                    <w:spacing w:line="0" w:lineRule="atLeast"/>
                    <w:jc w:val="center"/>
                    <w:rPr>
                      <w:rFonts w:hint="eastAsia" w:ascii="Times New Roman" w:hAnsi="Times New Roman"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79F56E6E">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p>
              </w:tc>
              <w:tc>
                <w:tcPr>
                  <w:tcW w:w="2440" w:type="pct"/>
                  <w:noWrap w:val="0"/>
                  <w:tcMar>
                    <w:left w:w="0" w:type="dxa"/>
                    <w:right w:w="0" w:type="dxa"/>
                  </w:tcMar>
                  <w:vAlign w:val="center"/>
                </w:tcPr>
                <w:p w14:paraId="5387FF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企业加工存储场地应建有围墙，在园区内的企业可为单独厂房，地面全部硬化且无明显破损现象</w:t>
                  </w:r>
                  <w:r>
                    <w:rPr>
                      <w:rFonts w:hint="eastAsia" w:cs="Times New Roman"/>
                      <w:bCs/>
                      <w:color w:val="000000" w:themeColor="text1"/>
                      <w:spacing w:val="0"/>
                      <w:kern w:val="2"/>
                      <w:sz w:val="21"/>
                      <w:szCs w:val="21"/>
                      <w:lang w:val="en-US" w:eastAsia="zh-CN" w:bidi="ar-SA"/>
                      <w14:textFill>
                        <w14:solidFill>
                          <w14:schemeClr w14:val="tx1"/>
                        </w14:solidFill>
                      </w14:textFill>
                    </w:rPr>
                    <w:t>；企业必须配备废塑料分类存放场所。原料、产品、本企业不能利用废塑料及不可利用废物贮存在具有防雨、防风、防渗等功能的厂房或加盖雨棚的专门贮存场地内，无露天堆放现象</w:t>
                  </w:r>
                </w:p>
              </w:tc>
              <w:tc>
                <w:tcPr>
                  <w:tcW w:w="1271" w:type="pct"/>
                  <w:noWrap w:val="0"/>
                  <w:tcMar>
                    <w:left w:w="0" w:type="dxa"/>
                    <w:right w:w="0" w:type="dxa"/>
                  </w:tcMar>
                  <w:vAlign w:val="center"/>
                </w:tcPr>
                <w:p w14:paraId="4D9D60C0">
                  <w:pPr>
                    <w:pStyle w:val="25"/>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项目建有围墙，位于园区内单独厂房，地面全部硬化且无明显破损现象；项目原料分类存放；项目建有一般固废间和危废间，无露天堆放现象</w:t>
                  </w:r>
                </w:p>
              </w:tc>
              <w:tc>
                <w:tcPr>
                  <w:tcW w:w="324" w:type="pct"/>
                  <w:noWrap w:val="0"/>
                  <w:tcMar>
                    <w:left w:w="0" w:type="dxa"/>
                    <w:right w:w="0" w:type="dxa"/>
                  </w:tcMar>
                  <w:vAlign w:val="center"/>
                </w:tcPr>
                <w:p w14:paraId="4C5615DA">
                  <w:pPr>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符合</w:t>
                  </w:r>
                </w:p>
              </w:tc>
            </w:tr>
            <w:tr w14:paraId="01EC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2" w:type="pct"/>
                  <w:vMerge w:val="continue"/>
                  <w:noWrap w:val="0"/>
                  <w:tcMar>
                    <w:left w:w="0" w:type="dxa"/>
                    <w:right w:w="0" w:type="dxa"/>
                  </w:tcMar>
                  <w:vAlign w:val="center"/>
                </w:tcPr>
                <w:p w14:paraId="18DE0D68">
                  <w:pPr>
                    <w:pStyle w:val="15"/>
                    <w:spacing w:line="0" w:lineRule="atLeast"/>
                    <w:jc w:val="center"/>
                    <w:rPr>
                      <w:rFonts w:hint="eastAsia" w:ascii="Times New Roman" w:hAnsi="Times New Roman"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4B1EE82D">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p>
              </w:tc>
              <w:tc>
                <w:tcPr>
                  <w:tcW w:w="2440" w:type="pct"/>
                  <w:noWrap w:val="0"/>
                  <w:tcMar>
                    <w:left w:w="0" w:type="dxa"/>
                    <w:right w:w="0" w:type="dxa"/>
                  </w:tcMar>
                  <w:vAlign w:val="center"/>
                </w:tcPr>
                <w:p w14:paraId="766731A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再生加工过程中产生废气、粉尘的加工车间应设置废气、粉尘收集处理设施，通过净化处理，达标后排放</w:t>
                  </w:r>
                  <w:r>
                    <w:rPr>
                      <w:rFonts w:hint="eastAsia" w:cs="Times New Roman"/>
                      <w:bCs/>
                      <w:color w:val="000000" w:themeColor="text1"/>
                      <w:spacing w:val="0"/>
                      <w:kern w:val="2"/>
                      <w:sz w:val="21"/>
                      <w:szCs w:val="21"/>
                      <w:lang w:val="en-US" w:eastAsia="zh-CN" w:bidi="ar-SA"/>
                      <w14:textFill>
                        <w14:solidFill>
                          <w14:schemeClr w14:val="tx1"/>
                        </w14:solidFill>
                      </w14:textFill>
                    </w:rPr>
                    <w:t>；</w:t>
                  </w: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对于加工过程中噪音污染大的设备，必须采取降噪和隔音措施，企业噪声应达到《工业企业厂界环境噪声排放标准》</w:t>
                  </w:r>
                </w:p>
              </w:tc>
              <w:tc>
                <w:tcPr>
                  <w:tcW w:w="1271" w:type="pct"/>
                  <w:noWrap w:val="0"/>
                  <w:tcMar>
                    <w:left w:w="0" w:type="dxa"/>
                    <w:right w:w="0" w:type="dxa"/>
                  </w:tcMar>
                  <w:vAlign w:val="center"/>
                </w:tcPr>
                <w:p w14:paraId="673CA326">
                  <w:pPr>
                    <w:pStyle w:val="25"/>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项目废气、噪声均采取了严格有效的治理和处置措施，污染物均能达标排放</w:t>
                  </w:r>
                </w:p>
              </w:tc>
              <w:tc>
                <w:tcPr>
                  <w:tcW w:w="324" w:type="pct"/>
                  <w:noWrap w:val="0"/>
                  <w:tcMar>
                    <w:left w:w="0" w:type="dxa"/>
                    <w:right w:w="0" w:type="dxa"/>
                  </w:tcMar>
                  <w:vAlign w:val="center"/>
                </w:tcPr>
                <w:p w14:paraId="11FF81FF">
                  <w:pPr>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符合</w:t>
                  </w:r>
                </w:p>
              </w:tc>
            </w:tr>
            <w:tr w14:paraId="7DC8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2" w:type="pct"/>
                  <w:vMerge w:val="restart"/>
                  <w:noWrap w:val="0"/>
                  <w:tcMar>
                    <w:left w:w="0" w:type="dxa"/>
                    <w:right w:w="0" w:type="dxa"/>
                  </w:tcMar>
                  <w:vAlign w:val="center"/>
                </w:tcPr>
                <w:p w14:paraId="529FF611">
                  <w:pPr>
                    <w:pStyle w:val="15"/>
                    <w:spacing w:line="0" w:lineRule="atLeast"/>
                    <w:jc w:val="center"/>
                    <w:rPr>
                      <w:rFonts w:hint="default" w:ascii="Times New Roman" w:hAnsi="Times New Roman"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11</w:t>
                  </w:r>
                </w:p>
              </w:tc>
              <w:tc>
                <w:tcPr>
                  <w:tcW w:w="770" w:type="pct"/>
                  <w:vMerge w:val="restart"/>
                  <w:noWrap w:val="0"/>
                  <w:tcMar>
                    <w:left w:w="0" w:type="dxa"/>
                    <w:right w:w="0" w:type="dxa"/>
                  </w:tcMar>
                  <w:vAlign w:val="center"/>
                </w:tcPr>
                <w:p w14:paraId="219BDD8F">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eastAsia" w:cs="Times New Roman"/>
                      <w:bCs/>
                      <w:color w:val="000000" w:themeColor="text1"/>
                      <w:spacing w:val="0"/>
                      <w:kern w:val="2"/>
                      <w:sz w:val="21"/>
                      <w:szCs w:val="21"/>
                      <w:lang w:val="en-US" w:eastAsia="zh-CN" w:bidi="ar-SA"/>
                      <w14:textFill>
                        <w14:solidFill>
                          <w14:schemeClr w14:val="tx1"/>
                        </w14:solidFill>
                      </w14:textFill>
                    </w:rPr>
                    <w:t>《废塑料污染控制技术规范》（HJ 364-2022）</w:t>
                  </w:r>
                </w:p>
              </w:tc>
              <w:tc>
                <w:tcPr>
                  <w:tcW w:w="2440" w:type="pct"/>
                  <w:noWrap w:val="0"/>
                  <w:tcMar>
                    <w:left w:w="0" w:type="dxa"/>
                    <w:right w:w="0" w:type="dxa"/>
                  </w:tcMar>
                  <w:vAlign w:val="center"/>
                </w:tcPr>
                <w:p w14:paraId="2AF38F7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涉及废塑料的产生、收集、运输、贮存、利用、处置的单位和其他生产经营者，应根据产生的污染物采取防扬散、防流失、防渗漏或者其他防止污染环境的措施，并执行国家和地方相关排放标准</w:t>
                  </w:r>
                </w:p>
              </w:tc>
              <w:tc>
                <w:tcPr>
                  <w:tcW w:w="1271" w:type="pct"/>
                  <w:noWrap w:val="0"/>
                  <w:tcMar>
                    <w:left w:w="0" w:type="dxa"/>
                    <w:right w:w="0" w:type="dxa"/>
                  </w:tcMar>
                  <w:vAlign w:val="center"/>
                </w:tcPr>
                <w:p w14:paraId="0341786C">
                  <w:pPr>
                    <w:pStyle w:val="25"/>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项目废气、废水、噪声及固废污染物均采取了严格有效的治理和处置措施，污染物均能达标排放</w:t>
                  </w:r>
                </w:p>
              </w:tc>
              <w:tc>
                <w:tcPr>
                  <w:tcW w:w="324" w:type="pct"/>
                  <w:noWrap w:val="0"/>
                  <w:tcMar>
                    <w:left w:w="0" w:type="dxa"/>
                    <w:right w:w="0" w:type="dxa"/>
                  </w:tcMar>
                  <w:vAlign w:val="center"/>
                </w:tcPr>
                <w:p w14:paraId="2127C7E9">
                  <w:pPr>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符合</w:t>
                  </w:r>
                </w:p>
              </w:tc>
            </w:tr>
            <w:tr w14:paraId="2E87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2" w:type="pct"/>
                  <w:vMerge w:val="continue"/>
                  <w:noWrap w:val="0"/>
                  <w:tcMar>
                    <w:left w:w="0" w:type="dxa"/>
                    <w:right w:w="0" w:type="dxa"/>
                  </w:tcMar>
                  <w:vAlign w:val="center"/>
                </w:tcPr>
                <w:p w14:paraId="11679D20">
                  <w:pPr>
                    <w:pStyle w:val="15"/>
                    <w:spacing w:line="0" w:lineRule="atLeast"/>
                    <w:jc w:val="center"/>
                    <w:rPr>
                      <w:rFonts w:hint="eastAsia" w:ascii="Times New Roman" w:hAnsi="Times New Roman"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55CCCA93">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p>
              </w:tc>
              <w:tc>
                <w:tcPr>
                  <w:tcW w:w="2440" w:type="pct"/>
                  <w:noWrap w:val="0"/>
                  <w:tcMar>
                    <w:left w:w="0" w:type="dxa"/>
                    <w:right w:w="0" w:type="dxa"/>
                  </w:tcMar>
                  <w:vAlign w:val="center"/>
                </w:tcPr>
                <w:p w14:paraId="7E319CF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废塑料的产生、收集、贮存、预处理和再生利用企业内应单独划分贮存场地，不同种类的废塑料宜分开贮存，贮存场地应具有防雨、防扬散、防渗漏等措施，并按GB15562.2的要求设置标识</w:t>
                  </w:r>
                </w:p>
              </w:tc>
              <w:tc>
                <w:tcPr>
                  <w:tcW w:w="1271" w:type="pct"/>
                  <w:noWrap w:val="0"/>
                  <w:tcMar>
                    <w:left w:w="0" w:type="dxa"/>
                    <w:right w:w="0" w:type="dxa"/>
                  </w:tcMar>
                  <w:vAlign w:val="center"/>
                </w:tcPr>
                <w:p w14:paraId="4BA0A878">
                  <w:pPr>
                    <w:pStyle w:val="25"/>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项目原料分类存放，原料区具有防雨、防扬散、防渗漏等措施并按要求设置标识</w:t>
                  </w:r>
                </w:p>
              </w:tc>
              <w:tc>
                <w:tcPr>
                  <w:tcW w:w="324" w:type="pct"/>
                  <w:noWrap w:val="0"/>
                  <w:tcMar>
                    <w:left w:w="0" w:type="dxa"/>
                    <w:right w:w="0" w:type="dxa"/>
                  </w:tcMar>
                  <w:vAlign w:val="center"/>
                </w:tcPr>
                <w:p w14:paraId="592E6385">
                  <w:pPr>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符合</w:t>
                  </w:r>
                </w:p>
              </w:tc>
            </w:tr>
            <w:tr w14:paraId="0F66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2" w:type="pct"/>
                  <w:vMerge w:val="continue"/>
                  <w:noWrap w:val="0"/>
                  <w:tcMar>
                    <w:left w:w="0" w:type="dxa"/>
                    <w:right w:w="0" w:type="dxa"/>
                  </w:tcMar>
                  <w:vAlign w:val="center"/>
                </w:tcPr>
                <w:p w14:paraId="2ED06739">
                  <w:pPr>
                    <w:pStyle w:val="15"/>
                    <w:spacing w:line="0" w:lineRule="atLeast"/>
                    <w:jc w:val="center"/>
                    <w:rPr>
                      <w:rFonts w:hint="eastAsia" w:ascii="Times New Roman" w:hAnsi="Times New Roman"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158B21DD">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p>
              </w:tc>
              <w:tc>
                <w:tcPr>
                  <w:tcW w:w="2440" w:type="pct"/>
                  <w:noWrap w:val="0"/>
                  <w:tcMar>
                    <w:left w:w="0" w:type="dxa"/>
                    <w:right w:w="0" w:type="dxa"/>
                  </w:tcMar>
                  <w:vAlign w:val="center"/>
                </w:tcPr>
                <w:p w14:paraId="700375E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废塑料的收集、再生利用和处置企业，应建立废塑料管理台账，内容包括废塑料的来源、种类、数量、去向等，相关台账应保存至少3年</w:t>
                  </w:r>
                </w:p>
              </w:tc>
              <w:tc>
                <w:tcPr>
                  <w:tcW w:w="1271" w:type="pct"/>
                  <w:noWrap w:val="0"/>
                  <w:tcMar>
                    <w:left w:w="0" w:type="dxa"/>
                    <w:right w:w="0" w:type="dxa"/>
                  </w:tcMar>
                  <w:vAlign w:val="center"/>
                </w:tcPr>
                <w:p w14:paraId="4A1CED42">
                  <w:pPr>
                    <w:pStyle w:val="25"/>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项目</w:t>
                  </w:r>
                  <w:r>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建立废塑料管理台账，内容包括废塑料的来源、种类、数量、去向等，相关台账应保存至少3年</w:t>
                  </w:r>
                </w:p>
              </w:tc>
              <w:tc>
                <w:tcPr>
                  <w:tcW w:w="324" w:type="pct"/>
                  <w:noWrap w:val="0"/>
                  <w:tcMar>
                    <w:left w:w="0" w:type="dxa"/>
                    <w:right w:w="0" w:type="dxa"/>
                  </w:tcMar>
                  <w:vAlign w:val="center"/>
                </w:tcPr>
                <w:p w14:paraId="1B2787A6">
                  <w:pPr>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符合</w:t>
                  </w:r>
                </w:p>
              </w:tc>
            </w:tr>
            <w:tr w14:paraId="5B8B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2" w:type="pct"/>
                  <w:vMerge w:val="continue"/>
                  <w:noWrap w:val="0"/>
                  <w:tcMar>
                    <w:left w:w="0" w:type="dxa"/>
                    <w:right w:w="0" w:type="dxa"/>
                  </w:tcMar>
                  <w:vAlign w:val="center"/>
                </w:tcPr>
                <w:p w14:paraId="3F026436">
                  <w:pPr>
                    <w:pStyle w:val="15"/>
                    <w:spacing w:line="0" w:lineRule="atLeast"/>
                    <w:jc w:val="center"/>
                    <w:rPr>
                      <w:rFonts w:hint="eastAsia" w:ascii="Times New Roman" w:hAnsi="Times New Roman"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61B17EBD">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p>
              </w:tc>
              <w:tc>
                <w:tcPr>
                  <w:tcW w:w="2440" w:type="pct"/>
                  <w:noWrap w:val="0"/>
                  <w:tcMar>
                    <w:left w:w="0" w:type="dxa"/>
                    <w:right w:w="0" w:type="dxa"/>
                  </w:tcMar>
                  <w:vAlign w:val="center"/>
                </w:tcPr>
                <w:p w14:paraId="400F448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废塑料的破碎方法可分为干法破碎和湿法破碎。使用干法破碎时，应配备相应的防尘、防噪声设备。使用湿法破碎时，应有配套的污水收集和处理设施</w:t>
                  </w:r>
                </w:p>
              </w:tc>
              <w:tc>
                <w:tcPr>
                  <w:tcW w:w="1271" w:type="pct"/>
                  <w:noWrap w:val="0"/>
                  <w:tcMar>
                    <w:left w:w="0" w:type="dxa"/>
                    <w:right w:w="0" w:type="dxa"/>
                  </w:tcMar>
                  <w:vAlign w:val="center"/>
                </w:tcPr>
                <w:p w14:paraId="0B10C9CE">
                  <w:pPr>
                    <w:pStyle w:val="25"/>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项目少量废PP、ABS片料采用干法粉碎，配备袋式除尘；废吨包采用湿法粉碎，清洗废水经沉淀池处理后循环利用</w:t>
                  </w:r>
                </w:p>
              </w:tc>
              <w:tc>
                <w:tcPr>
                  <w:tcW w:w="324" w:type="pct"/>
                  <w:noWrap w:val="0"/>
                  <w:tcMar>
                    <w:left w:w="0" w:type="dxa"/>
                    <w:right w:w="0" w:type="dxa"/>
                  </w:tcMar>
                  <w:vAlign w:val="center"/>
                </w:tcPr>
                <w:p w14:paraId="36AA7690">
                  <w:pPr>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符合</w:t>
                  </w:r>
                </w:p>
              </w:tc>
            </w:tr>
            <w:tr w14:paraId="5F19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2" w:type="pct"/>
                  <w:vMerge w:val="continue"/>
                  <w:noWrap w:val="0"/>
                  <w:tcMar>
                    <w:left w:w="0" w:type="dxa"/>
                    <w:right w:w="0" w:type="dxa"/>
                  </w:tcMar>
                  <w:vAlign w:val="center"/>
                </w:tcPr>
                <w:p w14:paraId="7696B178">
                  <w:pPr>
                    <w:pStyle w:val="15"/>
                    <w:spacing w:line="0" w:lineRule="atLeast"/>
                    <w:jc w:val="center"/>
                    <w:rPr>
                      <w:rFonts w:hint="eastAsia" w:ascii="Times New Roman" w:hAnsi="Times New Roman"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550896A4">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p>
              </w:tc>
              <w:tc>
                <w:tcPr>
                  <w:tcW w:w="2440" w:type="pct"/>
                  <w:noWrap w:val="0"/>
                  <w:tcMar>
                    <w:left w:w="0" w:type="dxa"/>
                    <w:right w:w="0" w:type="dxa"/>
                  </w:tcMar>
                  <w:vAlign w:val="center"/>
                </w:tcPr>
                <w:p w14:paraId="0B074B2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宜采用节水的自动化清洗技术，宜采用无磷清洗剂或其他绿色清洗剂，不得使用有毒有害的清洗剂</w:t>
                  </w:r>
                  <w:r>
                    <w:rPr>
                      <w:rFonts w:hint="eastAsia" w:cs="Times New Roman"/>
                      <w:bCs/>
                      <w:color w:val="000000" w:themeColor="text1"/>
                      <w:spacing w:val="0"/>
                      <w:kern w:val="2"/>
                      <w:sz w:val="21"/>
                      <w:szCs w:val="21"/>
                      <w:lang w:val="en-US" w:eastAsia="zh-CN" w:bidi="ar-SA"/>
                      <w14:textFill>
                        <w14:solidFill>
                          <w14:schemeClr w14:val="tx1"/>
                        </w14:solidFill>
                      </w14:textFill>
                    </w:rPr>
                    <w:t>；应根据清洗废水中污染物的种类和浓度，配备相应的废水收集和处理设施，清洗废水处理后宜循环使用</w:t>
                  </w:r>
                </w:p>
              </w:tc>
              <w:tc>
                <w:tcPr>
                  <w:tcW w:w="1271" w:type="pct"/>
                  <w:noWrap w:val="0"/>
                  <w:tcMar>
                    <w:left w:w="0" w:type="dxa"/>
                    <w:right w:w="0" w:type="dxa"/>
                  </w:tcMar>
                  <w:vAlign w:val="center"/>
                </w:tcPr>
                <w:p w14:paraId="3FC40474">
                  <w:pPr>
                    <w:pStyle w:val="25"/>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项目清洗不使用清洗剂，仅用清水进行清洗，清洗废水经沉淀池处理后循环利用</w:t>
                  </w:r>
                </w:p>
              </w:tc>
              <w:tc>
                <w:tcPr>
                  <w:tcW w:w="324" w:type="pct"/>
                  <w:noWrap w:val="0"/>
                  <w:tcMar>
                    <w:left w:w="0" w:type="dxa"/>
                    <w:right w:w="0" w:type="dxa"/>
                  </w:tcMar>
                  <w:vAlign w:val="center"/>
                </w:tcPr>
                <w:p w14:paraId="6EF57485">
                  <w:pPr>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符合</w:t>
                  </w:r>
                </w:p>
              </w:tc>
            </w:tr>
            <w:tr w14:paraId="706D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2" w:type="pct"/>
                  <w:vMerge w:val="continue"/>
                  <w:noWrap w:val="0"/>
                  <w:tcMar>
                    <w:left w:w="0" w:type="dxa"/>
                    <w:right w:w="0" w:type="dxa"/>
                  </w:tcMar>
                  <w:vAlign w:val="center"/>
                </w:tcPr>
                <w:p w14:paraId="4F3D1519">
                  <w:pPr>
                    <w:pStyle w:val="15"/>
                    <w:spacing w:line="0" w:lineRule="atLeast"/>
                    <w:jc w:val="center"/>
                    <w:rPr>
                      <w:rFonts w:hint="eastAsia" w:ascii="Times New Roman" w:hAnsi="Times New Roman"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683CA96D">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p>
              </w:tc>
              <w:tc>
                <w:tcPr>
                  <w:tcW w:w="2440" w:type="pct"/>
                  <w:noWrap w:val="0"/>
                  <w:tcMar>
                    <w:left w:w="0" w:type="dxa"/>
                    <w:right w:w="0" w:type="dxa"/>
                  </w:tcMar>
                  <w:vAlign w:val="center"/>
                </w:tcPr>
                <w:p w14:paraId="79B0AD3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应收集并处理废塑料再生利用过程中产生的废气，大气污染物排放应符合 GB31572或GB16297、GB37822等标准的规定，恶臭污染物排放应符合GB14554的规定</w:t>
                  </w:r>
                  <w:r>
                    <w:rPr>
                      <w:rFonts w:hint="eastAsia" w:cs="Times New Roman"/>
                      <w:bCs/>
                      <w:color w:val="000000" w:themeColor="text1"/>
                      <w:spacing w:val="0"/>
                      <w:kern w:val="2"/>
                      <w:sz w:val="21"/>
                      <w:szCs w:val="21"/>
                      <w:lang w:val="en-US" w:eastAsia="zh-CN" w:bidi="ar-SA"/>
                      <w14:textFill>
                        <w14:solidFill>
                          <w14:schemeClr w14:val="tx1"/>
                        </w14:solidFill>
                      </w14:textFill>
                    </w:rPr>
                    <w:t>；废塑料再生利用过程中应控制噪声污染，噪声排放应符合GB12348的规定</w:t>
                  </w:r>
                </w:p>
              </w:tc>
              <w:tc>
                <w:tcPr>
                  <w:tcW w:w="1271" w:type="pct"/>
                  <w:noWrap w:val="0"/>
                  <w:tcMar>
                    <w:left w:w="0" w:type="dxa"/>
                    <w:right w:w="0" w:type="dxa"/>
                  </w:tcMar>
                  <w:vAlign w:val="center"/>
                </w:tcPr>
                <w:p w14:paraId="0A1959A2">
                  <w:pPr>
                    <w:pStyle w:val="25"/>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项目废气、废水、噪声及固废污染物均采取了严格有效的治理和处置措施，污染物均能达标排放</w:t>
                  </w:r>
                </w:p>
              </w:tc>
              <w:tc>
                <w:tcPr>
                  <w:tcW w:w="324" w:type="pct"/>
                  <w:noWrap w:val="0"/>
                  <w:tcMar>
                    <w:left w:w="0" w:type="dxa"/>
                    <w:right w:w="0" w:type="dxa"/>
                  </w:tcMar>
                  <w:vAlign w:val="center"/>
                </w:tcPr>
                <w:p w14:paraId="326C74D1">
                  <w:pPr>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符合</w:t>
                  </w:r>
                </w:p>
              </w:tc>
            </w:tr>
            <w:tr w14:paraId="07CE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2" w:type="pct"/>
                  <w:vMerge w:val="continue"/>
                  <w:noWrap w:val="0"/>
                  <w:tcMar>
                    <w:left w:w="0" w:type="dxa"/>
                    <w:right w:w="0" w:type="dxa"/>
                  </w:tcMar>
                  <w:vAlign w:val="center"/>
                </w:tcPr>
                <w:p w14:paraId="18113676">
                  <w:pPr>
                    <w:pStyle w:val="15"/>
                    <w:spacing w:line="0" w:lineRule="atLeast"/>
                    <w:jc w:val="center"/>
                    <w:rPr>
                      <w:rFonts w:hint="eastAsia" w:ascii="Times New Roman" w:hAnsi="Times New Roman"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12CDD0C5">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p>
              </w:tc>
              <w:tc>
                <w:tcPr>
                  <w:tcW w:w="2440" w:type="pct"/>
                  <w:noWrap w:val="0"/>
                  <w:tcMar>
                    <w:left w:w="0" w:type="dxa"/>
                    <w:right w:w="0" w:type="dxa"/>
                  </w:tcMar>
                  <w:vAlign w:val="center"/>
                </w:tcPr>
                <w:p w14:paraId="1386F7E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废塑料的物理再生工艺中，熔融造粒车间应安装废气收集及处理装置，挤出工艺的冷却废水宜循环使用</w:t>
                  </w:r>
                </w:p>
              </w:tc>
              <w:tc>
                <w:tcPr>
                  <w:tcW w:w="1271" w:type="pct"/>
                  <w:noWrap w:val="0"/>
                  <w:tcMar>
                    <w:left w:w="0" w:type="dxa"/>
                    <w:right w:w="0" w:type="dxa"/>
                  </w:tcMar>
                  <w:vAlign w:val="center"/>
                </w:tcPr>
                <w:p w14:paraId="21F58FCF">
                  <w:pPr>
                    <w:pStyle w:val="25"/>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挤出工序产生的废气采用</w:t>
                  </w:r>
                  <w:r>
                    <w:rPr>
                      <w:rFonts w:hint="default" w:ascii="Times New Roman" w:hAnsi="Times New Roman" w:eastAsia="宋体" w:cs="Times New Roman"/>
                      <w:b w:val="0"/>
                      <w:bCs w:val="0"/>
                      <w:color w:val="auto"/>
                      <w:spacing w:val="0"/>
                      <w:sz w:val="21"/>
                      <w:szCs w:val="21"/>
                      <w:lang w:val="en-US" w:eastAsia="zh-CN"/>
                    </w:rPr>
                    <w:t>喷淋塔+干式过滤+活性炭吸附脱附+催化燃烧</w:t>
                  </w:r>
                  <w:r>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处理后通过15m排气筒排放</w:t>
                  </w: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，冷却用水循环使用，不外排</w:t>
                  </w:r>
                </w:p>
              </w:tc>
              <w:tc>
                <w:tcPr>
                  <w:tcW w:w="324" w:type="pct"/>
                  <w:noWrap w:val="0"/>
                  <w:tcMar>
                    <w:left w:w="0" w:type="dxa"/>
                    <w:right w:w="0" w:type="dxa"/>
                  </w:tcMar>
                  <w:vAlign w:val="center"/>
                </w:tcPr>
                <w:p w14:paraId="2FA23AE7">
                  <w:pPr>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符合</w:t>
                  </w:r>
                </w:p>
              </w:tc>
            </w:tr>
            <w:tr w14:paraId="1C42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2" w:type="pct"/>
                  <w:vMerge w:val="continue"/>
                  <w:noWrap w:val="0"/>
                  <w:tcMar>
                    <w:left w:w="0" w:type="dxa"/>
                    <w:right w:w="0" w:type="dxa"/>
                  </w:tcMar>
                  <w:vAlign w:val="center"/>
                </w:tcPr>
                <w:p w14:paraId="4FB112ED">
                  <w:pPr>
                    <w:pStyle w:val="15"/>
                    <w:spacing w:line="0" w:lineRule="atLeast"/>
                    <w:jc w:val="center"/>
                    <w:rPr>
                      <w:rFonts w:hint="eastAsia" w:ascii="Times New Roman" w:hAnsi="Times New Roman"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6C39C29D">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p>
              </w:tc>
              <w:tc>
                <w:tcPr>
                  <w:tcW w:w="2440" w:type="pct"/>
                  <w:noWrap w:val="0"/>
                  <w:tcMar>
                    <w:left w:w="0" w:type="dxa"/>
                    <w:right w:w="0" w:type="dxa"/>
                  </w:tcMar>
                  <w:vAlign w:val="center"/>
                </w:tcPr>
                <w:p w14:paraId="42CC151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废塑料的产生、收集、运输、贮存和再生利用企业，应按照GB/T19001、GB/T24001、GB/T45001等标准建立管理体系，设置专门的部门或者专（兼）职人员，负责废塑料收集和再生利用过程中的相关环境管理工作</w:t>
                  </w:r>
                </w:p>
              </w:tc>
              <w:tc>
                <w:tcPr>
                  <w:tcW w:w="1271" w:type="pct"/>
                  <w:noWrap w:val="0"/>
                  <w:tcMar>
                    <w:left w:w="0" w:type="dxa"/>
                    <w:right w:w="0" w:type="dxa"/>
                  </w:tcMar>
                  <w:vAlign w:val="center"/>
                </w:tcPr>
                <w:p w14:paraId="058F39EC">
                  <w:pPr>
                    <w:pStyle w:val="25"/>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项目</w:t>
                  </w:r>
                  <w:r>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建立管理体系，设置专门的部门或者专（兼）职人员，负责废塑料收集和再生利用过程中的相关环境管理工作</w:t>
                  </w:r>
                </w:p>
              </w:tc>
              <w:tc>
                <w:tcPr>
                  <w:tcW w:w="324" w:type="pct"/>
                  <w:noWrap w:val="0"/>
                  <w:tcMar>
                    <w:left w:w="0" w:type="dxa"/>
                    <w:right w:w="0" w:type="dxa"/>
                  </w:tcMar>
                  <w:vAlign w:val="center"/>
                </w:tcPr>
                <w:p w14:paraId="22D20C7F">
                  <w:pPr>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符合</w:t>
                  </w:r>
                </w:p>
              </w:tc>
            </w:tr>
            <w:tr w14:paraId="1F1E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2" w:type="pct"/>
                  <w:vMerge w:val="continue"/>
                  <w:noWrap w:val="0"/>
                  <w:tcMar>
                    <w:left w:w="0" w:type="dxa"/>
                    <w:right w:w="0" w:type="dxa"/>
                  </w:tcMar>
                  <w:vAlign w:val="center"/>
                </w:tcPr>
                <w:p w14:paraId="669B042A">
                  <w:pPr>
                    <w:pStyle w:val="15"/>
                    <w:spacing w:line="0" w:lineRule="atLeast"/>
                    <w:jc w:val="center"/>
                    <w:rPr>
                      <w:rFonts w:hint="eastAsia" w:ascii="Times New Roman" w:hAnsi="Times New Roman"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2C062FA0">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p>
              </w:tc>
              <w:tc>
                <w:tcPr>
                  <w:tcW w:w="2440" w:type="pct"/>
                  <w:noWrap w:val="0"/>
                  <w:tcMar>
                    <w:left w:w="0" w:type="dxa"/>
                    <w:right w:w="0" w:type="dxa"/>
                  </w:tcMar>
                  <w:vAlign w:val="center"/>
                </w:tcPr>
                <w:p w14:paraId="4F003F3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废塑料的再生利用项目应严格执行环境影响评价和</w:t>
                  </w:r>
                  <w:r>
                    <w:rPr>
                      <w:rFonts w:hint="eastAsia" w:cs="Times New Roman"/>
                      <w:bCs/>
                      <w:color w:val="000000" w:themeColor="text1"/>
                      <w:spacing w:val="0"/>
                      <w:kern w:val="2"/>
                      <w:sz w:val="21"/>
                      <w:szCs w:val="21"/>
                      <w:lang w:val="en-US" w:eastAsia="zh-CN" w:bidi="ar-SA"/>
                      <w14:textFill>
                        <w14:solidFill>
                          <w14:schemeClr w14:val="tx1"/>
                        </w14:solidFill>
                      </w14:textFill>
                    </w:rPr>
                    <w:t>“</w:t>
                  </w: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三同时</w:t>
                  </w:r>
                  <w:r>
                    <w:rPr>
                      <w:rFonts w:hint="eastAsia" w:cs="Times New Roman"/>
                      <w:bCs/>
                      <w:color w:val="000000" w:themeColor="text1"/>
                      <w:spacing w:val="0"/>
                      <w:kern w:val="2"/>
                      <w:sz w:val="21"/>
                      <w:szCs w:val="21"/>
                      <w:lang w:val="en-US" w:eastAsia="zh-CN" w:bidi="ar-SA"/>
                      <w14:textFill>
                        <w14:solidFill>
                          <w14:schemeClr w14:val="tx1"/>
                        </w14:solidFill>
                      </w14:textFill>
                    </w:rPr>
                    <w:t>”</w:t>
                  </w: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制度。新建和改扩建废塑料再生利用项目的选址应符合当地城市总体发展规划、用地规划、生态环境分区管控方案、规划环评及其他环境保护要求。废塑料再生利用项目应按功能划分厂区，包括管理区、原料贮存区、生产区、产品贮存区、不可利用废物的贮存和处理区等，各功能区应有明显的界线或标识</w:t>
                  </w:r>
                </w:p>
              </w:tc>
              <w:tc>
                <w:tcPr>
                  <w:tcW w:w="1271" w:type="pct"/>
                  <w:noWrap w:val="0"/>
                  <w:tcMar>
                    <w:left w:w="0" w:type="dxa"/>
                    <w:right w:w="0" w:type="dxa"/>
                  </w:tcMar>
                  <w:vAlign w:val="center"/>
                </w:tcPr>
                <w:p w14:paraId="6C9D5DD2">
                  <w:pPr>
                    <w:pStyle w:val="25"/>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项目严格执行环境影响评价和“三同时”制度；项目建设满足产业政策、规划环评、规划环评审查意见等要求；项目车间分为原料区、生产区、成品区等区域，各功能区有明显的界线</w:t>
                  </w:r>
                </w:p>
              </w:tc>
              <w:tc>
                <w:tcPr>
                  <w:tcW w:w="324" w:type="pct"/>
                  <w:noWrap w:val="0"/>
                  <w:tcMar>
                    <w:left w:w="0" w:type="dxa"/>
                    <w:right w:w="0" w:type="dxa"/>
                  </w:tcMar>
                  <w:vAlign w:val="center"/>
                </w:tcPr>
                <w:p w14:paraId="6C107299">
                  <w:pPr>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符合</w:t>
                  </w:r>
                </w:p>
              </w:tc>
            </w:tr>
            <w:tr w14:paraId="31D1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2" w:type="pct"/>
                  <w:vMerge w:val="continue"/>
                  <w:noWrap w:val="0"/>
                  <w:tcMar>
                    <w:left w:w="0" w:type="dxa"/>
                    <w:right w:w="0" w:type="dxa"/>
                  </w:tcMar>
                  <w:vAlign w:val="center"/>
                </w:tcPr>
                <w:p w14:paraId="6776D087">
                  <w:pPr>
                    <w:pStyle w:val="15"/>
                    <w:spacing w:line="0" w:lineRule="atLeast"/>
                    <w:jc w:val="center"/>
                    <w:rPr>
                      <w:rFonts w:hint="eastAsia" w:ascii="Times New Roman" w:hAnsi="Times New Roman"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25A71FD9">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p>
              </w:tc>
              <w:tc>
                <w:tcPr>
                  <w:tcW w:w="2440" w:type="pct"/>
                  <w:noWrap w:val="0"/>
                  <w:tcMar>
                    <w:left w:w="0" w:type="dxa"/>
                    <w:right w:w="0" w:type="dxa"/>
                  </w:tcMar>
                  <w:vAlign w:val="center"/>
                </w:tcPr>
                <w:p w14:paraId="3DBE721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废塑料的再生利用和处置企业，应按照排污许可证、HJ819以及本标准的要求，制定自行监测方案，对废塑料的利用处置过程污染物排放状况及周边环境质量的影响开展自行监测，保存原始监测记录，并依规进行信息公开</w:t>
                  </w:r>
                </w:p>
              </w:tc>
              <w:tc>
                <w:tcPr>
                  <w:tcW w:w="1271" w:type="pct"/>
                  <w:noWrap w:val="0"/>
                  <w:tcMar>
                    <w:left w:w="0" w:type="dxa"/>
                    <w:right w:w="0" w:type="dxa"/>
                  </w:tcMar>
                  <w:vAlign w:val="center"/>
                </w:tcPr>
                <w:p w14:paraId="7210F52C">
                  <w:pPr>
                    <w:pStyle w:val="25"/>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项目按要求制定自行监测方案。待项目建设完成后开展自行监测，保存原始监测记录，并依规进行信息公开</w:t>
                  </w:r>
                </w:p>
              </w:tc>
              <w:tc>
                <w:tcPr>
                  <w:tcW w:w="324" w:type="pct"/>
                  <w:noWrap w:val="0"/>
                  <w:tcMar>
                    <w:left w:w="0" w:type="dxa"/>
                    <w:right w:w="0" w:type="dxa"/>
                  </w:tcMar>
                  <w:vAlign w:val="center"/>
                </w:tcPr>
                <w:p w14:paraId="71932ECD">
                  <w:pPr>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符合</w:t>
                  </w:r>
                </w:p>
              </w:tc>
            </w:tr>
            <w:tr w14:paraId="220E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2" w:type="pct"/>
                  <w:vMerge w:val="restart"/>
                  <w:noWrap w:val="0"/>
                  <w:tcMar>
                    <w:left w:w="0" w:type="dxa"/>
                    <w:right w:w="0" w:type="dxa"/>
                  </w:tcMar>
                  <w:vAlign w:val="center"/>
                </w:tcPr>
                <w:p w14:paraId="187D989F">
                  <w:pPr>
                    <w:pStyle w:val="15"/>
                    <w:spacing w:line="0" w:lineRule="atLeast"/>
                    <w:jc w:val="center"/>
                    <w:rPr>
                      <w:rFonts w:hint="default" w:ascii="Times New Roman" w:hAnsi="Times New Roman"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12</w:t>
                  </w:r>
                </w:p>
              </w:tc>
              <w:tc>
                <w:tcPr>
                  <w:tcW w:w="770" w:type="pct"/>
                  <w:vMerge w:val="restart"/>
                  <w:noWrap w:val="0"/>
                  <w:tcMar>
                    <w:left w:w="0" w:type="dxa"/>
                    <w:right w:w="0" w:type="dxa"/>
                  </w:tcMar>
                  <w:vAlign w:val="center"/>
                </w:tcPr>
                <w:p w14:paraId="6BA8C6BF">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eastAsia" w:cs="Times New Roman"/>
                      <w:bCs/>
                      <w:color w:val="000000" w:themeColor="text1"/>
                      <w:spacing w:val="0"/>
                      <w:kern w:val="2"/>
                      <w:sz w:val="21"/>
                      <w:szCs w:val="21"/>
                      <w:lang w:val="en-US" w:eastAsia="zh-CN" w:bidi="ar-SA"/>
                      <w14:textFill>
                        <w14:solidFill>
                          <w14:schemeClr w14:val="tx1"/>
                        </w14:solidFill>
                      </w14:textFill>
                    </w:rPr>
                    <w:t>《废塑料回收与再生利用污染控制技术规范》（DB13/T 5361-2021）</w:t>
                  </w:r>
                </w:p>
              </w:tc>
              <w:tc>
                <w:tcPr>
                  <w:tcW w:w="2440" w:type="pct"/>
                  <w:noWrap w:val="0"/>
                  <w:tcMar>
                    <w:left w:w="0" w:type="dxa"/>
                    <w:right w:w="0" w:type="dxa"/>
                  </w:tcMar>
                  <w:vAlign w:val="center"/>
                </w:tcPr>
                <w:p w14:paraId="6F72D43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新建和改、扩建废塑料回收与再生利用项目应符合相关规划要求，严格执行环境影响评价制度，未经审批的项目，不得建设和组织生产。废塑料回收与再生利用企业宜集中生产和集中治污。在具备环保承载能力、资源充足的地区建立工业园区，聚集废塑料回收与再生利用企业集中生产或承接企业转移；工业园区应建设污水集中处理设施，对园区内企业污水统一收集、集中处理，稳定达标排放。新建和改、扩建企业应进入依法合规设立的工业园区，园区外的企业宜迁入园区；提升现有园区水平</w:t>
                  </w:r>
                  <w:r>
                    <w:rPr>
                      <w:rFonts w:hint="eastAsia" w:cs="Times New Roman"/>
                      <w:bCs/>
                      <w:color w:val="000000" w:themeColor="text1"/>
                      <w:spacing w:val="0"/>
                      <w:kern w:val="2"/>
                      <w:sz w:val="21"/>
                      <w:szCs w:val="21"/>
                      <w:lang w:val="en-US" w:eastAsia="zh-CN" w:bidi="ar-SA"/>
                      <w14:textFill>
                        <w14:solidFill>
                          <w14:schemeClr w14:val="tx1"/>
                        </w14:solidFill>
                      </w14:textFill>
                    </w:rPr>
                    <w:t>。</w:t>
                  </w: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在生态保护红线区域、永久基本农田集中区域和其他需要特别保护的区域内，不应新建废塑料回收与再生利用企业</w:t>
                  </w:r>
                </w:p>
              </w:tc>
              <w:tc>
                <w:tcPr>
                  <w:tcW w:w="1271" w:type="pct"/>
                  <w:noWrap w:val="0"/>
                  <w:tcMar>
                    <w:left w:w="0" w:type="dxa"/>
                    <w:right w:w="0" w:type="dxa"/>
                  </w:tcMar>
                  <w:vAlign w:val="center"/>
                </w:tcPr>
                <w:p w14:paraId="6234ACF0">
                  <w:pPr>
                    <w:pStyle w:val="25"/>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项目</w:t>
                  </w:r>
                  <w:r>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严格执行环境影响评价制度</w:t>
                  </w: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项目建设满足产业政策、规划环评、规划环评审查意见等要求；项目位于魏县经济开发区-再生资源循环利用产业园，不在生态保护红线区域、永久基本农田集中区域和其他需要特别保护的区域内，全厂无废水外排</w:t>
                  </w:r>
                </w:p>
              </w:tc>
              <w:tc>
                <w:tcPr>
                  <w:tcW w:w="324" w:type="pct"/>
                  <w:noWrap w:val="0"/>
                  <w:tcMar>
                    <w:left w:w="0" w:type="dxa"/>
                    <w:right w:w="0" w:type="dxa"/>
                  </w:tcMar>
                  <w:vAlign w:val="center"/>
                </w:tcPr>
                <w:p w14:paraId="4371ABB6">
                  <w:pPr>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符合</w:t>
                  </w:r>
                </w:p>
              </w:tc>
            </w:tr>
            <w:tr w14:paraId="53B9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2" w:type="pct"/>
                  <w:vMerge w:val="continue"/>
                  <w:noWrap w:val="0"/>
                  <w:tcMar>
                    <w:left w:w="0" w:type="dxa"/>
                    <w:right w:w="0" w:type="dxa"/>
                  </w:tcMar>
                  <w:vAlign w:val="center"/>
                </w:tcPr>
                <w:p w14:paraId="741813CD">
                  <w:pPr>
                    <w:pStyle w:val="15"/>
                    <w:spacing w:line="0" w:lineRule="atLeast"/>
                    <w:jc w:val="center"/>
                    <w:rPr>
                      <w:rFonts w:hint="eastAsia" w:ascii="Times New Roman" w:hAnsi="Times New Roman"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3B36F7C4">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p>
              </w:tc>
              <w:tc>
                <w:tcPr>
                  <w:tcW w:w="2440" w:type="pct"/>
                  <w:noWrap w:val="0"/>
                  <w:tcMar>
                    <w:left w:w="0" w:type="dxa"/>
                    <w:right w:w="0" w:type="dxa"/>
                  </w:tcMar>
                  <w:vAlign w:val="center"/>
                </w:tcPr>
                <w:p w14:paraId="7B38FA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新建和改、扩建废塑料回收与再生利用企业应建有围墙。应按功能划分厂区，包括管理区、原料贮存区、生产区、产品贮存区、污染控制区（包括不可利用废物的贮存和处理区）。所有功能区应有封闭或半封闭设施，应设置防风、防雨、防渗、防火措施。企业厂区管网建设应达到</w:t>
                  </w:r>
                  <w:r>
                    <w:rPr>
                      <w:rFonts w:hint="eastAsia" w:cs="Times New Roman"/>
                      <w:bCs/>
                      <w:color w:val="000000" w:themeColor="text1"/>
                      <w:spacing w:val="0"/>
                      <w:kern w:val="2"/>
                      <w:sz w:val="21"/>
                      <w:szCs w:val="21"/>
                      <w:lang w:val="en-US" w:eastAsia="zh-CN" w:bidi="ar-SA"/>
                      <w14:textFill>
                        <w14:solidFill>
                          <w14:schemeClr w14:val="tx1"/>
                        </w14:solidFill>
                      </w14:textFill>
                    </w:rPr>
                    <w:t>“</w:t>
                  </w: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雨污分流</w:t>
                  </w:r>
                  <w:r>
                    <w:rPr>
                      <w:rFonts w:hint="eastAsia" w:cs="Times New Roman"/>
                      <w:bCs/>
                      <w:color w:val="000000" w:themeColor="text1"/>
                      <w:spacing w:val="0"/>
                      <w:kern w:val="2"/>
                      <w:sz w:val="21"/>
                      <w:szCs w:val="21"/>
                      <w:lang w:val="en-US" w:eastAsia="zh-CN" w:bidi="ar-SA"/>
                      <w14:textFill>
                        <w14:solidFill>
                          <w14:schemeClr w14:val="tx1"/>
                        </w14:solidFill>
                      </w14:textFill>
                    </w:rPr>
                    <w:t>”</w:t>
                  </w:r>
                </w:p>
                <w:p w14:paraId="4A1E54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要求。各功能区应有明显的界线和标志。企业应具有与生产能力相匹配的厂区作业场地面积</w:t>
                  </w:r>
                </w:p>
              </w:tc>
              <w:tc>
                <w:tcPr>
                  <w:tcW w:w="1271" w:type="pct"/>
                  <w:noWrap w:val="0"/>
                  <w:tcMar>
                    <w:left w:w="0" w:type="dxa"/>
                    <w:right w:w="0" w:type="dxa"/>
                  </w:tcMar>
                  <w:vAlign w:val="center"/>
                </w:tcPr>
                <w:p w14:paraId="46CB9D87">
                  <w:pPr>
                    <w:pStyle w:val="25"/>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项目建有围墙，封闭车间分为原料区、生产区、成品区等区域，各功能区有明显的界线并设置防风、防雨、防渗、防火措施；项目无废水外排，占地面积1666.67m</w:t>
                  </w:r>
                  <w:r>
                    <w:rPr>
                      <w:rFonts w:hint="eastAsia" w:ascii="Times New Roman" w:hAnsi="Times New Roman" w:eastAsia="宋体" w:cs="Times New Roman"/>
                      <w:b w:val="0"/>
                      <w:bCs w:val="0"/>
                      <w:color w:val="000000" w:themeColor="text1"/>
                      <w:spacing w:val="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，可满足生产需求</w:t>
                  </w:r>
                </w:p>
              </w:tc>
              <w:tc>
                <w:tcPr>
                  <w:tcW w:w="324" w:type="pct"/>
                  <w:noWrap w:val="0"/>
                  <w:tcMar>
                    <w:left w:w="0" w:type="dxa"/>
                    <w:right w:w="0" w:type="dxa"/>
                  </w:tcMar>
                  <w:vAlign w:val="center"/>
                </w:tcPr>
                <w:p w14:paraId="4AF0A772">
                  <w:pPr>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符合</w:t>
                  </w:r>
                </w:p>
              </w:tc>
            </w:tr>
            <w:tr w14:paraId="6A64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2" w:type="pct"/>
                  <w:vMerge w:val="continue"/>
                  <w:noWrap w:val="0"/>
                  <w:tcMar>
                    <w:left w:w="0" w:type="dxa"/>
                    <w:right w:w="0" w:type="dxa"/>
                  </w:tcMar>
                  <w:vAlign w:val="center"/>
                </w:tcPr>
                <w:p w14:paraId="22D1BA55">
                  <w:pPr>
                    <w:pStyle w:val="15"/>
                    <w:spacing w:line="0" w:lineRule="atLeast"/>
                    <w:jc w:val="center"/>
                    <w:rPr>
                      <w:rFonts w:hint="eastAsia" w:ascii="Times New Roman" w:hAnsi="Times New Roman"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5C73574B">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p>
              </w:tc>
              <w:tc>
                <w:tcPr>
                  <w:tcW w:w="2440" w:type="pct"/>
                  <w:noWrap w:val="0"/>
                  <w:tcMar>
                    <w:left w:w="0" w:type="dxa"/>
                    <w:right w:w="0" w:type="dxa"/>
                  </w:tcMar>
                  <w:vAlign w:val="center"/>
                </w:tcPr>
                <w:p w14:paraId="71EB8D6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不同种类、不同来源的废塑料应分开存放。废塑料应存放在封闭或半封闭的场所，场所应满足相应防渗漏、防雨淋、防扬尘等环境保护要求</w:t>
                  </w:r>
                </w:p>
              </w:tc>
              <w:tc>
                <w:tcPr>
                  <w:tcW w:w="1271" w:type="pct"/>
                  <w:noWrap w:val="0"/>
                  <w:tcMar>
                    <w:left w:w="0" w:type="dxa"/>
                    <w:right w:w="0" w:type="dxa"/>
                  </w:tcMar>
                  <w:vAlign w:val="center"/>
                </w:tcPr>
                <w:p w14:paraId="4267A4DA">
                  <w:pPr>
                    <w:pStyle w:val="25"/>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项目原料分类存放于封闭车间原料区，原料区满足相应防渗漏、防雨淋、防扬尘等环境保护要求</w:t>
                  </w:r>
                </w:p>
              </w:tc>
              <w:tc>
                <w:tcPr>
                  <w:tcW w:w="324" w:type="pct"/>
                  <w:noWrap w:val="0"/>
                  <w:tcMar>
                    <w:left w:w="0" w:type="dxa"/>
                    <w:right w:w="0" w:type="dxa"/>
                  </w:tcMar>
                  <w:vAlign w:val="center"/>
                </w:tcPr>
                <w:p w14:paraId="7414C951">
                  <w:pPr>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符合</w:t>
                  </w:r>
                </w:p>
              </w:tc>
            </w:tr>
            <w:tr w14:paraId="43D4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2" w:type="pct"/>
                  <w:vMerge w:val="continue"/>
                  <w:noWrap w:val="0"/>
                  <w:tcMar>
                    <w:left w:w="0" w:type="dxa"/>
                    <w:right w:w="0" w:type="dxa"/>
                  </w:tcMar>
                  <w:vAlign w:val="center"/>
                </w:tcPr>
                <w:p w14:paraId="73FE31B7">
                  <w:pPr>
                    <w:pStyle w:val="15"/>
                    <w:spacing w:line="0" w:lineRule="atLeast"/>
                    <w:jc w:val="center"/>
                    <w:rPr>
                      <w:rFonts w:hint="eastAsia" w:ascii="Times New Roman" w:hAnsi="Times New Roman"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66991E87">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p>
              </w:tc>
              <w:tc>
                <w:tcPr>
                  <w:tcW w:w="2440" w:type="pct"/>
                  <w:noWrap w:val="0"/>
                  <w:tcMar>
                    <w:left w:w="0" w:type="dxa"/>
                    <w:right w:w="0" w:type="dxa"/>
                  </w:tcMar>
                  <w:vAlign w:val="center"/>
                </w:tcPr>
                <w:p w14:paraId="37CC9C7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干法破碎过程应配有粉尘收集和降噪设备。采用湿法破碎工艺应对废水进行收集、处理后循环使用</w:t>
                  </w:r>
                </w:p>
              </w:tc>
              <w:tc>
                <w:tcPr>
                  <w:tcW w:w="1271" w:type="pct"/>
                  <w:noWrap w:val="0"/>
                  <w:tcMar>
                    <w:left w:w="0" w:type="dxa"/>
                    <w:right w:w="0" w:type="dxa"/>
                  </w:tcMar>
                  <w:vAlign w:val="center"/>
                </w:tcPr>
                <w:p w14:paraId="57240983">
                  <w:pPr>
                    <w:pStyle w:val="25"/>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项目</w:t>
                  </w: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少量废</w:t>
                  </w:r>
                  <w:r>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PP、ABS片料采用干法</w:t>
                  </w: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粉</w:t>
                  </w:r>
                  <w:r>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碎，配备</w:t>
                  </w: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袋式</w:t>
                  </w:r>
                  <w:r>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除尘；废吨包采用湿法</w:t>
                  </w: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粉</w:t>
                  </w:r>
                  <w:r>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碎，清洗废水经沉淀池处理后循环利用</w:t>
                  </w:r>
                </w:p>
              </w:tc>
              <w:tc>
                <w:tcPr>
                  <w:tcW w:w="324" w:type="pct"/>
                  <w:noWrap w:val="0"/>
                  <w:tcMar>
                    <w:left w:w="0" w:type="dxa"/>
                    <w:right w:w="0" w:type="dxa"/>
                  </w:tcMar>
                  <w:vAlign w:val="center"/>
                </w:tcPr>
                <w:p w14:paraId="6E068E69">
                  <w:pPr>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符合</w:t>
                  </w:r>
                </w:p>
              </w:tc>
            </w:tr>
            <w:tr w14:paraId="1B85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92" w:type="pct"/>
                  <w:vMerge w:val="continue"/>
                  <w:noWrap w:val="0"/>
                  <w:tcMar>
                    <w:left w:w="0" w:type="dxa"/>
                    <w:right w:w="0" w:type="dxa"/>
                  </w:tcMar>
                  <w:vAlign w:val="center"/>
                </w:tcPr>
                <w:p w14:paraId="0AFD0108">
                  <w:pPr>
                    <w:pStyle w:val="15"/>
                    <w:spacing w:line="0" w:lineRule="atLeast"/>
                    <w:jc w:val="center"/>
                    <w:rPr>
                      <w:rFonts w:hint="eastAsia" w:ascii="Times New Roman" w:hAnsi="Times New Roman"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4FD4752E">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p>
              </w:tc>
              <w:tc>
                <w:tcPr>
                  <w:tcW w:w="2440" w:type="pct"/>
                  <w:noWrap w:val="0"/>
                  <w:tcMar>
                    <w:left w:w="0" w:type="dxa"/>
                    <w:right w:w="0" w:type="dxa"/>
                  </w:tcMar>
                  <w:vAlign w:val="center"/>
                </w:tcPr>
                <w:p w14:paraId="047371A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废塑料的清洗场地应作防水、防渗漏处理，有特殊要求的地面作防腐蚀处理。宜采用节水清洗工艺，清洗废水应统一收集、分类处理或集中处理，处理后应梯级利用或循环使用。应使用低残留、环境友好型清洗剂。厂内处理后的废水排放应满足相关标准要求</w:t>
                  </w:r>
                </w:p>
              </w:tc>
              <w:tc>
                <w:tcPr>
                  <w:tcW w:w="1271" w:type="pct"/>
                  <w:noWrap w:val="0"/>
                  <w:tcMar>
                    <w:left w:w="0" w:type="dxa"/>
                    <w:right w:w="0" w:type="dxa"/>
                  </w:tcMar>
                  <w:vAlign w:val="center"/>
                </w:tcPr>
                <w:p w14:paraId="10628BCC">
                  <w:pPr>
                    <w:pStyle w:val="25"/>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项目清洗池、沉淀池满足防水、防渗漏要求；项目清洗不使用清洗剂，仅用清水进行清洗。清洗废水经沉淀池处理后循环利用，不外排</w:t>
                  </w:r>
                </w:p>
              </w:tc>
              <w:tc>
                <w:tcPr>
                  <w:tcW w:w="324" w:type="pct"/>
                  <w:noWrap w:val="0"/>
                  <w:tcMar>
                    <w:left w:w="0" w:type="dxa"/>
                    <w:right w:w="0" w:type="dxa"/>
                  </w:tcMar>
                  <w:vAlign w:val="center"/>
                </w:tcPr>
                <w:p w14:paraId="09A5649C">
                  <w:pPr>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符合</w:t>
                  </w:r>
                </w:p>
              </w:tc>
            </w:tr>
            <w:tr w14:paraId="3BAA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2" w:type="pct"/>
                  <w:vMerge w:val="continue"/>
                  <w:noWrap w:val="0"/>
                  <w:tcMar>
                    <w:left w:w="0" w:type="dxa"/>
                    <w:right w:w="0" w:type="dxa"/>
                  </w:tcMar>
                  <w:vAlign w:val="center"/>
                </w:tcPr>
                <w:p w14:paraId="4E87E652">
                  <w:pPr>
                    <w:pStyle w:val="15"/>
                    <w:spacing w:line="0" w:lineRule="atLeast"/>
                    <w:jc w:val="center"/>
                    <w:rPr>
                      <w:rFonts w:hint="eastAsia" w:ascii="Times New Roman" w:hAnsi="Times New Roman"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293CBC83">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p>
              </w:tc>
              <w:tc>
                <w:tcPr>
                  <w:tcW w:w="2440" w:type="pct"/>
                  <w:noWrap w:val="0"/>
                  <w:tcMar>
                    <w:left w:w="0" w:type="dxa"/>
                    <w:right w:w="0" w:type="dxa"/>
                  </w:tcMar>
                  <w:vAlign w:val="center"/>
                </w:tcPr>
                <w:p w14:paraId="133E8FE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宜采用离心脱水、鼓风干燥、流化床干燥等工艺，应使用低能耗设备</w:t>
                  </w:r>
                </w:p>
              </w:tc>
              <w:tc>
                <w:tcPr>
                  <w:tcW w:w="1271" w:type="pct"/>
                  <w:noWrap w:val="0"/>
                  <w:tcMar>
                    <w:left w:w="0" w:type="dxa"/>
                    <w:right w:w="0" w:type="dxa"/>
                  </w:tcMar>
                  <w:vAlign w:val="center"/>
                </w:tcPr>
                <w:p w14:paraId="6ED8EF96">
                  <w:pPr>
                    <w:pStyle w:val="25"/>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项目采用甩干机进行脱水，不涉及干燥</w:t>
                  </w:r>
                </w:p>
              </w:tc>
              <w:tc>
                <w:tcPr>
                  <w:tcW w:w="324" w:type="pct"/>
                  <w:noWrap w:val="0"/>
                  <w:tcMar>
                    <w:left w:w="0" w:type="dxa"/>
                    <w:right w:w="0" w:type="dxa"/>
                  </w:tcMar>
                  <w:vAlign w:val="center"/>
                </w:tcPr>
                <w:p w14:paraId="73597A51">
                  <w:pPr>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符合</w:t>
                  </w:r>
                </w:p>
              </w:tc>
            </w:tr>
            <w:tr w14:paraId="4F93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2" w:type="pct"/>
                  <w:vMerge w:val="continue"/>
                  <w:noWrap w:val="0"/>
                  <w:tcMar>
                    <w:left w:w="0" w:type="dxa"/>
                    <w:right w:w="0" w:type="dxa"/>
                  </w:tcMar>
                  <w:vAlign w:val="center"/>
                </w:tcPr>
                <w:p w14:paraId="43080E73">
                  <w:pPr>
                    <w:pStyle w:val="15"/>
                    <w:spacing w:line="0" w:lineRule="atLeast"/>
                    <w:jc w:val="center"/>
                    <w:rPr>
                      <w:rFonts w:hint="eastAsia" w:ascii="Times New Roman" w:hAnsi="Times New Roman"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4E9561F8">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p>
              </w:tc>
              <w:tc>
                <w:tcPr>
                  <w:tcW w:w="2440" w:type="pct"/>
                  <w:noWrap w:val="0"/>
                  <w:tcMar>
                    <w:left w:w="0" w:type="dxa"/>
                    <w:right w:w="0" w:type="dxa"/>
                  </w:tcMar>
                  <w:vAlign w:val="center"/>
                </w:tcPr>
                <w:p w14:paraId="7F00B09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应采用节能熔融造粒技术。造粒过程中，推荐使用无丝网过滤器造粒机，减少废滤网产生。造粒过程中产生的废气应集中收集，进入废气处理设施处理，不得随意排放</w:t>
                  </w:r>
                </w:p>
              </w:tc>
              <w:tc>
                <w:tcPr>
                  <w:tcW w:w="1271" w:type="pct"/>
                  <w:noWrap w:val="0"/>
                  <w:tcMar>
                    <w:left w:w="0" w:type="dxa"/>
                    <w:right w:w="0" w:type="dxa"/>
                  </w:tcMar>
                  <w:vAlign w:val="center"/>
                </w:tcPr>
                <w:p w14:paraId="59D269E8">
                  <w:pPr>
                    <w:pStyle w:val="25"/>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项目采用节能熔融造粒技术，废弃过滤网委托专人处置后回用；</w:t>
                  </w:r>
                  <w:r>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挤出工序产生的废气</w:t>
                  </w:r>
                  <w:r>
                    <w:rPr>
                      <w:rFonts w:hint="default" w:ascii="Times New Roman" w:hAnsi="Times New Roman" w:eastAsia="宋体" w:cs="Times New Roman"/>
                      <w:b w:val="0"/>
                      <w:bCs w:val="0"/>
                      <w:color w:val="auto"/>
                      <w:spacing w:val="0"/>
                      <w:sz w:val="21"/>
                      <w:szCs w:val="21"/>
                      <w:lang w:val="en-US" w:eastAsia="zh-CN"/>
                    </w:rPr>
                    <w:t>采用喷淋塔+干式过滤+活性炭吸附脱附+催化燃烧处理后通过15m排气筒排放</w:t>
                  </w:r>
                </w:p>
              </w:tc>
              <w:tc>
                <w:tcPr>
                  <w:tcW w:w="324" w:type="pct"/>
                  <w:noWrap w:val="0"/>
                  <w:tcMar>
                    <w:left w:w="0" w:type="dxa"/>
                    <w:right w:w="0" w:type="dxa"/>
                  </w:tcMar>
                  <w:vAlign w:val="center"/>
                </w:tcPr>
                <w:p w14:paraId="43FCEE23">
                  <w:pPr>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符合</w:t>
                  </w:r>
                </w:p>
              </w:tc>
            </w:tr>
            <w:tr w14:paraId="5AF6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2" w:type="pct"/>
                  <w:vMerge w:val="continue"/>
                  <w:noWrap w:val="0"/>
                  <w:tcMar>
                    <w:left w:w="0" w:type="dxa"/>
                    <w:right w:w="0" w:type="dxa"/>
                  </w:tcMar>
                  <w:vAlign w:val="center"/>
                </w:tcPr>
                <w:p w14:paraId="34ECB465">
                  <w:pPr>
                    <w:pStyle w:val="15"/>
                    <w:spacing w:line="0" w:lineRule="atLeast"/>
                    <w:jc w:val="center"/>
                    <w:rPr>
                      <w:rFonts w:hint="eastAsia" w:ascii="Times New Roman" w:hAnsi="Times New Roman"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5C9EFD02">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p>
              </w:tc>
              <w:tc>
                <w:tcPr>
                  <w:tcW w:w="2440" w:type="pct"/>
                  <w:noWrap w:val="0"/>
                  <w:tcMar>
                    <w:left w:w="0" w:type="dxa"/>
                    <w:right w:w="0" w:type="dxa"/>
                  </w:tcMar>
                  <w:vAlign w:val="center"/>
                </w:tcPr>
                <w:p w14:paraId="5EBE099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废塑料回收与再生利用过程产生的生产废水和生活污水，企业应有配套的废水收集和预处理设施。收集到的清洗废水、分选废水、冷却水等，应根据废水污染物的情况选择分别处理或集中处理。废水处理宜采用物化、生化组合处理工艺、膜处理等技术，减少药剂的使用和污泥的产生。处理后的废水应满足国家、行业及地方标准要求</w:t>
                  </w:r>
                </w:p>
              </w:tc>
              <w:tc>
                <w:tcPr>
                  <w:tcW w:w="1271" w:type="pct"/>
                  <w:noWrap w:val="0"/>
                  <w:tcMar>
                    <w:left w:w="0" w:type="dxa"/>
                    <w:right w:w="0" w:type="dxa"/>
                  </w:tcMar>
                  <w:vAlign w:val="center"/>
                </w:tcPr>
                <w:p w14:paraId="5C1DDEDF">
                  <w:pPr>
                    <w:pStyle w:val="25"/>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项目清洗、冷却等生产废水经沉淀池处理后循环利用，不外排，生活废水直接泼洒抑尘</w:t>
                  </w:r>
                </w:p>
              </w:tc>
              <w:tc>
                <w:tcPr>
                  <w:tcW w:w="324" w:type="pct"/>
                  <w:noWrap w:val="0"/>
                  <w:tcMar>
                    <w:left w:w="0" w:type="dxa"/>
                    <w:right w:w="0" w:type="dxa"/>
                  </w:tcMar>
                  <w:vAlign w:val="center"/>
                </w:tcPr>
                <w:p w14:paraId="02023323">
                  <w:pPr>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符合</w:t>
                  </w:r>
                </w:p>
              </w:tc>
            </w:tr>
            <w:tr w14:paraId="1E35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92" w:type="pct"/>
                  <w:vMerge w:val="continue"/>
                  <w:noWrap w:val="0"/>
                  <w:tcMar>
                    <w:left w:w="0" w:type="dxa"/>
                    <w:right w:w="0" w:type="dxa"/>
                  </w:tcMar>
                  <w:vAlign w:val="center"/>
                </w:tcPr>
                <w:p w14:paraId="5E77C23A">
                  <w:pPr>
                    <w:pStyle w:val="15"/>
                    <w:spacing w:line="0" w:lineRule="atLeast"/>
                    <w:jc w:val="center"/>
                    <w:rPr>
                      <w:rFonts w:hint="eastAsia" w:ascii="Times New Roman" w:hAnsi="Times New Roman"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77417363">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p>
              </w:tc>
              <w:tc>
                <w:tcPr>
                  <w:tcW w:w="2440" w:type="pct"/>
                  <w:noWrap w:val="0"/>
                  <w:tcMar>
                    <w:left w:w="0" w:type="dxa"/>
                    <w:right w:w="0" w:type="dxa"/>
                  </w:tcMar>
                  <w:vAlign w:val="center"/>
                </w:tcPr>
                <w:p w14:paraId="1540D55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废塑料回收与再生利用过程中的物料混合、搅拌、研磨、造粒、加工成型等工艺过程中应设置全密闭收集处理设施，通过净化处理，达标后排放。应根据废气的性质，采用过滤、催化氧化、活性炭吸附、吸收等处理技术。处理后的废气应满足国家、行业及地方标准要求。如再生利用过程的废气中含氯化氢等酸性气体，应增加吸收装置，并配有自动调节系统</w:t>
                  </w:r>
                </w:p>
              </w:tc>
              <w:tc>
                <w:tcPr>
                  <w:tcW w:w="1271" w:type="pct"/>
                  <w:noWrap w:val="0"/>
                  <w:tcMar>
                    <w:left w:w="0" w:type="dxa"/>
                    <w:right w:w="0" w:type="dxa"/>
                  </w:tcMar>
                  <w:vAlign w:val="center"/>
                </w:tcPr>
                <w:p w14:paraId="723C6D5E">
                  <w:pPr>
                    <w:pStyle w:val="25"/>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项目挤出机四周安装皮帘，上方设置集气罩，挤出工序产生的废</w:t>
                  </w:r>
                  <w:r>
                    <w:rPr>
                      <w:rFonts w:hint="default" w:ascii="Times New Roman" w:hAnsi="Times New Roman" w:eastAsia="宋体" w:cs="Times New Roman"/>
                      <w:b w:val="0"/>
                      <w:bCs w:val="0"/>
                      <w:color w:val="auto"/>
                      <w:spacing w:val="0"/>
                      <w:sz w:val="21"/>
                      <w:szCs w:val="21"/>
                      <w:lang w:val="en-US" w:eastAsia="zh-CN"/>
                    </w:rPr>
                    <w:t>气采用喷淋塔+干式过滤+活性炭吸附脱附+催化燃烧处理后通</w:t>
                  </w:r>
                  <w:r>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过15m排气筒排放</w:t>
                  </w:r>
                  <w:r>
                    <w:rPr>
                      <w:rFonts w:hint="eastAsia"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；干式粉碎机上方设置集气罩，干式粉碎工序产生的废气采用袋式除尘器处理后通过15m排气筒排放</w:t>
                  </w:r>
                </w:p>
              </w:tc>
              <w:tc>
                <w:tcPr>
                  <w:tcW w:w="324" w:type="pct"/>
                  <w:noWrap w:val="0"/>
                  <w:tcMar>
                    <w:left w:w="0" w:type="dxa"/>
                    <w:right w:w="0" w:type="dxa"/>
                  </w:tcMar>
                  <w:vAlign w:val="center"/>
                </w:tcPr>
                <w:p w14:paraId="3C5FB5DF">
                  <w:pPr>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符合</w:t>
                  </w:r>
                </w:p>
              </w:tc>
            </w:tr>
            <w:tr w14:paraId="0017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2" w:type="pct"/>
                  <w:vMerge w:val="continue"/>
                  <w:noWrap w:val="0"/>
                  <w:tcMar>
                    <w:left w:w="0" w:type="dxa"/>
                    <w:right w:w="0" w:type="dxa"/>
                  </w:tcMar>
                  <w:vAlign w:val="center"/>
                </w:tcPr>
                <w:p w14:paraId="2CF0DA28">
                  <w:pPr>
                    <w:pStyle w:val="15"/>
                    <w:spacing w:line="0" w:lineRule="atLeast"/>
                    <w:jc w:val="center"/>
                    <w:rPr>
                      <w:rFonts w:hint="eastAsia" w:ascii="Times New Roman" w:hAnsi="Times New Roman" w:cs="Times New Roman"/>
                      <w:bCs/>
                      <w:color w:val="000000" w:themeColor="text1"/>
                      <w:spacing w:val="0"/>
                      <w:sz w:val="21"/>
                      <w:szCs w:val="21"/>
                      <w:lang w:val="en-US" w:eastAsia="zh-CN"/>
                      <w14:textFill>
                        <w14:solidFill>
                          <w14:schemeClr w14:val="tx1"/>
                        </w14:solidFill>
                      </w14:textFill>
                    </w:rPr>
                  </w:pPr>
                </w:p>
              </w:tc>
              <w:tc>
                <w:tcPr>
                  <w:tcW w:w="770" w:type="pct"/>
                  <w:vMerge w:val="continue"/>
                  <w:noWrap w:val="0"/>
                  <w:tcMar>
                    <w:left w:w="0" w:type="dxa"/>
                    <w:right w:w="0" w:type="dxa"/>
                  </w:tcMar>
                  <w:vAlign w:val="center"/>
                </w:tcPr>
                <w:p w14:paraId="49443608">
                  <w:pPr>
                    <w:spacing w:line="300" w:lineRule="exact"/>
                    <w:jc w:val="cente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p>
              </w:tc>
              <w:tc>
                <w:tcPr>
                  <w:tcW w:w="2440" w:type="pct"/>
                  <w:noWrap w:val="0"/>
                  <w:tcMar>
                    <w:left w:w="0" w:type="dxa"/>
                    <w:right w:w="0" w:type="dxa"/>
                  </w:tcMar>
                  <w:vAlign w:val="center"/>
                </w:tcPr>
                <w:p w14:paraId="4A46783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0"/>
                      <w:kern w:val="2"/>
                      <w:sz w:val="21"/>
                      <w:szCs w:val="21"/>
                      <w:lang w:val="en-US" w:eastAsia="zh-CN" w:bidi="ar-SA"/>
                      <w14:textFill>
                        <w14:solidFill>
                          <w14:schemeClr w14:val="tx1"/>
                        </w14:solidFill>
                      </w14:textFill>
                    </w:rPr>
                    <w:t>废塑料回收与再生利用过程产生的固体废物，属于危险废物的按危险废物相关规定进行管理。废水处理过程产生的污泥，企业应妥善处理，不得随意丢弃。企业应以环境无害化方式处理废弃滤网、熔融残渣。废塑料回收与再生利用过程应控制噪声污染，排放噪声应符合GB12348的规定</w:t>
                  </w:r>
                </w:p>
              </w:tc>
              <w:tc>
                <w:tcPr>
                  <w:tcW w:w="1271" w:type="pct"/>
                  <w:noWrap w:val="0"/>
                  <w:tcMar>
                    <w:left w:w="0" w:type="dxa"/>
                    <w:right w:w="0" w:type="dxa"/>
                  </w:tcMar>
                  <w:vAlign w:val="center"/>
                </w:tcPr>
                <w:p w14:paraId="0573C4A2">
                  <w:pPr>
                    <w:pStyle w:val="25"/>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项目噪声及固废污染物均采取了严格有效的治理和处置措施，污染物均能达标排放</w:t>
                  </w:r>
                </w:p>
              </w:tc>
              <w:tc>
                <w:tcPr>
                  <w:tcW w:w="324" w:type="pct"/>
                  <w:noWrap w:val="0"/>
                  <w:tcMar>
                    <w:left w:w="0" w:type="dxa"/>
                    <w:right w:w="0" w:type="dxa"/>
                  </w:tcMar>
                  <w:vAlign w:val="center"/>
                </w:tcPr>
                <w:p w14:paraId="15BA6F27">
                  <w:pPr>
                    <w:pStyle w:val="15"/>
                    <w:spacing w:line="0" w:lineRule="atLeast"/>
                    <w:jc w:val="center"/>
                    <w:rPr>
                      <w:rFonts w:hint="default" w:ascii="Times New Roman" w:hAnsi="Times New Roman" w:eastAsia="宋体" w:cs="Times New Roman"/>
                      <w:bCs/>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spacing w:val="0"/>
                      <w:sz w:val="21"/>
                      <w:szCs w:val="21"/>
                      <w:lang w:val="en-US" w:eastAsia="zh-CN"/>
                      <w14:textFill>
                        <w14:solidFill>
                          <w14:schemeClr w14:val="tx1"/>
                        </w14:solidFill>
                      </w14:textFill>
                    </w:rPr>
                    <w:t>符合</w:t>
                  </w:r>
                </w:p>
              </w:tc>
            </w:tr>
          </w:tbl>
          <w:p w14:paraId="3D25BD7F">
            <w:pPr>
              <w:keepNext w:val="0"/>
              <w:keepLines w:val="0"/>
              <w:pageBreakBefore w:val="0"/>
              <w:widowControl w:val="0"/>
              <w:kinsoku/>
              <w:wordWrap/>
              <w:overflowPunct/>
              <w:topLinePunct w:val="0"/>
              <w:autoSpaceDE/>
              <w:autoSpaceDN/>
              <w:bidi w:val="0"/>
              <w:adjustRightInd/>
              <w:snapToGrid/>
              <w:spacing w:line="470" w:lineRule="exact"/>
              <w:ind w:firstLine="480" w:firstLineChars="200"/>
              <w:jc w:val="both"/>
              <w:textAlignment w:val="auto"/>
              <w:outlineLvl w:val="0"/>
              <w:rPr>
                <w:rFonts w:hint="default" w:ascii="Times New Roman" w:hAnsi="Times New Roman" w:eastAsia="宋体" w:cs="Times New Roman"/>
                <w:b/>
                <w:bCs/>
                <w:color w:val="auto"/>
                <w:sz w:val="24"/>
                <w:lang w:val="en-US" w:eastAsia="zh-CN"/>
              </w:rPr>
            </w:pPr>
            <w:r>
              <w:rPr>
                <w:rFonts w:hint="eastAsia" w:cs="Times New Roman" w:eastAsiaTheme="minorEastAsia"/>
                <w:color w:val="auto"/>
                <w:sz w:val="24"/>
                <w:szCs w:val="24"/>
                <w:lang w:val="en-US" w:eastAsia="zh-CN"/>
              </w:rPr>
              <w:t>综上所述，</w:t>
            </w:r>
            <w:r>
              <w:rPr>
                <w:rFonts w:hint="default" w:ascii="Times New Roman" w:hAnsi="Times New Roman" w:cs="Times New Roman" w:eastAsiaTheme="minorEastAsia"/>
                <w:color w:val="auto"/>
                <w:sz w:val="24"/>
                <w:szCs w:val="24"/>
              </w:rPr>
              <w:t>项目</w:t>
            </w:r>
            <w:r>
              <w:rPr>
                <w:rFonts w:hint="eastAsia" w:ascii="Times New Roman" w:hAnsi="Times New Roman" w:cs="Times New Roman" w:eastAsiaTheme="minorEastAsia"/>
                <w:color w:val="auto"/>
                <w:sz w:val="24"/>
                <w:szCs w:val="24"/>
                <w:lang w:val="en-US" w:eastAsia="zh-CN"/>
              </w:rPr>
              <w:t>符合</w:t>
            </w:r>
            <w:r>
              <w:rPr>
                <w:rFonts w:hint="eastAsia" w:cs="Times New Roman"/>
                <w:b w:val="0"/>
                <w:bCs w:val="0"/>
                <w:color w:val="auto"/>
                <w:sz w:val="24"/>
                <w:lang w:val="en-US" w:eastAsia="zh-CN"/>
              </w:rPr>
              <w:t>其他</w:t>
            </w:r>
            <w:r>
              <w:rPr>
                <w:rFonts w:hint="default" w:ascii="Times New Roman" w:hAnsi="Times New Roman" w:eastAsia="宋体" w:cs="Times New Roman"/>
                <w:b w:val="0"/>
                <w:bCs w:val="0"/>
                <w:color w:val="auto"/>
                <w:sz w:val="24"/>
                <w:lang w:eastAsia="zh-CN"/>
              </w:rPr>
              <w:t>环境政策</w:t>
            </w:r>
            <w:r>
              <w:rPr>
                <w:rFonts w:hint="eastAsia" w:ascii="Times New Roman" w:hAnsi="Times New Roman" w:cs="Times New Roman" w:eastAsiaTheme="minorEastAsia"/>
                <w:color w:val="auto"/>
                <w:sz w:val="24"/>
                <w:szCs w:val="24"/>
                <w:lang w:val="en-US" w:eastAsia="zh-CN"/>
              </w:rPr>
              <w:t>的相关要求。</w:t>
            </w:r>
          </w:p>
          <w:p w14:paraId="092BDD4B">
            <w:pPr>
              <w:keepNext w:val="0"/>
              <w:keepLines w:val="0"/>
              <w:pageBreakBefore w:val="0"/>
              <w:widowControl w:val="0"/>
              <w:kinsoku/>
              <w:wordWrap/>
              <w:overflowPunct/>
              <w:topLinePunct w:val="0"/>
              <w:autoSpaceDE/>
              <w:autoSpaceDN/>
              <w:bidi w:val="0"/>
              <w:adjustRightInd/>
              <w:snapToGrid/>
              <w:spacing w:line="470" w:lineRule="exact"/>
              <w:textAlignment w:val="auto"/>
              <w:outlineLvl w:val="0"/>
              <w:rPr>
                <w:rFonts w:hint="default" w:ascii="Times New Roman" w:hAnsi="Times New Roman" w:cs="Times New Roman" w:eastAsiaTheme="minorEastAsia"/>
                <w:color w:val="auto"/>
                <w:sz w:val="24"/>
                <w:szCs w:val="24"/>
                <w:lang w:val="en-US"/>
              </w:rPr>
            </w:pPr>
            <w:r>
              <w:rPr>
                <w:rFonts w:hint="eastAsia" w:cs="Times New Roman" w:eastAsiaTheme="minorEastAsia"/>
                <w:b/>
                <w:color w:val="auto"/>
                <w:kern w:val="0"/>
                <w:sz w:val="24"/>
                <w:lang w:val="en-US" w:eastAsia="zh-CN"/>
              </w:rPr>
              <w:t>6 生态环境保护法律法规政策的符合性</w:t>
            </w:r>
          </w:p>
          <w:p w14:paraId="241768C8">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outlineLvl w:val="0"/>
              <w:rPr>
                <w:rFonts w:hint="eastAsia" w:ascii="Times New Roman" w:hAnsi="Times New Roman" w:cs="Times New Roman" w:eastAsiaTheme="minorEastAsia"/>
                <w:color w:val="auto"/>
                <w:kern w:val="0"/>
                <w:sz w:val="24"/>
                <w:lang w:val="en-US" w:eastAsia="zh-CN"/>
              </w:rPr>
            </w:pPr>
            <w:r>
              <w:rPr>
                <w:rFonts w:hint="eastAsia" w:ascii="Times New Roman" w:hAnsi="Times New Roman" w:cs="Times New Roman" w:eastAsiaTheme="minorEastAsia"/>
                <w:color w:val="auto"/>
                <w:kern w:val="0"/>
                <w:sz w:val="24"/>
                <w:lang w:val="en-US" w:eastAsia="zh-CN"/>
              </w:rPr>
              <w:t>建设污染环境的项目，必须遵守国家有关建设项目环境保护管理的规定。建立环境保护责任制度，采取有效措施，防治在生产建设或者其它活动中产生的废气、废水、</w:t>
            </w:r>
            <w:r>
              <w:rPr>
                <w:rFonts w:hint="eastAsia" w:cs="Times New Roman" w:eastAsiaTheme="minorEastAsia"/>
                <w:color w:val="auto"/>
                <w:kern w:val="0"/>
                <w:sz w:val="24"/>
                <w:lang w:val="en-US" w:eastAsia="zh-CN"/>
              </w:rPr>
              <w:t>固废</w:t>
            </w:r>
            <w:r>
              <w:rPr>
                <w:rFonts w:hint="eastAsia" w:ascii="Times New Roman" w:hAnsi="Times New Roman" w:cs="Times New Roman" w:eastAsiaTheme="minorEastAsia"/>
                <w:color w:val="auto"/>
                <w:kern w:val="0"/>
                <w:sz w:val="24"/>
                <w:lang w:val="en-US" w:eastAsia="zh-CN"/>
              </w:rPr>
              <w:t>等对环境的污染和危害。建设项目中污染防治的设施，必须与主体工程同时设计、同时施工、同时投产使用。防治污染的设施必须经验收合格后，该建设项目方可投入生产或者使用。本项目对本次建设活动中产生的废气、废水、</w:t>
            </w:r>
            <w:r>
              <w:rPr>
                <w:rFonts w:hint="eastAsia" w:cs="Times New Roman" w:eastAsiaTheme="minorEastAsia"/>
                <w:color w:val="auto"/>
                <w:kern w:val="0"/>
                <w:sz w:val="24"/>
                <w:lang w:val="en-US" w:eastAsia="zh-CN"/>
              </w:rPr>
              <w:t>固废</w:t>
            </w:r>
            <w:r>
              <w:rPr>
                <w:rFonts w:hint="eastAsia" w:ascii="Times New Roman" w:hAnsi="Times New Roman" w:cs="Times New Roman" w:eastAsiaTheme="minorEastAsia"/>
                <w:color w:val="auto"/>
                <w:kern w:val="0"/>
                <w:sz w:val="24"/>
                <w:lang w:val="en-US" w:eastAsia="zh-CN"/>
              </w:rPr>
              <w:t>等采取有效环境保护措施，建设污染防治设施，并与主体工程同时设计、同时施工、同时投产使用，因此，本建设项目符合生态环境保护法律法规等相关政策。</w:t>
            </w:r>
          </w:p>
          <w:p w14:paraId="2641FE61">
            <w:pPr>
              <w:keepNext w:val="0"/>
              <w:keepLines w:val="0"/>
              <w:pageBreakBefore w:val="0"/>
              <w:widowControl w:val="0"/>
              <w:kinsoku/>
              <w:wordWrap/>
              <w:overflowPunct/>
              <w:topLinePunct w:val="0"/>
              <w:autoSpaceDE/>
              <w:autoSpaceDN/>
              <w:bidi w:val="0"/>
              <w:adjustRightInd/>
              <w:snapToGrid/>
              <w:spacing w:line="470" w:lineRule="exact"/>
              <w:textAlignment w:val="auto"/>
              <w:outlineLvl w:val="0"/>
              <w:rPr>
                <w:rFonts w:hint="eastAsia" w:ascii="Times New Roman" w:hAnsi="Times New Roman" w:cs="Times New Roman" w:eastAsiaTheme="minorEastAsia"/>
                <w:color w:val="auto"/>
                <w:kern w:val="0"/>
                <w:sz w:val="24"/>
                <w:lang w:val="en-US" w:eastAsia="zh-CN"/>
              </w:rPr>
            </w:pPr>
          </w:p>
          <w:p w14:paraId="27F5BA4B">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outlineLvl w:val="0"/>
              <w:rPr>
                <w:rFonts w:hint="eastAsia" w:ascii="Times New Roman" w:hAnsi="Times New Roman" w:cs="Times New Roman" w:eastAsiaTheme="minorEastAsia"/>
                <w:color w:val="auto"/>
                <w:kern w:val="0"/>
                <w:sz w:val="24"/>
                <w:lang w:val="en-US" w:eastAsia="zh-CN"/>
              </w:rPr>
            </w:pPr>
          </w:p>
          <w:p w14:paraId="6592699B">
            <w:pPr>
              <w:keepNext w:val="0"/>
              <w:keepLines w:val="0"/>
              <w:pageBreakBefore w:val="0"/>
              <w:widowControl w:val="0"/>
              <w:kinsoku/>
              <w:wordWrap/>
              <w:overflowPunct/>
              <w:topLinePunct w:val="0"/>
              <w:autoSpaceDE/>
              <w:autoSpaceDN/>
              <w:bidi w:val="0"/>
              <w:adjustRightInd/>
              <w:snapToGrid/>
              <w:spacing w:line="470" w:lineRule="exact"/>
              <w:textAlignment w:val="auto"/>
              <w:outlineLvl w:val="0"/>
              <w:rPr>
                <w:rFonts w:hint="default" w:ascii="Times New Roman" w:hAnsi="Times New Roman" w:cs="Times New Roman" w:eastAsiaTheme="minorEastAsia"/>
                <w:color w:val="auto"/>
                <w:kern w:val="0"/>
                <w:sz w:val="24"/>
                <w:lang w:val="en-US" w:eastAsia="zh-CN"/>
              </w:rPr>
            </w:pPr>
          </w:p>
          <w:p w14:paraId="14A72CC6">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outlineLvl w:val="0"/>
              <w:rPr>
                <w:rFonts w:hint="default" w:ascii="Times New Roman" w:hAnsi="Times New Roman" w:cs="Times New Roman" w:eastAsiaTheme="minorEastAsia"/>
                <w:color w:val="auto"/>
                <w:kern w:val="0"/>
                <w:sz w:val="24"/>
                <w:lang w:val="en-US" w:eastAsia="zh-CN"/>
              </w:rPr>
            </w:pPr>
          </w:p>
          <w:p w14:paraId="66EADC4D">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outlineLvl w:val="0"/>
              <w:rPr>
                <w:rFonts w:hint="default" w:ascii="Times New Roman" w:hAnsi="Times New Roman" w:cs="Times New Roman" w:eastAsiaTheme="minorEastAsia"/>
                <w:color w:val="auto"/>
                <w:kern w:val="0"/>
                <w:sz w:val="24"/>
                <w:lang w:val="en-US" w:eastAsia="zh-CN"/>
              </w:rPr>
            </w:pPr>
          </w:p>
          <w:p w14:paraId="7429141A">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outlineLvl w:val="0"/>
              <w:rPr>
                <w:rFonts w:hint="default" w:ascii="Times New Roman" w:hAnsi="Times New Roman" w:cs="Times New Roman" w:eastAsiaTheme="minorEastAsia"/>
                <w:color w:val="auto"/>
                <w:kern w:val="0"/>
                <w:sz w:val="24"/>
                <w:lang w:val="en-US" w:eastAsia="zh-CN"/>
              </w:rPr>
            </w:pPr>
          </w:p>
          <w:p w14:paraId="2C500923">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outlineLvl w:val="0"/>
              <w:rPr>
                <w:rFonts w:hint="default" w:ascii="Times New Roman" w:hAnsi="Times New Roman" w:cs="Times New Roman" w:eastAsiaTheme="minorEastAsia"/>
                <w:color w:val="auto"/>
                <w:kern w:val="0"/>
                <w:sz w:val="24"/>
                <w:lang w:val="en-US" w:eastAsia="zh-CN"/>
              </w:rPr>
            </w:pPr>
          </w:p>
          <w:p w14:paraId="1FC7FC83">
            <w:pPr>
              <w:keepNext w:val="0"/>
              <w:keepLines w:val="0"/>
              <w:pageBreakBefore w:val="0"/>
              <w:widowControl w:val="0"/>
              <w:kinsoku/>
              <w:wordWrap/>
              <w:overflowPunct/>
              <w:topLinePunct w:val="0"/>
              <w:autoSpaceDE/>
              <w:autoSpaceDN/>
              <w:bidi w:val="0"/>
              <w:adjustRightInd/>
              <w:snapToGrid/>
              <w:spacing w:line="470" w:lineRule="exact"/>
              <w:textAlignment w:val="auto"/>
              <w:outlineLvl w:val="0"/>
              <w:rPr>
                <w:rFonts w:hint="default" w:ascii="Times New Roman" w:hAnsi="Times New Roman" w:cs="Times New Roman" w:eastAsiaTheme="minorEastAsia"/>
                <w:color w:val="auto"/>
                <w:kern w:val="0"/>
                <w:sz w:val="24"/>
                <w:lang w:val="en-US" w:eastAsia="zh-CN"/>
              </w:rPr>
            </w:pPr>
          </w:p>
        </w:tc>
      </w:tr>
    </w:tbl>
    <w:p w14:paraId="015AFC71">
      <w:pPr>
        <w:spacing w:line="360" w:lineRule="auto"/>
        <w:outlineLvl w:val="0"/>
        <w:rPr>
          <w:rFonts w:hint="default" w:ascii="Times New Roman" w:hAnsi="Times New Roman" w:eastAsia="黑体" w:cs="Times New Roman"/>
          <w:color w:val="auto"/>
          <w:sz w:val="30"/>
          <w:highlight w:val="yellow"/>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7845EFEF">
      <w:pPr>
        <w:pStyle w:val="23"/>
        <w:spacing w:before="0" w:beforeAutospacing="0" w:after="0" w:afterAutospacing="0"/>
        <w:jc w:val="center"/>
        <w:outlineLvl w:val="0"/>
        <w:rPr>
          <w:rFonts w:hint="default" w:ascii="Times New Roman" w:hAnsi="Times New Roman" w:eastAsia="黑体" w:cs="Times New Roman"/>
          <w:snapToGrid w:val="0"/>
          <w:color w:val="auto"/>
          <w:sz w:val="32"/>
          <w:szCs w:val="32"/>
        </w:rPr>
      </w:pPr>
      <w:r>
        <w:rPr>
          <w:rFonts w:hint="default" w:ascii="Times New Roman" w:hAnsi="Times New Roman" w:eastAsia="黑体" w:cs="Times New Roman"/>
          <w:snapToGrid w:val="0"/>
          <w:color w:val="auto"/>
          <w:sz w:val="32"/>
          <w:szCs w:val="32"/>
        </w:rPr>
        <w:t>二、建设项目工程分析</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604"/>
      </w:tblGrid>
      <w:tr w14:paraId="5488C2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456" w:type="dxa"/>
            <w:vAlign w:val="center"/>
          </w:tcPr>
          <w:p w14:paraId="717BC3F0">
            <w:pPr>
              <w:pStyle w:val="23"/>
              <w:adjustRightInd w:val="0"/>
              <w:snapToGrid w:val="0"/>
              <w:spacing w:before="0" w:beforeAutospacing="0" w:after="0" w:afterAutospacing="0"/>
              <w:jc w:val="center"/>
              <w:rPr>
                <w:rFonts w:hint="default" w:ascii="Times New Roman" w:hAnsi="Times New Roman" w:cs="Times New Roman" w:eastAsiaTheme="minorEastAsia"/>
                <w:color w:val="auto"/>
                <w:szCs w:val="24"/>
              </w:rPr>
            </w:pPr>
            <w:r>
              <w:rPr>
                <w:rFonts w:hint="default" w:ascii="Times New Roman" w:hAnsi="Times New Roman" w:cs="Times New Roman" w:eastAsiaTheme="minorEastAsia"/>
                <w:color w:val="auto"/>
                <w:szCs w:val="24"/>
              </w:rPr>
              <w:t>建设内容</w:t>
            </w:r>
          </w:p>
        </w:tc>
        <w:tc>
          <w:tcPr>
            <w:tcW w:w="8604" w:type="dxa"/>
            <w:vAlign w:val="center"/>
          </w:tcPr>
          <w:p w14:paraId="2459FEEB">
            <w:pPr>
              <w:spacing w:line="480" w:lineRule="exact"/>
              <w:ind w:firstLine="482" w:firstLineChars="200"/>
              <w:rPr>
                <w:rFonts w:hint="default" w:ascii="Times New Roman" w:hAnsi="Times New Roman" w:cs="Times New Roman" w:eastAsiaTheme="minorEastAsia"/>
                <w:b/>
                <w:color w:val="auto"/>
                <w:sz w:val="24"/>
              </w:rPr>
            </w:pPr>
            <w:r>
              <w:rPr>
                <w:rFonts w:hint="default" w:ascii="Times New Roman" w:hAnsi="Times New Roman" w:cs="Times New Roman" w:eastAsiaTheme="minorEastAsia"/>
                <w:b/>
                <w:color w:val="auto"/>
                <w:sz w:val="24"/>
              </w:rPr>
              <w:t>一、项目由来</w:t>
            </w:r>
          </w:p>
          <w:p w14:paraId="668DDDE8">
            <w:pPr>
              <w:widowControl/>
              <w:tabs>
                <w:tab w:val="left" w:pos="6300"/>
              </w:tabs>
              <w:overflowPunct w:val="0"/>
              <w:autoSpaceDE w:val="0"/>
              <w:autoSpaceDN w:val="0"/>
              <w:adjustRightInd w:val="0"/>
              <w:spacing w:line="480" w:lineRule="exact"/>
              <w:ind w:firstLine="480" w:firstLineChars="200"/>
              <w:rPr>
                <w:rFonts w:hint="default" w:cs="Times New Roman" w:eastAsiaTheme="minorEastAsia"/>
                <w:snapToGrid w:val="0"/>
                <w:color w:val="FF0000"/>
                <w:sz w:val="24"/>
                <w:lang w:val="en-US" w:eastAsia="zh-CN"/>
              </w:rPr>
            </w:pPr>
            <w:r>
              <w:rPr>
                <w:rFonts w:hint="eastAsia" w:cs="Times New Roman" w:eastAsiaTheme="minorEastAsia"/>
                <w:snapToGrid w:val="0"/>
                <w:color w:val="auto"/>
                <w:sz w:val="24"/>
                <w:lang w:val="en-US" w:eastAsia="zh-CN"/>
              </w:rPr>
              <w:t>邯郸才茂环保科技有限公司位于河北省邯郸市魏县绿环循环经济产业园，公司原环评《邯郸才茂环保科技有限公司年产12000吨再生塑料颗粒项目》已于2024年11月13日通过魏县行政审批局审批，审批文号魏审批环表[2024]17号。</w:t>
            </w:r>
          </w:p>
          <w:p w14:paraId="0C597532">
            <w:pPr>
              <w:widowControl/>
              <w:tabs>
                <w:tab w:val="left" w:pos="6300"/>
              </w:tabs>
              <w:overflowPunct w:val="0"/>
              <w:autoSpaceDE w:val="0"/>
              <w:autoSpaceDN w:val="0"/>
              <w:adjustRightInd w:val="0"/>
              <w:spacing w:line="480" w:lineRule="exact"/>
              <w:ind w:firstLine="480" w:firstLineChars="200"/>
              <w:rPr>
                <w:rFonts w:hint="default" w:cs="Times New Roman" w:eastAsiaTheme="minorEastAsia"/>
                <w:snapToGrid w:val="0"/>
                <w:color w:val="auto"/>
                <w:sz w:val="24"/>
                <w:lang w:val="en-US" w:eastAsia="zh-CN"/>
              </w:rPr>
            </w:pPr>
            <w:r>
              <w:rPr>
                <w:rFonts w:hint="eastAsia" w:cs="Times New Roman" w:eastAsiaTheme="minorEastAsia"/>
                <w:snapToGrid w:val="0"/>
                <w:color w:val="auto"/>
                <w:sz w:val="24"/>
                <w:lang w:val="en-US" w:eastAsia="zh-CN"/>
              </w:rPr>
              <w:t>公司原环评设计以废旧渔网为原辅材料通过</w:t>
            </w:r>
            <w:r>
              <w:rPr>
                <w:rFonts w:hint="eastAsia" w:cs="Times New Roman" w:eastAsiaTheme="minorEastAsia"/>
                <w:snapToGrid w:val="0"/>
                <w:color w:val="0000FF"/>
                <w:sz w:val="24"/>
                <w:lang w:val="en-US" w:eastAsia="zh-CN"/>
              </w:rPr>
              <w:t>分拣、撕碎、破碎、清洗、烘干、挤出、冷却、切料、灌装工序</w:t>
            </w:r>
            <w:r>
              <w:rPr>
                <w:rFonts w:hint="eastAsia" w:cs="Times New Roman" w:eastAsiaTheme="minorEastAsia"/>
                <w:snapToGrid w:val="0"/>
                <w:color w:val="auto"/>
                <w:sz w:val="24"/>
                <w:lang w:val="en-US" w:eastAsia="zh-CN"/>
              </w:rPr>
              <w:t>生产PET颗粒。在建设阶段企业重新深入市场进行了调研，根据市场需求对原辅材料、工艺、产品方案等进行了调整。调整后通过对照《《污染影响类建设项目重大变动清单（试行）》》，项目属于“第六条新增产品品种或生产工艺（含主要生产装置、设备及配套设施）、主要原辅材料、燃料变化，导致位于环境质量不达标区的建设项目相应污染物排放量（可吸入颗粒物）增加的”，属于重大变动，因此需要重新报批环评。</w:t>
            </w:r>
          </w:p>
          <w:p w14:paraId="7C83A8ED">
            <w:pPr>
              <w:widowControl/>
              <w:tabs>
                <w:tab w:val="left" w:pos="6300"/>
              </w:tabs>
              <w:overflowPunct w:val="0"/>
              <w:autoSpaceDE w:val="0"/>
              <w:autoSpaceDN w:val="0"/>
              <w:adjustRightInd w:val="0"/>
              <w:spacing w:line="480" w:lineRule="exact"/>
              <w:jc w:val="center"/>
              <w:rPr>
                <w:rFonts w:hint="eastAsia" w:cs="Times New Roman" w:eastAsiaTheme="minorEastAsia"/>
                <w:b/>
                <w:bCs/>
                <w:snapToGrid w:val="0"/>
                <w:color w:val="auto"/>
                <w:sz w:val="24"/>
                <w:lang w:val="en-US" w:eastAsia="zh-CN"/>
              </w:rPr>
            </w:pPr>
          </w:p>
          <w:p w14:paraId="6590616A">
            <w:pPr>
              <w:widowControl/>
              <w:tabs>
                <w:tab w:val="left" w:pos="6300"/>
              </w:tabs>
              <w:overflowPunct w:val="0"/>
              <w:autoSpaceDE w:val="0"/>
              <w:autoSpaceDN w:val="0"/>
              <w:adjustRightInd w:val="0"/>
              <w:spacing w:line="480" w:lineRule="exact"/>
              <w:jc w:val="center"/>
              <w:rPr>
                <w:rFonts w:hint="eastAsia" w:cs="Times New Roman" w:eastAsiaTheme="minorEastAsia"/>
                <w:b/>
                <w:bCs/>
                <w:snapToGrid w:val="0"/>
                <w:color w:val="auto"/>
                <w:sz w:val="24"/>
                <w:lang w:val="en-US" w:eastAsia="zh-CN"/>
              </w:rPr>
            </w:pPr>
          </w:p>
          <w:p w14:paraId="39B21DA5">
            <w:pPr>
              <w:widowControl/>
              <w:tabs>
                <w:tab w:val="left" w:pos="6300"/>
              </w:tabs>
              <w:overflowPunct w:val="0"/>
              <w:autoSpaceDE w:val="0"/>
              <w:autoSpaceDN w:val="0"/>
              <w:adjustRightInd w:val="0"/>
              <w:spacing w:line="480" w:lineRule="exact"/>
              <w:jc w:val="center"/>
              <w:rPr>
                <w:rFonts w:hint="eastAsia" w:cs="Times New Roman" w:eastAsiaTheme="minorEastAsia"/>
                <w:b/>
                <w:bCs/>
                <w:snapToGrid w:val="0"/>
                <w:color w:val="auto"/>
                <w:sz w:val="24"/>
                <w:lang w:val="en-US" w:eastAsia="zh-CN"/>
              </w:rPr>
            </w:pPr>
          </w:p>
          <w:p w14:paraId="1110AF4B">
            <w:pPr>
              <w:widowControl/>
              <w:tabs>
                <w:tab w:val="left" w:pos="6300"/>
              </w:tabs>
              <w:overflowPunct w:val="0"/>
              <w:autoSpaceDE w:val="0"/>
              <w:autoSpaceDN w:val="0"/>
              <w:adjustRightInd w:val="0"/>
              <w:spacing w:line="480" w:lineRule="exact"/>
              <w:jc w:val="center"/>
              <w:rPr>
                <w:rFonts w:hint="eastAsia" w:cs="Times New Roman" w:eastAsiaTheme="minorEastAsia"/>
                <w:b/>
                <w:bCs/>
                <w:snapToGrid w:val="0"/>
                <w:color w:val="auto"/>
                <w:sz w:val="24"/>
                <w:lang w:val="en-US" w:eastAsia="zh-CN"/>
              </w:rPr>
            </w:pPr>
          </w:p>
          <w:p w14:paraId="1210FEC5">
            <w:pPr>
              <w:widowControl/>
              <w:tabs>
                <w:tab w:val="left" w:pos="6300"/>
              </w:tabs>
              <w:overflowPunct w:val="0"/>
              <w:autoSpaceDE w:val="0"/>
              <w:autoSpaceDN w:val="0"/>
              <w:adjustRightInd w:val="0"/>
              <w:spacing w:line="480" w:lineRule="exact"/>
              <w:jc w:val="center"/>
              <w:rPr>
                <w:rFonts w:hint="eastAsia" w:cs="Times New Roman" w:eastAsiaTheme="minorEastAsia"/>
                <w:b/>
                <w:bCs/>
                <w:snapToGrid w:val="0"/>
                <w:color w:val="auto"/>
                <w:sz w:val="24"/>
                <w:lang w:val="en-US" w:eastAsia="zh-CN"/>
              </w:rPr>
            </w:pPr>
          </w:p>
          <w:p w14:paraId="6792CB67">
            <w:pPr>
              <w:widowControl/>
              <w:tabs>
                <w:tab w:val="left" w:pos="6300"/>
              </w:tabs>
              <w:overflowPunct w:val="0"/>
              <w:autoSpaceDE w:val="0"/>
              <w:autoSpaceDN w:val="0"/>
              <w:adjustRightInd w:val="0"/>
              <w:spacing w:line="480" w:lineRule="exact"/>
              <w:jc w:val="center"/>
              <w:rPr>
                <w:rFonts w:hint="eastAsia" w:cs="Times New Roman" w:eastAsiaTheme="minorEastAsia"/>
                <w:b/>
                <w:bCs/>
                <w:snapToGrid w:val="0"/>
                <w:color w:val="auto"/>
                <w:sz w:val="24"/>
                <w:lang w:val="en-US" w:eastAsia="zh-CN"/>
              </w:rPr>
            </w:pPr>
          </w:p>
          <w:p w14:paraId="2D7D2B5C">
            <w:pPr>
              <w:widowControl/>
              <w:tabs>
                <w:tab w:val="left" w:pos="6300"/>
              </w:tabs>
              <w:overflowPunct w:val="0"/>
              <w:autoSpaceDE w:val="0"/>
              <w:autoSpaceDN w:val="0"/>
              <w:adjustRightInd w:val="0"/>
              <w:spacing w:line="480" w:lineRule="exact"/>
              <w:jc w:val="center"/>
              <w:rPr>
                <w:rFonts w:hint="eastAsia" w:cs="Times New Roman" w:eastAsiaTheme="minorEastAsia"/>
                <w:b/>
                <w:bCs/>
                <w:snapToGrid w:val="0"/>
                <w:color w:val="auto"/>
                <w:sz w:val="24"/>
                <w:lang w:val="en-US" w:eastAsia="zh-CN"/>
              </w:rPr>
            </w:pPr>
          </w:p>
          <w:p w14:paraId="14278438">
            <w:pPr>
              <w:widowControl/>
              <w:tabs>
                <w:tab w:val="left" w:pos="6300"/>
              </w:tabs>
              <w:overflowPunct w:val="0"/>
              <w:autoSpaceDE w:val="0"/>
              <w:autoSpaceDN w:val="0"/>
              <w:adjustRightInd w:val="0"/>
              <w:spacing w:line="480" w:lineRule="exact"/>
              <w:jc w:val="center"/>
              <w:rPr>
                <w:rFonts w:hint="eastAsia" w:cs="Times New Roman" w:eastAsiaTheme="minorEastAsia"/>
                <w:b/>
                <w:bCs/>
                <w:snapToGrid w:val="0"/>
                <w:color w:val="auto"/>
                <w:sz w:val="24"/>
                <w:lang w:val="en-US" w:eastAsia="zh-CN"/>
              </w:rPr>
            </w:pPr>
          </w:p>
          <w:p w14:paraId="34228C71">
            <w:pPr>
              <w:widowControl/>
              <w:tabs>
                <w:tab w:val="left" w:pos="6300"/>
              </w:tabs>
              <w:overflowPunct w:val="0"/>
              <w:autoSpaceDE w:val="0"/>
              <w:autoSpaceDN w:val="0"/>
              <w:adjustRightInd w:val="0"/>
              <w:spacing w:line="480" w:lineRule="exact"/>
              <w:jc w:val="center"/>
              <w:rPr>
                <w:rFonts w:hint="eastAsia" w:cs="Times New Roman" w:eastAsiaTheme="minorEastAsia"/>
                <w:b/>
                <w:bCs/>
                <w:snapToGrid w:val="0"/>
                <w:color w:val="auto"/>
                <w:sz w:val="24"/>
                <w:lang w:val="en-US" w:eastAsia="zh-CN"/>
              </w:rPr>
            </w:pPr>
          </w:p>
          <w:p w14:paraId="0230F5CD">
            <w:pPr>
              <w:widowControl/>
              <w:tabs>
                <w:tab w:val="left" w:pos="6300"/>
              </w:tabs>
              <w:overflowPunct w:val="0"/>
              <w:autoSpaceDE w:val="0"/>
              <w:autoSpaceDN w:val="0"/>
              <w:adjustRightInd w:val="0"/>
              <w:spacing w:line="480" w:lineRule="exact"/>
              <w:jc w:val="center"/>
              <w:rPr>
                <w:rFonts w:hint="eastAsia" w:cs="Times New Roman" w:eastAsiaTheme="minorEastAsia"/>
                <w:b/>
                <w:bCs/>
                <w:snapToGrid w:val="0"/>
                <w:color w:val="auto"/>
                <w:sz w:val="24"/>
                <w:lang w:val="en-US" w:eastAsia="zh-CN"/>
              </w:rPr>
            </w:pPr>
          </w:p>
          <w:p w14:paraId="5A469094">
            <w:pPr>
              <w:widowControl/>
              <w:tabs>
                <w:tab w:val="left" w:pos="6300"/>
              </w:tabs>
              <w:overflowPunct w:val="0"/>
              <w:autoSpaceDE w:val="0"/>
              <w:autoSpaceDN w:val="0"/>
              <w:adjustRightInd w:val="0"/>
              <w:spacing w:line="480" w:lineRule="exact"/>
              <w:jc w:val="center"/>
              <w:rPr>
                <w:rFonts w:hint="eastAsia" w:cs="Times New Roman" w:eastAsiaTheme="minorEastAsia"/>
                <w:b/>
                <w:bCs/>
                <w:snapToGrid w:val="0"/>
                <w:color w:val="auto"/>
                <w:sz w:val="24"/>
                <w:lang w:val="en-US" w:eastAsia="zh-CN"/>
              </w:rPr>
            </w:pPr>
          </w:p>
          <w:p w14:paraId="09444A4C">
            <w:pPr>
              <w:widowControl/>
              <w:tabs>
                <w:tab w:val="left" w:pos="6300"/>
              </w:tabs>
              <w:overflowPunct w:val="0"/>
              <w:autoSpaceDE w:val="0"/>
              <w:autoSpaceDN w:val="0"/>
              <w:adjustRightInd w:val="0"/>
              <w:spacing w:line="480" w:lineRule="exact"/>
              <w:jc w:val="center"/>
              <w:rPr>
                <w:rFonts w:hint="eastAsia" w:cs="Times New Roman" w:eastAsiaTheme="minorEastAsia"/>
                <w:b/>
                <w:bCs/>
                <w:snapToGrid w:val="0"/>
                <w:color w:val="auto"/>
                <w:sz w:val="24"/>
                <w:lang w:val="en-US" w:eastAsia="zh-CN"/>
              </w:rPr>
            </w:pPr>
          </w:p>
          <w:p w14:paraId="27EBCA7B">
            <w:pPr>
              <w:widowControl/>
              <w:tabs>
                <w:tab w:val="left" w:pos="6300"/>
              </w:tabs>
              <w:overflowPunct w:val="0"/>
              <w:autoSpaceDE w:val="0"/>
              <w:autoSpaceDN w:val="0"/>
              <w:adjustRightInd w:val="0"/>
              <w:spacing w:line="480" w:lineRule="exact"/>
              <w:jc w:val="center"/>
              <w:rPr>
                <w:rFonts w:hint="eastAsia" w:cs="Times New Roman" w:eastAsiaTheme="minorEastAsia"/>
                <w:b/>
                <w:bCs/>
                <w:snapToGrid w:val="0"/>
                <w:color w:val="auto"/>
                <w:sz w:val="24"/>
                <w:lang w:val="en-US" w:eastAsia="zh-CN"/>
              </w:rPr>
            </w:pPr>
          </w:p>
          <w:p w14:paraId="0268D6A5">
            <w:pPr>
              <w:widowControl/>
              <w:tabs>
                <w:tab w:val="left" w:pos="6300"/>
              </w:tabs>
              <w:overflowPunct w:val="0"/>
              <w:autoSpaceDE w:val="0"/>
              <w:autoSpaceDN w:val="0"/>
              <w:adjustRightInd w:val="0"/>
              <w:spacing w:line="480" w:lineRule="exact"/>
              <w:jc w:val="center"/>
              <w:rPr>
                <w:rFonts w:hint="eastAsia" w:cs="Times New Roman" w:eastAsiaTheme="minorEastAsia"/>
                <w:b/>
                <w:bCs/>
                <w:snapToGrid w:val="0"/>
                <w:color w:val="auto"/>
                <w:sz w:val="24"/>
                <w:lang w:val="en-US" w:eastAsia="zh-CN"/>
              </w:rPr>
            </w:pPr>
          </w:p>
          <w:p w14:paraId="5F8FFBD7">
            <w:pPr>
              <w:widowControl/>
              <w:tabs>
                <w:tab w:val="left" w:pos="6300"/>
              </w:tabs>
              <w:overflowPunct w:val="0"/>
              <w:autoSpaceDE w:val="0"/>
              <w:autoSpaceDN w:val="0"/>
              <w:adjustRightInd w:val="0"/>
              <w:spacing w:line="480" w:lineRule="exact"/>
              <w:jc w:val="center"/>
              <w:rPr>
                <w:rFonts w:hint="eastAsia" w:cs="Times New Roman" w:eastAsiaTheme="minorEastAsia"/>
                <w:b/>
                <w:bCs/>
                <w:snapToGrid w:val="0"/>
                <w:color w:val="auto"/>
                <w:sz w:val="24"/>
                <w:lang w:val="en-US" w:eastAsia="zh-CN"/>
              </w:rPr>
            </w:pPr>
          </w:p>
          <w:p w14:paraId="48C51040">
            <w:pPr>
              <w:widowControl/>
              <w:tabs>
                <w:tab w:val="left" w:pos="6300"/>
              </w:tabs>
              <w:overflowPunct w:val="0"/>
              <w:autoSpaceDE w:val="0"/>
              <w:autoSpaceDN w:val="0"/>
              <w:adjustRightInd w:val="0"/>
              <w:spacing w:line="480" w:lineRule="exact"/>
              <w:jc w:val="center"/>
              <w:rPr>
                <w:rFonts w:hint="eastAsia" w:cs="Times New Roman" w:eastAsiaTheme="minorEastAsia"/>
                <w:b/>
                <w:bCs/>
                <w:snapToGrid w:val="0"/>
                <w:color w:val="auto"/>
                <w:sz w:val="24"/>
                <w:lang w:val="en-US" w:eastAsia="zh-CN"/>
              </w:rPr>
            </w:pPr>
          </w:p>
          <w:p w14:paraId="722EE893">
            <w:pPr>
              <w:widowControl/>
              <w:tabs>
                <w:tab w:val="left" w:pos="6300"/>
              </w:tabs>
              <w:overflowPunct w:val="0"/>
              <w:autoSpaceDE w:val="0"/>
              <w:autoSpaceDN w:val="0"/>
              <w:adjustRightInd w:val="0"/>
              <w:spacing w:line="480" w:lineRule="exact"/>
              <w:jc w:val="center"/>
              <w:rPr>
                <w:rFonts w:hint="default" w:cs="Times New Roman" w:eastAsiaTheme="minorEastAsia"/>
                <w:snapToGrid w:val="0"/>
                <w:color w:val="auto"/>
                <w:sz w:val="24"/>
                <w:lang w:val="en-US" w:eastAsia="zh-CN"/>
              </w:rPr>
            </w:pPr>
            <w:r>
              <w:rPr>
                <w:rFonts w:hint="eastAsia" w:cs="Times New Roman" w:eastAsiaTheme="minorEastAsia"/>
                <w:b/>
                <w:bCs/>
                <w:snapToGrid w:val="0"/>
                <w:color w:val="auto"/>
                <w:sz w:val="24"/>
                <w:lang w:val="en-US" w:eastAsia="zh-CN"/>
              </w:rPr>
              <w:t>表6   重新报批前后主要变化内容一览表</w:t>
            </w:r>
            <w:r>
              <w:rPr>
                <w:rFonts w:hint="eastAsia" w:cs="Times New Roman" w:eastAsiaTheme="minorEastAsia"/>
                <w:snapToGrid w:val="0"/>
                <w:color w:val="auto"/>
                <w:sz w:val="24"/>
                <w:lang w:val="en-US" w:eastAsia="zh-CN"/>
              </w:rPr>
              <w:t xml:space="preserve">  </w:t>
            </w:r>
          </w:p>
          <w:tbl>
            <w:tblPr>
              <w:tblStyle w:val="28"/>
              <w:tblW w:w="8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769"/>
              <w:gridCol w:w="2880"/>
              <w:gridCol w:w="2858"/>
              <w:gridCol w:w="1515"/>
            </w:tblGrid>
            <w:tr w14:paraId="2686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65" w:type="dxa"/>
                  <w:tcBorders>
                    <w:tl2br w:val="nil"/>
                    <w:tr2bl w:val="nil"/>
                  </w:tcBorders>
                  <w:vAlign w:val="center"/>
                </w:tcPr>
                <w:p w14:paraId="771D831A">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序号</w:t>
                  </w:r>
                </w:p>
              </w:tc>
              <w:tc>
                <w:tcPr>
                  <w:tcW w:w="769" w:type="dxa"/>
                  <w:tcBorders>
                    <w:tl2br w:val="nil"/>
                    <w:tr2bl w:val="nil"/>
                  </w:tcBorders>
                  <w:vAlign w:val="center"/>
                </w:tcPr>
                <w:p w14:paraId="36A2B7F5">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imes New Roman" w:hAnsi="Times New Roman" w:eastAsia="宋体" w:cs="Times New Roman"/>
                      <w:color w:val="000000" w:themeColor="text1"/>
                      <w:kern w:val="0"/>
                      <w:sz w:val="21"/>
                      <w:szCs w:val="21"/>
                      <w:lang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类别</w:t>
                  </w:r>
                </w:p>
              </w:tc>
              <w:tc>
                <w:tcPr>
                  <w:tcW w:w="2880" w:type="dxa"/>
                  <w:tcBorders>
                    <w:tl2br w:val="nil"/>
                    <w:tr2bl w:val="nil"/>
                  </w:tcBorders>
                  <w:vAlign w:val="center"/>
                </w:tcPr>
                <w:p w14:paraId="6C3EFEAF">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imes New Roman" w:hAnsi="Times New Roman" w:eastAsia="宋体" w:cs="Times New Roman"/>
                      <w:color w:val="000000" w:themeColor="text1"/>
                      <w:kern w:val="0"/>
                      <w:sz w:val="21"/>
                      <w:szCs w:val="21"/>
                      <w:lang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重新报批前</w:t>
                  </w:r>
                </w:p>
              </w:tc>
              <w:tc>
                <w:tcPr>
                  <w:tcW w:w="2858" w:type="dxa"/>
                  <w:tcBorders>
                    <w:tl2br w:val="nil"/>
                    <w:tr2bl w:val="nil"/>
                  </w:tcBorders>
                  <w:vAlign w:val="center"/>
                </w:tcPr>
                <w:p w14:paraId="56B8DC45">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重新报批后</w:t>
                  </w:r>
                </w:p>
              </w:tc>
              <w:tc>
                <w:tcPr>
                  <w:tcW w:w="1515" w:type="dxa"/>
                  <w:tcBorders>
                    <w:tl2br w:val="nil"/>
                    <w:tr2bl w:val="nil"/>
                  </w:tcBorders>
                  <w:vAlign w:val="center"/>
                </w:tcPr>
                <w:p w14:paraId="16259A68">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备注</w:t>
                  </w:r>
                </w:p>
              </w:tc>
            </w:tr>
            <w:tr w14:paraId="05C8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465" w:type="dxa"/>
                  <w:tcBorders>
                    <w:tl2br w:val="nil"/>
                    <w:tr2bl w:val="nil"/>
                  </w:tcBorders>
                  <w:vAlign w:val="center"/>
                </w:tcPr>
                <w:p w14:paraId="691E9457">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1</w:t>
                  </w:r>
                </w:p>
              </w:tc>
              <w:tc>
                <w:tcPr>
                  <w:tcW w:w="769" w:type="dxa"/>
                  <w:tcBorders>
                    <w:tl2br w:val="nil"/>
                    <w:tr2bl w:val="nil"/>
                  </w:tcBorders>
                  <w:vAlign w:val="center"/>
                </w:tcPr>
                <w:p w14:paraId="00F1A7B8">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kern w:val="0"/>
                      <w:szCs w:val="21"/>
                      <w:lang w:val="en-US" w:eastAsia="zh-CN"/>
                    </w:rPr>
                    <w:t>性质</w:t>
                  </w:r>
                </w:p>
              </w:tc>
              <w:tc>
                <w:tcPr>
                  <w:tcW w:w="2880" w:type="dxa"/>
                  <w:tcBorders>
                    <w:tl2br w:val="nil"/>
                    <w:tr2bl w:val="nil"/>
                  </w:tcBorders>
                  <w:vAlign w:val="center"/>
                </w:tcPr>
                <w:p w14:paraId="4FFA20BF">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新建</w:t>
                  </w:r>
                </w:p>
              </w:tc>
              <w:tc>
                <w:tcPr>
                  <w:tcW w:w="2858" w:type="dxa"/>
                  <w:tcBorders>
                    <w:tl2br w:val="nil"/>
                    <w:tr2bl w:val="nil"/>
                  </w:tcBorders>
                  <w:vAlign w:val="center"/>
                </w:tcPr>
                <w:p w14:paraId="3FBF7395">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kern w:val="0"/>
                      <w:szCs w:val="21"/>
                      <w:lang w:val="en-US" w:eastAsia="zh-CN"/>
                    </w:rPr>
                  </w:pPr>
                  <w:r>
                    <w:rPr>
                      <w:rFonts w:hint="eastAsia" w:cs="Times New Roman"/>
                      <w:color w:val="auto"/>
                      <w:kern w:val="0"/>
                      <w:sz w:val="21"/>
                      <w:szCs w:val="21"/>
                      <w:lang w:val="en-US" w:eastAsia="zh-CN"/>
                    </w:rPr>
                    <w:t>新建</w:t>
                  </w:r>
                </w:p>
              </w:tc>
              <w:tc>
                <w:tcPr>
                  <w:tcW w:w="1515" w:type="dxa"/>
                  <w:tcBorders>
                    <w:tl2br w:val="nil"/>
                    <w:tr2bl w:val="nil"/>
                  </w:tcBorders>
                  <w:vAlign w:val="center"/>
                </w:tcPr>
                <w:p w14:paraId="7431A8D7">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kern w:val="0"/>
                      <w:szCs w:val="21"/>
                      <w:lang w:val="en-US" w:eastAsia="zh-CN"/>
                    </w:rPr>
                  </w:pPr>
                  <w:r>
                    <w:rPr>
                      <w:rFonts w:hint="eastAsia" w:cs="Times New Roman"/>
                      <w:kern w:val="0"/>
                      <w:szCs w:val="21"/>
                      <w:lang w:val="en-US" w:eastAsia="zh-CN"/>
                    </w:rPr>
                    <w:t>不变</w:t>
                  </w:r>
                </w:p>
              </w:tc>
            </w:tr>
            <w:tr w14:paraId="6D7F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465" w:type="dxa"/>
                  <w:tcBorders>
                    <w:tl2br w:val="nil"/>
                    <w:tr2bl w:val="nil"/>
                  </w:tcBorders>
                  <w:vAlign w:val="center"/>
                </w:tcPr>
                <w:p w14:paraId="6633CDB2">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2</w:t>
                  </w:r>
                </w:p>
              </w:tc>
              <w:tc>
                <w:tcPr>
                  <w:tcW w:w="769" w:type="dxa"/>
                  <w:tcBorders>
                    <w:tl2br w:val="nil"/>
                    <w:tr2bl w:val="nil"/>
                  </w:tcBorders>
                  <w:vAlign w:val="center"/>
                </w:tcPr>
                <w:p w14:paraId="4437C617">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规模</w:t>
                  </w:r>
                </w:p>
              </w:tc>
              <w:tc>
                <w:tcPr>
                  <w:tcW w:w="2880" w:type="dxa"/>
                  <w:tcBorders>
                    <w:tl2br w:val="nil"/>
                    <w:tr2bl w:val="nil"/>
                  </w:tcBorders>
                  <w:vAlign w:val="center"/>
                </w:tcPr>
                <w:p w14:paraId="097C3FF6">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年产12000吨再生塑料颗粒（PET颗粒）</w:t>
                  </w:r>
                </w:p>
              </w:tc>
              <w:tc>
                <w:tcPr>
                  <w:tcW w:w="2858" w:type="dxa"/>
                  <w:tcBorders>
                    <w:tl2br w:val="nil"/>
                    <w:tr2bl w:val="nil"/>
                  </w:tcBorders>
                  <w:vAlign w:val="center"/>
                </w:tcPr>
                <w:p w14:paraId="12FCCDB1">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年产12000吨再生塑料颗粒（PP、PE、ABS颗粒）</w:t>
                  </w:r>
                </w:p>
              </w:tc>
              <w:tc>
                <w:tcPr>
                  <w:tcW w:w="1515" w:type="dxa"/>
                  <w:tcBorders>
                    <w:tl2br w:val="nil"/>
                    <w:tr2bl w:val="nil"/>
                  </w:tcBorders>
                  <w:vAlign w:val="center"/>
                </w:tcPr>
                <w:p w14:paraId="13D18CC0">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kern w:val="0"/>
                      <w:szCs w:val="21"/>
                      <w:lang w:val="en-US" w:eastAsia="zh-CN"/>
                    </w:rPr>
                  </w:pPr>
                  <w:r>
                    <w:rPr>
                      <w:rFonts w:hint="eastAsia" w:cs="Times New Roman"/>
                      <w:kern w:val="0"/>
                      <w:szCs w:val="21"/>
                      <w:lang w:val="en-US" w:eastAsia="zh-CN"/>
                    </w:rPr>
                    <w:t>产品方案进行了调整</w:t>
                  </w:r>
                </w:p>
              </w:tc>
            </w:tr>
            <w:tr w14:paraId="6A56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465" w:type="dxa"/>
                  <w:tcBorders>
                    <w:tl2br w:val="nil"/>
                    <w:tr2bl w:val="nil"/>
                  </w:tcBorders>
                  <w:vAlign w:val="center"/>
                </w:tcPr>
                <w:p w14:paraId="13820D36">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3</w:t>
                  </w:r>
                </w:p>
              </w:tc>
              <w:tc>
                <w:tcPr>
                  <w:tcW w:w="769" w:type="dxa"/>
                  <w:tcBorders>
                    <w:tl2br w:val="nil"/>
                    <w:tr2bl w:val="nil"/>
                  </w:tcBorders>
                  <w:vAlign w:val="center"/>
                </w:tcPr>
                <w:p w14:paraId="7832E46E">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地点</w:t>
                  </w:r>
                </w:p>
              </w:tc>
              <w:tc>
                <w:tcPr>
                  <w:tcW w:w="2880" w:type="dxa"/>
                  <w:tcBorders>
                    <w:tl2br w:val="nil"/>
                    <w:tr2bl w:val="nil"/>
                  </w:tcBorders>
                  <w:vAlign w:val="center"/>
                </w:tcPr>
                <w:p w14:paraId="6AD2B478">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河北省邯郸市魏县绿环循环经济产业园1栋-4号</w:t>
                  </w:r>
                </w:p>
              </w:tc>
              <w:tc>
                <w:tcPr>
                  <w:tcW w:w="2858" w:type="dxa"/>
                  <w:tcBorders>
                    <w:tl2br w:val="nil"/>
                    <w:tr2bl w:val="nil"/>
                  </w:tcBorders>
                  <w:vAlign w:val="center"/>
                </w:tcPr>
                <w:p w14:paraId="0A44A7BD">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河北省邯郸市魏县绿环循环经济产业园1栋-4号</w:t>
                  </w:r>
                </w:p>
              </w:tc>
              <w:tc>
                <w:tcPr>
                  <w:tcW w:w="1515" w:type="dxa"/>
                  <w:tcBorders>
                    <w:tl2br w:val="nil"/>
                    <w:tr2bl w:val="nil"/>
                  </w:tcBorders>
                  <w:vAlign w:val="center"/>
                </w:tcPr>
                <w:p w14:paraId="34B95C1F">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kern w:val="0"/>
                      <w:szCs w:val="21"/>
                      <w:lang w:val="en-US" w:eastAsia="zh-CN"/>
                    </w:rPr>
                  </w:pPr>
                  <w:r>
                    <w:rPr>
                      <w:rFonts w:hint="eastAsia" w:cs="Times New Roman"/>
                      <w:kern w:val="0"/>
                      <w:szCs w:val="21"/>
                      <w:lang w:val="en-US" w:eastAsia="zh-CN"/>
                    </w:rPr>
                    <w:t>不变</w:t>
                  </w:r>
                </w:p>
              </w:tc>
            </w:tr>
            <w:tr w14:paraId="3E57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465" w:type="dxa"/>
                  <w:tcBorders>
                    <w:tl2br w:val="nil"/>
                    <w:tr2bl w:val="nil"/>
                  </w:tcBorders>
                  <w:vAlign w:val="center"/>
                </w:tcPr>
                <w:p w14:paraId="3DC62B12">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4</w:t>
                  </w:r>
                </w:p>
              </w:tc>
              <w:tc>
                <w:tcPr>
                  <w:tcW w:w="769" w:type="dxa"/>
                  <w:tcBorders>
                    <w:tl2br w:val="nil"/>
                    <w:tr2bl w:val="nil"/>
                  </w:tcBorders>
                  <w:vAlign w:val="center"/>
                </w:tcPr>
                <w:p w14:paraId="0E476D12">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生产</w:t>
                  </w:r>
                </w:p>
                <w:p w14:paraId="72760EBC">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工艺</w:t>
                  </w:r>
                </w:p>
              </w:tc>
              <w:tc>
                <w:tcPr>
                  <w:tcW w:w="2880" w:type="dxa"/>
                  <w:tcBorders>
                    <w:tl2br w:val="nil"/>
                    <w:tr2bl w:val="nil"/>
                  </w:tcBorders>
                  <w:vAlign w:val="center"/>
                </w:tcPr>
                <w:p w14:paraId="26F62C18">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分拣-撕碎-破碎-清洗-烘干-挤出-冷却-切粒-灌装</w:t>
                  </w:r>
                </w:p>
              </w:tc>
              <w:tc>
                <w:tcPr>
                  <w:tcW w:w="2858" w:type="dxa"/>
                  <w:tcBorders>
                    <w:tl2br w:val="nil"/>
                    <w:tr2bl w:val="nil"/>
                  </w:tcBorders>
                  <w:vAlign w:val="center"/>
                </w:tcPr>
                <w:p w14:paraId="75F1943D">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废吨包处理生产线：上料-粉碎-清洗-提料-甩干-上料-挤出-冷却-切料-储料罐-包装；</w:t>
                  </w:r>
                </w:p>
                <w:p w14:paraId="5017D214">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cs="Times New Roman"/>
                      <w:color w:val="FF0000"/>
                      <w:kern w:val="0"/>
                      <w:sz w:val="21"/>
                      <w:szCs w:val="21"/>
                      <w:lang w:val="en-US" w:eastAsia="zh-CN" w:bidi="ar-SA"/>
                    </w:rPr>
                  </w:pPr>
                  <w:r>
                    <w:rPr>
                      <w:rFonts w:hint="default" w:cs="Times New Roman"/>
                      <w:color w:val="auto"/>
                      <w:kern w:val="0"/>
                      <w:sz w:val="21"/>
                      <w:szCs w:val="21"/>
                      <w:lang w:val="en-US" w:eastAsia="zh-CN" w:bidi="ar-SA"/>
                    </w:rPr>
                    <w:t>PP、ABS片料</w:t>
                  </w:r>
                  <w:r>
                    <w:rPr>
                      <w:rFonts w:hint="eastAsia" w:cs="Times New Roman"/>
                      <w:color w:val="auto"/>
                      <w:kern w:val="0"/>
                      <w:sz w:val="21"/>
                      <w:szCs w:val="21"/>
                      <w:lang w:val="en-US" w:eastAsia="zh-CN" w:bidi="ar-SA"/>
                    </w:rPr>
                    <w:t>处理生产线：上料-粉碎-清洗-提料-甩干-拌料-上料-挤出-冷却-切料-储料罐-包装；</w:t>
                  </w:r>
                </w:p>
              </w:tc>
              <w:tc>
                <w:tcPr>
                  <w:tcW w:w="1515" w:type="dxa"/>
                  <w:tcBorders>
                    <w:tl2br w:val="nil"/>
                    <w:tr2bl w:val="nil"/>
                  </w:tcBorders>
                  <w:vAlign w:val="center"/>
                </w:tcPr>
                <w:p w14:paraId="08135CCB">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kern w:val="0"/>
                      <w:szCs w:val="21"/>
                      <w:lang w:val="en-US" w:eastAsia="zh-CN"/>
                    </w:rPr>
                  </w:pPr>
                  <w:r>
                    <w:rPr>
                      <w:rFonts w:hint="eastAsia" w:cs="Times New Roman"/>
                      <w:kern w:val="0"/>
                      <w:szCs w:val="21"/>
                      <w:lang w:val="en-US" w:eastAsia="zh-CN"/>
                    </w:rPr>
                    <w:t>生产工艺进行了调整，部分</w:t>
                  </w:r>
                  <w:r>
                    <w:rPr>
                      <w:rFonts w:hint="default" w:cs="Times New Roman"/>
                      <w:color w:val="auto"/>
                      <w:kern w:val="0"/>
                      <w:sz w:val="21"/>
                      <w:szCs w:val="21"/>
                      <w:lang w:val="en-US" w:eastAsia="zh-CN" w:bidi="ar-SA"/>
                    </w:rPr>
                    <w:t>PP、ABS片料</w:t>
                  </w:r>
                  <w:r>
                    <w:rPr>
                      <w:rFonts w:hint="eastAsia" w:cs="Times New Roman"/>
                      <w:color w:val="auto"/>
                      <w:kern w:val="0"/>
                      <w:sz w:val="21"/>
                      <w:szCs w:val="21"/>
                      <w:lang w:val="en-US" w:eastAsia="zh-CN" w:bidi="ar-SA"/>
                    </w:rPr>
                    <w:t>需进行干式粉碎，颗粒物排放量增加，</w:t>
                  </w:r>
                  <w:r>
                    <w:rPr>
                      <w:rFonts w:hint="eastAsia" w:cs="Times New Roman"/>
                      <w:kern w:val="0"/>
                      <w:szCs w:val="21"/>
                      <w:lang w:val="en-US" w:eastAsia="zh-CN"/>
                    </w:rPr>
                    <w:t>属于重大变动</w:t>
                  </w:r>
                </w:p>
              </w:tc>
            </w:tr>
            <w:tr w14:paraId="4642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465" w:type="dxa"/>
                  <w:tcBorders>
                    <w:tl2br w:val="nil"/>
                    <w:tr2bl w:val="nil"/>
                  </w:tcBorders>
                  <w:vAlign w:val="center"/>
                </w:tcPr>
                <w:p w14:paraId="564B07B8">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5</w:t>
                  </w:r>
                </w:p>
              </w:tc>
              <w:tc>
                <w:tcPr>
                  <w:tcW w:w="769" w:type="dxa"/>
                  <w:tcBorders>
                    <w:tl2br w:val="nil"/>
                    <w:tr2bl w:val="nil"/>
                  </w:tcBorders>
                  <w:vAlign w:val="center"/>
                </w:tcPr>
                <w:p w14:paraId="1148AB3B">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主要原辅材料</w:t>
                  </w:r>
                </w:p>
              </w:tc>
              <w:tc>
                <w:tcPr>
                  <w:tcW w:w="2880" w:type="dxa"/>
                  <w:tcBorders>
                    <w:tl2br w:val="nil"/>
                    <w:tr2bl w:val="nil"/>
                  </w:tcBorders>
                  <w:vAlign w:val="center"/>
                </w:tcPr>
                <w:p w14:paraId="4A50EA50">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废渔网（PET渔网）</w:t>
                  </w:r>
                </w:p>
              </w:tc>
              <w:tc>
                <w:tcPr>
                  <w:tcW w:w="2858" w:type="dxa"/>
                  <w:tcBorders>
                    <w:tl2br w:val="nil"/>
                    <w:tr2bl w:val="nil"/>
                  </w:tcBorders>
                  <w:vAlign w:val="center"/>
                </w:tcPr>
                <w:p w14:paraId="30D0665A">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废吨包（PP吨包和PE吨包）、废PP、ABS片料和</w:t>
                  </w:r>
                  <w:r>
                    <w:rPr>
                      <w:rFonts w:hint="eastAsia" w:cs="Times New Roman"/>
                      <w:color w:val="0000FF"/>
                      <w:kern w:val="0"/>
                      <w:sz w:val="21"/>
                      <w:szCs w:val="21"/>
                      <w:lang w:val="en-US" w:eastAsia="zh-CN" w:bidi="ar-SA"/>
                    </w:rPr>
                    <w:t>PP、PE新料</w:t>
                  </w:r>
                </w:p>
              </w:tc>
              <w:tc>
                <w:tcPr>
                  <w:tcW w:w="1515" w:type="dxa"/>
                  <w:tcBorders>
                    <w:tl2br w:val="nil"/>
                    <w:tr2bl w:val="nil"/>
                  </w:tcBorders>
                  <w:vAlign w:val="center"/>
                </w:tcPr>
                <w:p w14:paraId="41E92488">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kern w:val="0"/>
                      <w:szCs w:val="21"/>
                      <w:lang w:val="en-US" w:eastAsia="zh-CN"/>
                    </w:rPr>
                  </w:pPr>
                  <w:r>
                    <w:rPr>
                      <w:rFonts w:hint="eastAsia" w:cs="Times New Roman"/>
                      <w:kern w:val="0"/>
                      <w:szCs w:val="21"/>
                      <w:lang w:val="en-US" w:eastAsia="zh-CN"/>
                    </w:rPr>
                    <w:t>主要原辅材料种类进行了调整</w:t>
                  </w:r>
                </w:p>
              </w:tc>
            </w:tr>
            <w:tr w14:paraId="3483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465" w:type="dxa"/>
                  <w:tcBorders>
                    <w:tl2br w:val="nil"/>
                    <w:tr2bl w:val="nil"/>
                  </w:tcBorders>
                  <w:vAlign w:val="center"/>
                </w:tcPr>
                <w:p w14:paraId="102AF98B">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6</w:t>
                  </w:r>
                </w:p>
              </w:tc>
              <w:tc>
                <w:tcPr>
                  <w:tcW w:w="769" w:type="dxa"/>
                  <w:tcBorders>
                    <w:tl2br w:val="nil"/>
                    <w:tr2bl w:val="nil"/>
                  </w:tcBorders>
                  <w:shd w:val="clear" w:color="auto" w:fill="FFFFFF"/>
                  <w:vAlign w:val="center"/>
                </w:tcPr>
                <w:p w14:paraId="23BB2F28">
                  <w:pPr>
                    <w:keepNext w:val="0"/>
                    <w:keepLines/>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环境保护措施</w:t>
                  </w:r>
                </w:p>
              </w:tc>
              <w:tc>
                <w:tcPr>
                  <w:tcW w:w="2880" w:type="dxa"/>
                  <w:tcBorders>
                    <w:tl2br w:val="nil"/>
                    <w:tr2bl w:val="nil"/>
                  </w:tcBorders>
                  <w:shd w:val="clear" w:color="auto" w:fill="FFFFFF"/>
                  <w:vAlign w:val="center"/>
                </w:tcPr>
                <w:p w14:paraId="2B298CDB">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b w:val="0"/>
                      <w:bCs w:val="0"/>
                      <w:color w:val="auto"/>
                      <w:spacing w:val="0"/>
                      <w:sz w:val="21"/>
                      <w:szCs w:val="21"/>
                      <w:lang w:val="en-US" w:eastAsia="zh-CN"/>
                    </w:rPr>
                    <w:t>废气：</w:t>
                  </w:r>
                  <w:r>
                    <w:rPr>
                      <w:rFonts w:hint="default" w:ascii="Times New Roman" w:hAnsi="Times New Roman" w:eastAsia="宋体" w:cs="Times New Roman"/>
                      <w:b w:val="0"/>
                      <w:bCs w:val="0"/>
                      <w:color w:val="auto"/>
                      <w:spacing w:val="0"/>
                      <w:sz w:val="21"/>
                      <w:szCs w:val="21"/>
                      <w:lang w:val="en-US" w:eastAsia="zh-CN"/>
                    </w:rPr>
                    <w:t>挤出工序产生的废气采用</w:t>
                  </w:r>
                  <w:r>
                    <w:rPr>
                      <w:rFonts w:hint="eastAsia" w:cs="Times New Roman"/>
                      <w:b w:val="0"/>
                      <w:bCs w:val="0"/>
                      <w:color w:val="auto"/>
                      <w:spacing w:val="0"/>
                      <w:sz w:val="21"/>
                      <w:szCs w:val="21"/>
                      <w:lang w:val="en-US" w:eastAsia="zh-CN"/>
                    </w:rPr>
                    <w:t>袋式除尘器+二级活性炭吸附</w:t>
                  </w:r>
                  <w:r>
                    <w:rPr>
                      <w:rFonts w:hint="default" w:ascii="Times New Roman" w:hAnsi="Times New Roman" w:eastAsia="宋体" w:cs="Times New Roman"/>
                      <w:b w:val="0"/>
                      <w:bCs w:val="0"/>
                      <w:color w:val="auto"/>
                      <w:spacing w:val="0"/>
                      <w:sz w:val="21"/>
                      <w:szCs w:val="21"/>
                      <w:lang w:val="en-US" w:eastAsia="zh-CN"/>
                    </w:rPr>
                    <w:t>处理后通过15m排气筒排放</w:t>
                  </w:r>
                  <w:r>
                    <w:rPr>
                      <w:rFonts w:hint="eastAsia" w:cs="Times New Roman"/>
                      <w:b w:val="0"/>
                      <w:bCs w:val="0"/>
                      <w:color w:val="auto"/>
                      <w:spacing w:val="0"/>
                      <w:sz w:val="21"/>
                      <w:szCs w:val="21"/>
                      <w:lang w:val="en-US" w:eastAsia="zh-CN"/>
                    </w:rPr>
                    <w:t>；废水：项目生产废水（渔网清洗水、造粒冷却水）经污水处理系统（旋流沉淀塔+压滤）处理后，循环使用不外排；职工生活废水经化粪池处理后，由园区管网排入园区内现有工业污水处理厂（魏县绿环循环经济产业园有限公司）进一步处理；噪声：选用低噪声设备、基础减振、厂房隔声等；固废：生活垃圾收集后定期交由环卫部门统一处理；一般工业固体废物：污泥委托有资质单位清运；杂质、包装废料、除尘灰、废除尘布袋收集后外售；危险废物：废机油、废机油桶、废含油抹布、废活性炭暂存于危废间，定期交由有资质单位处置</w:t>
                  </w:r>
                </w:p>
              </w:tc>
              <w:tc>
                <w:tcPr>
                  <w:tcW w:w="2858" w:type="dxa"/>
                  <w:tcBorders>
                    <w:tl2br w:val="nil"/>
                    <w:tr2bl w:val="nil"/>
                  </w:tcBorders>
                  <w:shd w:val="clear" w:color="auto" w:fill="FFFFFF"/>
                  <w:vAlign w:val="center"/>
                </w:tcPr>
                <w:p w14:paraId="0E96A7C2">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cs="Times New Roman"/>
                      <w:color w:val="auto"/>
                      <w:kern w:val="0"/>
                      <w:sz w:val="21"/>
                      <w:szCs w:val="21"/>
                      <w:lang w:val="en-US" w:eastAsia="zh-CN" w:bidi="ar-SA"/>
                    </w:rPr>
                  </w:pPr>
                  <w:r>
                    <w:rPr>
                      <w:rFonts w:hint="eastAsia" w:cs="Times New Roman"/>
                      <w:b w:val="0"/>
                      <w:bCs w:val="0"/>
                      <w:color w:val="000000" w:themeColor="text1"/>
                      <w:spacing w:val="0"/>
                      <w:sz w:val="21"/>
                      <w:szCs w:val="21"/>
                      <w:lang w:val="en-US" w:eastAsia="zh-CN"/>
                      <w14:textFill>
                        <w14:solidFill>
                          <w14:schemeClr w14:val="tx1"/>
                        </w14:solidFill>
                      </w14:textFill>
                    </w:rPr>
                    <w:t>废气：</w:t>
                  </w:r>
                  <w:r>
                    <w:rPr>
                      <w:rFonts w:hint="eastAsia" w:cs="Times New Roman"/>
                      <w:b w:val="0"/>
                      <w:bCs w:val="0"/>
                      <w:color w:val="0000FF"/>
                      <w:spacing w:val="0"/>
                      <w:sz w:val="21"/>
                      <w:szCs w:val="21"/>
                      <w:lang w:val="en-US" w:eastAsia="zh-CN"/>
                    </w:rPr>
                    <w:t>干式粉碎</w:t>
                  </w:r>
                  <w:r>
                    <w:rPr>
                      <w:rFonts w:hint="default" w:ascii="Times New Roman" w:hAnsi="Times New Roman" w:eastAsia="宋体" w:cs="Times New Roman"/>
                      <w:b w:val="0"/>
                      <w:bCs w:val="0"/>
                      <w:color w:val="0000FF"/>
                      <w:spacing w:val="0"/>
                      <w:sz w:val="21"/>
                      <w:szCs w:val="21"/>
                      <w:lang w:val="en-US" w:eastAsia="zh-CN"/>
                    </w:rPr>
                    <w:t>产生的废气采用</w:t>
                  </w:r>
                  <w:r>
                    <w:rPr>
                      <w:rFonts w:hint="eastAsia" w:cs="Times New Roman"/>
                      <w:b w:val="0"/>
                      <w:bCs w:val="0"/>
                      <w:color w:val="0000FF"/>
                      <w:spacing w:val="0"/>
                      <w:sz w:val="21"/>
                      <w:szCs w:val="21"/>
                      <w:lang w:val="en-US" w:eastAsia="zh-CN"/>
                    </w:rPr>
                    <w:t>袋式除尘器处理后通过15m排气筒排放；</w:t>
                  </w:r>
                  <w:r>
                    <w:rPr>
                      <w:rFonts w:hint="default" w:ascii="Times New Roman" w:hAnsi="Times New Roman" w:eastAsia="宋体" w:cs="Times New Roman"/>
                      <w:b w:val="0"/>
                      <w:bCs w:val="0"/>
                      <w:color w:val="000000" w:themeColor="text1"/>
                      <w:spacing w:val="0"/>
                      <w:sz w:val="21"/>
                      <w:szCs w:val="21"/>
                      <w:lang w:val="en-US" w:eastAsia="zh-CN"/>
                      <w14:textFill>
                        <w14:solidFill>
                          <w14:schemeClr w14:val="tx1"/>
                        </w14:solidFill>
                      </w14:textFill>
                    </w:rPr>
                    <w:t>挤出工序产生的废气采</w:t>
                  </w:r>
                  <w:r>
                    <w:rPr>
                      <w:rFonts w:hint="default" w:ascii="Times New Roman" w:hAnsi="Times New Roman" w:eastAsia="宋体" w:cs="Times New Roman"/>
                      <w:b w:val="0"/>
                      <w:bCs w:val="0"/>
                      <w:color w:val="auto"/>
                      <w:spacing w:val="0"/>
                      <w:sz w:val="21"/>
                      <w:szCs w:val="21"/>
                      <w:lang w:val="en-US" w:eastAsia="zh-CN"/>
                    </w:rPr>
                    <w:t>用喷淋塔+干式过滤+活性炭吸附脱附+催化燃烧处理后通过15m排气筒排放</w:t>
                  </w:r>
                  <w:r>
                    <w:rPr>
                      <w:rFonts w:hint="eastAsia" w:cs="Times New Roman"/>
                      <w:b w:val="0"/>
                      <w:bCs w:val="0"/>
                      <w:color w:val="auto"/>
                      <w:spacing w:val="0"/>
                      <w:sz w:val="21"/>
                      <w:szCs w:val="21"/>
                      <w:lang w:val="en-US" w:eastAsia="zh-CN"/>
                    </w:rPr>
                    <w:t>；废水：粉碎、清洗、冷却等生产废水经沉淀池处理后循环利用，不外排；喷淋塔用水循环使用，定期补充新水；生活废水直接泼洒抑尘；噪声：</w:t>
                  </w:r>
                  <w:r>
                    <w:rPr>
                      <w:rFonts w:hint="default" w:ascii="Times New Roman" w:hAnsi="Times New Roman" w:cs="Times New Roman"/>
                      <w:color w:val="auto"/>
                      <w:szCs w:val="21"/>
                    </w:rPr>
                    <w:t>基础减振、厂房隔声等</w:t>
                  </w:r>
                  <w:r>
                    <w:rPr>
                      <w:rFonts w:hint="eastAsia" w:cs="Times New Roman"/>
                      <w:b w:val="0"/>
                      <w:bCs w:val="0"/>
                      <w:color w:val="auto"/>
                      <w:spacing w:val="0"/>
                      <w:sz w:val="21"/>
                      <w:szCs w:val="21"/>
                      <w:lang w:val="en-US" w:eastAsia="zh-CN"/>
                    </w:rPr>
                    <w:t>；固废：生活垃圾委托环卫部门处理；一般工业固体废物：</w:t>
                  </w:r>
                  <w:r>
                    <w:rPr>
                      <w:rFonts w:hint="eastAsia" w:cs="Times New Roman"/>
                      <w:b w:val="0"/>
                      <w:bCs w:val="0"/>
                      <w:color w:val="4472C4" w:themeColor="accent5"/>
                      <w:spacing w:val="0"/>
                      <w:sz w:val="21"/>
                      <w:szCs w:val="21"/>
                      <w:lang w:val="en-US" w:eastAsia="zh-CN"/>
                      <w14:textFill>
                        <w14:solidFill>
                          <w14:schemeClr w14:val="accent5"/>
                        </w14:solidFill>
                      </w14:textFill>
                    </w:rPr>
                    <w:t>除尘灰、废布袋、</w:t>
                  </w:r>
                  <w:r>
                    <w:rPr>
                      <w:rFonts w:hint="eastAsia" w:cs="Times New Roman"/>
                      <w:b w:val="0"/>
                      <w:bCs w:val="0"/>
                      <w:color w:val="auto"/>
                      <w:spacing w:val="0"/>
                      <w:sz w:val="21"/>
                      <w:szCs w:val="21"/>
                      <w:lang w:val="en-US" w:eastAsia="zh-CN"/>
                    </w:rPr>
                    <w:t>废边角料、底泥、包装废料外售；废过滤网委托专人处置后回用；危险废物：废液压油、废润滑油、废油桶、废含油抹布、废活性炭、废过滤棉、废催化剂</w:t>
                  </w:r>
                  <w:r>
                    <w:rPr>
                      <w:rFonts w:hint="eastAsia" w:ascii="Times New Roman" w:hAnsi="Times New Roman" w:cs="Times New Roman"/>
                      <w:bCs/>
                      <w:color w:val="auto"/>
                      <w:sz w:val="21"/>
                      <w:szCs w:val="21"/>
                      <w:shd w:val="clear" w:color="auto" w:fill="auto"/>
                      <w:lang w:val="en-US" w:eastAsia="zh-CN"/>
                    </w:rPr>
                    <w:t>暂存于危废间，定期</w:t>
                  </w:r>
                  <w:r>
                    <w:rPr>
                      <w:rFonts w:hint="default" w:ascii="Times New Roman" w:hAnsi="Times New Roman" w:cs="Times New Roman"/>
                      <w:bCs/>
                      <w:color w:val="auto"/>
                      <w:sz w:val="21"/>
                      <w:szCs w:val="21"/>
                      <w:shd w:val="clear" w:color="auto" w:fill="auto"/>
                      <w:lang w:val="en-US" w:eastAsia="zh-CN"/>
                    </w:rPr>
                    <w:t>委托有资质单位处理</w:t>
                  </w:r>
                </w:p>
              </w:tc>
              <w:tc>
                <w:tcPr>
                  <w:tcW w:w="1515" w:type="dxa"/>
                  <w:tcBorders>
                    <w:tl2br w:val="nil"/>
                    <w:tr2bl w:val="nil"/>
                  </w:tcBorders>
                  <w:shd w:val="clear" w:color="auto" w:fill="FFFFFF"/>
                  <w:vAlign w:val="center"/>
                </w:tcPr>
                <w:p w14:paraId="74654A39">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kern w:val="0"/>
                      <w:szCs w:val="21"/>
                      <w:lang w:val="en-US" w:eastAsia="zh-CN"/>
                    </w:rPr>
                  </w:pPr>
                  <w:r>
                    <w:rPr>
                      <w:rFonts w:hint="eastAsia" w:cs="Times New Roman"/>
                      <w:kern w:val="0"/>
                      <w:szCs w:val="21"/>
                      <w:lang w:val="en-US" w:eastAsia="zh-CN"/>
                    </w:rPr>
                    <w:t>废气治理设施进行了调整；废水排放去向进行了调整，全厂无废水外排；固废种类发生变化</w:t>
                  </w:r>
                </w:p>
              </w:tc>
            </w:tr>
          </w:tbl>
          <w:p w14:paraId="62DAD8AA">
            <w:pPr>
              <w:widowControl/>
              <w:tabs>
                <w:tab w:val="left" w:pos="6300"/>
              </w:tabs>
              <w:overflowPunct w:val="0"/>
              <w:autoSpaceDE w:val="0"/>
              <w:autoSpaceDN w:val="0"/>
              <w:adjustRightInd w:val="0"/>
              <w:spacing w:line="480" w:lineRule="exact"/>
              <w:ind w:firstLine="480" w:firstLineChars="200"/>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Cs/>
                <w:color w:val="auto"/>
                <w:sz w:val="24"/>
                <w:szCs w:val="24"/>
              </w:rPr>
              <w:t>根据《中华人民共和国环境保护法》、《建设项目环境保护管理条例》及《中华人民共和国环境影响评价法》，该项目应开展环境影响评价工作。对照《建设项目环境影响评价分类管理名录》（2021年版），本项目</w:t>
            </w:r>
            <w:r>
              <w:rPr>
                <w:rFonts w:hint="eastAsia" w:cs="Times New Roman" w:eastAsiaTheme="minorEastAsia"/>
                <w:color w:val="auto"/>
                <w:sz w:val="24"/>
                <w:lang w:val="en-US" w:eastAsia="zh-CN"/>
              </w:rPr>
              <w:t>属于三十九、废弃资源综合利用业85-非金属废料和碎屑加工处理422（不含原料为危险废物的，不含仅分拣、破碎的）-废弃电器电子产品、废机动车、废电机、废电线电缆、废钢、废铁、金属和金属化合物矿灰及残渣、有色金属废料与碎屑、废塑料、废轮胎、废船、含水洗工艺的其他废料和碎屑加工处理（农业生产产生的废旧秧盘、薄膜破碎和清洗工艺的除外），</w:t>
            </w:r>
            <w:r>
              <w:rPr>
                <w:rFonts w:hint="default" w:ascii="Times New Roman" w:hAnsi="Times New Roman" w:cs="Times New Roman" w:eastAsiaTheme="minorEastAsia"/>
                <w:bCs/>
                <w:color w:val="auto"/>
                <w:sz w:val="24"/>
                <w:szCs w:val="24"/>
              </w:rPr>
              <w:t>应当编制环境影响报告表</w:t>
            </w:r>
            <w:r>
              <w:rPr>
                <w:rFonts w:hint="default" w:ascii="Times New Roman" w:hAnsi="Times New Roman" w:cs="Times New Roman" w:eastAsiaTheme="minorEastAsia"/>
                <w:bCs/>
                <w:color w:val="auto"/>
                <w:sz w:val="24"/>
                <w:szCs w:val="24"/>
                <w:lang w:eastAsia="zh-CN"/>
              </w:rPr>
              <w:t>。</w:t>
            </w:r>
            <w:r>
              <w:rPr>
                <w:rFonts w:hint="default" w:ascii="Times New Roman" w:hAnsi="Times New Roman" w:cs="Times New Roman" w:eastAsiaTheme="minorEastAsia"/>
                <w:bCs/>
                <w:color w:val="auto"/>
                <w:sz w:val="24"/>
                <w:szCs w:val="24"/>
              </w:rPr>
              <w:t>因此</w:t>
            </w:r>
            <w:r>
              <w:rPr>
                <w:rFonts w:hint="eastAsia" w:cs="Times New Roman" w:eastAsiaTheme="minorEastAsia"/>
                <w:color w:val="auto"/>
                <w:sz w:val="24"/>
                <w:szCs w:val="24"/>
                <w:lang w:eastAsia="zh-CN"/>
              </w:rPr>
              <w:t>邯郸才茂环保科技有限公司</w:t>
            </w:r>
            <w:r>
              <w:rPr>
                <w:rFonts w:hint="default" w:ascii="Times New Roman" w:hAnsi="Times New Roman" w:cs="Times New Roman" w:eastAsiaTheme="minorEastAsia"/>
                <w:bCs/>
                <w:color w:val="auto"/>
                <w:sz w:val="24"/>
                <w:szCs w:val="24"/>
              </w:rPr>
              <w:t>委托我公司承担本项目环境影响评价工作。评价单位接到委托后，立即组织技术人员对项目厂址进行了现场踏勘，并收集有关资料，在此基础上编制完成了《</w:t>
            </w:r>
            <w:r>
              <w:rPr>
                <w:rFonts w:hint="eastAsia" w:cs="Times New Roman" w:eastAsiaTheme="minorEastAsia"/>
                <w:color w:val="auto"/>
                <w:sz w:val="24"/>
                <w:lang w:eastAsia="zh-CN"/>
              </w:rPr>
              <w:t>邯郸才茂环保科技有限公司年产12000吨再生塑料颗粒项目</w:t>
            </w:r>
            <w:r>
              <w:rPr>
                <w:rFonts w:hint="default" w:ascii="Times New Roman" w:hAnsi="Times New Roman" w:cs="Times New Roman" w:eastAsiaTheme="minorEastAsia"/>
                <w:bCs/>
                <w:color w:val="auto"/>
                <w:sz w:val="24"/>
                <w:szCs w:val="24"/>
              </w:rPr>
              <w:t>环境影响报告表》。该报告表审批后，将作为建设单位和生态环境部门进行环境管理的依据。</w:t>
            </w:r>
          </w:p>
          <w:p w14:paraId="431E113C">
            <w:pPr>
              <w:spacing w:line="480" w:lineRule="exact"/>
              <w:ind w:firstLine="482" w:firstLineChars="200"/>
              <w:rPr>
                <w:rFonts w:hint="default" w:ascii="Times New Roman" w:hAnsi="Times New Roman" w:cs="Times New Roman" w:eastAsiaTheme="minorEastAsia"/>
                <w:b/>
                <w:color w:val="auto"/>
                <w:sz w:val="24"/>
              </w:rPr>
            </w:pPr>
            <w:r>
              <w:rPr>
                <w:rFonts w:hint="default" w:ascii="Times New Roman" w:hAnsi="Times New Roman" w:cs="Times New Roman" w:eastAsiaTheme="minorEastAsia"/>
                <w:b/>
                <w:color w:val="auto"/>
                <w:sz w:val="24"/>
              </w:rPr>
              <w:t>二、工程概况</w:t>
            </w:r>
          </w:p>
          <w:p w14:paraId="07F2993F">
            <w:pPr>
              <w:spacing w:line="480" w:lineRule="exact"/>
              <w:ind w:firstLine="480" w:firstLineChars="200"/>
              <w:rPr>
                <w:rFonts w:hint="default" w:ascii="Times New Roman" w:hAnsi="Times New Roman" w:cs="Times New Roman" w:eastAsiaTheme="minorEastAsia"/>
                <w:color w:val="auto"/>
                <w:sz w:val="24"/>
                <w:lang w:eastAsia="zh-CN"/>
              </w:rPr>
            </w:pPr>
            <w:r>
              <w:rPr>
                <w:rFonts w:hint="default" w:ascii="Times New Roman" w:hAnsi="Times New Roman" w:cs="Times New Roman" w:eastAsiaTheme="minorEastAsia"/>
                <w:bCs/>
                <w:color w:val="auto"/>
                <w:sz w:val="24"/>
              </w:rPr>
              <w:t>（1）</w:t>
            </w:r>
            <w:r>
              <w:rPr>
                <w:rFonts w:hint="default" w:ascii="Times New Roman" w:hAnsi="Times New Roman" w:cs="Times New Roman" w:eastAsiaTheme="minorEastAsia"/>
                <w:color w:val="auto"/>
                <w:sz w:val="24"/>
              </w:rPr>
              <w:t>项目名称：</w:t>
            </w:r>
            <w:r>
              <w:rPr>
                <w:rFonts w:hint="eastAsia" w:cs="Times New Roman" w:eastAsiaTheme="minorEastAsia"/>
                <w:color w:val="auto"/>
                <w:sz w:val="24"/>
                <w:lang w:eastAsia="zh-CN"/>
              </w:rPr>
              <w:t>邯郸才茂环保科技有限公司年产12000吨再生塑料颗粒项目；</w:t>
            </w:r>
          </w:p>
          <w:p w14:paraId="5BDD4D82">
            <w:pPr>
              <w:spacing w:line="480" w:lineRule="exact"/>
              <w:ind w:firstLine="480" w:firstLineChars="200"/>
              <w:rPr>
                <w:rFonts w:hint="default" w:ascii="Times New Roman" w:hAnsi="Times New Roman" w:cs="Times New Roman" w:eastAsiaTheme="minorEastAsia"/>
                <w:color w:val="auto"/>
                <w:sz w:val="24"/>
                <w:lang w:eastAsia="zh-CN"/>
              </w:rPr>
            </w:pPr>
            <w:r>
              <w:rPr>
                <w:rFonts w:hint="default" w:ascii="Times New Roman" w:hAnsi="Times New Roman" w:cs="Times New Roman" w:eastAsiaTheme="minorEastAsia"/>
                <w:color w:val="auto"/>
                <w:sz w:val="24"/>
              </w:rPr>
              <w:t>（2）建设单位：</w:t>
            </w:r>
            <w:r>
              <w:rPr>
                <w:rFonts w:hint="eastAsia" w:cs="Times New Roman" w:eastAsiaTheme="minorEastAsia"/>
                <w:color w:val="auto"/>
                <w:sz w:val="24"/>
                <w:lang w:eastAsia="zh-CN"/>
              </w:rPr>
              <w:t>邯郸才茂环保科技有限公司；</w:t>
            </w:r>
          </w:p>
          <w:p w14:paraId="31C854EA">
            <w:pPr>
              <w:spacing w:line="480" w:lineRule="exact"/>
              <w:ind w:firstLine="480" w:firstLineChars="200"/>
              <w:rPr>
                <w:rFonts w:hint="eastAsia" w:ascii="Times New Roman" w:hAnsi="Times New Roman" w:cs="Times New Roman" w:eastAsiaTheme="minorEastAsia"/>
                <w:color w:val="auto"/>
                <w:sz w:val="24"/>
                <w:lang w:eastAsia="zh-CN"/>
              </w:rPr>
            </w:pPr>
            <w:r>
              <w:rPr>
                <w:rFonts w:hint="default" w:ascii="Times New Roman" w:hAnsi="Times New Roman" w:cs="Times New Roman" w:eastAsiaTheme="minorEastAsia"/>
                <w:color w:val="auto"/>
                <w:sz w:val="24"/>
              </w:rPr>
              <w:t>（3）建设性质：</w:t>
            </w:r>
            <w:r>
              <w:rPr>
                <w:rFonts w:hint="default" w:ascii="Times New Roman" w:hAnsi="Times New Roman" w:cs="Times New Roman" w:eastAsiaTheme="minorEastAsia"/>
                <w:color w:val="auto"/>
                <w:sz w:val="24"/>
                <w:lang w:val="en-US" w:eastAsia="zh-CN"/>
              </w:rPr>
              <w:t>新建</w:t>
            </w:r>
            <w:r>
              <w:rPr>
                <w:rFonts w:hint="eastAsia" w:cs="Times New Roman" w:eastAsiaTheme="minorEastAsia"/>
                <w:color w:val="auto"/>
                <w:sz w:val="24"/>
                <w:lang w:eastAsia="zh-CN"/>
              </w:rPr>
              <w:t>；</w:t>
            </w:r>
          </w:p>
          <w:p w14:paraId="035C931D">
            <w:pPr>
              <w:spacing w:line="480" w:lineRule="exact"/>
              <w:ind w:firstLine="480" w:firstLineChars="200"/>
              <w:rPr>
                <w:rFonts w:hint="default" w:ascii="Times New Roman" w:hAnsi="Times New Roman" w:cs="Times New Roman" w:eastAsiaTheme="minorEastAsia"/>
                <w:i/>
                <w:color w:val="auto"/>
                <w:sz w:val="24"/>
              </w:rPr>
            </w:pPr>
            <w:r>
              <w:rPr>
                <w:rFonts w:hint="default" w:ascii="Times New Roman" w:hAnsi="Times New Roman" w:cs="Times New Roman" w:eastAsiaTheme="minorEastAsia"/>
                <w:color w:val="auto"/>
                <w:sz w:val="24"/>
              </w:rPr>
              <w:t>（4）工程投资：项目总投资</w:t>
            </w:r>
            <w:r>
              <w:rPr>
                <w:rFonts w:hint="eastAsia" w:cs="Times New Roman" w:eastAsiaTheme="minorEastAsia"/>
                <w:color w:val="auto"/>
                <w:sz w:val="24"/>
                <w:lang w:val="en-US" w:eastAsia="zh-CN"/>
              </w:rPr>
              <w:t>710</w:t>
            </w:r>
            <w:r>
              <w:rPr>
                <w:rFonts w:hint="default" w:ascii="Times New Roman" w:hAnsi="Times New Roman" w:cs="Times New Roman" w:eastAsiaTheme="minorEastAsia"/>
                <w:color w:val="auto"/>
                <w:sz w:val="24"/>
              </w:rPr>
              <w:t>万元，其中环保投资</w:t>
            </w:r>
            <w:r>
              <w:rPr>
                <w:rFonts w:hint="eastAsia" w:cs="Times New Roman" w:eastAsiaTheme="minorEastAsia"/>
                <w:color w:val="auto"/>
                <w:sz w:val="24"/>
                <w:lang w:val="en-US" w:eastAsia="zh-CN"/>
              </w:rPr>
              <w:t>4</w:t>
            </w:r>
            <w:r>
              <w:rPr>
                <w:rFonts w:hint="default" w:ascii="Times New Roman" w:hAnsi="Times New Roman" w:cs="Times New Roman" w:eastAsiaTheme="minorEastAsia"/>
                <w:color w:val="auto"/>
                <w:sz w:val="24"/>
              </w:rPr>
              <w:t>0万元，占总投资额的</w:t>
            </w:r>
            <w:r>
              <w:rPr>
                <w:rFonts w:hint="eastAsia" w:cs="Times New Roman" w:eastAsiaTheme="minorEastAsia"/>
                <w:color w:val="auto"/>
                <w:sz w:val="24"/>
                <w:lang w:val="en-US" w:eastAsia="zh-CN"/>
              </w:rPr>
              <w:t>5.63</w:t>
            </w:r>
            <w:r>
              <w:rPr>
                <w:rFonts w:hint="default" w:ascii="Times New Roman" w:hAnsi="Times New Roman" w:cs="Times New Roman" w:eastAsiaTheme="minorEastAsia"/>
                <w:color w:val="auto"/>
                <w:sz w:val="24"/>
              </w:rPr>
              <w:t>%；</w:t>
            </w:r>
          </w:p>
          <w:p w14:paraId="17869730">
            <w:pPr>
              <w:spacing w:line="480" w:lineRule="exact"/>
              <w:ind w:firstLine="480" w:firstLineChars="200"/>
              <w:rPr>
                <w:rFonts w:hint="eastAsia" w:ascii="Times New Roman" w:hAnsi="Times New Roman" w:cs="Times New Roman" w:eastAsiaTheme="minorEastAsia"/>
                <w:color w:val="auto"/>
                <w:sz w:val="24"/>
                <w:highlight w:val="yellow"/>
                <w:lang w:eastAsia="zh-CN"/>
              </w:rPr>
            </w:pPr>
            <w:r>
              <w:rPr>
                <w:rFonts w:hint="default" w:ascii="Times New Roman" w:hAnsi="Times New Roman" w:cs="Times New Roman" w:eastAsiaTheme="minorEastAsia"/>
                <w:color w:val="auto"/>
                <w:sz w:val="24"/>
              </w:rPr>
              <w:t>（5）建设地点：</w:t>
            </w:r>
            <w:r>
              <w:rPr>
                <w:rFonts w:hint="default" w:ascii="Times New Roman" w:hAnsi="Times New Roman" w:cs="Times New Roman"/>
                <w:color w:val="auto"/>
                <w:sz w:val="24"/>
              </w:rPr>
              <w:t>本项目位于</w:t>
            </w:r>
            <w:r>
              <w:rPr>
                <w:rFonts w:hint="eastAsia" w:cs="Times New Roman"/>
                <w:bCs/>
                <w:color w:val="auto"/>
                <w:sz w:val="24"/>
                <w:lang w:val="en-US" w:eastAsia="zh-CN"/>
              </w:rPr>
              <w:t>河北省邯郸市魏县绿环</w:t>
            </w:r>
            <w:r>
              <w:rPr>
                <w:rFonts w:hint="eastAsia" w:cs="Times New Roman"/>
                <w:bCs/>
                <w:color w:val="FF0000"/>
                <w:sz w:val="24"/>
                <w:lang w:val="en-US" w:eastAsia="zh-CN"/>
              </w:rPr>
              <w:t>（原桑德）</w:t>
            </w:r>
            <w:r>
              <w:rPr>
                <w:rFonts w:hint="eastAsia" w:cs="Times New Roman"/>
                <w:bCs/>
                <w:color w:val="auto"/>
                <w:sz w:val="24"/>
                <w:lang w:val="en-US" w:eastAsia="zh-CN"/>
              </w:rPr>
              <w:t>循环经济产业园1栋-4号</w:t>
            </w:r>
            <w:r>
              <w:rPr>
                <w:rFonts w:hint="eastAsia" w:cs="Times New Roman" w:eastAsiaTheme="minorEastAsia"/>
                <w:color w:val="auto"/>
                <w:sz w:val="24"/>
                <w:lang w:eastAsia="zh-CN"/>
              </w:rPr>
              <w:t>，</w:t>
            </w:r>
            <w:r>
              <w:rPr>
                <w:rFonts w:hint="default" w:ascii="Times New Roman" w:hAnsi="Times New Roman" w:cs="Times New Roman"/>
                <w:color w:val="auto"/>
                <w:sz w:val="24"/>
              </w:rPr>
              <w:t>厂址中心位置为北纬36°6′12.136″，东经114°56′53.402″。</w:t>
            </w:r>
            <w:r>
              <w:rPr>
                <w:rFonts w:hint="eastAsia" w:cs="Times New Roman"/>
                <w:color w:val="auto"/>
                <w:sz w:val="24"/>
                <w:lang w:val="en-US" w:eastAsia="zh-CN"/>
              </w:rPr>
              <w:t>项目西侧紧邻全德利塑业，南</w:t>
            </w:r>
            <w:r>
              <w:rPr>
                <w:rFonts w:hint="default" w:ascii="Times New Roman" w:hAnsi="Times New Roman" w:cs="Times New Roman"/>
                <w:color w:val="auto"/>
                <w:sz w:val="24"/>
                <w:lang w:val="en-US" w:eastAsia="zh-CN"/>
              </w:rPr>
              <w:t>侧紧邻</w:t>
            </w:r>
            <w:r>
              <w:rPr>
                <w:rFonts w:hint="eastAsia" w:cs="Times New Roman"/>
                <w:color w:val="auto"/>
                <w:sz w:val="24"/>
                <w:lang w:val="en-US" w:eastAsia="zh-CN"/>
              </w:rPr>
              <w:t>空地</w:t>
            </w:r>
            <w:r>
              <w:rPr>
                <w:rFonts w:hint="default" w:ascii="Times New Roman" w:hAnsi="Times New Roman" w:cs="Times New Roman"/>
                <w:color w:val="auto"/>
                <w:sz w:val="24"/>
                <w:lang w:val="en-US" w:eastAsia="zh-CN"/>
              </w:rPr>
              <w:t>，</w:t>
            </w:r>
            <w:r>
              <w:rPr>
                <w:rFonts w:hint="eastAsia" w:cs="Times New Roman"/>
                <w:color w:val="auto"/>
                <w:sz w:val="24"/>
                <w:lang w:val="en-US" w:eastAsia="zh-CN"/>
              </w:rPr>
              <w:t>北侧紧邻园区道路，隔路为正黎塑料，东侧紧邻渊隆再生资源。项目东侧190m为中烟村，西南430m为张二庄乡卫生院，西南430m为金兰国际小区，西侧400m为蓝天实验小学，西北330m为西烟村</w:t>
            </w:r>
            <w:r>
              <w:rPr>
                <w:rFonts w:hint="default" w:ascii="Times New Roman" w:hAnsi="Times New Roman" w:cs="Times New Roman" w:eastAsiaTheme="minorEastAsia"/>
                <w:color w:val="auto"/>
                <w:kern w:val="0"/>
                <w:sz w:val="24"/>
              </w:rPr>
              <w:t>。项目500m范围内无重点文物保护单位、自然保护区、风景名胜区、革命历史古迹等其他环境敏感点。</w:t>
            </w:r>
            <w:r>
              <w:rPr>
                <w:rFonts w:hint="default" w:ascii="Times New Roman" w:hAnsi="Times New Roman" w:cs="Times New Roman" w:eastAsiaTheme="minorEastAsia"/>
                <w:color w:val="auto"/>
                <w:sz w:val="24"/>
              </w:rPr>
              <w:t>项目地理位置图见附图1、周边关系</w:t>
            </w:r>
            <w:r>
              <w:rPr>
                <w:rFonts w:hint="eastAsia" w:cs="Times New Roman" w:eastAsiaTheme="minorEastAsia"/>
                <w:color w:val="auto"/>
                <w:sz w:val="24"/>
                <w:lang w:eastAsia="zh-CN"/>
              </w:rPr>
              <w:t>、环境保护目标分布</w:t>
            </w:r>
            <w:r>
              <w:rPr>
                <w:rFonts w:hint="default" w:ascii="Times New Roman" w:hAnsi="Times New Roman" w:cs="Times New Roman" w:eastAsiaTheme="minorEastAsia"/>
                <w:color w:val="auto"/>
                <w:sz w:val="24"/>
              </w:rPr>
              <w:t>见附图2</w:t>
            </w:r>
            <w:r>
              <w:rPr>
                <w:rFonts w:hint="eastAsia" w:cs="Times New Roman" w:eastAsiaTheme="minorEastAsia"/>
                <w:color w:val="auto"/>
                <w:sz w:val="24"/>
                <w:lang w:val="en-US" w:eastAsia="zh-CN"/>
              </w:rPr>
              <w:t>-1、2-2</w:t>
            </w:r>
            <w:r>
              <w:rPr>
                <w:rFonts w:hint="eastAsia" w:cs="Times New Roman" w:eastAsiaTheme="minorEastAsia"/>
                <w:color w:val="auto"/>
                <w:sz w:val="24"/>
                <w:lang w:eastAsia="zh-CN"/>
              </w:rPr>
              <w:t>；</w:t>
            </w:r>
          </w:p>
          <w:p w14:paraId="19149A54">
            <w:pPr>
              <w:pStyle w:val="9"/>
              <w:tabs>
                <w:tab w:val="left" w:pos="3465"/>
              </w:tabs>
              <w:spacing w:line="480" w:lineRule="exact"/>
              <w:ind w:firstLine="480"/>
              <w:rPr>
                <w:rFonts w:hint="eastAsia" w:ascii="Times New Roman" w:hAnsi="Times New Roman" w:cs="Times New Roman" w:eastAsiaTheme="minorEastAsia"/>
                <w:color w:val="auto"/>
                <w:sz w:val="24"/>
                <w:highlight w:val="yellow"/>
                <w:lang w:eastAsia="zh-CN"/>
              </w:rPr>
            </w:pPr>
            <w:r>
              <w:rPr>
                <w:rFonts w:hint="default" w:ascii="Times New Roman" w:hAnsi="Times New Roman" w:cs="Times New Roman" w:eastAsiaTheme="minorEastAsia"/>
                <w:color w:val="auto"/>
                <w:sz w:val="24"/>
              </w:rPr>
              <w:t>（6）占地面积：</w:t>
            </w:r>
            <w:r>
              <w:rPr>
                <w:rFonts w:hint="eastAsia" w:cs="Times New Roman" w:eastAsiaTheme="minorEastAsia"/>
                <w:snapToGrid w:val="0"/>
                <w:color w:val="auto"/>
                <w:sz w:val="24"/>
                <w:lang w:val="en-US" w:eastAsia="zh-CN"/>
              </w:rPr>
              <w:t>项目总</w:t>
            </w:r>
            <w:r>
              <w:rPr>
                <w:rFonts w:hint="default" w:ascii="Times New Roman" w:hAnsi="Times New Roman" w:cs="Times New Roman" w:eastAsiaTheme="minorEastAsia"/>
                <w:snapToGrid w:val="0"/>
                <w:color w:val="auto"/>
                <w:sz w:val="24"/>
              </w:rPr>
              <w:t>占地面积</w:t>
            </w:r>
            <w:r>
              <w:rPr>
                <w:rFonts w:hint="eastAsia" w:cs="Times New Roman" w:eastAsiaTheme="minorEastAsia"/>
                <w:snapToGrid w:val="0"/>
                <w:color w:val="auto"/>
                <w:sz w:val="24"/>
                <w:lang w:eastAsia="zh-CN"/>
              </w:rPr>
              <w:t>1666.67</w:t>
            </w:r>
            <w:r>
              <w:rPr>
                <w:rFonts w:hint="default" w:ascii="Times New Roman" w:hAnsi="Times New Roman" w:cs="Times New Roman" w:eastAsiaTheme="minorEastAsia"/>
                <w:snapToGrid w:val="0"/>
                <w:color w:val="auto"/>
                <w:sz w:val="24"/>
                <w:lang w:val="en-US" w:eastAsia="zh-CN"/>
              </w:rPr>
              <w:t>m</w:t>
            </w:r>
            <w:r>
              <w:rPr>
                <w:rFonts w:hint="default" w:ascii="Times New Roman" w:hAnsi="Times New Roman" w:cs="Times New Roman" w:eastAsiaTheme="minorEastAsia"/>
                <w:snapToGrid w:val="0"/>
                <w:color w:val="auto"/>
                <w:sz w:val="24"/>
                <w:vertAlign w:val="superscript"/>
                <w:lang w:val="en-US" w:eastAsia="zh-CN"/>
              </w:rPr>
              <w:t>2</w:t>
            </w:r>
            <w:r>
              <w:rPr>
                <w:rFonts w:hint="eastAsia" w:cs="Times New Roman" w:eastAsiaTheme="minorEastAsia"/>
                <w:snapToGrid w:val="0"/>
                <w:color w:val="auto"/>
                <w:sz w:val="24"/>
                <w:lang w:eastAsia="zh-CN"/>
              </w:rPr>
              <w:t>，</w:t>
            </w:r>
            <w:r>
              <w:rPr>
                <w:rFonts w:hint="eastAsia" w:cs="Times New Roman" w:eastAsiaTheme="minorEastAsia"/>
                <w:color w:val="auto"/>
                <w:sz w:val="24"/>
                <w:lang w:val="en-US" w:eastAsia="zh-CN"/>
              </w:rPr>
              <w:t>对园区现有闲置生产车间进行扩建。</w:t>
            </w:r>
          </w:p>
          <w:p w14:paraId="13518504">
            <w:pPr>
              <w:spacing w:line="480" w:lineRule="exact"/>
              <w:ind w:firstLine="482" w:firstLineChars="200"/>
              <w:rPr>
                <w:rFonts w:hint="default" w:ascii="Times New Roman" w:hAnsi="Times New Roman" w:cs="Times New Roman" w:eastAsiaTheme="minorEastAsia"/>
                <w:b/>
                <w:bCs w:val="0"/>
                <w:color w:val="auto"/>
                <w:sz w:val="24"/>
              </w:rPr>
            </w:pPr>
            <w:r>
              <w:rPr>
                <w:rFonts w:hint="eastAsia" w:cs="Times New Roman" w:eastAsiaTheme="minorEastAsia"/>
                <w:b/>
                <w:bCs w:val="0"/>
                <w:color w:val="auto"/>
                <w:sz w:val="24"/>
                <w:lang w:val="en-US" w:eastAsia="zh-CN"/>
              </w:rPr>
              <w:t>三、</w:t>
            </w:r>
            <w:r>
              <w:rPr>
                <w:rFonts w:hint="default" w:ascii="Times New Roman" w:hAnsi="Times New Roman" w:cs="Times New Roman" w:eastAsiaTheme="minorEastAsia"/>
                <w:b/>
                <w:bCs w:val="0"/>
                <w:color w:val="auto"/>
                <w:sz w:val="24"/>
              </w:rPr>
              <w:t>主要工程内容</w:t>
            </w:r>
          </w:p>
          <w:p w14:paraId="6C7F5A1D">
            <w:pPr>
              <w:spacing w:line="500" w:lineRule="exact"/>
              <w:ind w:firstLine="480" w:firstLineChars="200"/>
              <w:rPr>
                <w:rFonts w:hint="default" w:ascii="Times New Roman" w:hAnsi="Times New Roman" w:cs="Times New Roman" w:eastAsiaTheme="minorEastAsia"/>
                <w:color w:val="auto"/>
                <w:sz w:val="24"/>
                <w:highlight w:val="yellow"/>
              </w:rPr>
            </w:pPr>
            <w:r>
              <w:rPr>
                <w:rFonts w:hint="default" w:ascii="Times New Roman" w:hAnsi="Times New Roman" w:cs="Times New Roman"/>
                <w:color w:val="auto"/>
                <w:sz w:val="24"/>
                <w:lang w:val="en-US" w:eastAsia="zh-CN"/>
              </w:rPr>
              <w:t>项目总占地面积1666.67</w:t>
            </w:r>
            <w:r>
              <w:rPr>
                <w:rFonts w:hint="default" w:ascii="Times New Roman" w:hAnsi="Times New Roman" w:cs="Times New Roman" w:eastAsiaTheme="minorEastAsia"/>
                <w:snapToGrid w:val="0"/>
                <w:color w:val="auto"/>
                <w:sz w:val="24"/>
                <w:lang w:val="en-US" w:eastAsia="zh-CN"/>
              </w:rPr>
              <w:t>m</w:t>
            </w:r>
            <w:r>
              <w:rPr>
                <w:rFonts w:hint="default" w:ascii="Times New Roman" w:hAnsi="Times New Roman" w:cs="Times New Roman" w:eastAsiaTheme="minorEastAsia"/>
                <w:snapToGrid w:val="0"/>
                <w:color w:val="auto"/>
                <w:sz w:val="24"/>
                <w:vertAlign w:val="superscript"/>
                <w:lang w:val="en-US" w:eastAsia="zh-CN"/>
              </w:rPr>
              <w:t>2</w:t>
            </w:r>
            <w:r>
              <w:rPr>
                <w:rFonts w:hint="default" w:ascii="Times New Roman" w:hAnsi="Times New Roman" w:cs="Times New Roman"/>
                <w:color w:val="auto"/>
                <w:sz w:val="24"/>
                <w:lang w:val="en-US" w:eastAsia="zh-CN"/>
              </w:rPr>
              <w:t>，总建筑面积900</w:t>
            </w:r>
            <w:r>
              <w:rPr>
                <w:rFonts w:hint="default" w:ascii="Times New Roman" w:hAnsi="Times New Roman" w:cs="Times New Roman" w:eastAsiaTheme="minorEastAsia"/>
                <w:snapToGrid w:val="0"/>
                <w:color w:val="auto"/>
                <w:sz w:val="24"/>
                <w:lang w:val="en-US" w:eastAsia="zh-CN"/>
              </w:rPr>
              <w:t>m</w:t>
            </w:r>
            <w:r>
              <w:rPr>
                <w:rFonts w:hint="default" w:ascii="Times New Roman" w:hAnsi="Times New Roman" w:cs="Times New Roman" w:eastAsiaTheme="minorEastAsia"/>
                <w:snapToGrid w:val="0"/>
                <w:color w:val="auto"/>
                <w:sz w:val="24"/>
                <w:vertAlign w:val="superscript"/>
                <w:lang w:val="en-US" w:eastAsia="zh-CN"/>
              </w:rPr>
              <w:t>2</w:t>
            </w:r>
            <w:r>
              <w:rPr>
                <w:rFonts w:hint="default" w:ascii="Times New Roman" w:hAnsi="Times New Roman" w:cs="Times New Roman"/>
                <w:color w:val="auto"/>
                <w:sz w:val="24"/>
                <w:lang w:val="en-US" w:eastAsia="zh-CN"/>
              </w:rPr>
              <w:t>，主要建设</w:t>
            </w:r>
            <w:r>
              <w:rPr>
                <w:rFonts w:hint="eastAsia" w:cs="Times New Roman"/>
                <w:color w:val="auto"/>
                <w:sz w:val="24"/>
                <w:lang w:val="en-US" w:eastAsia="zh-CN"/>
              </w:rPr>
              <w:t>1</w:t>
            </w:r>
            <w:r>
              <w:rPr>
                <w:rFonts w:hint="default" w:ascii="Times New Roman" w:hAnsi="Times New Roman" w:cs="Times New Roman"/>
                <w:color w:val="auto"/>
                <w:sz w:val="24"/>
                <w:lang w:val="en-US" w:eastAsia="zh-CN"/>
              </w:rPr>
              <w:t>座生产车间</w:t>
            </w:r>
            <w:r>
              <w:rPr>
                <w:rFonts w:hint="eastAsia" w:cs="Times New Roman"/>
                <w:color w:val="auto"/>
                <w:sz w:val="24"/>
                <w:lang w:val="en-US" w:eastAsia="zh-CN"/>
              </w:rPr>
              <w:t>（</w:t>
            </w:r>
            <w:r>
              <w:rPr>
                <w:rFonts w:hint="eastAsia" w:cs="Times New Roman" w:eastAsiaTheme="minorEastAsia"/>
                <w:color w:val="auto"/>
                <w:sz w:val="24"/>
                <w:lang w:val="en-US" w:eastAsia="zh-CN"/>
              </w:rPr>
              <w:t>对园区现有闲置生产车间进行扩建</w:t>
            </w:r>
            <w:r>
              <w:rPr>
                <w:rFonts w:hint="eastAsia" w:cs="Times New Roman"/>
                <w:color w:val="auto"/>
                <w:sz w:val="24"/>
                <w:lang w:val="en-US" w:eastAsia="zh-CN"/>
              </w:rPr>
              <w:t>）</w:t>
            </w:r>
            <w:r>
              <w:rPr>
                <w:rFonts w:hint="default" w:ascii="Times New Roman" w:hAnsi="Times New Roman" w:cs="Times New Roman"/>
                <w:color w:val="auto"/>
                <w:sz w:val="24"/>
                <w:lang w:val="en-US" w:eastAsia="zh-CN"/>
              </w:rPr>
              <w:t>及原料暂存区等，购置安装</w:t>
            </w:r>
            <w:r>
              <w:rPr>
                <w:rFonts w:hint="eastAsia" w:cs="Times New Roman"/>
                <w:color w:val="auto"/>
                <w:sz w:val="24"/>
                <w:lang w:val="en-US" w:eastAsia="zh-CN"/>
              </w:rPr>
              <w:t>1</w:t>
            </w:r>
            <w:r>
              <w:rPr>
                <w:rFonts w:hint="default" w:ascii="Times New Roman" w:hAnsi="Times New Roman" w:cs="Times New Roman"/>
                <w:color w:val="auto"/>
                <w:sz w:val="24"/>
                <w:lang w:val="en-US" w:eastAsia="zh-CN"/>
              </w:rPr>
              <w:t>条废旧吨包塑料颗粒生产线、3条PP、ABS片料塑料颗粒生产线，项目建成后年生产12000吨再生塑料颗粒</w:t>
            </w:r>
            <w:r>
              <w:rPr>
                <w:rFonts w:hint="eastAsia" w:cs="Times New Roman"/>
                <w:color w:val="auto"/>
                <w:sz w:val="24"/>
                <w:lang w:val="en-US" w:eastAsia="zh-CN"/>
              </w:rPr>
              <w:t>。</w:t>
            </w:r>
            <w:r>
              <w:rPr>
                <w:rFonts w:hint="default" w:ascii="Times New Roman" w:hAnsi="Times New Roman" w:cs="Times New Roman"/>
                <w:color w:val="auto"/>
                <w:sz w:val="24"/>
              </w:rPr>
              <w:t>本项目</w:t>
            </w:r>
            <w:r>
              <w:rPr>
                <w:rFonts w:hint="default" w:ascii="Times New Roman" w:hAnsi="Times New Roman" w:cs="Times New Roman" w:eastAsiaTheme="minorEastAsia"/>
                <w:color w:val="auto"/>
                <w:sz w:val="24"/>
              </w:rPr>
              <w:t>工程基本情况见下表。</w:t>
            </w:r>
          </w:p>
          <w:p w14:paraId="2C462034">
            <w:pPr>
              <w:pStyle w:val="52"/>
              <w:adjustRightInd w:val="0"/>
              <w:snapToGrid w:val="0"/>
              <w:ind w:firstLine="1928" w:firstLineChars="800"/>
              <w:rPr>
                <w:rFonts w:hint="default" w:ascii="Times New Roman" w:hAnsi="Times New Roman" w:cs="Times New Roman" w:eastAsiaTheme="minorEastAsia"/>
                <w:b/>
                <w:bCs/>
                <w:color w:val="auto"/>
                <w:szCs w:val="24"/>
              </w:rPr>
            </w:pPr>
            <w:r>
              <w:rPr>
                <w:rFonts w:hint="default" w:ascii="Times New Roman" w:hAnsi="Times New Roman" w:cs="Times New Roman" w:eastAsiaTheme="minorEastAsia"/>
                <w:b/>
                <w:bCs/>
                <w:color w:val="auto"/>
                <w:szCs w:val="24"/>
              </w:rPr>
              <w:t>表</w:t>
            </w:r>
            <w:r>
              <w:rPr>
                <w:rFonts w:hint="eastAsia" w:cs="Times New Roman" w:eastAsiaTheme="minorEastAsia"/>
                <w:b/>
                <w:bCs/>
                <w:color w:val="auto"/>
                <w:szCs w:val="24"/>
                <w:lang w:val="en-US" w:eastAsia="zh-CN"/>
              </w:rPr>
              <w:t>7</w:t>
            </w:r>
            <w:r>
              <w:rPr>
                <w:rFonts w:hint="default" w:ascii="Times New Roman" w:hAnsi="Times New Roman" w:cs="Times New Roman" w:eastAsiaTheme="minorEastAsia"/>
                <w:b/>
                <w:bCs/>
                <w:color w:val="auto"/>
                <w:szCs w:val="24"/>
              </w:rPr>
              <w:t xml:space="preserve">  本项目工程</w:t>
            </w:r>
            <w:r>
              <w:rPr>
                <w:rFonts w:hint="default" w:ascii="Times New Roman" w:hAnsi="Times New Roman" w:cs="Times New Roman" w:eastAsiaTheme="minorEastAsia"/>
                <w:b/>
                <w:snapToGrid w:val="0"/>
                <w:color w:val="auto"/>
                <w:szCs w:val="24"/>
              </w:rPr>
              <w:t>组成</w:t>
            </w:r>
            <w:r>
              <w:rPr>
                <w:rFonts w:hint="default" w:ascii="Times New Roman" w:hAnsi="Times New Roman" w:cs="Times New Roman" w:eastAsiaTheme="minorEastAsia"/>
                <w:b/>
                <w:bCs/>
                <w:color w:val="auto"/>
                <w:szCs w:val="24"/>
              </w:rPr>
              <w:t>及工程内容一览表</w:t>
            </w:r>
          </w:p>
          <w:tbl>
            <w:tblPr>
              <w:tblStyle w:val="28"/>
              <w:tblW w:w="49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845"/>
              <w:gridCol w:w="2913"/>
              <w:gridCol w:w="2913"/>
            </w:tblGrid>
            <w:tr w14:paraId="5CF3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tcBorders>
                    <w:tl2br w:val="nil"/>
                    <w:tr2bl w:val="nil"/>
                  </w:tcBorders>
                  <w:vAlign w:val="center"/>
                </w:tcPr>
                <w:p w14:paraId="2FEAC574">
                  <w:pPr>
                    <w:spacing w:line="280" w:lineRule="exact"/>
                    <w:jc w:val="center"/>
                    <w:rPr>
                      <w:rFonts w:hint="default" w:ascii="Times New Roman" w:hAnsi="Times New Roman" w:cs="Times New Roman" w:eastAsiaTheme="minorEastAsia"/>
                      <w:b/>
                      <w:color w:val="auto"/>
                      <w:szCs w:val="21"/>
                    </w:rPr>
                  </w:pPr>
                  <w:r>
                    <w:rPr>
                      <w:rFonts w:hint="default" w:ascii="Times New Roman" w:hAnsi="Times New Roman" w:cs="Times New Roman" w:eastAsiaTheme="minorEastAsia"/>
                      <w:b/>
                      <w:color w:val="auto"/>
                      <w:szCs w:val="21"/>
                    </w:rPr>
                    <w:t>工程类别</w:t>
                  </w:r>
                </w:p>
              </w:tc>
              <w:tc>
                <w:tcPr>
                  <w:tcW w:w="1107" w:type="pct"/>
                  <w:tcBorders>
                    <w:tl2br w:val="nil"/>
                    <w:tr2bl w:val="nil"/>
                  </w:tcBorders>
                  <w:vAlign w:val="center"/>
                </w:tcPr>
                <w:p w14:paraId="5FF09345">
                  <w:pPr>
                    <w:spacing w:line="280" w:lineRule="exact"/>
                    <w:jc w:val="center"/>
                    <w:rPr>
                      <w:rFonts w:hint="default" w:ascii="Times New Roman" w:hAnsi="Times New Roman" w:cs="Times New Roman" w:eastAsiaTheme="minorEastAsia"/>
                      <w:b/>
                      <w:color w:val="auto"/>
                      <w:szCs w:val="21"/>
                    </w:rPr>
                  </w:pPr>
                  <w:r>
                    <w:rPr>
                      <w:rFonts w:hint="default" w:ascii="Times New Roman" w:hAnsi="Times New Roman" w:cs="Times New Roman" w:eastAsiaTheme="minorEastAsia"/>
                      <w:b/>
                      <w:color w:val="auto"/>
                      <w:szCs w:val="21"/>
                    </w:rPr>
                    <w:t>项目名称</w:t>
                  </w:r>
                </w:p>
              </w:tc>
              <w:tc>
                <w:tcPr>
                  <w:tcW w:w="1747" w:type="pct"/>
                  <w:tcBorders>
                    <w:tl2br w:val="nil"/>
                    <w:tr2bl w:val="nil"/>
                  </w:tcBorders>
                  <w:vAlign w:val="center"/>
                </w:tcPr>
                <w:p w14:paraId="22C90C00">
                  <w:pPr>
                    <w:spacing w:line="280" w:lineRule="exact"/>
                    <w:jc w:val="center"/>
                    <w:rPr>
                      <w:rFonts w:hint="default" w:ascii="Times New Roman" w:hAnsi="Times New Roman" w:cs="Times New Roman" w:eastAsiaTheme="minorEastAsia"/>
                      <w:b/>
                      <w:color w:val="auto"/>
                      <w:szCs w:val="21"/>
                    </w:rPr>
                  </w:pPr>
                  <w:r>
                    <w:rPr>
                      <w:rFonts w:hint="default" w:ascii="Times New Roman" w:hAnsi="Times New Roman" w:cs="Times New Roman" w:eastAsiaTheme="minorEastAsia"/>
                      <w:b/>
                      <w:color w:val="auto"/>
                      <w:szCs w:val="21"/>
                    </w:rPr>
                    <w:t>重新报批</w:t>
                  </w:r>
                  <w:r>
                    <w:rPr>
                      <w:rFonts w:hint="eastAsia" w:cs="Times New Roman" w:eastAsiaTheme="minorEastAsia"/>
                      <w:b/>
                      <w:color w:val="auto"/>
                      <w:szCs w:val="21"/>
                      <w:lang w:val="en-US" w:eastAsia="zh-CN"/>
                    </w:rPr>
                    <w:t>前</w:t>
                  </w:r>
                  <w:r>
                    <w:rPr>
                      <w:rFonts w:hint="default" w:ascii="Times New Roman" w:hAnsi="Times New Roman" w:cs="Times New Roman" w:eastAsiaTheme="minorEastAsia"/>
                      <w:b/>
                      <w:color w:val="auto"/>
                      <w:szCs w:val="21"/>
                    </w:rPr>
                    <w:t>建设内容</w:t>
                  </w:r>
                </w:p>
              </w:tc>
              <w:tc>
                <w:tcPr>
                  <w:tcW w:w="1747" w:type="pct"/>
                  <w:tcBorders>
                    <w:tl2br w:val="nil"/>
                    <w:tr2bl w:val="nil"/>
                  </w:tcBorders>
                  <w:vAlign w:val="center"/>
                </w:tcPr>
                <w:p w14:paraId="7A0B8430">
                  <w:pPr>
                    <w:spacing w:line="280" w:lineRule="exact"/>
                    <w:jc w:val="center"/>
                    <w:rPr>
                      <w:rFonts w:hint="default" w:ascii="Times New Roman" w:hAnsi="Times New Roman" w:cs="Times New Roman" w:eastAsiaTheme="minorEastAsia"/>
                      <w:b/>
                      <w:color w:val="auto"/>
                      <w:szCs w:val="21"/>
                    </w:rPr>
                  </w:pPr>
                  <w:r>
                    <w:rPr>
                      <w:rFonts w:hint="default" w:ascii="Times New Roman" w:hAnsi="Times New Roman" w:cs="Times New Roman" w:eastAsiaTheme="minorEastAsia"/>
                      <w:b/>
                      <w:color w:val="auto"/>
                      <w:szCs w:val="21"/>
                    </w:rPr>
                    <w:t>重新报批后建设内容</w:t>
                  </w:r>
                </w:p>
              </w:tc>
            </w:tr>
            <w:tr w14:paraId="7EB0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tcBorders>
                    <w:tl2br w:val="nil"/>
                    <w:tr2bl w:val="nil"/>
                  </w:tcBorders>
                  <w:vAlign w:val="center"/>
                </w:tcPr>
                <w:p w14:paraId="2D72B749">
                  <w:pPr>
                    <w:spacing w:line="280" w:lineRule="exact"/>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主体工程</w:t>
                  </w:r>
                </w:p>
              </w:tc>
              <w:tc>
                <w:tcPr>
                  <w:tcW w:w="1107" w:type="pct"/>
                  <w:tcBorders>
                    <w:tl2br w:val="nil"/>
                    <w:tr2bl w:val="nil"/>
                  </w:tcBorders>
                  <w:vAlign w:val="center"/>
                </w:tcPr>
                <w:p w14:paraId="5E86EB01">
                  <w:pPr>
                    <w:adjustRightInd w:val="0"/>
                    <w:snapToGrid w:val="0"/>
                    <w:spacing w:line="280" w:lineRule="exact"/>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生产车间</w:t>
                  </w:r>
                </w:p>
              </w:tc>
              <w:tc>
                <w:tcPr>
                  <w:tcW w:w="1747" w:type="pct"/>
                  <w:tcBorders>
                    <w:tl2br w:val="nil"/>
                    <w:tr2bl w:val="nil"/>
                  </w:tcBorders>
                  <w:vAlign w:val="center"/>
                </w:tcPr>
                <w:p w14:paraId="6EAF4B1A">
                  <w:pPr>
                    <w:spacing w:line="280" w:lineRule="exact"/>
                    <w:jc w:val="left"/>
                    <w:rPr>
                      <w:rFonts w:hint="default" w:ascii="Times New Roman" w:hAnsi="Times New Roman" w:cs="Times New Roman" w:eastAsiaTheme="minorEastAsia"/>
                      <w:color w:val="auto"/>
                      <w:szCs w:val="21"/>
                      <w:lang w:val="en-US"/>
                    </w:rPr>
                  </w:pPr>
                  <w:r>
                    <w:rPr>
                      <w:rFonts w:hint="eastAsia" w:cs="Times New Roman"/>
                      <w:color w:val="auto"/>
                      <w:spacing w:val="0"/>
                      <w:szCs w:val="16"/>
                      <w:lang w:val="en-US" w:eastAsia="zh-CN"/>
                    </w:rPr>
                    <w:t>利用现有闲置车间，</w:t>
                  </w:r>
                  <w:r>
                    <w:rPr>
                      <w:rFonts w:hint="default" w:ascii="Times New Roman" w:hAnsi="Times New Roman" w:cs="Times New Roman"/>
                      <w:color w:val="auto"/>
                      <w:spacing w:val="0"/>
                      <w:szCs w:val="16"/>
                      <w:lang w:eastAsia="zh-CN"/>
                    </w:rPr>
                    <w:t>钢</w:t>
                  </w:r>
                  <w:r>
                    <w:rPr>
                      <w:rFonts w:hint="default" w:ascii="Times New Roman" w:hAnsi="Times New Roman" w:cs="Times New Roman"/>
                      <w:color w:val="auto"/>
                      <w:spacing w:val="0"/>
                      <w:szCs w:val="16"/>
                    </w:rPr>
                    <w:t>结构</w:t>
                  </w:r>
                  <w:r>
                    <w:rPr>
                      <w:rFonts w:hint="eastAsia" w:cs="Times New Roman"/>
                      <w:color w:val="auto"/>
                      <w:spacing w:val="0"/>
                      <w:szCs w:val="16"/>
                      <w:lang w:eastAsia="zh-CN"/>
                    </w:rPr>
                    <w:t>，</w:t>
                  </w:r>
                  <w:r>
                    <w:rPr>
                      <w:rFonts w:hint="eastAsia" w:cs="Times New Roman"/>
                      <w:color w:val="auto"/>
                      <w:sz w:val="21"/>
                      <w:szCs w:val="21"/>
                      <w:vertAlign w:val="baseline"/>
                      <w:lang w:val="en-US" w:eastAsia="zh-CN"/>
                    </w:rPr>
                    <w:t>高6m，建筑面积666.67</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2</w:t>
                  </w:r>
                  <w:r>
                    <w:rPr>
                      <w:rFonts w:hint="eastAsia" w:cs="Times New Roman"/>
                      <w:color w:val="auto"/>
                      <w:sz w:val="21"/>
                      <w:szCs w:val="21"/>
                      <w:vertAlign w:val="baseline"/>
                      <w:lang w:val="en-US" w:eastAsia="zh-CN"/>
                    </w:rPr>
                    <w:t>，位于厂区南侧</w:t>
                  </w:r>
                </w:p>
              </w:tc>
              <w:tc>
                <w:tcPr>
                  <w:tcW w:w="1747" w:type="pct"/>
                  <w:tcBorders>
                    <w:tl2br w:val="nil"/>
                    <w:tr2bl w:val="nil"/>
                  </w:tcBorders>
                  <w:vAlign w:val="center"/>
                </w:tcPr>
                <w:p w14:paraId="3E5F272D">
                  <w:pPr>
                    <w:spacing w:line="280" w:lineRule="exact"/>
                    <w:jc w:val="left"/>
                    <w:rPr>
                      <w:rFonts w:hint="default" w:cs="Times New Roman"/>
                      <w:color w:val="auto"/>
                      <w:spacing w:val="0"/>
                      <w:szCs w:val="16"/>
                      <w:lang w:val="en-US" w:eastAsia="zh-CN"/>
                    </w:rPr>
                  </w:pPr>
                  <w:r>
                    <w:rPr>
                      <w:rFonts w:hint="eastAsia" w:cs="Times New Roman"/>
                      <w:color w:val="auto"/>
                      <w:spacing w:val="0"/>
                      <w:szCs w:val="16"/>
                      <w:lang w:val="en-US" w:eastAsia="zh-CN"/>
                    </w:rPr>
                    <w:t>对园区现有闲置生产车间进行扩建</w:t>
                  </w:r>
                  <w:r>
                    <w:rPr>
                      <w:rFonts w:hint="eastAsia" w:cs="Times New Roman"/>
                      <w:color w:val="FF0000"/>
                      <w:spacing w:val="0"/>
                      <w:szCs w:val="16"/>
                      <w:lang w:val="en-US" w:eastAsia="zh-CN"/>
                    </w:rPr>
                    <w:t>（现有闲置车间建筑面积666.67m</w:t>
                  </w:r>
                  <w:r>
                    <w:rPr>
                      <w:rFonts w:hint="eastAsia" w:cs="Times New Roman"/>
                      <w:color w:val="FF0000"/>
                      <w:spacing w:val="0"/>
                      <w:szCs w:val="16"/>
                      <w:vertAlign w:val="superscript"/>
                      <w:lang w:val="en-US" w:eastAsia="zh-CN"/>
                    </w:rPr>
                    <w:t>2</w:t>
                  </w:r>
                  <w:r>
                    <w:rPr>
                      <w:rFonts w:hint="eastAsia" w:cs="Times New Roman"/>
                      <w:color w:val="FF0000"/>
                      <w:spacing w:val="0"/>
                      <w:szCs w:val="16"/>
                      <w:lang w:val="en-US" w:eastAsia="zh-CN"/>
                    </w:rPr>
                    <w:t>），</w:t>
                  </w:r>
                  <w:r>
                    <w:rPr>
                      <w:rFonts w:hint="default" w:ascii="Times New Roman" w:hAnsi="Times New Roman" w:cs="Times New Roman"/>
                      <w:color w:val="FF0000"/>
                      <w:spacing w:val="0"/>
                      <w:szCs w:val="16"/>
                      <w:lang w:eastAsia="zh-CN"/>
                    </w:rPr>
                    <w:t>钢</w:t>
                  </w:r>
                  <w:r>
                    <w:rPr>
                      <w:rFonts w:hint="default" w:ascii="Times New Roman" w:hAnsi="Times New Roman" w:cs="Times New Roman"/>
                      <w:color w:val="FF0000"/>
                      <w:spacing w:val="0"/>
                      <w:szCs w:val="16"/>
                    </w:rPr>
                    <w:t>结构</w:t>
                  </w:r>
                  <w:r>
                    <w:rPr>
                      <w:rFonts w:hint="eastAsia" w:cs="Times New Roman"/>
                      <w:color w:val="FF0000"/>
                      <w:spacing w:val="0"/>
                      <w:szCs w:val="16"/>
                      <w:lang w:eastAsia="zh-CN"/>
                    </w:rPr>
                    <w:t>，</w:t>
                  </w:r>
                  <w:r>
                    <w:rPr>
                      <w:rFonts w:hint="eastAsia" w:cs="Times New Roman"/>
                      <w:color w:val="FF0000"/>
                      <w:sz w:val="21"/>
                      <w:szCs w:val="21"/>
                      <w:vertAlign w:val="baseline"/>
                      <w:lang w:val="en-US" w:eastAsia="zh-CN"/>
                    </w:rPr>
                    <w:t>高6m，扩建后生产车间总占地面积846</w:t>
                  </w:r>
                  <w:r>
                    <w:rPr>
                      <w:rFonts w:hint="default" w:ascii="Times New Roman" w:hAnsi="Times New Roman" w:cs="Times New Roman"/>
                      <w:color w:val="FF0000"/>
                      <w:sz w:val="21"/>
                      <w:szCs w:val="21"/>
                      <w:vertAlign w:val="baseline"/>
                      <w:lang w:val="en-US" w:eastAsia="zh-CN"/>
                    </w:rPr>
                    <w:t>m</w:t>
                  </w:r>
                  <w:r>
                    <w:rPr>
                      <w:rFonts w:hint="default" w:ascii="Times New Roman" w:hAnsi="Times New Roman" w:cs="Times New Roman"/>
                      <w:color w:val="FF0000"/>
                      <w:sz w:val="21"/>
                      <w:szCs w:val="21"/>
                      <w:vertAlign w:val="superscript"/>
                      <w:lang w:val="en-US" w:eastAsia="zh-CN"/>
                    </w:rPr>
                    <w:t>2</w:t>
                  </w:r>
                  <w:r>
                    <w:rPr>
                      <w:rFonts w:hint="eastAsia" w:cs="Times New Roman"/>
                      <w:color w:val="FF0000"/>
                      <w:sz w:val="21"/>
                      <w:szCs w:val="21"/>
                      <w:vertAlign w:val="baseline"/>
                      <w:lang w:val="en-US" w:eastAsia="zh-CN"/>
                    </w:rPr>
                    <w:t>，总建筑面积846</w:t>
                  </w:r>
                  <w:r>
                    <w:rPr>
                      <w:rFonts w:hint="default" w:ascii="Times New Roman" w:hAnsi="Times New Roman" w:cs="Times New Roman"/>
                      <w:color w:val="FF0000"/>
                      <w:sz w:val="21"/>
                      <w:szCs w:val="21"/>
                      <w:vertAlign w:val="baseline"/>
                      <w:lang w:val="en-US" w:eastAsia="zh-CN"/>
                    </w:rPr>
                    <w:t>m</w:t>
                  </w:r>
                  <w:r>
                    <w:rPr>
                      <w:rFonts w:hint="default" w:ascii="Times New Roman" w:hAnsi="Times New Roman" w:cs="Times New Roman"/>
                      <w:color w:val="FF0000"/>
                      <w:sz w:val="21"/>
                      <w:szCs w:val="21"/>
                      <w:vertAlign w:val="superscript"/>
                      <w:lang w:val="en-US" w:eastAsia="zh-CN"/>
                    </w:rPr>
                    <w:t>2</w:t>
                  </w:r>
                  <w:r>
                    <w:rPr>
                      <w:rFonts w:hint="eastAsia" w:cs="Times New Roman"/>
                      <w:color w:val="FF0000"/>
                      <w:sz w:val="21"/>
                      <w:szCs w:val="21"/>
                      <w:vertAlign w:val="baseline"/>
                      <w:lang w:val="en-US" w:eastAsia="zh-CN"/>
                    </w:rPr>
                    <w:t>，</w:t>
                  </w:r>
                  <w:r>
                    <w:rPr>
                      <w:rFonts w:hint="eastAsia" w:cs="Times New Roman"/>
                      <w:color w:val="auto"/>
                      <w:sz w:val="21"/>
                      <w:szCs w:val="21"/>
                      <w:vertAlign w:val="baseline"/>
                      <w:lang w:val="en-US" w:eastAsia="zh-CN"/>
                    </w:rPr>
                    <w:t>位于厂区南侧和东侧</w:t>
                  </w:r>
                </w:p>
              </w:tc>
            </w:tr>
            <w:tr w14:paraId="7E9A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vMerge w:val="restart"/>
                  <w:tcBorders>
                    <w:tl2br w:val="nil"/>
                    <w:tr2bl w:val="nil"/>
                  </w:tcBorders>
                  <w:vAlign w:val="center"/>
                </w:tcPr>
                <w:p w14:paraId="5D1F9641">
                  <w:pPr>
                    <w:spacing w:line="280" w:lineRule="exact"/>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辅助工程</w:t>
                  </w:r>
                </w:p>
              </w:tc>
              <w:tc>
                <w:tcPr>
                  <w:tcW w:w="1107" w:type="pct"/>
                  <w:tcBorders>
                    <w:tl2br w:val="nil"/>
                    <w:tr2bl w:val="nil"/>
                  </w:tcBorders>
                  <w:vAlign w:val="center"/>
                </w:tcPr>
                <w:p w14:paraId="04619169">
                  <w:pPr>
                    <w:pStyle w:val="27"/>
                    <w:spacing w:after="0" w:line="280" w:lineRule="exact"/>
                    <w:ind w:firstLine="0" w:firstLineChars="0"/>
                    <w:jc w:val="center"/>
                    <w:rPr>
                      <w:rFonts w:hint="default" w:ascii="Times New Roman" w:hAnsi="Times New Roman" w:cs="Times New Roman"/>
                      <w:color w:val="auto"/>
                      <w:szCs w:val="21"/>
                    </w:rPr>
                  </w:pPr>
                  <w:r>
                    <w:rPr>
                      <w:rFonts w:hint="eastAsia" w:cs="Times New Roman"/>
                      <w:color w:val="auto"/>
                      <w:sz w:val="21"/>
                      <w:szCs w:val="21"/>
                      <w:vertAlign w:val="baseline"/>
                      <w:lang w:val="en-US" w:eastAsia="zh-CN"/>
                    </w:rPr>
                    <w:t>办公区</w:t>
                  </w:r>
                </w:p>
              </w:tc>
              <w:tc>
                <w:tcPr>
                  <w:tcW w:w="1747" w:type="pct"/>
                  <w:tcBorders>
                    <w:tl2br w:val="nil"/>
                    <w:tr2bl w:val="nil"/>
                  </w:tcBorders>
                  <w:vAlign w:val="center"/>
                </w:tcPr>
                <w:p w14:paraId="1655C8F9">
                  <w:pPr>
                    <w:pStyle w:val="27"/>
                    <w:spacing w:after="0" w:line="280" w:lineRule="exact"/>
                    <w:ind w:firstLine="0" w:firstLineChars="0"/>
                    <w:jc w:val="left"/>
                    <w:rPr>
                      <w:rFonts w:hint="default" w:ascii="Times New Roman" w:hAnsi="Times New Roman" w:eastAsia="宋体" w:cs="Times New Roman"/>
                      <w:color w:val="FF0000"/>
                      <w:szCs w:val="21"/>
                      <w:lang w:val="en-US" w:eastAsia="zh-CN"/>
                    </w:rPr>
                  </w:pPr>
                  <w:r>
                    <w:rPr>
                      <w:rFonts w:hint="eastAsia" w:cs="Times New Roman"/>
                      <w:color w:val="auto"/>
                      <w:szCs w:val="21"/>
                      <w:lang w:val="en-US" w:eastAsia="zh-CN"/>
                    </w:rPr>
                    <w:t>建筑面积</w:t>
                  </w:r>
                  <w:r>
                    <w:rPr>
                      <w:rFonts w:hint="eastAsia" w:cs="Times New Roman"/>
                      <w:color w:val="auto"/>
                      <w:spacing w:val="0"/>
                      <w:szCs w:val="16"/>
                      <w:highlight w:val="none"/>
                      <w:lang w:val="en-US" w:eastAsia="zh-CN"/>
                    </w:rPr>
                    <w:t>33.33</w:t>
                  </w:r>
                  <w:r>
                    <w:rPr>
                      <w:rFonts w:hint="default" w:ascii="Times New Roman" w:hAnsi="Times New Roman" w:cs="Times New Roman"/>
                      <w:color w:val="auto"/>
                      <w:spacing w:val="0"/>
                      <w:szCs w:val="16"/>
                      <w:highlight w:val="none"/>
                    </w:rPr>
                    <w:t>m</w:t>
                  </w:r>
                  <w:r>
                    <w:rPr>
                      <w:rFonts w:hint="default" w:ascii="Times New Roman" w:hAnsi="Times New Roman" w:cs="Times New Roman"/>
                      <w:color w:val="auto"/>
                      <w:spacing w:val="0"/>
                      <w:szCs w:val="16"/>
                      <w:highlight w:val="none"/>
                      <w:vertAlign w:val="superscript"/>
                    </w:rPr>
                    <w:t>2</w:t>
                  </w:r>
                  <w:r>
                    <w:rPr>
                      <w:rFonts w:hint="default" w:ascii="Times New Roman" w:hAnsi="Times New Roman" w:cs="Times New Roman"/>
                      <w:color w:val="auto"/>
                      <w:spacing w:val="0"/>
                      <w:szCs w:val="16"/>
                      <w:highlight w:val="none"/>
                    </w:rPr>
                    <w:t>，</w:t>
                  </w:r>
                  <w:r>
                    <w:rPr>
                      <w:rFonts w:hint="eastAsia" w:cs="Times New Roman"/>
                      <w:color w:val="auto"/>
                      <w:szCs w:val="21"/>
                      <w:lang w:val="en-US" w:eastAsia="zh-CN"/>
                    </w:rPr>
                    <w:t>位于厂区东侧</w:t>
                  </w:r>
                </w:p>
              </w:tc>
              <w:tc>
                <w:tcPr>
                  <w:tcW w:w="1747" w:type="pct"/>
                  <w:tcBorders>
                    <w:tl2br w:val="nil"/>
                    <w:tr2bl w:val="nil"/>
                  </w:tcBorders>
                  <w:vAlign w:val="center"/>
                </w:tcPr>
                <w:p w14:paraId="7B420CE0">
                  <w:pPr>
                    <w:pStyle w:val="27"/>
                    <w:spacing w:after="0" w:line="280" w:lineRule="exact"/>
                    <w:ind w:firstLine="0" w:firstLineChars="0"/>
                    <w:jc w:val="left"/>
                    <w:rPr>
                      <w:rFonts w:hint="default" w:ascii="Times New Roman" w:hAnsi="Times New Roman" w:cs="Times New Roman"/>
                      <w:color w:val="auto"/>
                      <w:szCs w:val="21"/>
                    </w:rPr>
                  </w:pPr>
                  <w:r>
                    <w:rPr>
                      <w:rFonts w:hint="eastAsia" w:cs="Times New Roman"/>
                      <w:color w:val="auto"/>
                      <w:szCs w:val="21"/>
                      <w:lang w:val="en-US" w:eastAsia="zh-CN"/>
                    </w:rPr>
                    <w:t>占地面积</w:t>
                  </w:r>
                  <w:r>
                    <w:rPr>
                      <w:rFonts w:hint="eastAsia" w:cs="Times New Roman"/>
                      <w:color w:val="auto"/>
                      <w:spacing w:val="0"/>
                      <w:szCs w:val="16"/>
                      <w:highlight w:val="none"/>
                      <w:lang w:val="en-US" w:eastAsia="zh-CN"/>
                    </w:rPr>
                    <w:t>24</w:t>
                  </w:r>
                  <w:r>
                    <w:rPr>
                      <w:rFonts w:hint="default" w:ascii="Times New Roman" w:hAnsi="Times New Roman" w:cs="Times New Roman"/>
                      <w:color w:val="auto"/>
                      <w:spacing w:val="0"/>
                      <w:szCs w:val="16"/>
                      <w:highlight w:val="none"/>
                    </w:rPr>
                    <w:t>m</w:t>
                  </w:r>
                  <w:r>
                    <w:rPr>
                      <w:rFonts w:hint="default" w:ascii="Times New Roman" w:hAnsi="Times New Roman" w:cs="Times New Roman"/>
                      <w:color w:val="auto"/>
                      <w:spacing w:val="0"/>
                      <w:szCs w:val="16"/>
                      <w:highlight w:val="none"/>
                      <w:vertAlign w:val="superscript"/>
                    </w:rPr>
                    <w:t>2</w:t>
                  </w:r>
                  <w:r>
                    <w:rPr>
                      <w:rFonts w:hint="default" w:ascii="Times New Roman" w:hAnsi="Times New Roman" w:cs="Times New Roman"/>
                      <w:color w:val="auto"/>
                      <w:spacing w:val="0"/>
                      <w:szCs w:val="16"/>
                      <w:highlight w:val="none"/>
                    </w:rPr>
                    <w:t>，</w:t>
                  </w:r>
                  <w:r>
                    <w:rPr>
                      <w:rFonts w:hint="eastAsia" w:cs="Times New Roman"/>
                      <w:color w:val="auto"/>
                      <w:sz w:val="21"/>
                      <w:szCs w:val="21"/>
                      <w:vertAlign w:val="baseline"/>
                      <w:lang w:val="en-US" w:eastAsia="zh-CN"/>
                    </w:rPr>
                    <w:t>建筑面积24</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2</w:t>
                  </w:r>
                  <w:r>
                    <w:rPr>
                      <w:rFonts w:hint="eastAsia" w:cs="Times New Roman"/>
                      <w:color w:val="auto"/>
                      <w:sz w:val="21"/>
                      <w:szCs w:val="21"/>
                      <w:vertAlign w:val="baseline"/>
                      <w:lang w:val="en-US" w:eastAsia="zh-CN"/>
                    </w:rPr>
                    <w:t>，</w:t>
                  </w:r>
                  <w:r>
                    <w:rPr>
                      <w:rFonts w:hint="eastAsia" w:cs="Times New Roman"/>
                      <w:color w:val="auto"/>
                      <w:szCs w:val="21"/>
                      <w:lang w:val="en-US" w:eastAsia="zh-CN"/>
                    </w:rPr>
                    <w:t>位于厂区西北侧</w:t>
                  </w:r>
                </w:p>
              </w:tc>
            </w:tr>
            <w:tr w14:paraId="23C1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vMerge w:val="continue"/>
                  <w:tcBorders>
                    <w:tl2br w:val="nil"/>
                    <w:tr2bl w:val="nil"/>
                  </w:tcBorders>
                  <w:vAlign w:val="center"/>
                </w:tcPr>
                <w:p w14:paraId="46A1DA4A">
                  <w:pPr>
                    <w:spacing w:line="280" w:lineRule="exact"/>
                    <w:jc w:val="center"/>
                    <w:rPr>
                      <w:rFonts w:hint="default" w:ascii="Times New Roman" w:hAnsi="Times New Roman" w:cs="Times New Roman" w:eastAsiaTheme="minorEastAsia"/>
                      <w:color w:val="auto"/>
                      <w:szCs w:val="21"/>
                    </w:rPr>
                  </w:pPr>
                </w:p>
              </w:tc>
              <w:tc>
                <w:tcPr>
                  <w:tcW w:w="1107" w:type="pct"/>
                  <w:tcBorders>
                    <w:tl2br w:val="nil"/>
                    <w:tr2bl w:val="nil"/>
                  </w:tcBorders>
                  <w:vAlign w:val="center"/>
                </w:tcPr>
                <w:p w14:paraId="06DE2FCF">
                  <w:pPr>
                    <w:pStyle w:val="27"/>
                    <w:spacing w:after="0" w:line="280" w:lineRule="exact"/>
                    <w:ind w:firstLine="0" w:firstLineChars="0"/>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一般固废间</w:t>
                  </w:r>
                </w:p>
              </w:tc>
              <w:tc>
                <w:tcPr>
                  <w:tcW w:w="1747" w:type="pct"/>
                  <w:tcBorders>
                    <w:tl2br w:val="nil"/>
                    <w:tr2bl w:val="nil"/>
                  </w:tcBorders>
                  <w:vAlign w:val="center"/>
                </w:tcPr>
                <w:p w14:paraId="25F356E1">
                  <w:pPr>
                    <w:pStyle w:val="27"/>
                    <w:spacing w:after="0" w:line="280" w:lineRule="exact"/>
                    <w:ind w:firstLine="0" w:firstLineChars="0"/>
                    <w:jc w:val="left"/>
                    <w:rPr>
                      <w:rFonts w:hint="default" w:ascii="Times New Roman" w:hAnsi="Times New Roman" w:cs="Times New Roman"/>
                      <w:color w:val="auto"/>
                      <w:szCs w:val="21"/>
                    </w:rPr>
                  </w:pPr>
                  <w:r>
                    <w:rPr>
                      <w:rFonts w:hint="eastAsia" w:cs="Times New Roman"/>
                      <w:color w:val="auto"/>
                      <w:szCs w:val="21"/>
                      <w:lang w:val="en-US" w:eastAsia="zh-CN"/>
                    </w:rPr>
                    <w:t>占地</w:t>
                  </w:r>
                  <w:r>
                    <w:rPr>
                      <w:rFonts w:hint="default" w:ascii="Times New Roman" w:hAnsi="Times New Roman" w:cs="Times New Roman"/>
                      <w:color w:val="auto"/>
                      <w:szCs w:val="21"/>
                    </w:rPr>
                    <w:t>面积</w:t>
                  </w:r>
                  <w:r>
                    <w:rPr>
                      <w:rFonts w:hint="eastAsia" w:cs="Times New Roman"/>
                      <w:color w:val="auto"/>
                      <w:szCs w:val="21"/>
                      <w:lang w:val="en-US" w:eastAsia="zh-CN"/>
                    </w:rPr>
                    <w:t>20</w:t>
                  </w:r>
                  <w:r>
                    <w:rPr>
                      <w:rFonts w:hint="default" w:ascii="Times New Roman" w:hAnsi="Times New Roman" w:cs="Times New Roman"/>
                      <w:color w:val="auto"/>
                      <w:spacing w:val="0"/>
                      <w:szCs w:val="16"/>
                      <w:highlight w:val="none"/>
                    </w:rPr>
                    <w:t>m</w:t>
                  </w:r>
                  <w:r>
                    <w:rPr>
                      <w:rFonts w:hint="default" w:ascii="Times New Roman" w:hAnsi="Times New Roman" w:cs="Times New Roman"/>
                      <w:color w:val="auto"/>
                      <w:spacing w:val="0"/>
                      <w:szCs w:val="16"/>
                      <w:highlight w:val="none"/>
                      <w:vertAlign w:val="superscript"/>
                    </w:rPr>
                    <w:t>2</w:t>
                  </w:r>
                  <w:r>
                    <w:rPr>
                      <w:rFonts w:hint="default" w:ascii="Times New Roman" w:hAnsi="Times New Roman" w:cs="Times New Roman"/>
                      <w:color w:val="auto"/>
                      <w:spacing w:val="0"/>
                      <w:szCs w:val="16"/>
                      <w:highlight w:val="none"/>
                    </w:rPr>
                    <w:t>，</w:t>
                  </w:r>
                  <w:r>
                    <w:rPr>
                      <w:rFonts w:hint="eastAsia" w:cs="Times New Roman"/>
                      <w:snapToGrid w:val="0"/>
                      <w:color w:val="auto"/>
                      <w:spacing w:val="0"/>
                      <w:kern w:val="0"/>
                      <w:highlight w:val="none"/>
                      <w:lang w:val="en-US" w:eastAsia="zh-CN"/>
                    </w:rPr>
                    <w:t>位于危废间南侧，</w:t>
                  </w:r>
                  <w:r>
                    <w:rPr>
                      <w:rFonts w:hint="default" w:ascii="Times New Roman" w:hAnsi="Times New Roman" w:cs="Times New Roman"/>
                      <w:snapToGrid w:val="0"/>
                      <w:color w:val="auto"/>
                      <w:spacing w:val="0"/>
                      <w:kern w:val="0"/>
                      <w:highlight w:val="none"/>
                    </w:rPr>
                    <w:t>用于存放</w:t>
                  </w:r>
                  <w:r>
                    <w:rPr>
                      <w:rFonts w:hint="default" w:ascii="Times New Roman" w:hAnsi="Times New Roman" w:cs="Times New Roman"/>
                      <w:bCs/>
                      <w:color w:val="auto"/>
                      <w:sz w:val="21"/>
                      <w:szCs w:val="21"/>
                      <w:shd w:val="clear" w:color="auto" w:fill="auto"/>
                      <w:lang w:val="en-US" w:eastAsia="zh-CN"/>
                    </w:rPr>
                    <w:t>一般工业固体废物</w:t>
                  </w:r>
                </w:p>
              </w:tc>
              <w:tc>
                <w:tcPr>
                  <w:tcW w:w="2913" w:type="dxa"/>
                  <w:tcBorders>
                    <w:tl2br w:val="nil"/>
                    <w:tr2bl w:val="nil"/>
                  </w:tcBorders>
                  <w:vAlign w:val="center"/>
                </w:tcPr>
                <w:p w14:paraId="100C3D4A">
                  <w:pPr>
                    <w:pStyle w:val="27"/>
                    <w:spacing w:after="0" w:line="280" w:lineRule="exact"/>
                    <w:ind w:firstLine="0" w:firstLineChars="0"/>
                    <w:jc w:val="left"/>
                    <w:rPr>
                      <w:rFonts w:hint="default" w:ascii="Times New Roman" w:hAnsi="Times New Roman" w:cs="Times New Roman"/>
                      <w:color w:val="auto"/>
                      <w:szCs w:val="21"/>
                    </w:rPr>
                  </w:pPr>
                  <w:r>
                    <w:rPr>
                      <w:rFonts w:hint="eastAsia" w:cs="Times New Roman"/>
                      <w:color w:val="auto"/>
                      <w:szCs w:val="21"/>
                      <w:lang w:val="en-US" w:eastAsia="zh-CN"/>
                    </w:rPr>
                    <w:t>占地</w:t>
                  </w:r>
                  <w:r>
                    <w:rPr>
                      <w:rFonts w:hint="default" w:ascii="Times New Roman" w:hAnsi="Times New Roman" w:cs="Times New Roman"/>
                      <w:color w:val="auto"/>
                      <w:szCs w:val="21"/>
                    </w:rPr>
                    <w:t>面积</w:t>
                  </w:r>
                  <w:r>
                    <w:rPr>
                      <w:rFonts w:hint="eastAsia" w:cs="Times New Roman"/>
                      <w:color w:val="auto"/>
                      <w:szCs w:val="21"/>
                      <w:lang w:val="en-US" w:eastAsia="zh-CN"/>
                    </w:rPr>
                    <w:t>20</w:t>
                  </w:r>
                  <w:r>
                    <w:rPr>
                      <w:rFonts w:hint="default" w:ascii="Times New Roman" w:hAnsi="Times New Roman" w:cs="Times New Roman"/>
                      <w:color w:val="auto"/>
                      <w:spacing w:val="0"/>
                      <w:szCs w:val="16"/>
                      <w:highlight w:val="none"/>
                    </w:rPr>
                    <w:t>m</w:t>
                  </w:r>
                  <w:r>
                    <w:rPr>
                      <w:rFonts w:hint="default" w:ascii="Times New Roman" w:hAnsi="Times New Roman" w:cs="Times New Roman"/>
                      <w:color w:val="auto"/>
                      <w:spacing w:val="0"/>
                      <w:szCs w:val="16"/>
                      <w:highlight w:val="none"/>
                      <w:vertAlign w:val="superscript"/>
                    </w:rPr>
                    <w:t>2</w:t>
                  </w:r>
                  <w:r>
                    <w:rPr>
                      <w:rFonts w:hint="default" w:ascii="Times New Roman" w:hAnsi="Times New Roman" w:cs="Times New Roman"/>
                      <w:color w:val="auto"/>
                      <w:spacing w:val="0"/>
                      <w:szCs w:val="16"/>
                      <w:highlight w:val="none"/>
                    </w:rPr>
                    <w:t>，</w:t>
                  </w:r>
                  <w:r>
                    <w:rPr>
                      <w:rFonts w:hint="eastAsia" w:cs="Times New Roman"/>
                      <w:color w:val="auto"/>
                      <w:sz w:val="21"/>
                      <w:szCs w:val="21"/>
                      <w:vertAlign w:val="baseline"/>
                      <w:lang w:val="en-US" w:eastAsia="zh-CN"/>
                    </w:rPr>
                    <w:t>建筑面积20</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2</w:t>
                  </w:r>
                  <w:r>
                    <w:rPr>
                      <w:rFonts w:hint="eastAsia" w:cs="Times New Roman"/>
                      <w:color w:val="auto"/>
                      <w:sz w:val="21"/>
                      <w:szCs w:val="21"/>
                      <w:vertAlign w:val="baseline"/>
                      <w:lang w:val="en-US" w:eastAsia="zh-CN"/>
                    </w:rPr>
                    <w:t>，</w:t>
                  </w:r>
                  <w:r>
                    <w:rPr>
                      <w:rFonts w:hint="eastAsia" w:cs="Times New Roman"/>
                      <w:snapToGrid w:val="0"/>
                      <w:color w:val="auto"/>
                      <w:spacing w:val="0"/>
                      <w:kern w:val="0"/>
                      <w:highlight w:val="none"/>
                      <w:lang w:val="en-US" w:eastAsia="zh-CN"/>
                    </w:rPr>
                    <w:t>位于危废间南侧，</w:t>
                  </w:r>
                  <w:r>
                    <w:rPr>
                      <w:rFonts w:hint="default" w:ascii="Times New Roman" w:hAnsi="Times New Roman" w:cs="Times New Roman"/>
                      <w:snapToGrid w:val="0"/>
                      <w:color w:val="auto"/>
                      <w:spacing w:val="0"/>
                      <w:kern w:val="0"/>
                      <w:highlight w:val="none"/>
                    </w:rPr>
                    <w:t>用于存放</w:t>
                  </w:r>
                  <w:r>
                    <w:rPr>
                      <w:rFonts w:hint="default" w:ascii="Times New Roman" w:hAnsi="Times New Roman" w:cs="Times New Roman"/>
                      <w:bCs/>
                      <w:color w:val="auto"/>
                      <w:sz w:val="21"/>
                      <w:szCs w:val="21"/>
                      <w:shd w:val="clear" w:color="auto" w:fill="auto"/>
                      <w:lang w:val="en-US" w:eastAsia="zh-CN"/>
                    </w:rPr>
                    <w:t>一般工业固体废物</w:t>
                  </w:r>
                </w:p>
              </w:tc>
            </w:tr>
            <w:tr w14:paraId="20CC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vMerge w:val="continue"/>
                  <w:tcBorders>
                    <w:tl2br w:val="nil"/>
                    <w:tr2bl w:val="nil"/>
                  </w:tcBorders>
                  <w:vAlign w:val="center"/>
                </w:tcPr>
                <w:p w14:paraId="7FD2963C">
                  <w:pPr>
                    <w:spacing w:line="280" w:lineRule="exact"/>
                    <w:jc w:val="center"/>
                    <w:rPr>
                      <w:rFonts w:hint="default" w:ascii="Times New Roman" w:hAnsi="Times New Roman" w:cs="Times New Roman" w:eastAsiaTheme="minorEastAsia"/>
                      <w:color w:val="auto"/>
                      <w:szCs w:val="21"/>
                    </w:rPr>
                  </w:pPr>
                </w:p>
              </w:tc>
              <w:tc>
                <w:tcPr>
                  <w:tcW w:w="1107" w:type="pct"/>
                  <w:tcBorders>
                    <w:tl2br w:val="nil"/>
                    <w:tr2bl w:val="nil"/>
                  </w:tcBorders>
                  <w:vAlign w:val="center"/>
                </w:tcPr>
                <w:p w14:paraId="3B854858">
                  <w:pPr>
                    <w:pStyle w:val="27"/>
                    <w:spacing w:after="0" w:line="280" w:lineRule="exact"/>
                    <w:ind w:firstLine="0" w:firstLineChars="0"/>
                    <w:jc w:val="center"/>
                    <w:rPr>
                      <w:rFonts w:hint="default" w:cs="Times New Roman"/>
                      <w:color w:val="auto"/>
                      <w:sz w:val="21"/>
                      <w:szCs w:val="21"/>
                      <w:vertAlign w:val="baseline"/>
                      <w:lang w:val="en-US" w:eastAsia="zh-CN"/>
                    </w:rPr>
                  </w:pPr>
                  <w:r>
                    <w:rPr>
                      <w:rFonts w:hint="default" w:ascii="Times New Roman" w:hAnsi="Times New Roman" w:cs="Times New Roman"/>
                      <w:color w:val="auto"/>
                      <w:szCs w:val="21"/>
                      <w:lang w:val="en-US" w:eastAsia="zh-CN"/>
                    </w:rPr>
                    <w:t>危废间</w:t>
                  </w:r>
                </w:p>
              </w:tc>
              <w:tc>
                <w:tcPr>
                  <w:tcW w:w="1747" w:type="pct"/>
                  <w:tcBorders>
                    <w:tl2br w:val="nil"/>
                    <w:tr2bl w:val="nil"/>
                  </w:tcBorders>
                  <w:vAlign w:val="center"/>
                </w:tcPr>
                <w:p w14:paraId="6C09E69D">
                  <w:pPr>
                    <w:pStyle w:val="27"/>
                    <w:spacing w:after="0" w:line="280" w:lineRule="exact"/>
                    <w:ind w:firstLine="0" w:firstLineChars="0"/>
                    <w:jc w:val="left"/>
                    <w:rPr>
                      <w:rFonts w:hint="default" w:cs="Times New Roman"/>
                      <w:color w:val="auto"/>
                      <w:szCs w:val="21"/>
                      <w:lang w:val="en-US" w:eastAsia="zh-CN"/>
                    </w:rPr>
                  </w:pPr>
                  <w:r>
                    <w:rPr>
                      <w:rFonts w:hint="default" w:ascii="Times New Roman" w:hAnsi="Times New Roman" w:cs="Times New Roman"/>
                      <w:color w:val="auto"/>
                      <w:szCs w:val="21"/>
                    </w:rPr>
                    <w:t>占地面积</w:t>
                  </w:r>
                  <w:r>
                    <w:rPr>
                      <w:rFonts w:hint="eastAsia" w:cs="Times New Roman"/>
                      <w:color w:val="auto"/>
                      <w:spacing w:val="0"/>
                      <w:szCs w:val="16"/>
                      <w:highlight w:val="none"/>
                      <w:lang w:val="en-US" w:eastAsia="zh-CN"/>
                    </w:rPr>
                    <w:t>10</w:t>
                  </w:r>
                  <w:r>
                    <w:rPr>
                      <w:rFonts w:hint="default" w:ascii="Times New Roman" w:hAnsi="Times New Roman" w:cs="Times New Roman"/>
                      <w:color w:val="auto"/>
                      <w:spacing w:val="0"/>
                      <w:szCs w:val="16"/>
                      <w:highlight w:val="none"/>
                    </w:rPr>
                    <w:t>m</w:t>
                  </w:r>
                  <w:r>
                    <w:rPr>
                      <w:rFonts w:hint="default" w:ascii="Times New Roman" w:hAnsi="Times New Roman" w:cs="Times New Roman"/>
                      <w:color w:val="auto"/>
                      <w:spacing w:val="0"/>
                      <w:szCs w:val="16"/>
                      <w:highlight w:val="none"/>
                      <w:vertAlign w:val="superscript"/>
                    </w:rPr>
                    <w:t>2</w:t>
                  </w:r>
                  <w:r>
                    <w:rPr>
                      <w:rFonts w:hint="default" w:ascii="Times New Roman" w:hAnsi="Times New Roman" w:cs="Times New Roman"/>
                      <w:color w:val="auto"/>
                      <w:spacing w:val="0"/>
                      <w:szCs w:val="16"/>
                      <w:highlight w:val="none"/>
                    </w:rPr>
                    <w:t>，</w:t>
                  </w:r>
                  <w:r>
                    <w:rPr>
                      <w:rFonts w:hint="eastAsia" w:cs="Times New Roman"/>
                      <w:snapToGrid w:val="0"/>
                      <w:color w:val="auto"/>
                      <w:spacing w:val="0"/>
                      <w:kern w:val="0"/>
                      <w:highlight w:val="none"/>
                      <w:lang w:val="en-US" w:eastAsia="zh-CN"/>
                    </w:rPr>
                    <w:t>位于生产车间西北角，</w:t>
                  </w:r>
                  <w:r>
                    <w:rPr>
                      <w:rFonts w:hint="default" w:ascii="Times New Roman" w:hAnsi="Times New Roman" w:cs="Times New Roman"/>
                      <w:snapToGrid w:val="0"/>
                      <w:color w:val="auto"/>
                      <w:spacing w:val="0"/>
                      <w:kern w:val="0"/>
                      <w:highlight w:val="none"/>
                    </w:rPr>
                    <w:t>用于存放</w:t>
                  </w:r>
                  <w:r>
                    <w:rPr>
                      <w:rFonts w:hint="default" w:ascii="Times New Roman" w:hAnsi="Times New Roman" w:cs="Times New Roman"/>
                      <w:snapToGrid w:val="0"/>
                      <w:color w:val="auto"/>
                      <w:spacing w:val="0"/>
                      <w:kern w:val="0"/>
                      <w:highlight w:val="none"/>
                      <w:lang w:eastAsia="zh-CN"/>
                    </w:rPr>
                    <w:t>危险废物</w:t>
                  </w:r>
                </w:p>
              </w:tc>
              <w:tc>
                <w:tcPr>
                  <w:tcW w:w="2913" w:type="dxa"/>
                  <w:tcBorders>
                    <w:tl2br w:val="nil"/>
                    <w:tr2bl w:val="nil"/>
                  </w:tcBorders>
                  <w:vAlign w:val="center"/>
                </w:tcPr>
                <w:p w14:paraId="0F074DF4">
                  <w:pPr>
                    <w:pStyle w:val="27"/>
                    <w:spacing w:after="0" w:line="280" w:lineRule="exact"/>
                    <w:ind w:firstLine="0" w:firstLineChars="0"/>
                    <w:jc w:val="left"/>
                    <w:rPr>
                      <w:rFonts w:hint="default" w:ascii="Times New Roman" w:hAnsi="Times New Roman" w:cs="Times New Roman"/>
                      <w:color w:val="auto"/>
                      <w:szCs w:val="21"/>
                    </w:rPr>
                  </w:pPr>
                  <w:r>
                    <w:rPr>
                      <w:rFonts w:hint="default" w:ascii="Times New Roman" w:hAnsi="Times New Roman" w:cs="Times New Roman"/>
                      <w:color w:val="auto"/>
                      <w:szCs w:val="21"/>
                    </w:rPr>
                    <w:t>占地面积</w:t>
                  </w:r>
                  <w:r>
                    <w:rPr>
                      <w:rFonts w:hint="eastAsia" w:cs="Times New Roman"/>
                      <w:color w:val="auto"/>
                      <w:spacing w:val="0"/>
                      <w:szCs w:val="16"/>
                      <w:highlight w:val="none"/>
                      <w:lang w:val="en-US" w:eastAsia="zh-CN"/>
                    </w:rPr>
                    <w:t>10</w:t>
                  </w:r>
                  <w:r>
                    <w:rPr>
                      <w:rFonts w:hint="default" w:ascii="Times New Roman" w:hAnsi="Times New Roman" w:cs="Times New Roman"/>
                      <w:color w:val="auto"/>
                      <w:spacing w:val="0"/>
                      <w:szCs w:val="16"/>
                      <w:highlight w:val="none"/>
                    </w:rPr>
                    <w:t>m</w:t>
                  </w:r>
                  <w:r>
                    <w:rPr>
                      <w:rFonts w:hint="default" w:ascii="Times New Roman" w:hAnsi="Times New Roman" w:cs="Times New Roman"/>
                      <w:color w:val="auto"/>
                      <w:spacing w:val="0"/>
                      <w:szCs w:val="16"/>
                      <w:highlight w:val="none"/>
                      <w:vertAlign w:val="superscript"/>
                    </w:rPr>
                    <w:t>2</w:t>
                  </w:r>
                  <w:r>
                    <w:rPr>
                      <w:rFonts w:hint="default" w:ascii="Times New Roman" w:hAnsi="Times New Roman" w:cs="Times New Roman"/>
                      <w:color w:val="auto"/>
                      <w:spacing w:val="0"/>
                      <w:szCs w:val="16"/>
                      <w:highlight w:val="none"/>
                    </w:rPr>
                    <w:t>，</w:t>
                  </w:r>
                  <w:r>
                    <w:rPr>
                      <w:rFonts w:hint="eastAsia" w:cs="Times New Roman"/>
                      <w:color w:val="auto"/>
                      <w:sz w:val="21"/>
                      <w:szCs w:val="21"/>
                      <w:vertAlign w:val="baseline"/>
                      <w:lang w:val="en-US" w:eastAsia="zh-CN"/>
                    </w:rPr>
                    <w:t>建筑面积10</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2</w:t>
                  </w:r>
                  <w:r>
                    <w:rPr>
                      <w:rFonts w:hint="eastAsia" w:cs="Times New Roman"/>
                      <w:color w:val="auto"/>
                      <w:sz w:val="21"/>
                      <w:szCs w:val="21"/>
                      <w:vertAlign w:val="baseline"/>
                      <w:lang w:val="en-US" w:eastAsia="zh-CN"/>
                    </w:rPr>
                    <w:t>，</w:t>
                  </w:r>
                  <w:r>
                    <w:rPr>
                      <w:rFonts w:hint="eastAsia" w:cs="Times New Roman"/>
                      <w:snapToGrid w:val="0"/>
                      <w:color w:val="auto"/>
                      <w:spacing w:val="0"/>
                      <w:kern w:val="0"/>
                      <w:highlight w:val="none"/>
                      <w:lang w:val="en-US" w:eastAsia="zh-CN"/>
                    </w:rPr>
                    <w:t>位于厂区东北角，</w:t>
                  </w:r>
                  <w:r>
                    <w:rPr>
                      <w:rFonts w:hint="default" w:ascii="Times New Roman" w:hAnsi="Times New Roman" w:cs="Times New Roman"/>
                      <w:snapToGrid w:val="0"/>
                      <w:color w:val="auto"/>
                      <w:spacing w:val="0"/>
                      <w:kern w:val="0"/>
                      <w:highlight w:val="none"/>
                    </w:rPr>
                    <w:t>用于存放</w:t>
                  </w:r>
                  <w:r>
                    <w:rPr>
                      <w:rFonts w:hint="default" w:ascii="Times New Roman" w:hAnsi="Times New Roman" w:cs="Times New Roman"/>
                      <w:snapToGrid w:val="0"/>
                      <w:color w:val="auto"/>
                      <w:spacing w:val="0"/>
                      <w:kern w:val="0"/>
                      <w:highlight w:val="none"/>
                      <w:lang w:eastAsia="zh-CN"/>
                    </w:rPr>
                    <w:t>危险废物</w:t>
                  </w:r>
                </w:p>
              </w:tc>
            </w:tr>
            <w:tr w14:paraId="46BF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vMerge w:val="restart"/>
                  <w:tcBorders>
                    <w:tl2br w:val="nil"/>
                    <w:tr2bl w:val="nil"/>
                  </w:tcBorders>
                  <w:vAlign w:val="center"/>
                </w:tcPr>
                <w:p w14:paraId="2AA8C886">
                  <w:pPr>
                    <w:spacing w:line="280" w:lineRule="exact"/>
                    <w:jc w:val="center"/>
                    <w:rPr>
                      <w:rFonts w:hint="default" w:ascii="Times New Roman" w:hAnsi="Times New Roman" w:cs="Times New Roman" w:eastAsiaTheme="minorEastAsia"/>
                      <w:color w:val="auto"/>
                      <w:szCs w:val="21"/>
                    </w:rPr>
                  </w:pPr>
                  <w:r>
                    <w:rPr>
                      <w:rFonts w:hint="eastAsia"/>
                      <w:color w:val="auto"/>
                      <w:lang w:val="en-US" w:eastAsia="zh-CN"/>
                    </w:rPr>
                    <w:t>储运工程</w:t>
                  </w:r>
                </w:p>
              </w:tc>
              <w:tc>
                <w:tcPr>
                  <w:tcW w:w="1107" w:type="pct"/>
                  <w:tcBorders>
                    <w:tl2br w:val="nil"/>
                    <w:tr2bl w:val="nil"/>
                  </w:tcBorders>
                  <w:vAlign w:val="center"/>
                </w:tcPr>
                <w:p w14:paraId="078CBEE1">
                  <w:pPr>
                    <w:pStyle w:val="27"/>
                    <w:spacing w:after="0" w:line="280" w:lineRule="exact"/>
                    <w:ind w:firstLine="0" w:firstLineChars="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原料区</w:t>
                  </w:r>
                </w:p>
              </w:tc>
              <w:tc>
                <w:tcPr>
                  <w:tcW w:w="1747" w:type="pct"/>
                  <w:tcBorders>
                    <w:tl2br w:val="nil"/>
                    <w:tr2bl w:val="nil"/>
                  </w:tcBorders>
                  <w:vAlign w:val="center"/>
                </w:tcPr>
                <w:p w14:paraId="39B38BF6">
                  <w:pPr>
                    <w:pStyle w:val="27"/>
                    <w:spacing w:after="0" w:line="280" w:lineRule="exact"/>
                    <w:ind w:firstLine="0" w:firstLineChars="0"/>
                    <w:jc w:val="left"/>
                    <w:rPr>
                      <w:rFonts w:hint="default" w:ascii="Times New Roman" w:hAnsi="Times New Roman" w:cs="Times New Roman"/>
                      <w:color w:val="FF0000"/>
                      <w:szCs w:val="21"/>
                      <w:lang w:val="en-US"/>
                    </w:rPr>
                  </w:pPr>
                  <w:r>
                    <w:rPr>
                      <w:rFonts w:hint="default" w:ascii="Times New Roman" w:hAnsi="Times New Roman" w:cs="Times New Roman"/>
                      <w:color w:val="auto"/>
                      <w:sz w:val="21"/>
                      <w:szCs w:val="21"/>
                      <w:vertAlign w:val="baseline"/>
                      <w:lang w:val="en-US" w:eastAsia="zh-CN"/>
                    </w:rPr>
                    <w:t>占地面积</w:t>
                  </w:r>
                  <w:r>
                    <w:rPr>
                      <w:rFonts w:hint="eastAsia" w:cs="Times New Roman"/>
                      <w:color w:val="auto"/>
                      <w:sz w:val="21"/>
                      <w:szCs w:val="21"/>
                      <w:vertAlign w:val="baseline"/>
                      <w:lang w:val="en-US" w:eastAsia="zh-CN"/>
                    </w:rPr>
                    <w:t>200</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2</w:t>
                  </w:r>
                  <w:r>
                    <w:rPr>
                      <w:rFonts w:hint="default" w:ascii="Times New Roman" w:hAnsi="Times New Roman" w:cs="Times New Roman"/>
                      <w:color w:val="auto"/>
                      <w:sz w:val="21"/>
                      <w:szCs w:val="21"/>
                      <w:vertAlign w:val="baseline"/>
                      <w:lang w:val="en-US" w:eastAsia="zh-CN"/>
                    </w:rPr>
                    <w:t>，</w:t>
                  </w:r>
                  <w:r>
                    <w:rPr>
                      <w:rFonts w:hint="eastAsia" w:cs="Times New Roman"/>
                      <w:color w:val="auto"/>
                      <w:sz w:val="21"/>
                      <w:szCs w:val="21"/>
                      <w:vertAlign w:val="baseline"/>
                      <w:lang w:val="en-US" w:eastAsia="zh-CN"/>
                    </w:rPr>
                    <w:t>位于厂区西北角</w:t>
                  </w:r>
                </w:p>
              </w:tc>
              <w:tc>
                <w:tcPr>
                  <w:tcW w:w="2913" w:type="dxa"/>
                  <w:tcBorders>
                    <w:tl2br w:val="nil"/>
                    <w:tr2bl w:val="nil"/>
                  </w:tcBorders>
                  <w:vAlign w:val="center"/>
                </w:tcPr>
                <w:p w14:paraId="13F4DA66">
                  <w:pPr>
                    <w:pStyle w:val="27"/>
                    <w:spacing w:after="0" w:line="280" w:lineRule="exact"/>
                    <w:ind w:firstLine="0" w:firstLineChars="0"/>
                    <w:jc w:val="left"/>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占地面积</w:t>
                  </w:r>
                  <w:r>
                    <w:rPr>
                      <w:rFonts w:hint="eastAsia" w:cs="Times New Roman"/>
                      <w:color w:val="auto"/>
                      <w:sz w:val="21"/>
                      <w:szCs w:val="21"/>
                      <w:vertAlign w:val="baseline"/>
                      <w:lang w:val="en-US" w:eastAsia="zh-CN"/>
                    </w:rPr>
                    <w:t>200</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2</w:t>
                  </w:r>
                  <w:r>
                    <w:rPr>
                      <w:rFonts w:hint="default" w:ascii="Times New Roman" w:hAnsi="Times New Roman" w:cs="Times New Roman"/>
                      <w:color w:val="auto"/>
                      <w:sz w:val="21"/>
                      <w:szCs w:val="21"/>
                      <w:vertAlign w:val="baseline"/>
                      <w:lang w:val="en-US" w:eastAsia="zh-CN"/>
                    </w:rPr>
                    <w:t>，</w:t>
                  </w:r>
                  <w:r>
                    <w:rPr>
                      <w:rFonts w:hint="eastAsia" w:cs="Times New Roman"/>
                      <w:color w:val="auto"/>
                      <w:sz w:val="21"/>
                      <w:szCs w:val="21"/>
                      <w:vertAlign w:val="baseline"/>
                      <w:lang w:val="en-US" w:eastAsia="zh-CN"/>
                    </w:rPr>
                    <w:t>位于生产车间西侧、北侧</w:t>
                  </w:r>
                </w:p>
              </w:tc>
            </w:tr>
            <w:tr w14:paraId="4C6E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vMerge w:val="continue"/>
                  <w:tcBorders>
                    <w:tl2br w:val="nil"/>
                    <w:tr2bl w:val="nil"/>
                  </w:tcBorders>
                  <w:vAlign w:val="center"/>
                </w:tcPr>
                <w:p w14:paraId="28590432">
                  <w:pPr>
                    <w:spacing w:line="280" w:lineRule="exact"/>
                    <w:jc w:val="center"/>
                    <w:rPr>
                      <w:rFonts w:hint="default" w:ascii="Times New Roman" w:hAnsi="Times New Roman" w:cs="Times New Roman" w:eastAsiaTheme="minorEastAsia"/>
                      <w:color w:val="auto"/>
                      <w:szCs w:val="21"/>
                    </w:rPr>
                  </w:pPr>
                </w:p>
              </w:tc>
              <w:tc>
                <w:tcPr>
                  <w:tcW w:w="1107" w:type="pct"/>
                  <w:tcBorders>
                    <w:tl2br w:val="nil"/>
                    <w:tr2bl w:val="nil"/>
                  </w:tcBorders>
                  <w:vAlign w:val="center"/>
                </w:tcPr>
                <w:p w14:paraId="0DB1D96A">
                  <w:pPr>
                    <w:pStyle w:val="27"/>
                    <w:spacing w:after="0" w:line="280" w:lineRule="exact"/>
                    <w:ind w:firstLine="0" w:firstLineChars="0"/>
                    <w:jc w:val="center"/>
                    <w:rPr>
                      <w:rFonts w:hint="default" w:cs="Times New Roman"/>
                      <w:color w:val="auto"/>
                      <w:szCs w:val="21"/>
                      <w:lang w:val="en-US" w:eastAsia="zh-CN"/>
                    </w:rPr>
                  </w:pPr>
                  <w:r>
                    <w:rPr>
                      <w:rFonts w:hint="eastAsia" w:cs="Times New Roman"/>
                      <w:color w:val="auto"/>
                      <w:szCs w:val="21"/>
                      <w:lang w:val="en-US" w:eastAsia="zh-CN"/>
                    </w:rPr>
                    <w:t>成品区</w:t>
                  </w:r>
                </w:p>
              </w:tc>
              <w:tc>
                <w:tcPr>
                  <w:tcW w:w="1747" w:type="pct"/>
                  <w:tcBorders>
                    <w:tl2br w:val="nil"/>
                    <w:tr2bl w:val="nil"/>
                  </w:tcBorders>
                  <w:vAlign w:val="center"/>
                </w:tcPr>
                <w:p w14:paraId="792E3C02">
                  <w:pPr>
                    <w:pStyle w:val="27"/>
                    <w:spacing w:after="0" w:line="280" w:lineRule="exact"/>
                    <w:ind w:firstLine="0" w:firstLineChars="0"/>
                    <w:jc w:val="left"/>
                    <w:rPr>
                      <w:rFonts w:hint="default" w:ascii="Times New Roman" w:hAnsi="Times New Roman" w:cs="Times New Roman"/>
                      <w:color w:val="000000" w:themeColor="text1"/>
                      <w:szCs w:val="21"/>
                      <w:lang w:val="en-US"/>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占地面积</w:t>
                  </w:r>
                  <w:r>
                    <w:rPr>
                      <w:rFonts w:hint="eastAsia" w:cs="Times New Roman"/>
                      <w:color w:val="000000" w:themeColor="text1"/>
                      <w:sz w:val="21"/>
                      <w:szCs w:val="21"/>
                      <w:vertAlign w:val="baseline"/>
                      <w:lang w:val="en-US" w:eastAsia="zh-CN"/>
                      <w14:textFill>
                        <w14:solidFill>
                          <w14:schemeClr w14:val="tx1"/>
                        </w14:solidFill>
                      </w14:textFill>
                    </w:rPr>
                    <w:t>100</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2</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r>
                    <w:rPr>
                      <w:rFonts w:hint="eastAsia" w:cs="Times New Roman"/>
                      <w:color w:val="000000" w:themeColor="text1"/>
                      <w:sz w:val="21"/>
                      <w:szCs w:val="21"/>
                      <w:vertAlign w:val="baseline"/>
                      <w:lang w:val="en-US" w:eastAsia="zh-CN"/>
                      <w14:textFill>
                        <w14:solidFill>
                          <w14:schemeClr w14:val="tx1"/>
                        </w14:solidFill>
                      </w14:textFill>
                    </w:rPr>
                    <w:t>位于</w:t>
                  </w:r>
                  <w:r>
                    <w:rPr>
                      <w:rFonts w:hint="default" w:ascii="Times New Roman" w:hAnsi="Times New Roman" w:cs="Times New Roman" w:eastAsiaTheme="minorEastAsia"/>
                      <w:color w:val="000000" w:themeColor="text1"/>
                      <w:szCs w:val="21"/>
                      <w:lang w:val="en-US" w:eastAsia="zh-CN"/>
                      <w14:textFill>
                        <w14:solidFill>
                          <w14:schemeClr w14:val="tx1"/>
                        </w14:solidFill>
                      </w14:textFill>
                    </w:rPr>
                    <w:t>生产车间</w:t>
                  </w:r>
                  <w:r>
                    <w:rPr>
                      <w:rFonts w:hint="eastAsia" w:cs="Times New Roman" w:eastAsiaTheme="minorEastAsia"/>
                      <w:color w:val="000000" w:themeColor="text1"/>
                      <w:szCs w:val="21"/>
                      <w:lang w:val="en-US" w:eastAsia="zh-CN"/>
                      <w14:textFill>
                        <w14:solidFill>
                          <w14:schemeClr w14:val="tx1"/>
                        </w14:solidFill>
                      </w14:textFill>
                    </w:rPr>
                    <w:t>西南角</w:t>
                  </w:r>
                </w:p>
              </w:tc>
              <w:tc>
                <w:tcPr>
                  <w:tcW w:w="2913" w:type="dxa"/>
                  <w:tcBorders>
                    <w:tl2br w:val="nil"/>
                    <w:tr2bl w:val="nil"/>
                  </w:tcBorders>
                  <w:vAlign w:val="center"/>
                </w:tcPr>
                <w:p w14:paraId="71F8E08F">
                  <w:pPr>
                    <w:pStyle w:val="27"/>
                    <w:spacing w:after="0" w:line="280" w:lineRule="exact"/>
                    <w:ind w:firstLine="0" w:firstLineChars="0"/>
                    <w:jc w:val="left"/>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占地面积</w:t>
                  </w:r>
                  <w:r>
                    <w:rPr>
                      <w:rFonts w:hint="eastAsia" w:cs="Times New Roman"/>
                      <w:color w:val="000000" w:themeColor="text1"/>
                      <w:sz w:val="21"/>
                      <w:szCs w:val="21"/>
                      <w:vertAlign w:val="baseline"/>
                      <w:lang w:val="en-US" w:eastAsia="zh-CN"/>
                      <w14:textFill>
                        <w14:solidFill>
                          <w14:schemeClr w14:val="tx1"/>
                        </w14:solidFill>
                      </w14:textFill>
                    </w:rPr>
                    <w:t>100</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2</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r>
                    <w:rPr>
                      <w:rFonts w:hint="eastAsia" w:cs="Times New Roman"/>
                      <w:color w:val="000000" w:themeColor="text1"/>
                      <w:sz w:val="21"/>
                      <w:szCs w:val="21"/>
                      <w:vertAlign w:val="baseline"/>
                      <w:lang w:val="en-US" w:eastAsia="zh-CN"/>
                      <w14:textFill>
                        <w14:solidFill>
                          <w14:schemeClr w14:val="tx1"/>
                        </w14:solidFill>
                      </w14:textFill>
                    </w:rPr>
                    <w:t>位于</w:t>
                  </w:r>
                  <w:r>
                    <w:rPr>
                      <w:rFonts w:hint="default" w:ascii="Times New Roman" w:hAnsi="Times New Roman" w:cs="Times New Roman" w:eastAsiaTheme="minorEastAsia"/>
                      <w:color w:val="000000" w:themeColor="text1"/>
                      <w:szCs w:val="21"/>
                      <w:lang w:val="en-US" w:eastAsia="zh-CN"/>
                      <w14:textFill>
                        <w14:solidFill>
                          <w14:schemeClr w14:val="tx1"/>
                        </w14:solidFill>
                      </w14:textFill>
                    </w:rPr>
                    <w:t>生产车间</w:t>
                  </w:r>
                  <w:r>
                    <w:rPr>
                      <w:rFonts w:hint="eastAsia" w:cs="Times New Roman" w:eastAsiaTheme="minorEastAsia"/>
                      <w:color w:val="000000" w:themeColor="text1"/>
                      <w:szCs w:val="21"/>
                      <w:lang w:val="en-US" w:eastAsia="zh-CN"/>
                      <w14:textFill>
                        <w14:solidFill>
                          <w14:schemeClr w14:val="tx1"/>
                        </w14:solidFill>
                      </w14:textFill>
                    </w:rPr>
                    <w:t>西南角</w:t>
                  </w:r>
                </w:p>
              </w:tc>
            </w:tr>
            <w:tr w14:paraId="2603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vMerge w:val="restart"/>
                  <w:tcBorders>
                    <w:tl2br w:val="nil"/>
                    <w:tr2bl w:val="nil"/>
                  </w:tcBorders>
                  <w:vAlign w:val="center"/>
                </w:tcPr>
                <w:p w14:paraId="07DF0886">
                  <w:pPr>
                    <w:spacing w:line="280" w:lineRule="exact"/>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公用工程</w:t>
                  </w:r>
                </w:p>
              </w:tc>
              <w:tc>
                <w:tcPr>
                  <w:tcW w:w="1107" w:type="pct"/>
                  <w:tcBorders>
                    <w:tl2br w:val="nil"/>
                    <w:tr2bl w:val="nil"/>
                  </w:tcBorders>
                  <w:vAlign w:val="center"/>
                </w:tcPr>
                <w:p w14:paraId="0F4BAA5F">
                  <w:pPr>
                    <w:pStyle w:val="27"/>
                    <w:spacing w:after="0" w:line="280" w:lineRule="exact"/>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供水</w:t>
                  </w:r>
                </w:p>
              </w:tc>
              <w:tc>
                <w:tcPr>
                  <w:tcW w:w="1747" w:type="pct"/>
                  <w:tcBorders>
                    <w:tl2br w:val="nil"/>
                    <w:tr2bl w:val="nil"/>
                  </w:tcBorders>
                  <w:vAlign w:val="center"/>
                </w:tcPr>
                <w:p w14:paraId="788CC2C3">
                  <w:pPr>
                    <w:pStyle w:val="27"/>
                    <w:spacing w:after="0" w:line="280" w:lineRule="exact"/>
                    <w:ind w:firstLine="0" w:firstLineChars="0"/>
                    <w:jc w:val="left"/>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用水由园区供水管网供给</w:t>
                  </w:r>
                </w:p>
              </w:tc>
              <w:tc>
                <w:tcPr>
                  <w:tcW w:w="2913" w:type="dxa"/>
                  <w:tcBorders>
                    <w:tl2br w:val="nil"/>
                    <w:tr2bl w:val="nil"/>
                  </w:tcBorders>
                  <w:vAlign w:val="center"/>
                </w:tcPr>
                <w:p w14:paraId="259B6515">
                  <w:pPr>
                    <w:pStyle w:val="27"/>
                    <w:spacing w:after="0" w:line="280" w:lineRule="exact"/>
                    <w:ind w:firstLine="0" w:firstLineChars="0"/>
                    <w:jc w:val="left"/>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用水由园区供水管网供给</w:t>
                  </w:r>
                </w:p>
              </w:tc>
            </w:tr>
            <w:tr w14:paraId="0464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vMerge w:val="continue"/>
                  <w:tcBorders>
                    <w:tl2br w:val="nil"/>
                    <w:tr2bl w:val="nil"/>
                  </w:tcBorders>
                  <w:vAlign w:val="center"/>
                </w:tcPr>
                <w:p w14:paraId="172EE375">
                  <w:pPr>
                    <w:spacing w:line="280" w:lineRule="exact"/>
                    <w:jc w:val="center"/>
                    <w:rPr>
                      <w:rFonts w:hint="default" w:ascii="Times New Roman" w:hAnsi="Times New Roman" w:cs="Times New Roman" w:eastAsiaTheme="minorEastAsia"/>
                      <w:color w:val="auto"/>
                      <w:szCs w:val="21"/>
                      <w:highlight w:val="yellow"/>
                    </w:rPr>
                  </w:pPr>
                </w:p>
              </w:tc>
              <w:tc>
                <w:tcPr>
                  <w:tcW w:w="1107" w:type="pct"/>
                  <w:tcBorders>
                    <w:tl2br w:val="nil"/>
                    <w:tr2bl w:val="nil"/>
                  </w:tcBorders>
                  <w:vAlign w:val="center"/>
                </w:tcPr>
                <w:p w14:paraId="1E28B2F8">
                  <w:pPr>
                    <w:pStyle w:val="27"/>
                    <w:spacing w:after="0" w:line="280" w:lineRule="exact"/>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供电</w:t>
                  </w:r>
                </w:p>
              </w:tc>
              <w:tc>
                <w:tcPr>
                  <w:tcW w:w="1747" w:type="pct"/>
                  <w:tcBorders>
                    <w:tl2br w:val="nil"/>
                    <w:tr2bl w:val="nil"/>
                  </w:tcBorders>
                  <w:vAlign w:val="center"/>
                </w:tcPr>
                <w:p w14:paraId="12436660">
                  <w:pPr>
                    <w:pStyle w:val="27"/>
                    <w:spacing w:after="0" w:line="280" w:lineRule="exact"/>
                    <w:ind w:firstLine="0" w:firstLineChars="0"/>
                    <w:jc w:val="left"/>
                    <w:rPr>
                      <w:rFonts w:hint="default" w:ascii="Times New Roman" w:hAnsi="Times New Roman" w:cs="Times New Roman"/>
                      <w:color w:val="auto"/>
                      <w:szCs w:val="21"/>
                    </w:rPr>
                  </w:pPr>
                  <w:r>
                    <w:rPr>
                      <w:rFonts w:hint="default" w:ascii="Times New Roman" w:hAnsi="Times New Roman" w:cs="Times New Roman"/>
                      <w:color w:val="auto"/>
                      <w:szCs w:val="21"/>
                    </w:rPr>
                    <w:t>用电</w:t>
                  </w:r>
                  <w:r>
                    <w:rPr>
                      <w:rFonts w:hint="default" w:ascii="Times New Roman" w:hAnsi="Times New Roman" w:eastAsia="宋体" w:cs="Times New Roman"/>
                      <w:color w:val="auto"/>
                      <w:szCs w:val="21"/>
                      <w:lang w:val="en-US" w:eastAsia="zh-CN"/>
                    </w:rPr>
                    <w:t>由园区供电管网供给</w:t>
                  </w:r>
                </w:p>
              </w:tc>
              <w:tc>
                <w:tcPr>
                  <w:tcW w:w="2913" w:type="dxa"/>
                  <w:tcBorders>
                    <w:tl2br w:val="nil"/>
                    <w:tr2bl w:val="nil"/>
                  </w:tcBorders>
                  <w:vAlign w:val="center"/>
                </w:tcPr>
                <w:p w14:paraId="63844361">
                  <w:pPr>
                    <w:pStyle w:val="27"/>
                    <w:spacing w:after="0" w:line="280" w:lineRule="exact"/>
                    <w:ind w:firstLine="0" w:firstLineChars="0"/>
                    <w:jc w:val="left"/>
                    <w:rPr>
                      <w:rFonts w:hint="default" w:ascii="Times New Roman" w:hAnsi="Times New Roman" w:cs="Times New Roman"/>
                      <w:color w:val="auto"/>
                      <w:szCs w:val="21"/>
                    </w:rPr>
                  </w:pPr>
                  <w:r>
                    <w:rPr>
                      <w:rFonts w:hint="default" w:ascii="Times New Roman" w:hAnsi="Times New Roman" w:cs="Times New Roman"/>
                      <w:color w:val="auto"/>
                      <w:szCs w:val="21"/>
                    </w:rPr>
                    <w:t>用电</w:t>
                  </w:r>
                  <w:r>
                    <w:rPr>
                      <w:rFonts w:hint="default" w:ascii="Times New Roman" w:hAnsi="Times New Roman" w:eastAsia="宋体" w:cs="Times New Roman"/>
                      <w:color w:val="auto"/>
                      <w:szCs w:val="21"/>
                      <w:lang w:val="en-US" w:eastAsia="zh-CN"/>
                    </w:rPr>
                    <w:t>由园区供电管网供给</w:t>
                  </w:r>
                </w:p>
              </w:tc>
            </w:tr>
            <w:tr w14:paraId="0E49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vMerge w:val="continue"/>
                  <w:tcBorders>
                    <w:tl2br w:val="nil"/>
                    <w:tr2bl w:val="nil"/>
                  </w:tcBorders>
                  <w:vAlign w:val="center"/>
                </w:tcPr>
                <w:p w14:paraId="6F09EA2D">
                  <w:pPr>
                    <w:spacing w:line="280" w:lineRule="exact"/>
                    <w:jc w:val="center"/>
                    <w:rPr>
                      <w:rFonts w:hint="default" w:ascii="Times New Roman" w:hAnsi="Times New Roman" w:cs="Times New Roman" w:eastAsiaTheme="minorEastAsia"/>
                      <w:color w:val="auto"/>
                      <w:szCs w:val="21"/>
                      <w:highlight w:val="yellow"/>
                    </w:rPr>
                  </w:pPr>
                </w:p>
              </w:tc>
              <w:tc>
                <w:tcPr>
                  <w:tcW w:w="1107" w:type="pct"/>
                  <w:tcBorders>
                    <w:tl2br w:val="nil"/>
                    <w:tr2bl w:val="nil"/>
                  </w:tcBorders>
                  <w:vAlign w:val="center"/>
                </w:tcPr>
                <w:p w14:paraId="1B4E2B89">
                  <w:pPr>
                    <w:pStyle w:val="27"/>
                    <w:spacing w:after="0" w:line="280" w:lineRule="exact"/>
                    <w:ind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t>供</w:t>
                  </w:r>
                  <w:r>
                    <w:rPr>
                      <w:rFonts w:hint="default" w:ascii="Times New Roman" w:hAnsi="Times New Roman" w:cs="Times New Roman"/>
                      <w:color w:val="auto"/>
                      <w:szCs w:val="21"/>
                      <w:lang w:val="en-US" w:eastAsia="zh-CN"/>
                    </w:rPr>
                    <w:t>热</w:t>
                  </w:r>
                  <w:r>
                    <w:rPr>
                      <w:rFonts w:hint="eastAsia" w:cs="Times New Roman"/>
                      <w:color w:val="auto"/>
                      <w:szCs w:val="21"/>
                      <w:lang w:val="en-US" w:eastAsia="zh-CN"/>
                    </w:rPr>
                    <w:t>及制冷</w:t>
                  </w:r>
                </w:p>
              </w:tc>
              <w:tc>
                <w:tcPr>
                  <w:tcW w:w="1747" w:type="pct"/>
                  <w:tcBorders>
                    <w:tl2br w:val="nil"/>
                    <w:tr2bl w:val="nil"/>
                  </w:tcBorders>
                  <w:vAlign w:val="center"/>
                </w:tcPr>
                <w:p w14:paraId="5AAF3375">
                  <w:pPr>
                    <w:pStyle w:val="27"/>
                    <w:spacing w:after="0" w:line="280" w:lineRule="exact"/>
                    <w:ind w:firstLine="0" w:firstLineChars="0"/>
                    <w:jc w:val="left"/>
                    <w:rPr>
                      <w:rFonts w:hint="default" w:ascii="Times New Roman" w:hAnsi="Times New Roman" w:eastAsia="宋体" w:cs="Times New Roman"/>
                      <w:color w:val="auto"/>
                      <w:szCs w:val="21"/>
                      <w:lang w:eastAsia="zh-CN"/>
                    </w:rPr>
                  </w:pPr>
                  <w:r>
                    <w:rPr>
                      <w:rFonts w:hint="default" w:ascii="Times New Roman" w:hAnsi="Times New Roman" w:eastAsia="宋体" w:cs="Times New Roman"/>
                      <w:b w:val="0"/>
                      <w:bCs w:val="0"/>
                      <w:color w:val="auto"/>
                      <w:spacing w:val="0"/>
                      <w:sz w:val="21"/>
                      <w:szCs w:val="21"/>
                      <w:lang w:val="en-US" w:eastAsia="zh-CN"/>
                    </w:rPr>
                    <w:t>项目生产用热采用</w:t>
                  </w:r>
                  <w:r>
                    <w:rPr>
                      <w:rFonts w:hint="eastAsia" w:cs="Times New Roman"/>
                      <w:b w:val="0"/>
                      <w:bCs w:val="0"/>
                      <w:color w:val="auto"/>
                      <w:spacing w:val="0"/>
                      <w:sz w:val="21"/>
                      <w:szCs w:val="21"/>
                      <w:lang w:val="en-US" w:eastAsia="zh-CN"/>
                    </w:rPr>
                    <w:t>电加热</w:t>
                  </w:r>
                  <w:r>
                    <w:rPr>
                      <w:rFonts w:hint="default" w:ascii="Times New Roman" w:hAnsi="Times New Roman" w:eastAsia="宋体" w:cs="Times New Roman"/>
                      <w:b w:val="0"/>
                      <w:bCs w:val="0"/>
                      <w:color w:val="auto"/>
                      <w:spacing w:val="0"/>
                      <w:sz w:val="21"/>
                      <w:szCs w:val="21"/>
                      <w:lang w:val="en-US" w:eastAsia="zh-CN"/>
                    </w:rPr>
                    <w:t>，办公采暖及制冷均采用空调</w:t>
                  </w:r>
                </w:p>
              </w:tc>
              <w:tc>
                <w:tcPr>
                  <w:tcW w:w="2913" w:type="dxa"/>
                  <w:tcBorders>
                    <w:tl2br w:val="nil"/>
                    <w:tr2bl w:val="nil"/>
                  </w:tcBorders>
                  <w:vAlign w:val="center"/>
                </w:tcPr>
                <w:p w14:paraId="651E9A42">
                  <w:pPr>
                    <w:pStyle w:val="27"/>
                    <w:spacing w:after="0" w:line="280" w:lineRule="exact"/>
                    <w:ind w:firstLine="0" w:firstLineChars="0"/>
                    <w:jc w:val="left"/>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项目生产用热采用</w:t>
                  </w:r>
                  <w:r>
                    <w:rPr>
                      <w:rFonts w:hint="eastAsia" w:cs="Times New Roman"/>
                      <w:b w:val="0"/>
                      <w:bCs w:val="0"/>
                      <w:color w:val="auto"/>
                      <w:spacing w:val="0"/>
                      <w:sz w:val="21"/>
                      <w:szCs w:val="21"/>
                      <w:lang w:val="en-US" w:eastAsia="zh-CN"/>
                    </w:rPr>
                    <w:t>电加热</w:t>
                  </w:r>
                  <w:r>
                    <w:rPr>
                      <w:rFonts w:hint="default" w:ascii="Times New Roman" w:hAnsi="Times New Roman" w:eastAsia="宋体" w:cs="Times New Roman"/>
                      <w:b w:val="0"/>
                      <w:bCs w:val="0"/>
                      <w:color w:val="auto"/>
                      <w:spacing w:val="0"/>
                      <w:sz w:val="21"/>
                      <w:szCs w:val="21"/>
                      <w:lang w:val="en-US" w:eastAsia="zh-CN"/>
                    </w:rPr>
                    <w:t>，办公采暖及制冷均采用空调</w:t>
                  </w:r>
                </w:p>
              </w:tc>
            </w:tr>
            <w:tr w14:paraId="5A58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397" w:type="pct"/>
                  <w:vMerge w:val="restart"/>
                  <w:tcBorders>
                    <w:tl2br w:val="nil"/>
                    <w:tr2bl w:val="nil"/>
                  </w:tcBorders>
                  <w:vAlign w:val="center"/>
                </w:tcPr>
                <w:p w14:paraId="36343BF2">
                  <w:pPr>
                    <w:spacing w:line="280" w:lineRule="exact"/>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环保工程</w:t>
                  </w:r>
                </w:p>
              </w:tc>
              <w:tc>
                <w:tcPr>
                  <w:tcW w:w="1107" w:type="pct"/>
                  <w:tcBorders>
                    <w:tl2br w:val="nil"/>
                    <w:tr2bl w:val="nil"/>
                  </w:tcBorders>
                  <w:vAlign w:val="center"/>
                </w:tcPr>
                <w:p w14:paraId="58C092AD">
                  <w:pPr>
                    <w:spacing w:line="280" w:lineRule="exact"/>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废气</w:t>
                  </w:r>
                </w:p>
              </w:tc>
              <w:tc>
                <w:tcPr>
                  <w:tcW w:w="1747" w:type="pct"/>
                  <w:tcBorders>
                    <w:tl2br w:val="nil"/>
                    <w:tr2bl w:val="nil"/>
                  </w:tcBorders>
                  <w:vAlign w:val="center"/>
                </w:tcPr>
                <w:p w14:paraId="4D2C307F">
                  <w:pPr>
                    <w:spacing w:line="280" w:lineRule="exact"/>
                    <w:ind w:left="-105" w:leftChars="-50" w:right="-105" w:rightChars="-50"/>
                    <w:jc w:val="both"/>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cs="Times New Roman"/>
                      <w:color w:val="auto"/>
                      <w:szCs w:val="21"/>
                      <w:lang w:val="en-US" w:eastAsia="zh-CN"/>
                    </w:rPr>
                    <w:t>有组织废气：</w:t>
                  </w:r>
                  <w:r>
                    <w:rPr>
                      <w:rFonts w:hint="default" w:ascii="Times New Roman" w:hAnsi="Times New Roman" w:eastAsia="宋体" w:cs="Times New Roman"/>
                      <w:b w:val="0"/>
                      <w:bCs w:val="0"/>
                      <w:color w:val="auto"/>
                      <w:spacing w:val="0"/>
                      <w:sz w:val="21"/>
                      <w:szCs w:val="21"/>
                      <w:lang w:val="en-US" w:eastAsia="zh-CN"/>
                    </w:rPr>
                    <w:t>挤出工序产生的废气采用</w:t>
                  </w:r>
                  <w:r>
                    <w:rPr>
                      <w:rFonts w:hint="eastAsia" w:cs="Times New Roman"/>
                      <w:b w:val="0"/>
                      <w:bCs w:val="0"/>
                      <w:color w:val="auto"/>
                      <w:spacing w:val="0"/>
                      <w:sz w:val="21"/>
                      <w:szCs w:val="21"/>
                      <w:lang w:val="en-US" w:eastAsia="zh-CN"/>
                    </w:rPr>
                    <w:t>袋式除尘器+二级活性炭吸附</w:t>
                  </w:r>
                  <w:r>
                    <w:rPr>
                      <w:rFonts w:hint="default" w:ascii="Times New Roman" w:hAnsi="Times New Roman" w:eastAsia="宋体" w:cs="Times New Roman"/>
                      <w:b w:val="0"/>
                      <w:bCs w:val="0"/>
                      <w:color w:val="auto"/>
                      <w:spacing w:val="0"/>
                      <w:sz w:val="21"/>
                      <w:szCs w:val="21"/>
                      <w:lang w:val="en-US" w:eastAsia="zh-CN"/>
                    </w:rPr>
                    <w:t>处理后通过15m排气筒</w:t>
                  </w:r>
                  <w:r>
                    <w:rPr>
                      <w:rFonts w:hint="eastAsia" w:cs="Times New Roman"/>
                      <w:b w:val="0"/>
                      <w:bCs w:val="0"/>
                      <w:color w:val="auto"/>
                      <w:spacing w:val="0"/>
                      <w:sz w:val="21"/>
                      <w:szCs w:val="21"/>
                      <w:lang w:val="en-US" w:eastAsia="zh-CN"/>
                    </w:rPr>
                    <w:t>（DA001）</w:t>
                  </w:r>
                  <w:r>
                    <w:rPr>
                      <w:rFonts w:hint="default" w:ascii="Times New Roman" w:hAnsi="Times New Roman" w:eastAsia="宋体" w:cs="Times New Roman"/>
                      <w:b w:val="0"/>
                      <w:bCs w:val="0"/>
                      <w:color w:val="auto"/>
                      <w:spacing w:val="0"/>
                      <w:sz w:val="21"/>
                      <w:szCs w:val="21"/>
                      <w:lang w:val="en-US" w:eastAsia="zh-CN"/>
                    </w:rPr>
                    <w:t>排放</w:t>
                  </w:r>
                  <w:r>
                    <w:rPr>
                      <w:rFonts w:hint="eastAsia" w:cs="Times New Roman"/>
                      <w:b w:val="0"/>
                      <w:bCs w:val="0"/>
                      <w:color w:val="auto"/>
                      <w:spacing w:val="0"/>
                      <w:sz w:val="21"/>
                      <w:szCs w:val="21"/>
                      <w:lang w:val="en-US" w:eastAsia="zh-CN"/>
                    </w:rPr>
                    <w:t>；</w:t>
                  </w:r>
                </w:p>
                <w:p w14:paraId="004D69C3">
                  <w:pPr>
                    <w:spacing w:line="280" w:lineRule="exact"/>
                    <w:ind w:left="-105" w:leftChars="-50" w:right="-105" w:rightChars="-50"/>
                    <w:jc w:val="both"/>
                    <w:rPr>
                      <w:rFonts w:hint="default" w:ascii="Times New Roman" w:hAnsi="Times New Roman" w:cs="Times New Roman" w:eastAsiaTheme="minorEastAsia"/>
                      <w:color w:val="auto"/>
                      <w:szCs w:val="21"/>
                      <w:highlight w:val="yellow"/>
                      <w:lang w:val="en-US"/>
                    </w:rPr>
                  </w:pPr>
                  <w:r>
                    <w:rPr>
                      <w:rFonts w:hint="default" w:ascii="Times New Roman" w:hAnsi="Times New Roman" w:cs="Times New Roman" w:eastAsiaTheme="minorEastAsia"/>
                      <w:color w:val="auto"/>
                      <w:szCs w:val="21"/>
                      <w:lang w:val="en-US" w:eastAsia="zh-CN"/>
                    </w:rPr>
                    <w:t>无组织废气</w:t>
                  </w:r>
                  <w:r>
                    <w:rPr>
                      <w:rFonts w:hint="default" w:ascii="Times New Roman" w:hAnsi="Times New Roman" w:cs="Times New Roman" w:eastAsiaTheme="minorEastAsia"/>
                      <w:color w:val="auto"/>
                      <w:szCs w:val="21"/>
                    </w:rPr>
                    <w:t>：</w:t>
                  </w:r>
                  <w:r>
                    <w:rPr>
                      <w:rFonts w:hint="default" w:ascii="Times New Roman" w:hAnsi="Times New Roman" w:cs="Times New Roman"/>
                      <w:bCs/>
                      <w:color w:val="auto"/>
                      <w:sz w:val="21"/>
                      <w:szCs w:val="21"/>
                      <w:lang w:val="en-US" w:eastAsia="zh-CN"/>
                    </w:rPr>
                    <w:t>厂房封闭，加强</w:t>
                  </w:r>
                  <w:r>
                    <w:rPr>
                      <w:rFonts w:hint="eastAsia" w:cs="Times New Roman"/>
                      <w:bCs/>
                      <w:color w:val="auto"/>
                      <w:sz w:val="21"/>
                      <w:szCs w:val="21"/>
                      <w:lang w:val="en-US" w:eastAsia="zh-CN"/>
                    </w:rPr>
                    <w:t>通风等</w:t>
                  </w:r>
                </w:p>
              </w:tc>
              <w:tc>
                <w:tcPr>
                  <w:tcW w:w="1747" w:type="pct"/>
                  <w:tcBorders>
                    <w:tl2br w:val="nil"/>
                    <w:tr2bl w:val="nil"/>
                  </w:tcBorders>
                  <w:vAlign w:val="center"/>
                </w:tcPr>
                <w:p w14:paraId="72E85CF5">
                  <w:pPr>
                    <w:spacing w:line="280" w:lineRule="exact"/>
                    <w:ind w:left="-105" w:leftChars="-50" w:right="-105" w:rightChars="-50"/>
                    <w:jc w:val="both"/>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cs="Times New Roman"/>
                      <w:color w:val="auto"/>
                      <w:szCs w:val="21"/>
                      <w:lang w:val="en-US" w:eastAsia="zh-CN"/>
                    </w:rPr>
                    <w:t>有组织废气：</w:t>
                  </w:r>
                  <w:r>
                    <w:rPr>
                      <w:rFonts w:hint="default" w:ascii="Times New Roman" w:hAnsi="Times New Roman" w:eastAsia="宋体" w:cs="Times New Roman"/>
                      <w:b w:val="0"/>
                      <w:bCs w:val="0"/>
                      <w:color w:val="auto"/>
                      <w:spacing w:val="0"/>
                      <w:sz w:val="21"/>
                      <w:szCs w:val="21"/>
                      <w:lang w:val="en-US" w:eastAsia="zh-CN"/>
                    </w:rPr>
                    <w:t>挤出工序产生的废气采用喷淋塔+干式过滤+活性炭吸附脱附+催化燃烧处理后通过15m排气筒</w:t>
                  </w:r>
                  <w:r>
                    <w:rPr>
                      <w:rFonts w:hint="eastAsia" w:cs="Times New Roman"/>
                      <w:b w:val="0"/>
                      <w:bCs w:val="0"/>
                      <w:color w:val="auto"/>
                      <w:spacing w:val="0"/>
                      <w:sz w:val="21"/>
                      <w:szCs w:val="21"/>
                      <w:lang w:val="en-US" w:eastAsia="zh-CN"/>
                    </w:rPr>
                    <w:t>（DA001）</w:t>
                  </w:r>
                  <w:r>
                    <w:rPr>
                      <w:rFonts w:hint="default" w:ascii="Times New Roman" w:hAnsi="Times New Roman" w:eastAsia="宋体" w:cs="Times New Roman"/>
                      <w:b w:val="0"/>
                      <w:bCs w:val="0"/>
                      <w:color w:val="auto"/>
                      <w:spacing w:val="0"/>
                      <w:sz w:val="21"/>
                      <w:szCs w:val="21"/>
                      <w:lang w:val="en-US" w:eastAsia="zh-CN"/>
                    </w:rPr>
                    <w:t>排放</w:t>
                  </w:r>
                  <w:r>
                    <w:rPr>
                      <w:rFonts w:hint="eastAsia" w:cs="Times New Roman"/>
                      <w:b w:val="0"/>
                      <w:bCs w:val="0"/>
                      <w:color w:val="auto"/>
                      <w:spacing w:val="0"/>
                      <w:sz w:val="21"/>
                      <w:szCs w:val="21"/>
                      <w:lang w:val="en-US" w:eastAsia="zh-CN"/>
                    </w:rPr>
                    <w:t>；</w:t>
                  </w:r>
                  <w:r>
                    <w:rPr>
                      <w:rFonts w:hint="eastAsia" w:cs="Times New Roman"/>
                      <w:b w:val="0"/>
                      <w:bCs w:val="0"/>
                      <w:color w:val="0000FF"/>
                      <w:spacing w:val="0"/>
                      <w:sz w:val="21"/>
                      <w:szCs w:val="21"/>
                      <w:lang w:val="en-US" w:eastAsia="zh-CN"/>
                    </w:rPr>
                    <w:t>干式粉碎</w:t>
                  </w:r>
                  <w:r>
                    <w:rPr>
                      <w:rFonts w:hint="default" w:ascii="Times New Roman" w:hAnsi="Times New Roman" w:eastAsia="宋体" w:cs="Times New Roman"/>
                      <w:b w:val="0"/>
                      <w:bCs w:val="0"/>
                      <w:color w:val="0000FF"/>
                      <w:spacing w:val="0"/>
                      <w:sz w:val="21"/>
                      <w:szCs w:val="21"/>
                      <w:lang w:val="en-US" w:eastAsia="zh-CN"/>
                    </w:rPr>
                    <w:t>产生的废气采用</w:t>
                  </w:r>
                  <w:r>
                    <w:rPr>
                      <w:rFonts w:hint="eastAsia" w:cs="Times New Roman"/>
                      <w:b w:val="0"/>
                      <w:bCs w:val="0"/>
                      <w:color w:val="0000FF"/>
                      <w:spacing w:val="0"/>
                      <w:sz w:val="21"/>
                      <w:szCs w:val="21"/>
                      <w:lang w:val="en-US" w:eastAsia="zh-CN"/>
                    </w:rPr>
                    <w:t>袋式除尘器处理后通过15m排气筒排放（DA002）</w:t>
                  </w:r>
                  <w:r>
                    <w:rPr>
                      <w:rFonts w:hint="eastAsia" w:cs="Times New Roman"/>
                      <w:b w:val="0"/>
                      <w:bCs w:val="0"/>
                      <w:color w:val="auto"/>
                      <w:spacing w:val="0"/>
                      <w:sz w:val="21"/>
                      <w:szCs w:val="21"/>
                      <w:lang w:val="en-US" w:eastAsia="zh-CN"/>
                    </w:rPr>
                    <w:t>；</w:t>
                  </w:r>
                </w:p>
                <w:p w14:paraId="5A56A1BF">
                  <w:pPr>
                    <w:spacing w:line="280" w:lineRule="exact"/>
                    <w:ind w:left="-105" w:leftChars="-50" w:right="-105" w:rightChars="-50"/>
                    <w:jc w:val="both"/>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无组织废气</w:t>
                  </w:r>
                  <w:r>
                    <w:rPr>
                      <w:rFonts w:hint="default" w:ascii="Times New Roman" w:hAnsi="Times New Roman" w:cs="Times New Roman" w:eastAsiaTheme="minorEastAsia"/>
                      <w:color w:val="auto"/>
                      <w:szCs w:val="21"/>
                    </w:rPr>
                    <w:t>：</w:t>
                  </w:r>
                  <w:r>
                    <w:rPr>
                      <w:rFonts w:hint="default" w:ascii="Times New Roman" w:hAnsi="Times New Roman" w:cs="Times New Roman"/>
                      <w:bCs/>
                      <w:color w:val="auto"/>
                      <w:sz w:val="21"/>
                      <w:szCs w:val="21"/>
                      <w:lang w:val="en-US" w:eastAsia="zh-CN"/>
                    </w:rPr>
                    <w:t>厂房封闭，加强</w:t>
                  </w:r>
                  <w:r>
                    <w:rPr>
                      <w:rFonts w:hint="eastAsia" w:cs="Times New Roman"/>
                      <w:bCs/>
                      <w:color w:val="auto"/>
                      <w:sz w:val="21"/>
                      <w:szCs w:val="21"/>
                      <w:lang w:val="en-US" w:eastAsia="zh-CN"/>
                    </w:rPr>
                    <w:t>通风等</w:t>
                  </w:r>
                </w:p>
              </w:tc>
            </w:tr>
            <w:tr w14:paraId="2068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vMerge w:val="continue"/>
                  <w:tcBorders>
                    <w:tl2br w:val="nil"/>
                    <w:tr2bl w:val="nil"/>
                  </w:tcBorders>
                  <w:vAlign w:val="center"/>
                </w:tcPr>
                <w:p w14:paraId="6223634F">
                  <w:pPr>
                    <w:spacing w:line="280" w:lineRule="exact"/>
                    <w:jc w:val="center"/>
                    <w:rPr>
                      <w:rFonts w:hint="default" w:ascii="Times New Roman" w:hAnsi="Times New Roman" w:cs="Times New Roman" w:eastAsiaTheme="minorEastAsia"/>
                      <w:color w:val="auto"/>
                      <w:szCs w:val="21"/>
                      <w:highlight w:val="yellow"/>
                    </w:rPr>
                  </w:pPr>
                </w:p>
              </w:tc>
              <w:tc>
                <w:tcPr>
                  <w:tcW w:w="1107" w:type="pct"/>
                  <w:tcBorders>
                    <w:tl2br w:val="nil"/>
                    <w:tr2bl w:val="nil"/>
                  </w:tcBorders>
                  <w:vAlign w:val="center"/>
                </w:tcPr>
                <w:p w14:paraId="445CEFFD">
                  <w:pPr>
                    <w:pStyle w:val="27"/>
                    <w:spacing w:after="0" w:line="280" w:lineRule="exact"/>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废水</w:t>
                  </w:r>
                </w:p>
              </w:tc>
              <w:tc>
                <w:tcPr>
                  <w:tcW w:w="1747" w:type="pct"/>
                  <w:tcBorders>
                    <w:tl2br w:val="nil"/>
                    <w:tr2bl w:val="nil"/>
                  </w:tcBorders>
                  <w:vAlign w:val="center"/>
                </w:tcPr>
                <w:p w14:paraId="0446F32C">
                  <w:pPr>
                    <w:pStyle w:val="27"/>
                    <w:spacing w:after="0" w:line="280" w:lineRule="exact"/>
                    <w:ind w:firstLine="0" w:firstLineChars="0"/>
                    <w:jc w:val="left"/>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项目生产废水（渔网清洗水、造粒冷却水）经污水处理系统（旋流沉淀塔+压滤）处理后，循环使用不外排；职工生活废水经化粪池处理后，由园区管网排入园区内现有工业污水处理厂（魏县绿环循环经济产业园有限公司）进一步处理</w:t>
                  </w:r>
                </w:p>
              </w:tc>
              <w:tc>
                <w:tcPr>
                  <w:tcW w:w="1747" w:type="pct"/>
                  <w:tcBorders>
                    <w:tl2br w:val="nil"/>
                    <w:tr2bl w:val="nil"/>
                  </w:tcBorders>
                  <w:vAlign w:val="center"/>
                </w:tcPr>
                <w:p w14:paraId="2F74F6B4">
                  <w:pPr>
                    <w:pStyle w:val="27"/>
                    <w:spacing w:after="0" w:line="280" w:lineRule="exact"/>
                    <w:ind w:firstLine="0" w:firstLineChars="0"/>
                    <w:jc w:val="left"/>
                    <w:rPr>
                      <w:rFonts w:hint="eastAsia" w:cs="Times New Roman"/>
                      <w:color w:val="auto"/>
                      <w:szCs w:val="21"/>
                      <w:lang w:eastAsia="zh-CN"/>
                    </w:rPr>
                  </w:pPr>
                  <w:r>
                    <w:rPr>
                      <w:rFonts w:hint="eastAsia" w:cs="Times New Roman"/>
                      <w:b w:val="0"/>
                      <w:bCs w:val="0"/>
                      <w:color w:val="auto"/>
                      <w:spacing w:val="0"/>
                      <w:sz w:val="21"/>
                      <w:szCs w:val="21"/>
                      <w:lang w:val="en-US" w:eastAsia="zh-CN"/>
                    </w:rPr>
                    <w:t>湿式粉碎、清洗、冷却等生产废水经沉淀池处理后循环利用，不外排；喷淋塔用水循环使用，定期补充新水；生活废水直接泼洒抑尘</w:t>
                  </w:r>
                </w:p>
              </w:tc>
            </w:tr>
            <w:tr w14:paraId="21EB1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vMerge w:val="continue"/>
                  <w:tcBorders>
                    <w:tl2br w:val="nil"/>
                    <w:tr2bl w:val="nil"/>
                  </w:tcBorders>
                  <w:vAlign w:val="center"/>
                </w:tcPr>
                <w:p w14:paraId="1425D7F2">
                  <w:pPr>
                    <w:spacing w:line="280" w:lineRule="exact"/>
                    <w:jc w:val="center"/>
                    <w:rPr>
                      <w:rFonts w:hint="default" w:ascii="Times New Roman" w:hAnsi="Times New Roman" w:cs="Times New Roman" w:eastAsiaTheme="minorEastAsia"/>
                      <w:color w:val="auto"/>
                      <w:szCs w:val="21"/>
                      <w:highlight w:val="yellow"/>
                    </w:rPr>
                  </w:pPr>
                </w:p>
              </w:tc>
              <w:tc>
                <w:tcPr>
                  <w:tcW w:w="1107" w:type="pct"/>
                  <w:tcBorders>
                    <w:tl2br w:val="nil"/>
                    <w:tr2bl w:val="nil"/>
                  </w:tcBorders>
                  <w:vAlign w:val="center"/>
                </w:tcPr>
                <w:p w14:paraId="31E47C4A">
                  <w:pPr>
                    <w:pStyle w:val="27"/>
                    <w:spacing w:after="0" w:line="280" w:lineRule="exact"/>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噪声</w:t>
                  </w:r>
                </w:p>
              </w:tc>
              <w:tc>
                <w:tcPr>
                  <w:tcW w:w="1747" w:type="pct"/>
                  <w:tcBorders>
                    <w:tl2br w:val="nil"/>
                    <w:tr2bl w:val="nil"/>
                  </w:tcBorders>
                  <w:vAlign w:val="center"/>
                </w:tcPr>
                <w:p w14:paraId="0BB0B89C">
                  <w:pPr>
                    <w:pStyle w:val="27"/>
                    <w:spacing w:after="0" w:line="280" w:lineRule="exact"/>
                    <w:ind w:firstLine="0" w:firstLineChars="0"/>
                    <w:jc w:val="left"/>
                    <w:rPr>
                      <w:rFonts w:hint="default" w:ascii="Times New Roman" w:hAnsi="Times New Roman" w:cs="Times New Roman"/>
                      <w:color w:val="auto"/>
                      <w:szCs w:val="21"/>
                    </w:rPr>
                  </w:pPr>
                  <w:r>
                    <w:rPr>
                      <w:rFonts w:hint="eastAsia" w:cs="Times New Roman"/>
                      <w:b w:val="0"/>
                      <w:bCs w:val="0"/>
                      <w:color w:val="auto"/>
                      <w:spacing w:val="0"/>
                      <w:sz w:val="21"/>
                      <w:szCs w:val="21"/>
                      <w:lang w:val="en-US" w:eastAsia="zh-CN"/>
                    </w:rPr>
                    <w:t>选用低噪声设备、基础减振、厂房隔声等</w:t>
                  </w:r>
                </w:p>
              </w:tc>
              <w:tc>
                <w:tcPr>
                  <w:tcW w:w="1747" w:type="pct"/>
                  <w:tcBorders>
                    <w:tl2br w:val="nil"/>
                    <w:tr2bl w:val="nil"/>
                  </w:tcBorders>
                  <w:vAlign w:val="center"/>
                </w:tcPr>
                <w:p w14:paraId="4DA42728">
                  <w:pPr>
                    <w:pStyle w:val="27"/>
                    <w:spacing w:after="0" w:line="280" w:lineRule="exact"/>
                    <w:ind w:firstLine="0" w:firstLineChars="0"/>
                    <w:jc w:val="left"/>
                    <w:rPr>
                      <w:rFonts w:hint="default" w:ascii="Times New Roman" w:hAnsi="Times New Roman" w:cs="Times New Roman"/>
                      <w:color w:val="auto"/>
                      <w:szCs w:val="21"/>
                      <w:lang w:val="en-GB"/>
                    </w:rPr>
                  </w:pPr>
                  <w:r>
                    <w:rPr>
                      <w:rFonts w:hint="eastAsia" w:cs="Times New Roman"/>
                      <w:b w:val="0"/>
                      <w:bCs w:val="0"/>
                      <w:color w:val="auto"/>
                      <w:spacing w:val="0"/>
                      <w:sz w:val="21"/>
                      <w:szCs w:val="21"/>
                      <w:lang w:val="en-US" w:eastAsia="zh-CN"/>
                    </w:rPr>
                    <w:t>选用低噪声设备、基础减振、厂房隔声等</w:t>
                  </w:r>
                </w:p>
              </w:tc>
            </w:tr>
            <w:tr w14:paraId="4D87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vMerge w:val="continue"/>
                  <w:tcBorders>
                    <w:tl2br w:val="nil"/>
                    <w:tr2bl w:val="nil"/>
                  </w:tcBorders>
                  <w:vAlign w:val="center"/>
                </w:tcPr>
                <w:p w14:paraId="0D5AE467">
                  <w:pPr>
                    <w:spacing w:line="280" w:lineRule="exact"/>
                    <w:jc w:val="center"/>
                    <w:rPr>
                      <w:rFonts w:hint="default" w:ascii="Times New Roman" w:hAnsi="Times New Roman" w:cs="Times New Roman" w:eastAsiaTheme="minorEastAsia"/>
                      <w:color w:val="auto"/>
                      <w:szCs w:val="21"/>
                      <w:highlight w:val="yellow"/>
                    </w:rPr>
                  </w:pPr>
                </w:p>
              </w:tc>
              <w:tc>
                <w:tcPr>
                  <w:tcW w:w="1107" w:type="pct"/>
                  <w:tcBorders>
                    <w:tl2br w:val="nil"/>
                    <w:tr2bl w:val="nil"/>
                  </w:tcBorders>
                  <w:vAlign w:val="center"/>
                </w:tcPr>
                <w:p w14:paraId="1780AE3D">
                  <w:pPr>
                    <w:pStyle w:val="27"/>
                    <w:spacing w:after="0" w:line="280" w:lineRule="exact"/>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固废</w:t>
                  </w:r>
                </w:p>
              </w:tc>
              <w:tc>
                <w:tcPr>
                  <w:tcW w:w="1747" w:type="pct"/>
                  <w:tcBorders>
                    <w:tl2br w:val="nil"/>
                    <w:tr2bl w:val="nil"/>
                  </w:tcBorders>
                  <w:vAlign w:val="center"/>
                </w:tcPr>
                <w:p w14:paraId="310C5BB7">
                  <w:pPr>
                    <w:pStyle w:val="87"/>
                    <w:spacing w:line="280" w:lineRule="exact"/>
                    <w:ind w:firstLine="0" w:firstLineChars="0"/>
                    <w:jc w:val="both"/>
                    <w:rPr>
                      <w:rFonts w:hint="eastAsia" w:cs="Times New Roman"/>
                      <w:b w:val="0"/>
                      <w:bCs w:val="0"/>
                      <w:color w:val="auto"/>
                      <w:spacing w:val="0"/>
                      <w:sz w:val="21"/>
                      <w:szCs w:val="21"/>
                      <w:lang w:val="en-US" w:eastAsia="zh-CN"/>
                    </w:rPr>
                  </w:pPr>
                  <w:r>
                    <w:rPr>
                      <w:rFonts w:hint="eastAsia" w:cs="Times New Roman"/>
                      <w:b w:val="0"/>
                      <w:bCs w:val="0"/>
                      <w:color w:val="auto"/>
                      <w:spacing w:val="0"/>
                      <w:sz w:val="21"/>
                      <w:szCs w:val="21"/>
                      <w:lang w:val="en-US" w:eastAsia="zh-CN"/>
                    </w:rPr>
                    <w:t>一般工业固体废物：污泥委托有资质单位清运；杂质、包装废料、除尘灰、废除尘布袋收集后外售；</w:t>
                  </w:r>
                </w:p>
                <w:p w14:paraId="23297925">
                  <w:pPr>
                    <w:pStyle w:val="87"/>
                    <w:spacing w:line="280" w:lineRule="exact"/>
                    <w:ind w:firstLine="0" w:firstLineChars="0"/>
                    <w:jc w:val="both"/>
                    <w:rPr>
                      <w:rFonts w:hint="eastAsia" w:cs="Times New Roman"/>
                      <w:b w:val="0"/>
                      <w:bCs w:val="0"/>
                      <w:color w:val="auto"/>
                      <w:spacing w:val="0"/>
                      <w:sz w:val="21"/>
                      <w:szCs w:val="21"/>
                      <w:lang w:val="en-US" w:eastAsia="zh-CN"/>
                    </w:rPr>
                  </w:pPr>
                  <w:r>
                    <w:rPr>
                      <w:rFonts w:hint="eastAsia" w:cs="Times New Roman"/>
                      <w:b w:val="0"/>
                      <w:bCs w:val="0"/>
                      <w:color w:val="auto"/>
                      <w:spacing w:val="0"/>
                      <w:sz w:val="21"/>
                      <w:szCs w:val="21"/>
                      <w:lang w:val="en-US" w:eastAsia="zh-CN"/>
                    </w:rPr>
                    <w:t>危险废物：废机油、废机油桶、废含油抹布、废活性炭暂存于危废间，定期交由有资质单位处置；</w:t>
                  </w:r>
                </w:p>
                <w:p w14:paraId="088EACB7">
                  <w:pPr>
                    <w:pStyle w:val="87"/>
                    <w:spacing w:line="280" w:lineRule="exact"/>
                    <w:ind w:firstLine="0" w:firstLineChars="0"/>
                    <w:jc w:val="both"/>
                    <w:rPr>
                      <w:rFonts w:hint="default" w:cs="Times New Roman"/>
                      <w:b w:val="0"/>
                      <w:bCs w:val="0"/>
                      <w:color w:val="auto"/>
                      <w:spacing w:val="0"/>
                      <w:sz w:val="21"/>
                      <w:szCs w:val="21"/>
                      <w:lang w:val="en-US" w:eastAsia="zh-CN"/>
                    </w:rPr>
                  </w:pPr>
                  <w:r>
                    <w:rPr>
                      <w:rFonts w:hint="eastAsia" w:cs="Times New Roman"/>
                      <w:b w:val="0"/>
                      <w:bCs w:val="0"/>
                      <w:color w:val="auto"/>
                      <w:spacing w:val="0"/>
                      <w:sz w:val="21"/>
                      <w:szCs w:val="21"/>
                      <w:lang w:val="en-US" w:eastAsia="zh-CN"/>
                    </w:rPr>
                    <w:t>生活垃圾收集后定期交由环卫部门统一处理；</w:t>
                  </w:r>
                </w:p>
              </w:tc>
              <w:tc>
                <w:tcPr>
                  <w:tcW w:w="1747" w:type="pct"/>
                  <w:tcBorders>
                    <w:tl2br w:val="nil"/>
                    <w:tr2bl w:val="nil"/>
                  </w:tcBorders>
                  <w:vAlign w:val="center"/>
                </w:tcPr>
                <w:p w14:paraId="794FC0E5">
                  <w:pPr>
                    <w:pStyle w:val="87"/>
                    <w:spacing w:line="280" w:lineRule="exact"/>
                    <w:ind w:firstLine="0" w:firstLineChars="0"/>
                    <w:jc w:val="both"/>
                    <w:rPr>
                      <w:rFonts w:hint="eastAsia" w:ascii="Times New Roman" w:hAnsi="Times New Roman" w:cs="Times New Roman"/>
                      <w:bCs/>
                      <w:color w:val="auto"/>
                      <w:sz w:val="21"/>
                      <w:szCs w:val="21"/>
                      <w:shd w:val="clear" w:color="auto" w:fill="auto"/>
                      <w:lang w:val="en-US" w:eastAsia="zh-CN"/>
                    </w:rPr>
                  </w:pPr>
                  <w:r>
                    <w:rPr>
                      <w:rFonts w:hint="eastAsia" w:cs="Times New Roman"/>
                      <w:b w:val="0"/>
                      <w:bCs w:val="0"/>
                      <w:color w:val="auto"/>
                      <w:spacing w:val="0"/>
                      <w:sz w:val="21"/>
                      <w:szCs w:val="21"/>
                      <w:lang w:val="en-US" w:eastAsia="zh-CN"/>
                    </w:rPr>
                    <w:t>一般工业固体废物：除尘灰、废布袋、废边角料、底泥、包装废料外售；废过滤网</w:t>
                  </w:r>
                  <w:r>
                    <w:rPr>
                      <w:rFonts w:hint="eastAsia" w:ascii="Times New Roman" w:hAnsi="Times New Roman" w:eastAsia="宋体" w:cs="Times New Roman"/>
                      <w:b w:val="0"/>
                      <w:bCs w:val="0"/>
                      <w:color w:val="auto"/>
                      <w:spacing w:val="0"/>
                      <w:sz w:val="21"/>
                      <w:szCs w:val="21"/>
                      <w:lang w:val="en-US" w:eastAsia="zh-CN"/>
                    </w:rPr>
                    <w:t>委托专人处置后回用</w:t>
                  </w:r>
                  <w:r>
                    <w:rPr>
                      <w:rFonts w:hint="eastAsia" w:cs="Times New Roman"/>
                      <w:b w:val="0"/>
                      <w:bCs w:val="0"/>
                      <w:color w:val="auto"/>
                      <w:spacing w:val="0"/>
                      <w:sz w:val="21"/>
                      <w:szCs w:val="21"/>
                      <w:lang w:val="en-US" w:eastAsia="zh-CN"/>
                    </w:rPr>
                    <w:t>；危险废物：废液压油、废润滑油、废油桶、废含油抹布、废活性炭、废过滤棉、废催化剂</w:t>
                  </w:r>
                  <w:r>
                    <w:rPr>
                      <w:rFonts w:hint="eastAsia" w:ascii="Times New Roman" w:hAnsi="Times New Roman" w:cs="Times New Roman"/>
                      <w:bCs/>
                      <w:color w:val="auto"/>
                      <w:sz w:val="21"/>
                      <w:szCs w:val="21"/>
                      <w:shd w:val="clear" w:color="auto" w:fill="auto"/>
                      <w:lang w:val="en-US" w:eastAsia="zh-CN"/>
                    </w:rPr>
                    <w:t>暂存于危废间，定期</w:t>
                  </w:r>
                  <w:r>
                    <w:rPr>
                      <w:rFonts w:hint="default" w:ascii="Times New Roman" w:hAnsi="Times New Roman" w:cs="Times New Roman"/>
                      <w:bCs/>
                      <w:color w:val="auto"/>
                      <w:sz w:val="21"/>
                      <w:szCs w:val="21"/>
                      <w:shd w:val="clear" w:color="auto" w:fill="auto"/>
                      <w:lang w:val="en-US" w:eastAsia="zh-CN"/>
                    </w:rPr>
                    <w:t>委托有资质单位处理</w:t>
                  </w:r>
                  <w:r>
                    <w:rPr>
                      <w:rFonts w:hint="eastAsia" w:ascii="Times New Roman" w:hAnsi="Times New Roman" w:cs="Times New Roman"/>
                      <w:bCs/>
                      <w:color w:val="auto"/>
                      <w:sz w:val="21"/>
                      <w:szCs w:val="21"/>
                      <w:shd w:val="clear" w:color="auto" w:fill="auto"/>
                      <w:lang w:val="en-US" w:eastAsia="zh-CN"/>
                    </w:rPr>
                    <w:t>；</w:t>
                  </w:r>
                </w:p>
                <w:p w14:paraId="2157BABF">
                  <w:pPr>
                    <w:pStyle w:val="87"/>
                    <w:spacing w:line="280" w:lineRule="exact"/>
                    <w:ind w:firstLine="0" w:firstLineChars="0"/>
                    <w:jc w:val="both"/>
                    <w:rPr>
                      <w:rFonts w:hint="eastAsia" w:ascii="Times New Roman" w:hAnsi="Times New Roman" w:cs="Times New Roman"/>
                      <w:bCs/>
                      <w:color w:val="auto"/>
                      <w:sz w:val="21"/>
                      <w:szCs w:val="21"/>
                      <w:shd w:val="clear" w:color="auto" w:fill="auto"/>
                      <w:lang w:val="en-US" w:eastAsia="zh-CN"/>
                    </w:rPr>
                  </w:pPr>
                  <w:r>
                    <w:rPr>
                      <w:rFonts w:hint="default" w:ascii="Times New Roman" w:hAnsi="Times New Roman" w:cs="Times New Roman"/>
                      <w:bCs/>
                      <w:color w:val="auto"/>
                      <w:sz w:val="21"/>
                      <w:szCs w:val="21"/>
                      <w:shd w:val="clear" w:color="auto" w:fill="auto"/>
                      <w:lang w:val="en-US" w:eastAsia="zh-CN"/>
                    </w:rPr>
                    <w:t>生活垃圾委托环卫部门处理</w:t>
                  </w:r>
                </w:p>
              </w:tc>
            </w:tr>
          </w:tbl>
          <w:p w14:paraId="3E305621">
            <w:pPr>
              <w:spacing w:line="480" w:lineRule="exact"/>
              <w:ind w:firstLine="482" w:firstLineChars="200"/>
              <w:rPr>
                <w:rFonts w:hint="default" w:ascii="Times New Roman" w:hAnsi="Times New Roman" w:cs="Times New Roman" w:eastAsiaTheme="minorEastAsia"/>
                <w:b/>
                <w:bCs/>
                <w:color w:val="auto"/>
                <w:sz w:val="24"/>
              </w:rPr>
            </w:pPr>
            <w:r>
              <w:rPr>
                <w:rFonts w:hint="eastAsia"/>
                <w:b/>
                <w:bCs/>
                <w:color w:val="auto"/>
                <w:sz w:val="24"/>
                <w:highlight w:val="none"/>
                <w:lang w:val="en-US" w:eastAsia="zh-CN"/>
              </w:rPr>
              <w:t>四、</w:t>
            </w:r>
            <w:r>
              <w:rPr>
                <w:b/>
                <w:bCs/>
                <w:color w:val="auto"/>
                <w:sz w:val="24"/>
                <w:highlight w:val="none"/>
              </w:rPr>
              <w:t>主要产品及产能</w:t>
            </w:r>
          </w:p>
          <w:p w14:paraId="01A83B43">
            <w:pPr>
              <w:spacing w:line="480" w:lineRule="exact"/>
              <w:ind w:firstLine="480" w:firstLineChars="200"/>
              <w:outlineLvl w:val="1"/>
              <w:rPr>
                <w:rFonts w:hint="default" w:ascii="Times New Roman" w:hAnsi="Times New Roman" w:cs="Times New Roman" w:eastAsiaTheme="minorEastAsia"/>
                <w:snapToGrid w:val="0"/>
                <w:color w:val="auto"/>
                <w:sz w:val="24"/>
                <w:lang w:val="en-US"/>
              </w:rPr>
            </w:pPr>
            <w:r>
              <w:rPr>
                <w:rFonts w:hint="default" w:ascii="Times New Roman" w:hAnsi="Times New Roman" w:cs="Times New Roman"/>
                <w:color w:val="auto"/>
                <w:sz w:val="24"/>
                <w:lang w:val="en-US" w:eastAsia="zh-CN"/>
              </w:rPr>
              <w:t>项目建成后年生产12000吨再生塑料颗粒。</w:t>
            </w:r>
          </w:p>
          <w:p w14:paraId="2E772BF0">
            <w:pPr>
              <w:spacing w:line="480" w:lineRule="exact"/>
              <w:jc w:val="center"/>
              <w:rPr>
                <w:rFonts w:hint="default" w:ascii="Times New Roman" w:hAnsi="Times New Roman"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表8   项目</w:t>
            </w:r>
            <w:r>
              <w:rPr>
                <w:rFonts w:hint="eastAsia" w:cs="Times New Roman"/>
                <w:b/>
                <w:bCs/>
                <w:color w:val="auto"/>
                <w:sz w:val="24"/>
                <w:highlight w:val="none"/>
                <w:lang w:val="en-US" w:eastAsia="zh-CN"/>
              </w:rPr>
              <w:t>产品方案</w:t>
            </w:r>
            <w:r>
              <w:rPr>
                <w:rFonts w:hint="default" w:ascii="Times New Roman" w:hAnsi="Times New Roman" w:cs="Times New Roman"/>
                <w:b/>
                <w:bCs/>
                <w:color w:val="auto"/>
                <w:sz w:val="24"/>
                <w:highlight w:val="none"/>
                <w:lang w:val="en-US" w:eastAsia="zh-CN"/>
              </w:rPr>
              <w:t>一览表</w:t>
            </w:r>
          </w:p>
          <w:tbl>
            <w:tblPr>
              <w:tblStyle w:val="28"/>
              <w:tblW w:w="6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650"/>
              <w:gridCol w:w="2085"/>
              <w:gridCol w:w="2040"/>
            </w:tblGrid>
            <w:tr w14:paraId="344F4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658" w:type="dxa"/>
                  <w:tcBorders>
                    <w:tl2br w:val="nil"/>
                    <w:tr2bl w:val="nil"/>
                  </w:tcBorders>
                  <w:vAlign w:val="center"/>
                </w:tcPr>
                <w:p w14:paraId="5A00F6DF">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序号</w:t>
                  </w:r>
                </w:p>
              </w:tc>
              <w:tc>
                <w:tcPr>
                  <w:tcW w:w="1650" w:type="dxa"/>
                  <w:tcBorders>
                    <w:tl2br w:val="nil"/>
                    <w:tr2bl w:val="nil"/>
                  </w:tcBorders>
                  <w:vAlign w:val="center"/>
                </w:tcPr>
                <w:p w14:paraId="3F1D7A41">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imes New Roman" w:hAnsi="Times New Roman" w:eastAsia="宋体" w:cs="Times New Roman"/>
                      <w:color w:val="000000" w:themeColor="text1"/>
                      <w:kern w:val="0"/>
                      <w:sz w:val="21"/>
                      <w:szCs w:val="21"/>
                      <w:lang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产品名称</w:t>
                  </w:r>
                </w:p>
              </w:tc>
              <w:tc>
                <w:tcPr>
                  <w:tcW w:w="2085" w:type="dxa"/>
                  <w:tcBorders>
                    <w:tl2br w:val="nil"/>
                    <w:tr2bl w:val="nil"/>
                  </w:tcBorders>
                  <w:vAlign w:val="center"/>
                </w:tcPr>
                <w:p w14:paraId="41FCEE09">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重新报批前（t/a）</w:t>
                  </w:r>
                </w:p>
              </w:tc>
              <w:tc>
                <w:tcPr>
                  <w:tcW w:w="2040" w:type="dxa"/>
                  <w:tcBorders>
                    <w:tl2br w:val="nil"/>
                    <w:tr2bl w:val="nil"/>
                  </w:tcBorders>
                  <w:vAlign w:val="center"/>
                </w:tcPr>
                <w:p w14:paraId="39A11D06">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重新报批后（t/a）</w:t>
                  </w:r>
                </w:p>
              </w:tc>
            </w:tr>
            <w:tr w14:paraId="139A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658" w:type="dxa"/>
                  <w:tcBorders>
                    <w:tl2br w:val="nil"/>
                    <w:tr2bl w:val="nil"/>
                  </w:tcBorders>
                  <w:vAlign w:val="center"/>
                </w:tcPr>
                <w:p w14:paraId="563B94F6">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1</w:t>
                  </w:r>
                </w:p>
              </w:tc>
              <w:tc>
                <w:tcPr>
                  <w:tcW w:w="1650" w:type="dxa"/>
                  <w:tcBorders>
                    <w:tl2br w:val="nil"/>
                    <w:tr2bl w:val="nil"/>
                  </w:tcBorders>
                  <w:vAlign w:val="center"/>
                </w:tcPr>
                <w:p w14:paraId="7B792A72">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PET颗粒</w:t>
                  </w:r>
                </w:p>
              </w:tc>
              <w:tc>
                <w:tcPr>
                  <w:tcW w:w="2085" w:type="dxa"/>
                  <w:tcBorders>
                    <w:tl2br w:val="nil"/>
                    <w:tr2bl w:val="nil"/>
                  </w:tcBorders>
                  <w:vAlign w:val="center"/>
                </w:tcPr>
                <w:p w14:paraId="67DEB9A0">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12000</w:t>
                  </w:r>
                </w:p>
              </w:tc>
              <w:tc>
                <w:tcPr>
                  <w:tcW w:w="2040" w:type="dxa"/>
                  <w:tcBorders>
                    <w:tl2br w:val="nil"/>
                    <w:tr2bl w:val="nil"/>
                  </w:tcBorders>
                  <w:vAlign w:val="center"/>
                </w:tcPr>
                <w:p w14:paraId="4700F500">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FF"/>
                      <w:kern w:val="0"/>
                      <w:sz w:val="21"/>
                      <w:szCs w:val="21"/>
                      <w:lang w:val="en-US" w:eastAsia="zh-CN"/>
                    </w:rPr>
                  </w:pPr>
                  <w:r>
                    <w:rPr>
                      <w:rFonts w:hint="eastAsia" w:cs="Times New Roman"/>
                      <w:color w:val="0000FF"/>
                      <w:kern w:val="0"/>
                      <w:sz w:val="21"/>
                      <w:szCs w:val="21"/>
                      <w:lang w:val="en-US" w:eastAsia="zh-CN"/>
                    </w:rPr>
                    <w:t>0</w:t>
                  </w:r>
                </w:p>
              </w:tc>
            </w:tr>
            <w:tr w14:paraId="25A8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658" w:type="dxa"/>
                  <w:tcBorders>
                    <w:tl2br w:val="nil"/>
                    <w:tr2bl w:val="nil"/>
                  </w:tcBorders>
                  <w:vAlign w:val="center"/>
                </w:tcPr>
                <w:p w14:paraId="75DD05F2">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2</w:t>
                  </w:r>
                </w:p>
              </w:tc>
              <w:tc>
                <w:tcPr>
                  <w:tcW w:w="1650" w:type="dxa"/>
                  <w:tcBorders>
                    <w:tl2br w:val="nil"/>
                    <w:tr2bl w:val="nil"/>
                  </w:tcBorders>
                  <w:vAlign w:val="center"/>
                </w:tcPr>
                <w:p w14:paraId="32CE7688">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PP颗粒</w:t>
                  </w:r>
                </w:p>
              </w:tc>
              <w:tc>
                <w:tcPr>
                  <w:tcW w:w="2085" w:type="dxa"/>
                  <w:tcBorders>
                    <w:tl2br w:val="nil"/>
                    <w:tr2bl w:val="nil"/>
                  </w:tcBorders>
                  <w:vAlign w:val="center"/>
                </w:tcPr>
                <w:p w14:paraId="0FEC549F">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0</w:t>
                  </w:r>
                </w:p>
              </w:tc>
              <w:tc>
                <w:tcPr>
                  <w:tcW w:w="2040" w:type="dxa"/>
                  <w:tcBorders>
                    <w:tl2br w:val="nil"/>
                    <w:tr2bl w:val="nil"/>
                  </w:tcBorders>
                  <w:vAlign w:val="center"/>
                </w:tcPr>
                <w:p w14:paraId="23F1EC95">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FF"/>
                      <w:kern w:val="0"/>
                      <w:sz w:val="21"/>
                      <w:szCs w:val="21"/>
                      <w:lang w:val="en-US" w:eastAsia="zh-CN" w:bidi="ar-SA"/>
                    </w:rPr>
                  </w:pPr>
                  <w:r>
                    <w:rPr>
                      <w:rFonts w:hint="eastAsia" w:cs="Times New Roman"/>
                      <w:color w:val="0000FF"/>
                      <w:kern w:val="0"/>
                      <w:sz w:val="21"/>
                      <w:szCs w:val="21"/>
                      <w:lang w:val="en-US" w:eastAsia="zh-CN" w:bidi="ar-SA"/>
                    </w:rPr>
                    <w:t>8000</w:t>
                  </w:r>
                </w:p>
              </w:tc>
            </w:tr>
            <w:tr w14:paraId="3A62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658" w:type="dxa"/>
                  <w:tcBorders>
                    <w:tl2br w:val="nil"/>
                    <w:tr2bl w:val="nil"/>
                  </w:tcBorders>
                  <w:vAlign w:val="center"/>
                </w:tcPr>
                <w:p w14:paraId="25222C64">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3</w:t>
                  </w:r>
                </w:p>
              </w:tc>
              <w:tc>
                <w:tcPr>
                  <w:tcW w:w="1650" w:type="dxa"/>
                  <w:tcBorders>
                    <w:tl2br w:val="nil"/>
                    <w:tr2bl w:val="nil"/>
                  </w:tcBorders>
                  <w:vAlign w:val="center"/>
                </w:tcPr>
                <w:p w14:paraId="1F8719DE">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PE颗粒</w:t>
                  </w:r>
                </w:p>
              </w:tc>
              <w:tc>
                <w:tcPr>
                  <w:tcW w:w="2085" w:type="dxa"/>
                  <w:tcBorders>
                    <w:tl2br w:val="nil"/>
                    <w:tr2bl w:val="nil"/>
                  </w:tcBorders>
                  <w:vAlign w:val="center"/>
                </w:tcPr>
                <w:p w14:paraId="3DF0EC8C">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0</w:t>
                  </w:r>
                </w:p>
              </w:tc>
              <w:tc>
                <w:tcPr>
                  <w:tcW w:w="2040" w:type="dxa"/>
                  <w:tcBorders>
                    <w:tl2br w:val="nil"/>
                    <w:tr2bl w:val="nil"/>
                  </w:tcBorders>
                  <w:vAlign w:val="center"/>
                </w:tcPr>
                <w:p w14:paraId="06F8ACFF">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FF"/>
                      <w:kern w:val="0"/>
                      <w:sz w:val="21"/>
                      <w:szCs w:val="21"/>
                      <w:lang w:val="en-US" w:eastAsia="zh-CN" w:bidi="ar-SA"/>
                    </w:rPr>
                  </w:pPr>
                  <w:r>
                    <w:rPr>
                      <w:rFonts w:hint="eastAsia" w:cs="Times New Roman"/>
                      <w:color w:val="0000FF"/>
                      <w:kern w:val="0"/>
                      <w:sz w:val="21"/>
                      <w:szCs w:val="21"/>
                      <w:lang w:val="en-US" w:eastAsia="zh-CN" w:bidi="ar-SA"/>
                    </w:rPr>
                    <w:t>2000</w:t>
                  </w:r>
                </w:p>
              </w:tc>
            </w:tr>
            <w:tr w14:paraId="1344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658" w:type="dxa"/>
                  <w:tcBorders>
                    <w:tl2br w:val="nil"/>
                    <w:tr2bl w:val="nil"/>
                  </w:tcBorders>
                  <w:vAlign w:val="center"/>
                </w:tcPr>
                <w:p w14:paraId="51FCACB5">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4</w:t>
                  </w:r>
                </w:p>
              </w:tc>
              <w:tc>
                <w:tcPr>
                  <w:tcW w:w="1650" w:type="dxa"/>
                  <w:tcBorders>
                    <w:tl2br w:val="nil"/>
                    <w:tr2bl w:val="nil"/>
                  </w:tcBorders>
                  <w:vAlign w:val="center"/>
                </w:tcPr>
                <w:p w14:paraId="3B25F0A4">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ABS颗粒</w:t>
                  </w:r>
                </w:p>
              </w:tc>
              <w:tc>
                <w:tcPr>
                  <w:tcW w:w="2085" w:type="dxa"/>
                  <w:tcBorders>
                    <w:tl2br w:val="nil"/>
                    <w:tr2bl w:val="nil"/>
                  </w:tcBorders>
                  <w:vAlign w:val="center"/>
                </w:tcPr>
                <w:p w14:paraId="0036078D">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0</w:t>
                  </w:r>
                </w:p>
              </w:tc>
              <w:tc>
                <w:tcPr>
                  <w:tcW w:w="2040" w:type="dxa"/>
                  <w:tcBorders>
                    <w:tl2br w:val="nil"/>
                    <w:tr2bl w:val="nil"/>
                  </w:tcBorders>
                  <w:vAlign w:val="center"/>
                </w:tcPr>
                <w:p w14:paraId="2CBD60BF">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FF"/>
                      <w:kern w:val="0"/>
                      <w:sz w:val="21"/>
                      <w:szCs w:val="21"/>
                      <w:lang w:val="en-US" w:eastAsia="zh-CN" w:bidi="ar-SA"/>
                    </w:rPr>
                  </w:pPr>
                  <w:r>
                    <w:rPr>
                      <w:rFonts w:hint="eastAsia" w:cs="Times New Roman"/>
                      <w:color w:val="0000FF"/>
                      <w:kern w:val="0"/>
                      <w:sz w:val="21"/>
                      <w:szCs w:val="21"/>
                      <w:lang w:val="en-US" w:eastAsia="zh-CN" w:bidi="ar-SA"/>
                    </w:rPr>
                    <w:t>2000</w:t>
                  </w:r>
                </w:p>
              </w:tc>
            </w:tr>
          </w:tbl>
          <w:p w14:paraId="53375CFD">
            <w:pPr>
              <w:spacing w:line="480" w:lineRule="exact"/>
              <w:ind w:firstLine="482" w:firstLineChars="200"/>
              <w:rPr>
                <w:rFonts w:hint="default" w:ascii="Times New Roman" w:hAnsi="Times New Roman" w:cs="Times New Roman" w:eastAsiaTheme="minorEastAsia"/>
                <w:bCs/>
                <w:color w:val="000000" w:themeColor="text1"/>
                <w:sz w:val="24"/>
                <w:lang w:val="en-US"/>
                <w14:textFill>
                  <w14:solidFill>
                    <w14:schemeClr w14:val="tx1"/>
                  </w14:solidFill>
                </w14:textFill>
              </w:rPr>
            </w:pPr>
            <w:r>
              <w:rPr>
                <w:rFonts w:hint="eastAsia"/>
                <w:b/>
                <w:bCs/>
                <w:color w:val="auto"/>
                <w:sz w:val="24"/>
                <w:highlight w:val="none"/>
                <w:lang w:val="en-US" w:eastAsia="zh-CN"/>
              </w:rPr>
              <w:t>五、</w:t>
            </w:r>
            <w:r>
              <w:rPr>
                <w:rFonts w:hint="eastAsia"/>
                <w:b/>
                <w:bCs/>
                <w:color w:val="000000" w:themeColor="text1"/>
                <w:sz w:val="24"/>
                <w:highlight w:val="none"/>
                <w:lang w:val="en-US" w:eastAsia="zh-CN"/>
                <w14:textFill>
                  <w14:solidFill>
                    <w14:schemeClr w14:val="tx1"/>
                  </w14:solidFill>
                </w14:textFill>
              </w:rPr>
              <w:t>生产设备</w:t>
            </w:r>
          </w:p>
          <w:p w14:paraId="513F769B">
            <w:pPr>
              <w:spacing w:line="480" w:lineRule="exact"/>
              <w:ind w:firstLine="480" w:firstLineChars="200"/>
              <w:rPr>
                <w:rFonts w:hint="eastAsia" w:ascii="Times New Roman" w:hAnsi="Times New Roman" w:cs="Times New Roman" w:eastAsiaTheme="minorEastAsia"/>
                <w:b w:val="0"/>
                <w:bCs/>
                <w:color w:val="000000" w:themeColor="text1"/>
                <w:sz w:val="24"/>
                <w:lang w:val="en-US" w:eastAsia="zh-CN"/>
                <w14:textFill>
                  <w14:solidFill>
                    <w14:schemeClr w14:val="tx1"/>
                  </w14:solidFill>
                </w14:textFill>
              </w:rPr>
            </w:pPr>
            <w:r>
              <w:rPr>
                <w:rFonts w:hint="eastAsia" w:cs="Times New Roman" w:eastAsiaTheme="minorEastAsia"/>
                <w:b w:val="0"/>
                <w:bCs/>
                <w:color w:val="000000" w:themeColor="text1"/>
                <w:sz w:val="24"/>
                <w:lang w:val="en-US" w:eastAsia="zh-CN"/>
                <w14:textFill>
                  <w14:solidFill>
                    <w14:schemeClr w14:val="tx1"/>
                  </w14:solidFill>
                </w14:textFill>
              </w:rPr>
              <w:t>项目</w:t>
            </w:r>
            <w:r>
              <w:rPr>
                <w:rFonts w:hint="eastAsia"/>
                <w:b w:val="0"/>
                <w:bCs/>
                <w:color w:val="000000" w:themeColor="text1"/>
                <w:sz w:val="24"/>
                <w:highlight w:val="none"/>
                <w:lang w:val="en-US" w:eastAsia="zh-CN"/>
                <w14:textFill>
                  <w14:solidFill>
                    <w14:schemeClr w14:val="tx1"/>
                  </w14:solidFill>
                </w14:textFill>
              </w:rPr>
              <w:t>主要生产设备</w:t>
            </w:r>
            <w:r>
              <w:rPr>
                <w:rFonts w:hint="default" w:ascii="Times New Roman" w:hAnsi="Times New Roman" w:cs="Times New Roman" w:eastAsiaTheme="minorEastAsia"/>
                <w:b w:val="0"/>
                <w:bCs/>
                <w:snapToGrid w:val="0"/>
                <w:color w:val="000000" w:themeColor="text1"/>
                <w:sz w:val="24"/>
                <w14:textFill>
                  <w14:solidFill>
                    <w14:schemeClr w14:val="tx1"/>
                  </w14:solidFill>
                </w14:textFill>
              </w:rPr>
              <w:t>见下表。</w:t>
            </w:r>
          </w:p>
          <w:p w14:paraId="0C12E286">
            <w:pPr>
              <w:pStyle w:val="52"/>
              <w:adjustRightInd w:val="0"/>
              <w:snapToGrid w:val="0"/>
              <w:spacing w:line="500" w:lineRule="exact"/>
              <w:ind w:left="358" w:firstLine="0" w:firstLineChars="0"/>
              <w:jc w:val="center"/>
              <w:rPr>
                <w:rFonts w:hint="default" w:ascii="Times New Roman" w:hAnsi="Times New Roman" w:cs="Times New Roman" w:eastAsiaTheme="minorEastAsia"/>
                <w:b/>
                <w:snapToGrid w:val="0"/>
                <w:color w:val="000000" w:themeColor="text1"/>
                <w:szCs w:val="24"/>
                <w14:textFill>
                  <w14:solidFill>
                    <w14:schemeClr w14:val="tx1"/>
                  </w14:solidFill>
                </w14:textFill>
              </w:rPr>
            </w:pPr>
            <w:r>
              <w:rPr>
                <w:rFonts w:hint="default" w:ascii="Times New Roman" w:hAnsi="Times New Roman" w:cs="Times New Roman" w:eastAsiaTheme="minorEastAsia"/>
                <w:b/>
                <w:color w:val="000000" w:themeColor="text1"/>
                <w:szCs w:val="24"/>
                <w14:textFill>
                  <w14:solidFill>
                    <w14:schemeClr w14:val="tx1"/>
                  </w14:solidFill>
                </w14:textFill>
              </w:rPr>
              <w:t>表</w:t>
            </w:r>
            <w:r>
              <w:rPr>
                <w:rFonts w:hint="eastAsia" w:cs="Times New Roman" w:eastAsiaTheme="minorEastAsia"/>
                <w:b/>
                <w:color w:val="000000" w:themeColor="text1"/>
                <w:szCs w:val="24"/>
                <w:lang w:val="en-US" w:eastAsia="zh-CN"/>
                <w14:textFill>
                  <w14:solidFill>
                    <w14:schemeClr w14:val="tx1"/>
                  </w14:solidFill>
                </w14:textFill>
              </w:rPr>
              <w:t>9</w:t>
            </w:r>
            <w:r>
              <w:rPr>
                <w:rFonts w:hint="default" w:ascii="Times New Roman" w:hAnsi="Times New Roman" w:cs="Times New Roman" w:eastAsiaTheme="minorEastAsia"/>
                <w:b/>
                <w:color w:val="000000" w:themeColor="text1"/>
                <w:szCs w:val="24"/>
                <w:lang w:val="en-US" w:eastAsia="zh-CN"/>
                <w14:textFill>
                  <w14:solidFill>
                    <w14:schemeClr w14:val="tx1"/>
                  </w14:solidFill>
                </w14:textFill>
              </w:rPr>
              <w:t xml:space="preserve">   </w:t>
            </w:r>
            <w:r>
              <w:rPr>
                <w:rFonts w:hint="eastAsia" w:cs="Times New Roman" w:eastAsiaTheme="minorEastAsia"/>
                <w:b/>
                <w:snapToGrid w:val="0"/>
                <w:color w:val="000000" w:themeColor="text1"/>
                <w:szCs w:val="24"/>
                <w:lang w:val="en-US" w:eastAsia="zh-CN"/>
                <w14:textFill>
                  <w14:solidFill>
                    <w14:schemeClr w14:val="tx1"/>
                  </w14:solidFill>
                </w14:textFill>
              </w:rPr>
              <w:t>项目</w:t>
            </w:r>
            <w:r>
              <w:rPr>
                <w:rFonts w:hint="default" w:ascii="Times New Roman" w:hAnsi="Times New Roman" w:cs="Times New Roman" w:eastAsiaTheme="minorEastAsia"/>
                <w:b/>
                <w:snapToGrid w:val="0"/>
                <w:color w:val="000000" w:themeColor="text1"/>
                <w:szCs w:val="24"/>
                <w:lang w:val="en-US" w:eastAsia="zh-CN"/>
                <w14:textFill>
                  <w14:solidFill>
                    <w14:schemeClr w14:val="tx1"/>
                  </w14:solidFill>
                </w14:textFill>
              </w:rPr>
              <w:t>主要生产</w:t>
            </w:r>
            <w:r>
              <w:rPr>
                <w:rFonts w:hint="eastAsia" w:cs="Times New Roman" w:eastAsiaTheme="minorEastAsia"/>
                <w:b/>
                <w:snapToGrid w:val="0"/>
                <w:color w:val="000000" w:themeColor="text1"/>
                <w:szCs w:val="24"/>
                <w:lang w:val="en-US" w:eastAsia="zh-CN"/>
                <w14:textFill>
                  <w14:solidFill>
                    <w14:schemeClr w14:val="tx1"/>
                  </w14:solidFill>
                </w14:textFill>
              </w:rPr>
              <w:t>设备</w:t>
            </w:r>
            <w:r>
              <w:rPr>
                <w:rFonts w:hint="eastAsia" w:ascii="Times New Roman" w:hAnsi="Times New Roman" w:cs="Times New Roman" w:eastAsiaTheme="minorEastAsia"/>
                <w:b/>
                <w:snapToGrid w:val="0"/>
                <w:color w:val="000000" w:themeColor="text1"/>
                <w:szCs w:val="24"/>
                <w:lang w:val="en-US" w:eastAsia="zh-CN"/>
                <w14:textFill>
                  <w14:solidFill>
                    <w14:schemeClr w14:val="tx1"/>
                  </w14:solidFill>
                </w14:textFill>
              </w:rPr>
              <w:t>一</w:t>
            </w:r>
            <w:r>
              <w:rPr>
                <w:rFonts w:hint="default" w:ascii="Times New Roman" w:hAnsi="Times New Roman" w:cs="Times New Roman" w:eastAsiaTheme="minorEastAsia"/>
                <w:b/>
                <w:snapToGrid w:val="0"/>
                <w:color w:val="000000" w:themeColor="text1"/>
                <w:szCs w:val="24"/>
                <w14:textFill>
                  <w14:solidFill>
                    <w14:schemeClr w14:val="tx1"/>
                  </w14:solidFill>
                </w14:textFill>
              </w:rPr>
              <w:t>览表</w:t>
            </w:r>
          </w:p>
          <w:tbl>
            <w:tblPr>
              <w:tblStyle w:val="29"/>
              <w:tblW w:w="7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906"/>
              <w:gridCol w:w="1789"/>
              <w:gridCol w:w="1640"/>
              <w:gridCol w:w="1800"/>
            </w:tblGrid>
            <w:tr w14:paraId="1996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18" w:type="dxa"/>
                  <w:noWrap w:val="0"/>
                  <w:vAlign w:val="center"/>
                </w:tcPr>
                <w:p w14:paraId="24F0A2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序号</w:t>
                  </w:r>
                </w:p>
              </w:tc>
              <w:tc>
                <w:tcPr>
                  <w:tcW w:w="3695" w:type="dxa"/>
                  <w:gridSpan w:val="2"/>
                  <w:noWrap w:val="0"/>
                  <w:vAlign w:val="center"/>
                </w:tcPr>
                <w:p w14:paraId="3D408C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生产名称</w:t>
                  </w:r>
                </w:p>
              </w:tc>
              <w:tc>
                <w:tcPr>
                  <w:tcW w:w="1640" w:type="dxa"/>
                  <w:noWrap w:val="0"/>
                  <w:vAlign w:val="center"/>
                </w:tcPr>
                <w:p w14:paraId="5B1484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color w:val="0000FF"/>
                      <w:sz w:val="21"/>
                      <w:szCs w:val="21"/>
                      <w:vertAlign w:val="baseline"/>
                      <w:lang w:val="en-US" w:eastAsia="zh-CN"/>
                    </w:rPr>
                    <w:t>规格型号</w:t>
                  </w:r>
                </w:p>
              </w:tc>
              <w:tc>
                <w:tcPr>
                  <w:tcW w:w="1800" w:type="dxa"/>
                  <w:noWrap w:val="0"/>
                  <w:vAlign w:val="center"/>
                </w:tcPr>
                <w:p w14:paraId="736D5D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数量</w:t>
                  </w:r>
                  <w:r>
                    <w:rPr>
                      <w:rFonts w:hint="eastAsia" w:ascii="Times New Roman" w:hAnsi="Times New Roman" w:eastAsia="宋体" w:cs="Times New Roman"/>
                      <w:sz w:val="21"/>
                      <w:szCs w:val="21"/>
                      <w:vertAlign w:val="baseline"/>
                      <w:lang w:val="en-US" w:eastAsia="zh-CN"/>
                    </w:rPr>
                    <w:t>（台/套）</w:t>
                  </w:r>
                </w:p>
              </w:tc>
            </w:tr>
            <w:tr w14:paraId="05D2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18" w:type="dxa"/>
                  <w:vMerge w:val="restart"/>
                  <w:noWrap w:val="0"/>
                  <w:vAlign w:val="center"/>
                </w:tcPr>
                <w:p w14:paraId="2F88A2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w:t>
                  </w:r>
                </w:p>
              </w:tc>
              <w:tc>
                <w:tcPr>
                  <w:tcW w:w="1906" w:type="dxa"/>
                  <w:vMerge w:val="restart"/>
                  <w:noWrap w:val="0"/>
                  <w:vAlign w:val="center"/>
                </w:tcPr>
                <w:p w14:paraId="110A06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废旧吨包塑料颗粒生产线</w:t>
                  </w:r>
                </w:p>
              </w:tc>
              <w:tc>
                <w:tcPr>
                  <w:tcW w:w="1789" w:type="dxa"/>
                  <w:noWrap w:val="0"/>
                  <w:vAlign w:val="center"/>
                </w:tcPr>
                <w:p w14:paraId="3CF8F6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上料机</w:t>
                  </w:r>
                </w:p>
              </w:tc>
              <w:tc>
                <w:tcPr>
                  <w:tcW w:w="1640" w:type="dxa"/>
                  <w:noWrap w:val="0"/>
                  <w:vAlign w:val="center"/>
                </w:tcPr>
                <w:p w14:paraId="2EBE55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vertAlign w:val="baseline"/>
                      <w:lang w:val="en-US" w:eastAsia="zh-CN"/>
                    </w:rPr>
                  </w:pPr>
                  <w:r>
                    <w:rPr>
                      <w:rFonts w:hint="eastAsia" w:cs="Times New Roman"/>
                      <w:color w:val="0000FF"/>
                      <w:sz w:val="21"/>
                      <w:szCs w:val="21"/>
                      <w:vertAlign w:val="baseline"/>
                      <w:lang w:val="en-US" w:eastAsia="zh-CN"/>
                    </w:rPr>
                    <w:t>DH-800</w:t>
                  </w:r>
                </w:p>
              </w:tc>
              <w:tc>
                <w:tcPr>
                  <w:tcW w:w="1800" w:type="dxa"/>
                  <w:noWrap w:val="0"/>
                  <w:vAlign w:val="center"/>
                </w:tcPr>
                <w:p w14:paraId="66AE20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2</w:t>
                  </w:r>
                </w:p>
              </w:tc>
            </w:tr>
            <w:tr w14:paraId="5D2B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18" w:type="dxa"/>
                  <w:vMerge w:val="continue"/>
                  <w:noWrap w:val="0"/>
                  <w:vAlign w:val="center"/>
                </w:tcPr>
                <w:p w14:paraId="40A32C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06" w:type="dxa"/>
                  <w:vMerge w:val="continue"/>
                  <w:noWrap w:val="0"/>
                  <w:vAlign w:val="center"/>
                </w:tcPr>
                <w:p w14:paraId="6C45FB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789" w:type="dxa"/>
                  <w:noWrap w:val="0"/>
                  <w:vAlign w:val="center"/>
                </w:tcPr>
                <w:p w14:paraId="2165DC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粉碎机</w:t>
                  </w:r>
                </w:p>
              </w:tc>
              <w:tc>
                <w:tcPr>
                  <w:tcW w:w="1640" w:type="dxa"/>
                  <w:noWrap w:val="0"/>
                  <w:vAlign w:val="center"/>
                </w:tcPr>
                <w:p w14:paraId="22F86C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vertAlign w:val="baseline"/>
                      <w:lang w:val="en-US" w:eastAsia="zh-CN"/>
                    </w:rPr>
                  </w:pPr>
                  <w:r>
                    <w:rPr>
                      <w:rFonts w:hint="eastAsia" w:cs="Times New Roman"/>
                      <w:color w:val="0000FF"/>
                      <w:sz w:val="21"/>
                      <w:szCs w:val="21"/>
                      <w:vertAlign w:val="baseline"/>
                      <w:lang w:val="en-US" w:eastAsia="zh-CN"/>
                    </w:rPr>
                    <w:t>100</w:t>
                  </w:r>
                </w:p>
              </w:tc>
              <w:tc>
                <w:tcPr>
                  <w:tcW w:w="1800" w:type="dxa"/>
                  <w:noWrap w:val="0"/>
                  <w:vAlign w:val="center"/>
                </w:tcPr>
                <w:p w14:paraId="21DB5C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w:t>
                  </w:r>
                </w:p>
              </w:tc>
            </w:tr>
            <w:tr w14:paraId="4D54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18" w:type="dxa"/>
                  <w:vMerge w:val="continue"/>
                  <w:noWrap w:val="0"/>
                  <w:vAlign w:val="center"/>
                </w:tcPr>
                <w:p w14:paraId="0C7D11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06" w:type="dxa"/>
                  <w:vMerge w:val="continue"/>
                  <w:noWrap w:val="0"/>
                  <w:vAlign w:val="center"/>
                </w:tcPr>
                <w:p w14:paraId="7E7D07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789" w:type="dxa"/>
                  <w:noWrap w:val="0"/>
                  <w:vAlign w:val="center"/>
                </w:tcPr>
                <w:p w14:paraId="19FDB2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清洗池</w:t>
                  </w:r>
                </w:p>
              </w:tc>
              <w:tc>
                <w:tcPr>
                  <w:tcW w:w="1640" w:type="dxa"/>
                  <w:noWrap w:val="0"/>
                  <w:vAlign w:val="center"/>
                </w:tcPr>
                <w:p w14:paraId="544E49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vertAlign w:val="baseline"/>
                      <w:lang w:val="en-US" w:eastAsia="zh-CN"/>
                    </w:rPr>
                  </w:pPr>
                  <w:r>
                    <w:rPr>
                      <w:rFonts w:hint="default" w:ascii="Times New Roman" w:hAnsi="Times New Roman" w:cs="Times New Roman"/>
                      <w:color w:val="0000FF"/>
                      <w:sz w:val="21"/>
                      <w:szCs w:val="21"/>
                      <w:vertAlign w:val="baseline"/>
                      <w:lang w:val="en-US" w:eastAsia="zh-CN"/>
                    </w:rPr>
                    <w:t>1.5</w:t>
                  </w:r>
                  <w:r>
                    <w:rPr>
                      <w:rFonts w:hint="eastAsia" w:ascii="Times New Roman" w:hAnsi="Times New Roman" w:cs="Times New Roman"/>
                      <w:color w:val="0000FF"/>
                      <w:sz w:val="21"/>
                      <w:szCs w:val="21"/>
                      <w:vertAlign w:val="baseline"/>
                      <w:lang w:val="en-US" w:eastAsia="zh-CN"/>
                    </w:rPr>
                    <w:t>m</w:t>
                  </w:r>
                  <w:r>
                    <w:rPr>
                      <w:rFonts w:hint="default" w:ascii="Times New Roman" w:hAnsi="Times New Roman" w:cs="Times New Roman"/>
                      <w:color w:val="0000FF"/>
                      <w:sz w:val="21"/>
                      <w:szCs w:val="21"/>
                      <w:vertAlign w:val="baseline"/>
                      <w:lang w:val="en-US" w:eastAsia="zh-CN"/>
                    </w:rPr>
                    <w:t>×5</w:t>
                  </w:r>
                  <w:r>
                    <w:rPr>
                      <w:rFonts w:hint="eastAsia" w:ascii="Times New Roman" w:hAnsi="Times New Roman" w:cs="Times New Roman"/>
                      <w:color w:val="0000FF"/>
                      <w:sz w:val="21"/>
                      <w:szCs w:val="21"/>
                      <w:vertAlign w:val="baseline"/>
                      <w:lang w:val="en-US" w:eastAsia="zh-CN"/>
                    </w:rPr>
                    <w:t>m</w:t>
                  </w:r>
                  <w:r>
                    <w:rPr>
                      <w:rFonts w:hint="default" w:ascii="Times New Roman" w:hAnsi="Times New Roman" w:cs="Times New Roman"/>
                      <w:color w:val="0000FF"/>
                      <w:sz w:val="21"/>
                      <w:szCs w:val="21"/>
                      <w:vertAlign w:val="baseline"/>
                      <w:lang w:val="en-US" w:eastAsia="zh-CN"/>
                    </w:rPr>
                    <w:t>×1.5</w:t>
                  </w:r>
                  <w:r>
                    <w:rPr>
                      <w:rFonts w:hint="eastAsia" w:ascii="Times New Roman" w:hAnsi="Times New Roman" w:cs="Times New Roman"/>
                      <w:color w:val="0000FF"/>
                      <w:sz w:val="21"/>
                      <w:szCs w:val="21"/>
                      <w:vertAlign w:val="baseline"/>
                      <w:lang w:val="en-US" w:eastAsia="zh-CN"/>
                    </w:rPr>
                    <w:t>m</w:t>
                  </w:r>
                </w:p>
              </w:tc>
              <w:tc>
                <w:tcPr>
                  <w:tcW w:w="1800" w:type="dxa"/>
                  <w:noWrap w:val="0"/>
                  <w:vAlign w:val="center"/>
                </w:tcPr>
                <w:p w14:paraId="47395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w:t>
                  </w:r>
                </w:p>
              </w:tc>
            </w:tr>
            <w:tr w14:paraId="243B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18" w:type="dxa"/>
                  <w:vMerge w:val="continue"/>
                  <w:noWrap w:val="0"/>
                  <w:vAlign w:val="center"/>
                </w:tcPr>
                <w:p w14:paraId="308CFA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06" w:type="dxa"/>
                  <w:vMerge w:val="continue"/>
                  <w:noWrap w:val="0"/>
                  <w:vAlign w:val="center"/>
                </w:tcPr>
                <w:p w14:paraId="2E73C2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789" w:type="dxa"/>
                  <w:noWrap w:val="0"/>
                  <w:vAlign w:val="center"/>
                </w:tcPr>
                <w:p w14:paraId="5A3DC5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提料机</w:t>
                  </w:r>
                </w:p>
              </w:tc>
              <w:tc>
                <w:tcPr>
                  <w:tcW w:w="1640" w:type="dxa"/>
                  <w:noWrap w:val="0"/>
                  <w:vAlign w:val="center"/>
                </w:tcPr>
                <w:p w14:paraId="4CFD66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vertAlign w:val="baseline"/>
                      <w:lang w:val="en-US" w:eastAsia="zh-CN"/>
                    </w:rPr>
                  </w:pPr>
                  <w:r>
                    <w:rPr>
                      <w:rFonts w:hint="eastAsia" w:cs="Times New Roman"/>
                      <w:color w:val="0000FF"/>
                      <w:sz w:val="21"/>
                      <w:szCs w:val="21"/>
                      <w:vertAlign w:val="baseline"/>
                      <w:lang w:val="en-US" w:eastAsia="zh-CN"/>
                    </w:rPr>
                    <w:t>600</w:t>
                  </w:r>
                </w:p>
              </w:tc>
              <w:tc>
                <w:tcPr>
                  <w:tcW w:w="1800" w:type="dxa"/>
                  <w:noWrap w:val="0"/>
                  <w:vAlign w:val="center"/>
                </w:tcPr>
                <w:p w14:paraId="41104E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w:t>
                  </w:r>
                </w:p>
              </w:tc>
            </w:tr>
            <w:tr w14:paraId="52A5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18" w:type="dxa"/>
                  <w:vMerge w:val="continue"/>
                  <w:noWrap w:val="0"/>
                  <w:vAlign w:val="center"/>
                </w:tcPr>
                <w:p w14:paraId="7F7F70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06" w:type="dxa"/>
                  <w:vMerge w:val="continue"/>
                  <w:noWrap w:val="0"/>
                  <w:vAlign w:val="center"/>
                </w:tcPr>
                <w:p w14:paraId="75BFC9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789" w:type="dxa"/>
                  <w:noWrap w:val="0"/>
                  <w:vAlign w:val="center"/>
                </w:tcPr>
                <w:p w14:paraId="7F8406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甩干机</w:t>
                  </w:r>
                </w:p>
              </w:tc>
              <w:tc>
                <w:tcPr>
                  <w:tcW w:w="1640" w:type="dxa"/>
                  <w:noWrap w:val="0"/>
                  <w:vAlign w:val="center"/>
                </w:tcPr>
                <w:p w14:paraId="5CC9C1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vertAlign w:val="baseline"/>
                      <w:lang w:val="en-US" w:eastAsia="zh-CN"/>
                    </w:rPr>
                  </w:pPr>
                </w:p>
              </w:tc>
              <w:tc>
                <w:tcPr>
                  <w:tcW w:w="1800" w:type="dxa"/>
                  <w:noWrap w:val="0"/>
                  <w:vAlign w:val="center"/>
                </w:tcPr>
                <w:p w14:paraId="597554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w:t>
                  </w:r>
                </w:p>
              </w:tc>
            </w:tr>
            <w:tr w14:paraId="2E5E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18" w:type="dxa"/>
                  <w:vMerge w:val="continue"/>
                  <w:noWrap w:val="0"/>
                  <w:vAlign w:val="center"/>
                </w:tcPr>
                <w:p w14:paraId="7890E9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06" w:type="dxa"/>
                  <w:vMerge w:val="continue"/>
                  <w:noWrap w:val="0"/>
                  <w:vAlign w:val="center"/>
                </w:tcPr>
                <w:p w14:paraId="66DB69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789" w:type="dxa"/>
                  <w:noWrap w:val="0"/>
                  <w:vAlign w:val="center"/>
                </w:tcPr>
                <w:p w14:paraId="30CD57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加热挤出机</w:t>
                  </w:r>
                </w:p>
              </w:tc>
              <w:tc>
                <w:tcPr>
                  <w:tcW w:w="1640" w:type="dxa"/>
                  <w:noWrap w:val="0"/>
                  <w:vAlign w:val="center"/>
                </w:tcPr>
                <w:p w14:paraId="2F579F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vertAlign w:val="baseline"/>
                      <w:lang w:val="en-US" w:eastAsia="zh-CN"/>
                    </w:rPr>
                  </w:pPr>
                  <w:r>
                    <w:rPr>
                      <w:rFonts w:hint="eastAsia" w:cs="Times New Roman"/>
                      <w:color w:val="0000FF"/>
                      <w:sz w:val="21"/>
                      <w:szCs w:val="21"/>
                      <w:vertAlign w:val="baseline"/>
                      <w:lang w:val="en-US" w:eastAsia="zh-CN"/>
                    </w:rPr>
                    <w:t>130/120</w:t>
                  </w:r>
                </w:p>
              </w:tc>
              <w:tc>
                <w:tcPr>
                  <w:tcW w:w="1800" w:type="dxa"/>
                  <w:noWrap w:val="0"/>
                  <w:vAlign w:val="center"/>
                </w:tcPr>
                <w:p w14:paraId="121579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w:t>
                  </w:r>
                </w:p>
              </w:tc>
            </w:tr>
            <w:tr w14:paraId="619E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18" w:type="dxa"/>
                  <w:vMerge w:val="continue"/>
                  <w:noWrap w:val="0"/>
                  <w:vAlign w:val="center"/>
                </w:tcPr>
                <w:p w14:paraId="3027B2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06" w:type="dxa"/>
                  <w:vMerge w:val="continue"/>
                  <w:noWrap w:val="0"/>
                  <w:vAlign w:val="center"/>
                </w:tcPr>
                <w:p w14:paraId="493995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789" w:type="dxa"/>
                  <w:noWrap w:val="0"/>
                  <w:vAlign w:val="center"/>
                </w:tcPr>
                <w:p w14:paraId="2E8B37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冷却</w:t>
                  </w:r>
                  <w:r>
                    <w:rPr>
                      <w:rFonts w:hint="eastAsia" w:cs="Times New Roman"/>
                      <w:sz w:val="21"/>
                      <w:szCs w:val="21"/>
                      <w:vertAlign w:val="baseline"/>
                      <w:lang w:val="en-US" w:eastAsia="zh-CN"/>
                    </w:rPr>
                    <w:t>水槽</w:t>
                  </w:r>
                </w:p>
              </w:tc>
              <w:tc>
                <w:tcPr>
                  <w:tcW w:w="1640" w:type="dxa"/>
                  <w:noWrap w:val="0"/>
                  <w:vAlign w:val="center"/>
                </w:tcPr>
                <w:p w14:paraId="261DE8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vertAlign w:val="baseline"/>
                      <w:lang w:val="en-US" w:eastAsia="zh-CN"/>
                    </w:rPr>
                  </w:pPr>
                  <w:r>
                    <w:rPr>
                      <w:rFonts w:hint="eastAsia" w:cs="Times New Roman"/>
                      <w:color w:val="0000FF"/>
                      <w:sz w:val="21"/>
                      <w:szCs w:val="21"/>
                      <w:vertAlign w:val="baseline"/>
                      <w:lang w:val="en-US" w:eastAsia="zh-CN"/>
                    </w:rPr>
                    <w:t>4</w:t>
                  </w:r>
                  <w:r>
                    <w:rPr>
                      <w:rFonts w:hint="eastAsia" w:ascii="Times New Roman" w:hAnsi="Times New Roman" w:cs="Times New Roman"/>
                      <w:color w:val="0000FF"/>
                      <w:sz w:val="21"/>
                      <w:szCs w:val="21"/>
                      <w:vertAlign w:val="baseline"/>
                      <w:lang w:val="en-US" w:eastAsia="zh-CN"/>
                    </w:rPr>
                    <w:t>m</w:t>
                  </w:r>
                  <w:r>
                    <w:rPr>
                      <w:rFonts w:hint="default" w:ascii="Times New Roman" w:hAnsi="Times New Roman" w:cs="Times New Roman"/>
                      <w:color w:val="0000FF"/>
                      <w:sz w:val="21"/>
                      <w:szCs w:val="21"/>
                      <w:vertAlign w:val="baseline"/>
                      <w:lang w:val="en-US" w:eastAsia="zh-CN"/>
                    </w:rPr>
                    <w:t>×</w:t>
                  </w:r>
                  <w:r>
                    <w:rPr>
                      <w:rFonts w:hint="eastAsia" w:cs="Times New Roman"/>
                      <w:color w:val="0000FF"/>
                      <w:sz w:val="21"/>
                      <w:szCs w:val="21"/>
                      <w:vertAlign w:val="baseline"/>
                      <w:lang w:val="en-US" w:eastAsia="zh-CN"/>
                    </w:rPr>
                    <w:t>0.</w:t>
                  </w:r>
                  <w:r>
                    <w:rPr>
                      <w:rFonts w:hint="default" w:ascii="Times New Roman" w:hAnsi="Times New Roman" w:cs="Times New Roman"/>
                      <w:color w:val="0000FF"/>
                      <w:sz w:val="21"/>
                      <w:szCs w:val="21"/>
                      <w:vertAlign w:val="baseline"/>
                      <w:lang w:val="en-US" w:eastAsia="zh-CN"/>
                    </w:rPr>
                    <w:t>5</w:t>
                  </w:r>
                  <w:r>
                    <w:rPr>
                      <w:rFonts w:hint="eastAsia" w:ascii="Times New Roman" w:hAnsi="Times New Roman" w:cs="Times New Roman"/>
                      <w:color w:val="0000FF"/>
                      <w:sz w:val="21"/>
                      <w:szCs w:val="21"/>
                      <w:vertAlign w:val="baseline"/>
                      <w:lang w:val="en-US" w:eastAsia="zh-CN"/>
                    </w:rPr>
                    <w:t>m</w:t>
                  </w:r>
                  <w:r>
                    <w:rPr>
                      <w:rFonts w:hint="default" w:ascii="Times New Roman" w:hAnsi="Times New Roman" w:cs="Times New Roman"/>
                      <w:color w:val="0000FF"/>
                      <w:sz w:val="21"/>
                      <w:szCs w:val="21"/>
                      <w:vertAlign w:val="baseline"/>
                      <w:lang w:val="en-US" w:eastAsia="zh-CN"/>
                    </w:rPr>
                    <w:t>×</w:t>
                  </w:r>
                  <w:r>
                    <w:rPr>
                      <w:rFonts w:hint="eastAsia" w:cs="Times New Roman"/>
                      <w:color w:val="0000FF"/>
                      <w:sz w:val="21"/>
                      <w:szCs w:val="21"/>
                      <w:vertAlign w:val="baseline"/>
                      <w:lang w:val="en-US" w:eastAsia="zh-CN"/>
                    </w:rPr>
                    <w:t>0.4</w:t>
                  </w:r>
                  <w:r>
                    <w:rPr>
                      <w:rFonts w:hint="eastAsia" w:ascii="Times New Roman" w:hAnsi="Times New Roman" w:cs="Times New Roman"/>
                      <w:color w:val="0000FF"/>
                      <w:sz w:val="21"/>
                      <w:szCs w:val="21"/>
                      <w:vertAlign w:val="baseline"/>
                      <w:lang w:val="en-US" w:eastAsia="zh-CN"/>
                    </w:rPr>
                    <w:t>m</w:t>
                  </w:r>
                </w:p>
              </w:tc>
              <w:tc>
                <w:tcPr>
                  <w:tcW w:w="1800" w:type="dxa"/>
                  <w:noWrap w:val="0"/>
                  <w:vAlign w:val="center"/>
                </w:tcPr>
                <w:p w14:paraId="7D281C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w:t>
                  </w:r>
                </w:p>
              </w:tc>
            </w:tr>
            <w:tr w14:paraId="3D1F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18" w:type="dxa"/>
                  <w:vMerge w:val="continue"/>
                  <w:noWrap w:val="0"/>
                  <w:vAlign w:val="center"/>
                </w:tcPr>
                <w:p w14:paraId="40F092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06" w:type="dxa"/>
                  <w:vMerge w:val="continue"/>
                  <w:noWrap w:val="0"/>
                  <w:vAlign w:val="center"/>
                </w:tcPr>
                <w:p w14:paraId="3BE691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789" w:type="dxa"/>
                  <w:noWrap w:val="0"/>
                  <w:vAlign w:val="center"/>
                </w:tcPr>
                <w:p w14:paraId="20FB2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切粒机</w:t>
                  </w:r>
                </w:p>
              </w:tc>
              <w:tc>
                <w:tcPr>
                  <w:tcW w:w="1640" w:type="dxa"/>
                  <w:noWrap w:val="0"/>
                  <w:vAlign w:val="center"/>
                </w:tcPr>
                <w:p w14:paraId="5C1A85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vertAlign w:val="baseline"/>
                      <w:lang w:val="en-US" w:eastAsia="zh-CN"/>
                    </w:rPr>
                  </w:pPr>
                  <w:r>
                    <w:rPr>
                      <w:rFonts w:hint="eastAsia" w:cs="Times New Roman"/>
                      <w:color w:val="0000FF"/>
                      <w:sz w:val="21"/>
                      <w:szCs w:val="21"/>
                      <w:vertAlign w:val="baseline"/>
                      <w:lang w:val="en-US" w:eastAsia="zh-CN"/>
                    </w:rPr>
                    <w:t>270</w:t>
                  </w:r>
                </w:p>
              </w:tc>
              <w:tc>
                <w:tcPr>
                  <w:tcW w:w="1800" w:type="dxa"/>
                  <w:noWrap w:val="0"/>
                  <w:vAlign w:val="center"/>
                </w:tcPr>
                <w:p w14:paraId="6158FB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1</w:t>
                  </w:r>
                </w:p>
              </w:tc>
            </w:tr>
            <w:tr w14:paraId="54AA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18" w:type="dxa"/>
                  <w:vMerge w:val="continue"/>
                  <w:noWrap w:val="0"/>
                  <w:vAlign w:val="center"/>
                </w:tcPr>
                <w:p w14:paraId="408587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06" w:type="dxa"/>
                  <w:vMerge w:val="continue"/>
                  <w:noWrap w:val="0"/>
                  <w:vAlign w:val="center"/>
                </w:tcPr>
                <w:p w14:paraId="7BCE8F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789" w:type="dxa"/>
                  <w:noWrap w:val="0"/>
                  <w:vAlign w:val="center"/>
                </w:tcPr>
                <w:p w14:paraId="1BE852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吹</w:t>
                  </w:r>
                  <w:r>
                    <w:rPr>
                      <w:rFonts w:hint="eastAsia" w:ascii="Times New Roman" w:hAnsi="Times New Roman" w:eastAsia="宋体" w:cs="Times New Roman"/>
                      <w:sz w:val="21"/>
                      <w:szCs w:val="21"/>
                      <w:vertAlign w:val="baseline"/>
                      <w:lang w:val="en-US" w:eastAsia="zh-CN"/>
                    </w:rPr>
                    <w:t>风</w:t>
                  </w:r>
                  <w:r>
                    <w:rPr>
                      <w:rFonts w:hint="default" w:ascii="Times New Roman" w:hAnsi="Times New Roman" w:eastAsia="宋体" w:cs="Times New Roman"/>
                      <w:sz w:val="21"/>
                      <w:szCs w:val="21"/>
                      <w:vertAlign w:val="baseline"/>
                      <w:lang w:val="en-US" w:eastAsia="zh-CN"/>
                    </w:rPr>
                    <w:t>振动机</w:t>
                  </w:r>
                </w:p>
              </w:tc>
              <w:tc>
                <w:tcPr>
                  <w:tcW w:w="1640" w:type="dxa"/>
                  <w:noWrap w:val="0"/>
                  <w:vAlign w:val="center"/>
                </w:tcPr>
                <w:p w14:paraId="664A35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vertAlign w:val="baseline"/>
                      <w:lang w:val="en-US" w:eastAsia="zh-CN"/>
                    </w:rPr>
                  </w:pPr>
                </w:p>
              </w:tc>
              <w:tc>
                <w:tcPr>
                  <w:tcW w:w="1800" w:type="dxa"/>
                  <w:noWrap w:val="0"/>
                  <w:vAlign w:val="center"/>
                </w:tcPr>
                <w:p w14:paraId="2B1451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w:t>
                  </w:r>
                </w:p>
              </w:tc>
            </w:tr>
            <w:tr w14:paraId="3850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18" w:type="dxa"/>
                  <w:vMerge w:val="continue"/>
                  <w:noWrap w:val="0"/>
                  <w:vAlign w:val="center"/>
                </w:tcPr>
                <w:p w14:paraId="026168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06" w:type="dxa"/>
                  <w:vMerge w:val="continue"/>
                  <w:noWrap w:val="0"/>
                  <w:vAlign w:val="center"/>
                </w:tcPr>
                <w:p w14:paraId="0DAE12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789" w:type="dxa"/>
                  <w:noWrap w:val="0"/>
                  <w:vAlign w:val="center"/>
                </w:tcPr>
                <w:p w14:paraId="1FF65A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储料罐</w:t>
                  </w:r>
                </w:p>
              </w:tc>
              <w:tc>
                <w:tcPr>
                  <w:tcW w:w="1640" w:type="dxa"/>
                  <w:noWrap w:val="0"/>
                  <w:vAlign w:val="center"/>
                </w:tcPr>
                <w:p w14:paraId="285112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vertAlign w:val="baseline"/>
                      <w:lang w:val="en-US" w:eastAsia="zh-CN"/>
                    </w:rPr>
                  </w:pPr>
                  <w:r>
                    <w:rPr>
                      <w:rFonts w:hint="eastAsia" w:cs="Times New Roman"/>
                      <w:color w:val="0000FF"/>
                      <w:sz w:val="21"/>
                      <w:szCs w:val="21"/>
                      <w:vertAlign w:val="baseline"/>
                      <w:lang w:val="en-US" w:eastAsia="zh-CN"/>
                    </w:rPr>
                    <w:t>直径3m</w:t>
                  </w:r>
                </w:p>
              </w:tc>
              <w:tc>
                <w:tcPr>
                  <w:tcW w:w="1800" w:type="dxa"/>
                  <w:noWrap w:val="0"/>
                  <w:vAlign w:val="center"/>
                </w:tcPr>
                <w:p w14:paraId="4CEE22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w:t>
                  </w:r>
                </w:p>
              </w:tc>
            </w:tr>
            <w:tr w14:paraId="37BF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18" w:type="dxa"/>
                  <w:vMerge w:val="restart"/>
                  <w:noWrap w:val="0"/>
                  <w:vAlign w:val="center"/>
                </w:tcPr>
                <w:p w14:paraId="65EBB9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w:t>
                  </w:r>
                </w:p>
              </w:tc>
              <w:tc>
                <w:tcPr>
                  <w:tcW w:w="1906" w:type="dxa"/>
                  <w:vMerge w:val="restart"/>
                  <w:noWrap w:val="0"/>
                  <w:vAlign w:val="center"/>
                </w:tcPr>
                <w:p w14:paraId="68CD2A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PP、ABS片料塑料颗粒生产线</w:t>
                  </w:r>
                </w:p>
              </w:tc>
              <w:tc>
                <w:tcPr>
                  <w:tcW w:w="1789" w:type="dxa"/>
                  <w:noWrap w:val="0"/>
                  <w:vAlign w:val="center"/>
                </w:tcPr>
                <w:p w14:paraId="2BBC9A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上料机</w:t>
                  </w:r>
                </w:p>
              </w:tc>
              <w:tc>
                <w:tcPr>
                  <w:tcW w:w="1640" w:type="dxa"/>
                  <w:noWrap w:val="0"/>
                  <w:vAlign w:val="center"/>
                </w:tcPr>
                <w:p w14:paraId="4C1D84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0000FF"/>
                      <w:sz w:val="21"/>
                      <w:szCs w:val="21"/>
                      <w:vertAlign w:val="baseline"/>
                      <w:lang w:val="en-US" w:eastAsia="zh-CN"/>
                    </w:rPr>
                  </w:pPr>
                  <w:r>
                    <w:rPr>
                      <w:rFonts w:hint="eastAsia" w:cs="Times New Roman"/>
                      <w:color w:val="0000FF"/>
                      <w:sz w:val="21"/>
                      <w:szCs w:val="21"/>
                      <w:vertAlign w:val="baseline"/>
                      <w:lang w:val="en-US" w:eastAsia="zh-CN"/>
                    </w:rPr>
                    <w:t>DH-800</w:t>
                  </w:r>
                </w:p>
              </w:tc>
              <w:tc>
                <w:tcPr>
                  <w:tcW w:w="1800" w:type="dxa"/>
                  <w:noWrap w:val="0"/>
                  <w:vAlign w:val="center"/>
                </w:tcPr>
                <w:p w14:paraId="778BDE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4</w:t>
                  </w:r>
                </w:p>
              </w:tc>
            </w:tr>
            <w:tr w14:paraId="7D08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18" w:type="dxa"/>
                  <w:vMerge w:val="continue"/>
                  <w:noWrap w:val="0"/>
                  <w:vAlign w:val="center"/>
                </w:tcPr>
                <w:p w14:paraId="3FDC56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06" w:type="dxa"/>
                  <w:vMerge w:val="continue"/>
                  <w:noWrap w:val="0"/>
                  <w:vAlign w:val="center"/>
                </w:tcPr>
                <w:p w14:paraId="6C9379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789" w:type="dxa"/>
                  <w:noWrap w:val="0"/>
                  <w:vAlign w:val="center"/>
                </w:tcPr>
                <w:p w14:paraId="40824A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粉碎机</w:t>
                  </w:r>
                </w:p>
              </w:tc>
              <w:tc>
                <w:tcPr>
                  <w:tcW w:w="1640" w:type="dxa"/>
                  <w:noWrap w:val="0"/>
                  <w:vAlign w:val="center"/>
                </w:tcPr>
                <w:p w14:paraId="3EC848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vertAlign w:val="baseline"/>
                      <w:lang w:val="en-US" w:eastAsia="zh-CN"/>
                    </w:rPr>
                  </w:pPr>
                  <w:r>
                    <w:rPr>
                      <w:rFonts w:hint="eastAsia" w:cs="Times New Roman"/>
                      <w:color w:val="0000FF"/>
                      <w:sz w:val="21"/>
                      <w:szCs w:val="21"/>
                      <w:vertAlign w:val="baseline"/>
                      <w:lang w:val="en-US" w:eastAsia="zh-CN"/>
                    </w:rPr>
                    <w:t>100</w:t>
                  </w:r>
                </w:p>
              </w:tc>
              <w:tc>
                <w:tcPr>
                  <w:tcW w:w="1800" w:type="dxa"/>
                  <w:noWrap w:val="0"/>
                  <w:vAlign w:val="center"/>
                </w:tcPr>
                <w:p w14:paraId="2C389F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w:t>
                  </w:r>
                </w:p>
              </w:tc>
            </w:tr>
            <w:tr w14:paraId="4E6E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18" w:type="dxa"/>
                  <w:vMerge w:val="continue"/>
                  <w:noWrap w:val="0"/>
                  <w:vAlign w:val="center"/>
                </w:tcPr>
                <w:p w14:paraId="647A0B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06" w:type="dxa"/>
                  <w:vMerge w:val="continue"/>
                  <w:noWrap w:val="0"/>
                  <w:vAlign w:val="center"/>
                </w:tcPr>
                <w:p w14:paraId="2237FC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789" w:type="dxa"/>
                  <w:noWrap w:val="0"/>
                  <w:vAlign w:val="center"/>
                </w:tcPr>
                <w:p w14:paraId="27823D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清洗池</w:t>
                  </w:r>
                </w:p>
              </w:tc>
              <w:tc>
                <w:tcPr>
                  <w:tcW w:w="1640" w:type="dxa"/>
                  <w:noWrap w:val="0"/>
                  <w:vAlign w:val="center"/>
                </w:tcPr>
                <w:p w14:paraId="317DCC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vertAlign w:val="baseline"/>
                      <w:lang w:val="en-US" w:eastAsia="zh-CN"/>
                    </w:rPr>
                  </w:pPr>
                  <w:r>
                    <w:rPr>
                      <w:rFonts w:hint="default" w:ascii="Times New Roman" w:hAnsi="Times New Roman" w:cs="Times New Roman"/>
                      <w:color w:val="0000FF"/>
                      <w:sz w:val="21"/>
                      <w:szCs w:val="21"/>
                      <w:vertAlign w:val="baseline"/>
                      <w:lang w:val="en-US" w:eastAsia="zh-CN"/>
                    </w:rPr>
                    <w:t>1.5</w:t>
                  </w:r>
                  <w:r>
                    <w:rPr>
                      <w:rFonts w:hint="eastAsia" w:ascii="Times New Roman" w:hAnsi="Times New Roman" w:cs="Times New Roman"/>
                      <w:color w:val="0000FF"/>
                      <w:sz w:val="21"/>
                      <w:szCs w:val="21"/>
                      <w:vertAlign w:val="baseline"/>
                      <w:lang w:val="en-US" w:eastAsia="zh-CN"/>
                    </w:rPr>
                    <w:t>m</w:t>
                  </w:r>
                  <w:r>
                    <w:rPr>
                      <w:rFonts w:hint="default" w:ascii="Times New Roman" w:hAnsi="Times New Roman" w:cs="Times New Roman"/>
                      <w:color w:val="0000FF"/>
                      <w:sz w:val="21"/>
                      <w:szCs w:val="21"/>
                      <w:vertAlign w:val="baseline"/>
                      <w:lang w:val="en-US" w:eastAsia="zh-CN"/>
                    </w:rPr>
                    <w:t>×5</w:t>
                  </w:r>
                  <w:r>
                    <w:rPr>
                      <w:rFonts w:hint="eastAsia" w:ascii="Times New Roman" w:hAnsi="Times New Roman" w:cs="Times New Roman"/>
                      <w:color w:val="0000FF"/>
                      <w:sz w:val="21"/>
                      <w:szCs w:val="21"/>
                      <w:vertAlign w:val="baseline"/>
                      <w:lang w:val="en-US" w:eastAsia="zh-CN"/>
                    </w:rPr>
                    <w:t>m</w:t>
                  </w:r>
                  <w:r>
                    <w:rPr>
                      <w:rFonts w:hint="default" w:ascii="Times New Roman" w:hAnsi="Times New Roman" w:cs="Times New Roman"/>
                      <w:color w:val="0000FF"/>
                      <w:sz w:val="21"/>
                      <w:szCs w:val="21"/>
                      <w:vertAlign w:val="baseline"/>
                      <w:lang w:val="en-US" w:eastAsia="zh-CN"/>
                    </w:rPr>
                    <w:t>×1.5</w:t>
                  </w:r>
                  <w:r>
                    <w:rPr>
                      <w:rFonts w:hint="eastAsia" w:ascii="Times New Roman" w:hAnsi="Times New Roman" w:cs="Times New Roman"/>
                      <w:color w:val="0000FF"/>
                      <w:sz w:val="21"/>
                      <w:szCs w:val="21"/>
                      <w:vertAlign w:val="baseline"/>
                      <w:lang w:val="en-US" w:eastAsia="zh-CN"/>
                    </w:rPr>
                    <w:t>m</w:t>
                  </w:r>
                </w:p>
              </w:tc>
              <w:tc>
                <w:tcPr>
                  <w:tcW w:w="1800" w:type="dxa"/>
                  <w:noWrap w:val="0"/>
                  <w:vAlign w:val="center"/>
                </w:tcPr>
                <w:p w14:paraId="333330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w:t>
                  </w:r>
                </w:p>
              </w:tc>
            </w:tr>
            <w:tr w14:paraId="5C0C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18" w:type="dxa"/>
                  <w:vMerge w:val="continue"/>
                  <w:noWrap w:val="0"/>
                  <w:vAlign w:val="center"/>
                </w:tcPr>
                <w:p w14:paraId="5748D5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06" w:type="dxa"/>
                  <w:vMerge w:val="continue"/>
                  <w:noWrap w:val="0"/>
                  <w:vAlign w:val="center"/>
                </w:tcPr>
                <w:p w14:paraId="1FE6F9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789" w:type="dxa"/>
                  <w:noWrap w:val="0"/>
                  <w:vAlign w:val="center"/>
                </w:tcPr>
                <w:p w14:paraId="65CE08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提料机</w:t>
                  </w:r>
                </w:p>
              </w:tc>
              <w:tc>
                <w:tcPr>
                  <w:tcW w:w="1640" w:type="dxa"/>
                  <w:noWrap w:val="0"/>
                  <w:vAlign w:val="center"/>
                </w:tcPr>
                <w:p w14:paraId="75A5C6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vertAlign w:val="baseline"/>
                      <w:lang w:val="en-US" w:eastAsia="zh-CN"/>
                    </w:rPr>
                  </w:pPr>
                  <w:r>
                    <w:rPr>
                      <w:rFonts w:hint="eastAsia" w:cs="Times New Roman"/>
                      <w:color w:val="0000FF"/>
                      <w:sz w:val="21"/>
                      <w:szCs w:val="21"/>
                      <w:vertAlign w:val="baseline"/>
                      <w:lang w:val="en-US" w:eastAsia="zh-CN"/>
                    </w:rPr>
                    <w:t>600</w:t>
                  </w:r>
                </w:p>
              </w:tc>
              <w:tc>
                <w:tcPr>
                  <w:tcW w:w="1800" w:type="dxa"/>
                  <w:noWrap w:val="0"/>
                  <w:vAlign w:val="center"/>
                </w:tcPr>
                <w:p w14:paraId="7E399F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w:t>
                  </w:r>
                </w:p>
              </w:tc>
            </w:tr>
            <w:tr w14:paraId="5418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18" w:type="dxa"/>
                  <w:vMerge w:val="continue"/>
                  <w:noWrap w:val="0"/>
                  <w:vAlign w:val="center"/>
                </w:tcPr>
                <w:p w14:paraId="2D6207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06" w:type="dxa"/>
                  <w:vMerge w:val="continue"/>
                  <w:noWrap w:val="0"/>
                  <w:vAlign w:val="center"/>
                </w:tcPr>
                <w:p w14:paraId="0AF9C0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789" w:type="dxa"/>
                  <w:noWrap w:val="0"/>
                  <w:vAlign w:val="center"/>
                </w:tcPr>
                <w:p w14:paraId="0C0AF6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甩干机</w:t>
                  </w:r>
                </w:p>
              </w:tc>
              <w:tc>
                <w:tcPr>
                  <w:tcW w:w="1640" w:type="dxa"/>
                  <w:noWrap w:val="0"/>
                  <w:vAlign w:val="center"/>
                </w:tcPr>
                <w:p w14:paraId="4024A0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vertAlign w:val="baseline"/>
                      <w:lang w:val="en-US" w:eastAsia="zh-CN"/>
                    </w:rPr>
                  </w:pPr>
                </w:p>
              </w:tc>
              <w:tc>
                <w:tcPr>
                  <w:tcW w:w="1800" w:type="dxa"/>
                  <w:noWrap w:val="0"/>
                  <w:vAlign w:val="center"/>
                </w:tcPr>
                <w:p w14:paraId="47A621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w:t>
                  </w:r>
                </w:p>
              </w:tc>
            </w:tr>
            <w:tr w14:paraId="6514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18" w:type="dxa"/>
                  <w:vMerge w:val="continue"/>
                  <w:noWrap w:val="0"/>
                  <w:vAlign w:val="center"/>
                </w:tcPr>
                <w:p w14:paraId="6FC0C9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06" w:type="dxa"/>
                  <w:vMerge w:val="continue"/>
                  <w:noWrap w:val="0"/>
                  <w:vAlign w:val="center"/>
                </w:tcPr>
                <w:p w14:paraId="21A633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789" w:type="dxa"/>
                  <w:noWrap w:val="0"/>
                  <w:vAlign w:val="center"/>
                </w:tcPr>
                <w:p w14:paraId="6AA82F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拌料机</w:t>
                  </w:r>
                </w:p>
              </w:tc>
              <w:tc>
                <w:tcPr>
                  <w:tcW w:w="1640" w:type="dxa"/>
                  <w:noWrap w:val="0"/>
                  <w:vAlign w:val="center"/>
                </w:tcPr>
                <w:p w14:paraId="15ECA1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vertAlign w:val="baseline"/>
                      <w:lang w:val="en-US" w:eastAsia="zh-CN"/>
                    </w:rPr>
                  </w:pPr>
                </w:p>
              </w:tc>
              <w:tc>
                <w:tcPr>
                  <w:tcW w:w="1800" w:type="dxa"/>
                  <w:noWrap w:val="0"/>
                  <w:vAlign w:val="center"/>
                </w:tcPr>
                <w:p w14:paraId="2063E8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r>
            <w:tr w14:paraId="36CF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18" w:type="dxa"/>
                  <w:vMerge w:val="continue"/>
                  <w:noWrap w:val="0"/>
                  <w:vAlign w:val="center"/>
                </w:tcPr>
                <w:p w14:paraId="04A5CD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06" w:type="dxa"/>
                  <w:vMerge w:val="continue"/>
                  <w:noWrap w:val="0"/>
                  <w:vAlign w:val="center"/>
                </w:tcPr>
                <w:p w14:paraId="101244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789" w:type="dxa"/>
                  <w:noWrap w:val="0"/>
                  <w:vAlign w:val="center"/>
                </w:tcPr>
                <w:p w14:paraId="347ECC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加热挤出机</w:t>
                  </w:r>
                </w:p>
              </w:tc>
              <w:tc>
                <w:tcPr>
                  <w:tcW w:w="1640" w:type="dxa"/>
                  <w:noWrap w:val="0"/>
                  <w:vAlign w:val="center"/>
                </w:tcPr>
                <w:p w14:paraId="42AFDA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vertAlign w:val="baseline"/>
                      <w:lang w:val="en-US" w:eastAsia="zh-CN"/>
                    </w:rPr>
                  </w:pPr>
                  <w:r>
                    <w:rPr>
                      <w:rFonts w:hint="eastAsia" w:cs="Times New Roman"/>
                      <w:color w:val="0000FF"/>
                      <w:sz w:val="21"/>
                      <w:szCs w:val="21"/>
                      <w:vertAlign w:val="baseline"/>
                      <w:lang w:val="en-US" w:eastAsia="zh-CN"/>
                    </w:rPr>
                    <w:t>130/120</w:t>
                  </w:r>
                </w:p>
              </w:tc>
              <w:tc>
                <w:tcPr>
                  <w:tcW w:w="1800" w:type="dxa"/>
                  <w:noWrap w:val="0"/>
                  <w:vAlign w:val="center"/>
                </w:tcPr>
                <w:p w14:paraId="0EB6EA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r>
            <w:tr w14:paraId="150A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18" w:type="dxa"/>
                  <w:vMerge w:val="continue"/>
                  <w:noWrap w:val="0"/>
                  <w:vAlign w:val="center"/>
                </w:tcPr>
                <w:p w14:paraId="55567B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06" w:type="dxa"/>
                  <w:vMerge w:val="continue"/>
                  <w:noWrap w:val="0"/>
                  <w:vAlign w:val="center"/>
                </w:tcPr>
                <w:p w14:paraId="6D8DEF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789" w:type="dxa"/>
                  <w:noWrap w:val="0"/>
                  <w:vAlign w:val="center"/>
                </w:tcPr>
                <w:p w14:paraId="088BF0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冷却水槽</w:t>
                  </w:r>
                </w:p>
              </w:tc>
              <w:tc>
                <w:tcPr>
                  <w:tcW w:w="1640" w:type="dxa"/>
                  <w:noWrap w:val="0"/>
                  <w:vAlign w:val="center"/>
                </w:tcPr>
                <w:p w14:paraId="2E0C04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vertAlign w:val="baseline"/>
                      <w:lang w:val="en-US" w:eastAsia="zh-CN"/>
                    </w:rPr>
                  </w:pPr>
                  <w:r>
                    <w:rPr>
                      <w:rFonts w:hint="eastAsia" w:cs="Times New Roman"/>
                      <w:color w:val="0000FF"/>
                      <w:sz w:val="21"/>
                      <w:szCs w:val="21"/>
                      <w:vertAlign w:val="baseline"/>
                      <w:lang w:val="en-US" w:eastAsia="zh-CN"/>
                    </w:rPr>
                    <w:t>4</w:t>
                  </w:r>
                  <w:r>
                    <w:rPr>
                      <w:rFonts w:hint="eastAsia" w:ascii="Times New Roman" w:hAnsi="Times New Roman" w:cs="Times New Roman"/>
                      <w:color w:val="0000FF"/>
                      <w:sz w:val="21"/>
                      <w:szCs w:val="21"/>
                      <w:vertAlign w:val="baseline"/>
                      <w:lang w:val="en-US" w:eastAsia="zh-CN"/>
                    </w:rPr>
                    <w:t>m</w:t>
                  </w:r>
                  <w:r>
                    <w:rPr>
                      <w:rFonts w:hint="default" w:ascii="Times New Roman" w:hAnsi="Times New Roman" w:cs="Times New Roman"/>
                      <w:color w:val="0000FF"/>
                      <w:sz w:val="21"/>
                      <w:szCs w:val="21"/>
                      <w:vertAlign w:val="baseline"/>
                      <w:lang w:val="en-US" w:eastAsia="zh-CN"/>
                    </w:rPr>
                    <w:t>×</w:t>
                  </w:r>
                  <w:r>
                    <w:rPr>
                      <w:rFonts w:hint="eastAsia" w:cs="Times New Roman"/>
                      <w:color w:val="0000FF"/>
                      <w:sz w:val="21"/>
                      <w:szCs w:val="21"/>
                      <w:vertAlign w:val="baseline"/>
                      <w:lang w:val="en-US" w:eastAsia="zh-CN"/>
                    </w:rPr>
                    <w:t>0.</w:t>
                  </w:r>
                  <w:r>
                    <w:rPr>
                      <w:rFonts w:hint="default" w:ascii="Times New Roman" w:hAnsi="Times New Roman" w:cs="Times New Roman"/>
                      <w:color w:val="0000FF"/>
                      <w:sz w:val="21"/>
                      <w:szCs w:val="21"/>
                      <w:vertAlign w:val="baseline"/>
                      <w:lang w:val="en-US" w:eastAsia="zh-CN"/>
                    </w:rPr>
                    <w:t>5</w:t>
                  </w:r>
                  <w:r>
                    <w:rPr>
                      <w:rFonts w:hint="eastAsia" w:ascii="Times New Roman" w:hAnsi="Times New Roman" w:cs="Times New Roman"/>
                      <w:color w:val="0000FF"/>
                      <w:sz w:val="21"/>
                      <w:szCs w:val="21"/>
                      <w:vertAlign w:val="baseline"/>
                      <w:lang w:val="en-US" w:eastAsia="zh-CN"/>
                    </w:rPr>
                    <w:t>m</w:t>
                  </w:r>
                  <w:r>
                    <w:rPr>
                      <w:rFonts w:hint="default" w:ascii="Times New Roman" w:hAnsi="Times New Roman" w:cs="Times New Roman"/>
                      <w:color w:val="0000FF"/>
                      <w:sz w:val="21"/>
                      <w:szCs w:val="21"/>
                      <w:vertAlign w:val="baseline"/>
                      <w:lang w:val="en-US" w:eastAsia="zh-CN"/>
                    </w:rPr>
                    <w:t>×</w:t>
                  </w:r>
                  <w:r>
                    <w:rPr>
                      <w:rFonts w:hint="eastAsia" w:cs="Times New Roman"/>
                      <w:color w:val="0000FF"/>
                      <w:sz w:val="21"/>
                      <w:szCs w:val="21"/>
                      <w:vertAlign w:val="baseline"/>
                      <w:lang w:val="en-US" w:eastAsia="zh-CN"/>
                    </w:rPr>
                    <w:t>0.4</w:t>
                  </w:r>
                  <w:r>
                    <w:rPr>
                      <w:rFonts w:hint="eastAsia" w:ascii="Times New Roman" w:hAnsi="Times New Roman" w:cs="Times New Roman"/>
                      <w:color w:val="0000FF"/>
                      <w:sz w:val="21"/>
                      <w:szCs w:val="21"/>
                      <w:vertAlign w:val="baseline"/>
                      <w:lang w:val="en-US" w:eastAsia="zh-CN"/>
                    </w:rPr>
                    <w:t>m</w:t>
                  </w:r>
                </w:p>
              </w:tc>
              <w:tc>
                <w:tcPr>
                  <w:tcW w:w="1800" w:type="dxa"/>
                  <w:noWrap w:val="0"/>
                  <w:vAlign w:val="center"/>
                </w:tcPr>
                <w:p w14:paraId="4951E4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r>
            <w:tr w14:paraId="37B3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18" w:type="dxa"/>
                  <w:vMerge w:val="continue"/>
                  <w:noWrap w:val="0"/>
                  <w:vAlign w:val="center"/>
                </w:tcPr>
                <w:p w14:paraId="2864E0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06" w:type="dxa"/>
                  <w:vMerge w:val="continue"/>
                  <w:noWrap w:val="0"/>
                  <w:vAlign w:val="center"/>
                </w:tcPr>
                <w:p w14:paraId="6C0C7B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789" w:type="dxa"/>
                  <w:noWrap w:val="0"/>
                  <w:vAlign w:val="center"/>
                </w:tcPr>
                <w:p w14:paraId="37AB6B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切粒机</w:t>
                  </w:r>
                </w:p>
              </w:tc>
              <w:tc>
                <w:tcPr>
                  <w:tcW w:w="1640" w:type="dxa"/>
                  <w:noWrap w:val="0"/>
                  <w:vAlign w:val="center"/>
                </w:tcPr>
                <w:p w14:paraId="2C5B0F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vertAlign w:val="baseline"/>
                      <w:lang w:val="en-US" w:eastAsia="zh-CN"/>
                    </w:rPr>
                  </w:pPr>
                  <w:r>
                    <w:rPr>
                      <w:rFonts w:hint="eastAsia" w:cs="Times New Roman"/>
                      <w:color w:val="0000FF"/>
                      <w:sz w:val="21"/>
                      <w:szCs w:val="21"/>
                      <w:vertAlign w:val="baseline"/>
                      <w:lang w:val="en-US" w:eastAsia="zh-CN"/>
                    </w:rPr>
                    <w:t>270</w:t>
                  </w:r>
                </w:p>
              </w:tc>
              <w:tc>
                <w:tcPr>
                  <w:tcW w:w="1800" w:type="dxa"/>
                  <w:noWrap w:val="0"/>
                  <w:vAlign w:val="center"/>
                </w:tcPr>
                <w:p w14:paraId="23594A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r>
            <w:tr w14:paraId="0E5C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18" w:type="dxa"/>
                  <w:vMerge w:val="continue"/>
                  <w:noWrap w:val="0"/>
                  <w:vAlign w:val="center"/>
                </w:tcPr>
                <w:p w14:paraId="0A2D5C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06" w:type="dxa"/>
                  <w:vMerge w:val="continue"/>
                  <w:noWrap w:val="0"/>
                  <w:vAlign w:val="center"/>
                </w:tcPr>
                <w:p w14:paraId="6D0485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789" w:type="dxa"/>
                  <w:noWrap w:val="0"/>
                  <w:vAlign w:val="center"/>
                </w:tcPr>
                <w:p w14:paraId="2AED82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振</w:t>
                  </w:r>
                  <w:r>
                    <w:rPr>
                      <w:rFonts w:hint="default" w:ascii="Times New Roman" w:hAnsi="Times New Roman" w:eastAsia="宋体" w:cs="Times New Roman"/>
                      <w:sz w:val="21"/>
                      <w:szCs w:val="21"/>
                      <w:vertAlign w:val="baseline"/>
                      <w:lang w:val="en-US" w:eastAsia="zh-CN"/>
                    </w:rPr>
                    <w:t>动吹风机</w:t>
                  </w:r>
                </w:p>
              </w:tc>
              <w:tc>
                <w:tcPr>
                  <w:tcW w:w="1640" w:type="dxa"/>
                  <w:noWrap w:val="0"/>
                  <w:vAlign w:val="center"/>
                </w:tcPr>
                <w:p w14:paraId="3270CE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vertAlign w:val="baseline"/>
                      <w:lang w:val="en-US" w:eastAsia="zh-CN"/>
                    </w:rPr>
                  </w:pPr>
                </w:p>
              </w:tc>
              <w:tc>
                <w:tcPr>
                  <w:tcW w:w="1800" w:type="dxa"/>
                  <w:noWrap w:val="0"/>
                  <w:vAlign w:val="center"/>
                </w:tcPr>
                <w:p w14:paraId="6E5AEC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r>
            <w:tr w14:paraId="21C0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18" w:type="dxa"/>
                  <w:vMerge w:val="continue"/>
                  <w:noWrap w:val="0"/>
                  <w:vAlign w:val="center"/>
                </w:tcPr>
                <w:p w14:paraId="52313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06" w:type="dxa"/>
                  <w:vMerge w:val="continue"/>
                  <w:noWrap w:val="0"/>
                  <w:vAlign w:val="center"/>
                </w:tcPr>
                <w:p w14:paraId="4C21A7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789" w:type="dxa"/>
                  <w:noWrap w:val="0"/>
                  <w:vAlign w:val="center"/>
                </w:tcPr>
                <w:p w14:paraId="0C647B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储料罐</w:t>
                  </w:r>
                </w:p>
              </w:tc>
              <w:tc>
                <w:tcPr>
                  <w:tcW w:w="1640" w:type="dxa"/>
                  <w:noWrap w:val="0"/>
                  <w:vAlign w:val="center"/>
                </w:tcPr>
                <w:p w14:paraId="14C2F1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vertAlign w:val="baseline"/>
                      <w:lang w:val="en-US" w:eastAsia="zh-CN"/>
                    </w:rPr>
                  </w:pPr>
                  <w:r>
                    <w:rPr>
                      <w:rFonts w:hint="eastAsia" w:cs="Times New Roman"/>
                      <w:color w:val="0000FF"/>
                      <w:sz w:val="21"/>
                      <w:szCs w:val="21"/>
                      <w:vertAlign w:val="baseline"/>
                      <w:lang w:val="en-US" w:eastAsia="zh-CN"/>
                    </w:rPr>
                    <w:t>直径3m</w:t>
                  </w:r>
                </w:p>
              </w:tc>
              <w:tc>
                <w:tcPr>
                  <w:tcW w:w="1800" w:type="dxa"/>
                  <w:noWrap w:val="0"/>
                  <w:vAlign w:val="center"/>
                </w:tcPr>
                <w:p w14:paraId="7D0D71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r>
            <w:tr w14:paraId="66B8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18" w:type="dxa"/>
                  <w:noWrap w:val="0"/>
                  <w:vAlign w:val="center"/>
                </w:tcPr>
                <w:p w14:paraId="7E4AB5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w:t>
                  </w:r>
                </w:p>
              </w:tc>
              <w:tc>
                <w:tcPr>
                  <w:tcW w:w="1906" w:type="dxa"/>
                  <w:noWrap w:val="0"/>
                  <w:vAlign w:val="center"/>
                </w:tcPr>
                <w:p w14:paraId="75C916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vertAlign w:val="baseline"/>
                      <w:lang w:val="en-US" w:eastAsia="zh-CN"/>
                    </w:rPr>
                  </w:pPr>
                  <w:r>
                    <w:rPr>
                      <w:rFonts w:hint="eastAsia" w:cs="Times New Roman"/>
                      <w:color w:val="0000FF"/>
                      <w:sz w:val="21"/>
                      <w:szCs w:val="21"/>
                      <w:vertAlign w:val="baseline"/>
                      <w:lang w:val="en-US" w:eastAsia="zh-CN"/>
                    </w:rPr>
                    <w:t>辅助设施</w:t>
                  </w:r>
                </w:p>
              </w:tc>
              <w:tc>
                <w:tcPr>
                  <w:tcW w:w="1789" w:type="dxa"/>
                  <w:noWrap w:val="0"/>
                  <w:vAlign w:val="center"/>
                </w:tcPr>
                <w:p w14:paraId="53F366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vertAlign w:val="baseline"/>
                      <w:lang w:val="en-US" w:eastAsia="zh-CN"/>
                    </w:rPr>
                  </w:pPr>
                  <w:r>
                    <w:rPr>
                      <w:rFonts w:hint="eastAsia" w:ascii="Times New Roman" w:hAnsi="Times New Roman" w:eastAsia="宋体" w:cs="Times New Roman"/>
                      <w:color w:val="0000FF"/>
                      <w:sz w:val="21"/>
                      <w:szCs w:val="21"/>
                      <w:vertAlign w:val="baseline"/>
                      <w:lang w:val="en-US" w:eastAsia="zh-CN"/>
                    </w:rPr>
                    <w:t>压滤机</w:t>
                  </w:r>
                </w:p>
              </w:tc>
              <w:tc>
                <w:tcPr>
                  <w:tcW w:w="1640" w:type="dxa"/>
                  <w:noWrap w:val="0"/>
                  <w:vAlign w:val="center"/>
                </w:tcPr>
                <w:p w14:paraId="1E2EF5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FF"/>
                      <w:sz w:val="21"/>
                      <w:szCs w:val="21"/>
                      <w:vertAlign w:val="baseline"/>
                      <w:lang w:val="en-US" w:eastAsia="zh-CN"/>
                    </w:rPr>
                  </w:pPr>
                </w:p>
              </w:tc>
              <w:tc>
                <w:tcPr>
                  <w:tcW w:w="1800" w:type="dxa"/>
                  <w:noWrap w:val="0"/>
                  <w:vAlign w:val="center"/>
                </w:tcPr>
                <w:p w14:paraId="3010A6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vertAlign w:val="baseline"/>
                      <w:lang w:val="en-US" w:eastAsia="zh-CN"/>
                    </w:rPr>
                  </w:pPr>
                  <w:r>
                    <w:rPr>
                      <w:rFonts w:hint="eastAsia" w:ascii="Times New Roman" w:hAnsi="Times New Roman" w:eastAsia="宋体" w:cs="Times New Roman"/>
                      <w:color w:val="0000FF"/>
                      <w:sz w:val="21"/>
                      <w:szCs w:val="21"/>
                      <w:vertAlign w:val="baseline"/>
                      <w:lang w:val="en-US" w:eastAsia="zh-CN"/>
                    </w:rPr>
                    <w:t>1</w:t>
                  </w:r>
                </w:p>
              </w:tc>
            </w:tr>
          </w:tbl>
          <w:p w14:paraId="0A2E191F">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Cs/>
                <w:color w:val="auto"/>
                <w:sz w:val="24"/>
              </w:rPr>
            </w:pPr>
            <w:r>
              <w:rPr>
                <w:rFonts w:hint="eastAsia"/>
                <w:b/>
                <w:bCs/>
                <w:color w:val="auto"/>
                <w:sz w:val="24"/>
                <w:highlight w:val="none"/>
                <w:lang w:val="en-US" w:eastAsia="zh-CN"/>
              </w:rPr>
              <w:t>六、主要原辅料及能源消耗</w:t>
            </w:r>
          </w:p>
          <w:p w14:paraId="4968B38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rPr>
              <w:t>项目主要原辅料及能源</w:t>
            </w:r>
            <w:r>
              <w:rPr>
                <w:rFonts w:hint="eastAsia" w:cs="Times New Roman" w:eastAsiaTheme="minorEastAsia"/>
                <w:color w:val="auto"/>
                <w:sz w:val="24"/>
                <w:lang w:val="en-US" w:eastAsia="zh-CN"/>
              </w:rPr>
              <w:t>消耗</w:t>
            </w:r>
            <w:r>
              <w:rPr>
                <w:rFonts w:hint="default" w:ascii="Times New Roman" w:hAnsi="Times New Roman" w:cs="Times New Roman" w:eastAsiaTheme="minorEastAsia"/>
                <w:color w:val="auto"/>
                <w:sz w:val="24"/>
              </w:rPr>
              <w:t>见表</w:t>
            </w:r>
            <w:r>
              <w:rPr>
                <w:rFonts w:hint="eastAsia" w:cs="Times New Roman" w:eastAsiaTheme="minorEastAsia"/>
                <w:color w:val="auto"/>
                <w:sz w:val="24"/>
                <w:lang w:val="en-US" w:eastAsia="zh-CN"/>
              </w:rPr>
              <w:t>10。</w:t>
            </w:r>
          </w:p>
          <w:p w14:paraId="6C0F2108">
            <w:pPr>
              <w:pStyle w:val="52"/>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cs="Times New Roman" w:eastAsiaTheme="minorEastAsia"/>
                <w:b/>
                <w:bCs/>
                <w:snapToGrid w:val="0"/>
                <w:color w:val="auto"/>
                <w:szCs w:val="24"/>
              </w:rPr>
            </w:pPr>
            <w:r>
              <w:rPr>
                <w:rFonts w:hint="default" w:ascii="Times New Roman" w:hAnsi="Times New Roman" w:cs="Times New Roman" w:eastAsiaTheme="minorEastAsia"/>
                <w:b/>
                <w:bCs/>
                <w:color w:val="auto"/>
                <w:szCs w:val="24"/>
              </w:rPr>
              <w:t>表</w:t>
            </w:r>
            <w:r>
              <w:rPr>
                <w:rFonts w:hint="eastAsia" w:cs="Times New Roman" w:eastAsiaTheme="minorEastAsia"/>
                <w:b/>
                <w:bCs/>
                <w:color w:val="auto"/>
                <w:szCs w:val="24"/>
                <w:lang w:val="en-US" w:eastAsia="zh-CN"/>
              </w:rPr>
              <w:t>10</w:t>
            </w:r>
            <w:r>
              <w:rPr>
                <w:rFonts w:hint="default" w:ascii="Times New Roman" w:hAnsi="Times New Roman" w:cs="Times New Roman" w:eastAsiaTheme="minorEastAsia"/>
                <w:b/>
                <w:bCs/>
                <w:color w:val="auto"/>
                <w:szCs w:val="24"/>
                <w:lang w:val="en-US" w:eastAsia="zh-CN"/>
              </w:rPr>
              <w:t xml:space="preserve">   </w:t>
            </w:r>
            <w:r>
              <w:rPr>
                <w:rFonts w:hint="eastAsia" w:cs="Times New Roman" w:eastAsiaTheme="minorEastAsia"/>
                <w:b/>
                <w:bCs/>
                <w:color w:val="auto"/>
                <w:szCs w:val="24"/>
                <w:lang w:val="en-US" w:eastAsia="zh-CN"/>
              </w:rPr>
              <w:t>项目</w:t>
            </w:r>
            <w:r>
              <w:rPr>
                <w:rFonts w:hint="default" w:ascii="Times New Roman" w:hAnsi="Times New Roman" w:cs="Times New Roman" w:eastAsiaTheme="minorEastAsia"/>
                <w:b/>
                <w:bCs/>
                <w:snapToGrid w:val="0"/>
                <w:color w:val="auto"/>
                <w:szCs w:val="24"/>
              </w:rPr>
              <w:t>主要原辅材料</w:t>
            </w:r>
            <w:r>
              <w:rPr>
                <w:rFonts w:hint="eastAsia" w:cs="Times New Roman" w:eastAsiaTheme="minorEastAsia"/>
                <w:b/>
                <w:bCs/>
                <w:snapToGrid w:val="0"/>
                <w:color w:val="auto"/>
                <w:szCs w:val="24"/>
                <w:lang w:val="en-US" w:eastAsia="zh-CN"/>
              </w:rPr>
              <w:t>及能源</w:t>
            </w:r>
            <w:r>
              <w:rPr>
                <w:rFonts w:hint="default" w:ascii="Times New Roman" w:hAnsi="Times New Roman" w:cs="Times New Roman" w:eastAsiaTheme="minorEastAsia"/>
                <w:b/>
                <w:bCs/>
                <w:snapToGrid w:val="0"/>
                <w:color w:val="auto"/>
                <w:szCs w:val="24"/>
                <w:lang w:val="en-US" w:eastAsia="zh-CN"/>
              </w:rPr>
              <w:t>消耗</w:t>
            </w:r>
            <w:r>
              <w:rPr>
                <w:rFonts w:hint="default" w:ascii="Times New Roman" w:hAnsi="Times New Roman" w:cs="Times New Roman" w:eastAsiaTheme="minorEastAsia"/>
                <w:b/>
                <w:bCs/>
                <w:snapToGrid w:val="0"/>
                <w:color w:val="auto"/>
                <w:szCs w:val="24"/>
              </w:rPr>
              <w:t>一览表</w:t>
            </w:r>
          </w:p>
          <w:tbl>
            <w:tblPr>
              <w:tblStyle w:val="28"/>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23"/>
              <w:gridCol w:w="723"/>
              <w:gridCol w:w="1567"/>
              <w:gridCol w:w="1601"/>
              <w:gridCol w:w="1094"/>
              <w:gridCol w:w="2108"/>
            </w:tblGrid>
            <w:tr w14:paraId="5FED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0" w:type="dxa"/>
                  <w:vAlign w:val="center"/>
                </w:tcPr>
                <w:p w14:paraId="75259215">
                  <w:pPr>
                    <w:keepNext w:val="0"/>
                    <w:keepLines w:val="0"/>
                    <w:suppressLineNumbers w:val="0"/>
                    <w:spacing w:before="0" w:beforeAutospacing="0" w:after="0" w:afterAutospacing="0" w:line="240" w:lineRule="atLeast"/>
                    <w:ind w:left="0" w:right="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序号</w:t>
                  </w:r>
                </w:p>
              </w:tc>
              <w:tc>
                <w:tcPr>
                  <w:tcW w:w="1446" w:type="dxa"/>
                  <w:gridSpan w:val="2"/>
                  <w:vAlign w:val="center"/>
                </w:tcPr>
                <w:p w14:paraId="149704E0">
                  <w:pPr>
                    <w:keepNext w:val="0"/>
                    <w:keepLines w:val="0"/>
                    <w:suppressLineNumbers w:val="0"/>
                    <w:spacing w:before="0" w:beforeAutospacing="0" w:after="0" w:afterAutospacing="0" w:line="240" w:lineRule="atLeast"/>
                    <w:ind w:left="0" w:right="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名称</w:t>
                  </w:r>
                </w:p>
              </w:tc>
              <w:tc>
                <w:tcPr>
                  <w:tcW w:w="1567" w:type="dxa"/>
                  <w:vAlign w:val="center"/>
                </w:tcPr>
                <w:p w14:paraId="7CE0B3D5">
                  <w:pPr>
                    <w:keepNext w:val="0"/>
                    <w:keepLines w:val="0"/>
                    <w:suppressLineNumbers w:val="0"/>
                    <w:spacing w:before="0" w:beforeAutospacing="0" w:after="0" w:afterAutospacing="0" w:line="240" w:lineRule="atLeast"/>
                    <w:ind w:left="0" w:right="0"/>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重新报批前</w:t>
                  </w:r>
                  <w:r>
                    <w:rPr>
                      <w:rFonts w:ascii="Times New Roman" w:hAnsi="Times New Roman" w:eastAsia="宋体" w:cs="Times New Roman"/>
                      <w:color w:val="auto"/>
                      <w:sz w:val="21"/>
                      <w:szCs w:val="21"/>
                    </w:rPr>
                    <w:t>年用量</w:t>
                  </w:r>
                </w:p>
              </w:tc>
              <w:tc>
                <w:tcPr>
                  <w:tcW w:w="1601" w:type="dxa"/>
                  <w:vAlign w:val="center"/>
                </w:tcPr>
                <w:p w14:paraId="1D841C56">
                  <w:pPr>
                    <w:keepNext w:val="0"/>
                    <w:keepLines w:val="0"/>
                    <w:suppressLineNumbers w:val="0"/>
                    <w:spacing w:before="0" w:beforeAutospacing="0" w:after="0" w:afterAutospacing="0" w:line="240" w:lineRule="atLeast"/>
                    <w:ind w:left="0" w:right="0"/>
                    <w:jc w:val="center"/>
                    <w:rPr>
                      <w:rFonts w:ascii="Times New Roman" w:hAnsi="Times New Roman" w:eastAsia="宋体" w:cs="Times New Roman"/>
                      <w:color w:val="auto"/>
                      <w:sz w:val="21"/>
                      <w:szCs w:val="21"/>
                    </w:rPr>
                  </w:pPr>
                  <w:r>
                    <w:rPr>
                      <w:rFonts w:hint="eastAsia" w:cs="Times New Roman"/>
                      <w:color w:val="auto"/>
                      <w:sz w:val="21"/>
                      <w:szCs w:val="21"/>
                      <w:lang w:val="en-US" w:eastAsia="zh-CN"/>
                    </w:rPr>
                    <w:t>重新报批后</w:t>
                  </w:r>
                  <w:r>
                    <w:rPr>
                      <w:rFonts w:ascii="Times New Roman" w:hAnsi="Times New Roman" w:eastAsia="宋体" w:cs="Times New Roman"/>
                      <w:color w:val="auto"/>
                      <w:sz w:val="21"/>
                      <w:szCs w:val="21"/>
                    </w:rPr>
                    <w:t>年用量</w:t>
                  </w:r>
                </w:p>
              </w:tc>
              <w:tc>
                <w:tcPr>
                  <w:tcW w:w="1094" w:type="dxa"/>
                  <w:vAlign w:val="center"/>
                </w:tcPr>
                <w:p w14:paraId="112F290E">
                  <w:pPr>
                    <w:keepNext w:val="0"/>
                    <w:keepLines w:val="0"/>
                    <w:suppressLineNumbers w:val="0"/>
                    <w:spacing w:before="0" w:beforeAutospacing="0" w:after="0" w:afterAutospacing="0" w:line="240" w:lineRule="atLeast"/>
                    <w:ind w:left="0" w:right="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储存形式</w:t>
                  </w:r>
                </w:p>
              </w:tc>
              <w:tc>
                <w:tcPr>
                  <w:tcW w:w="2108" w:type="dxa"/>
                  <w:vAlign w:val="center"/>
                </w:tcPr>
                <w:p w14:paraId="02D9F137">
                  <w:pPr>
                    <w:keepNext w:val="0"/>
                    <w:keepLines w:val="0"/>
                    <w:suppressLineNumbers w:val="0"/>
                    <w:spacing w:before="0" w:beforeAutospacing="0" w:after="0" w:afterAutospacing="0" w:line="240" w:lineRule="atLeast"/>
                    <w:ind w:left="0" w:right="0"/>
                    <w:jc w:val="center"/>
                    <w:rPr>
                      <w:rFonts w:hint="default" w:cs="Times New Roman"/>
                      <w:color w:val="auto"/>
                      <w:sz w:val="21"/>
                      <w:szCs w:val="21"/>
                      <w:lang w:val="en-US" w:eastAsia="zh-CN"/>
                    </w:rPr>
                  </w:pPr>
                  <w:r>
                    <w:rPr>
                      <w:rFonts w:hint="eastAsia" w:cs="Times New Roman"/>
                      <w:color w:val="auto"/>
                      <w:sz w:val="21"/>
                      <w:szCs w:val="21"/>
                      <w:lang w:val="en-US" w:eastAsia="zh-CN"/>
                    </w:rPr>
                    <w:t>备注</w:t>
                  </w:r>
                </w:p>
              </w:tc>
            </w:tr>
            <w:tr w14:paraId="234A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00" w:type="dxa"/>
                  <w:vAlign w:val="center"/>
                </w:tcPr>
                <w:p w14:paraId="4B5F05D5">
                  <w:pPr>
                    <w:keepNext w:val="0"/>
                    <w:keepLines w:val="0"/>
                    <w:suppressLineNumbers w:val="0"/>
                    <w:spacing w:before="0" w:beforeAutospacing="0" w:after="0" w:afterAutospacing="0" w:line="240" w:lineRule="atLeast"/>
                    <w:ind w:left="0" w:right="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1</w:t>
                  </w:r>
                </w:p>
              </w:tc>
              <w:tc>
                <w:tcPr>
                  <w:tcW w:w="1446" w:type="dxa"/>
                  <w:gridSpan w:val="2"/>
                  <w:vAlign w:val="center"/>
                </w:tcPr>
                <w:p w14:paraId="12DAB59F">
                  <w:pPr>
                    <w:keepNext w:val="0"/>
                    <w:keepLines w:val="0"/>
                    <w:pageBreakBefore w:val="0"/>
                    <w:kinsoku/>
                    <w:wordWrap/>
                    <w:overflowPunct/>
                    <w:topLinePunct w:val="0"/>
                    <w:autoSpaceDE/>
                    <w:autoSpaceDN/>
                    <w:bidi w:val="0"/>
                    <w:adjustRightInd/>
                    <w:snapToGrid/>
                    <w:spacing w:line="0" w:lineRule="atLeast"/>
                    <w:ind w:left="0" w:lef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废旧渔网</w:t>
                  </w:r>
                  <w:r>
                    <w:rPr>
                      <w:rFonts w:hint="eastAsia" w:cs="Times New Roman"/>
                      <w:color w:val="auto"/>
                      <w:kern w:val="2"/>
                      <w:sz w:val="21"/>
                      <w:szCs w:val="21"/>
                      <w:lang w:val="en-US" w:eastAsia="zh-CN" w:bidi="ar-SA"/>
                    </w:rPr>
                    <w:t>（PET渔网）</w:t>
                  </w:r>
                </w:p>
              </w:tc>
              <w:tc>
                <w:tcPr>
                  <w:tcW w:w="1567" w:type="dxa"/>
                  <w:vAlign w:val="center"/>
                </w:tcPr>
                <w:p w14:paraId="0E520D2A">
                  <w:pPr>
                    <w:keepNext w:val="0"/>
                    <w:keepLines w:val="0"/>
                    <w:pageBreakBefore w:val="0"/>
                    <w:kinsoku/>
                    <w:wordWrap/>
                    <w:overflowPunct/>
                    <w:topLinePunct w:val="0"/>
                    <w:autoSpaceDE/>
                    <w:autoSpaceDN/>
                    <w:bidi w:val="0"/>
                    <w:adjustRightInd/>
                    <w:snapToGrid/>
                    <w:spacing w:line="0" w:lineRule="atLeast"/>
                    <w:ind w:left="0" w:left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127000</w:t>
                  </w:r>
                  <w:r>
                    <w:rPr>
                      <w:rFonts w:hint="eastAsia" w:cs="Times New Roman"/>
                      <w:color w:val="auto"/>
                      <w:sz w:val="21"/>
                      <w:szCs w:val="21"/>
                      <w:lang w:val="en-US" w:eastAsia="zh-CN"/>
                    </w:rPr>
                    <w:t>t/a</w:t>
                  </w:r>
                </w:p>
              </w:tc>
              <w:tc>
                <w:tcPr>
                  <w:tcW w:w="1601" w:type="dxa"/>
                  <w:vAlign w:val="center"/>
                </w:tcPr>
                <w:p w14:paraId="43D1B825">
                  <w:pPr>
                    <w:keepNext w:val="0"/>
                    <w:keepLines w:val="0"/>
                    <w:pageBreakBefore w:val="0"/>
                    <w:kinsoku/>
                    <w:wordWrap/>
                    <w:overflowPunct/>
                    <w:topLinePunct w:val="0"/>
                    <w:autoSpaceDE/>
                    <w:autoSpaceDN/>
                    <w:bidi w:val="0"/>
                    <w:adjustRightInd/>
                    <w:snapToGrid/>
                    <w:spacing w:line="0" w:lineRule="atLeast"/>
                    <w:ind w:left="0" w:leftChars="0"/>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w:t>
                  </w:r>
                  <w:r>
                    <w:rPr>
                      <w:rFonts w:hint="eastAsia" w:cs="Times New Roman"/>
                      <w:color w:val="auto"/>
                      <w:sz w:val="21"/>
                      <w:szCs w:val="21"/>
                      <w:lang w:val="en-US" w:eastAsia="zh-CN"/>
                    </w:rPr>
                    <w:t>t/a</w:t>
                  </w:r>
                </w:p>
              </w:tc>
              <w:tc>
                <w:tcPr>
                  <w:tcW w:w="1094" w:type="dxa"/>
                  <w:vAlign w:val="center"/>
                </w:tcPr>
                <w:p w14:paraId="3AB25DEF">
                  <w:pPr>
                    <w:keepNext w:val="0"/>
                    <w:keepLines w:val="0"/>
                    <w:suppressLineNumbers w:val="0"/>
                    <w:spacing w:before="0" w:beforeAutospacing="0" w:after="0" w:afterAutospacing="0" w:line="240" w:lineRule="atLeast"/>
                    <w:ind w:left="0" w:right="0"/>
                    <w:jc w:val="center"/>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2108" w:type="dxa"/>
                  <w:vAlign w:val="center"/>
                </w:tcPr>
                <w:p w14:paraId="0AE8F116">
                  <w:pPr>
                    <w:keepNext w:val="0"/>
                    <w:keepLines w:val="0"/>
                    <w:suppressLineNumbers w:val="0"/>
                    <w:spacing w:before="0" w:beforeAutospacing="0" w:after="0" w:afterAutospacing="0" w:line="240" w:lineRule="atLeast"/>
                    <w:ind w:left="0" w:right="0"/>
                    <w:jc w:val="center"/>
                    <w:rPr>
                      <w:rFonts w:hint="eastAsia" w:cs="Times New Roman"/>
                      <w:color w:val="auto"/>
                      <w:sz w:val="21"/>
                      <w:szCs w:val="21"/>
                      <w:lang w:val="en-US" w:eastAsia="zh-CN"/>
                    </w:rPr>
                  </w:pPr>
                </w:p>
              </w:tc>
            </w:tr>
            <w:tr w14:paraId="0E5F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00" w:type="dxa"/>
                  <w:vMerge w:val="restart"/>
                  <w:vAlign w:val="center"/>
                </w:tcPr>
                <w:p w14:paraId="7799016A">
                  <w:pPr>
                    <w:keepNext w:val="0"/>
                    <w:keepLines w:val="0"/>
                    <w:suppressLineNumbers w:val="0"/>
                    <w:spacing w:before="0" w:beforeAutospacing="0" w:after="0" w:afterAutospacing="0" w:line="240" w:lineRule="atLeast"/>
                    <w:ind w:left="0" w:right="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2</w:t>
                  </w:r>
                </w:p>
              </w:tc>
              <w:tc>
                <w:tcPr>
                  <w:tcW w:w="723" w:type="dxa"/>
                  <w:vMerge w:val="restart"/>
                  <w:vAlign w:val="center"/>
                </w:tcPr>
                <w:p w14:paraId="662E15A3">
                  <w:pPr>
                    <w:keepNext w:val="0"/>
                    <w:keepLines w:val="0"/>
                    <w:pageBreakBefore w:val="0"/>
                    <w:kinsoku/>
                    <w:wordWrap/>
                    <w:overflowPunct/>
                    <w:topLinePunct w:val="0"/>
                    <w:autoSpaceDE/>
                    <w:autoSpaceDN/>
                    <w:bidi w:val="0"/>
                    <w:adjustRightInd/>
                    <w:snapToGrid/>
                    <w:spacing w:line="0" w:lineRule="atLeast"/>
                    <w:ind w:left="0" w:leftChars="0"/>
                    <w:jc w:val="center"/>
                    <w:rPr>
                      <w:rFonts w:hint="default" w:cs="Times New Roman"/>
                      <w:color w:val="0000FF"/>
                      <w:kern w:val="2"/>
                      <w:sz w:val="21"/>
                      <w:szCs w:val="21"/>
                      <w:lang w:val="en-US" w:eastAsia="zh-CN" w:bidi="ar-SA"/>
                    </w:rPr>
                  </w:pPr>
                  <w:r>
                    <w:rPr>
                      <w:rFonts w:hint="eastAsia" w:cs="Times New Roman"/>
                      <w:color w:val="0000FF"/>
                      <w:kern w:val="2"/>
                      <w:sz w:val="21"/>
                      <w:szCs w:val="21"/>
                      <w:lang w:val="en-US" w:eastAsia="zh-CN" w:bidi="ar-SA"/>
                    </w:rPr>
                    <w:t>废吨包</w:t>
                  </w:r>
                </w:p>
              </w:tc>
              <w:tc>
                <w:tcPr>
                  <w:tcW w:w="723" w:type="dxa"/>
                  <w:vAlign w:val="center"/>
                </w:tcPr>
                <w:p w14:paraId="7DF38095">
                  <w:pPr>
                    <w:keepNext w:val="0"/>
                    <w:keepLines w:val="0"/>
                    <w:pageBreakBefore w:val="0"/>
                    <w:kinsoku/>
                    <w:wordWrap/>
                    <w:overflowPunct/>
                    <w:topLinePunct w:val="0"/>
                    <w:autoSpaceDE/>
                    <w:autoSpaceDN/>
                    <w:bidi w:val="0"/>
                    <w:adjustRightInd/>
                    <w:snapToGrid/>
                    <w:spacing w:line="0" w:lineRule="atLeast"/>
                    <w:ind w:left="0" w:leftChars="0"/>
                    <w:jc w:val="center"/>
                    <w:rPr>
                      <w:rFonts w:hint="eastAsia" w:cs="Times New Roman"/>
                      <w:color w:val="0000FF"/>
                      <w:kern w:val="2"/>
                      <w:sz w:val="21"/>
                      <w:szCs w:val="21"/>
                      <w:lang w:val="en-US" w:eastAsia="zh-CN" w:bidi="ar-SA"/>
                    </w:rPr>
                  </w:pPr>
                  <w:r>
                    <w:rPr>
                      <w:rFonts w:hint="eastAsia" w:cs="Times New Roman"/>
                      <w:color w:val="0000FF"/>
                      <w:kern w:val="2"/>
                      <w:sz w:val="21"/>
                      <w:szCs w:val="21"/>
                      <w:lang w:val="en-US" w:eastAsia="zh-CN" w:bidi="ar-SA"/>
                    </w:rPr>
                    <w:t>PP吨包</w:t>
                  </w:r>
                </w:p>
              </w:tc>
              <w:tc>
                <w:tcPr>
                  <w:tcW w:w="1567" w:type="dxa"/>
                  <w:vAlign w:val="center"/>
                </w:tcPr>
                <w:p w14:paraId="38DCC1F9">
                  <w:pPr>
                    <w:keepNext w:val="0"/>
                    <w:keepLines w:val="0"/>
                    <w:pageBreakBefore w:val="0"/>
                    <w:kinsoku/>
                    <w:wordWrap/>
                    <w:overflowPunct/>
                    <w:topLinePunct w:val="0"/>
                    <w:autoSpaceDE/>
                    <w:autoSpaceDN/>
                    <w:bidi w:val="0"/>
                    <w:adjustRightInd/>
                    <w:snapToGrid/>
                    <w:spacing w:line="0" w:lineRule="atLeast"/>
                    <w:ind w:left="0" w:leftChars="0"/>
                    <w:jc w:val="center"/>
                    <w:rPr>
                      <w:rFonts w:hint="default" w:ascii="Times New Roman" w:hAnsi="Times New Roman" w:eastAsia="宋体" w:cs="Times New Roman"/>
                      <w:color w:val="0000FF"/>
                      <w:kern w:val="2"/>
                      <w:sz w:val="21"/>
                      <w:szCs w:val="21"/>
                      <w:lang w:val="en-US" w:eastAsia="zh-CN" w:bidi="ar-SA"/>
                    </w:rPr>
                  </w:pPr>
                  <w:r>
                    <w:rPr>
                      <w:rFonts w:hint="eastAsia" w:cs="Times New Roman"/>
                      <w:color w:val="0000FF"/>
                      <w:kern w:val="2"/>
                      <w:sz w:val="21"/>
                      <w:szCs w:val="21"/>
                      <w:lang w:val="en-US" w:eastAsia="zh-CN" w:bidi="ar-SA"/>
                    </w:rPr>
                    <w:t>0</w:t>
                  </w:r>
                  <w:r>
                    <w:rPr>
                      <w:rFonts w:hint="eastAsia" w:cs="Times New Roman"/>
                      <w:color w:val="0000FF"/>
                      <w:sz w:val="21"/>
                      <w:szCs w:val="21"/>
                      <w:lang w:val="en-US" w:eastAsia="zh-CN"/>
                    </w:rPr>
                    <w:t>t/a</w:t>
                  </w:r>
                </w:p>
              </w:tc>
              <w:tc>
                <w:tcPr>
                  <w:tcW w:w="1601" w:type="dxa"/>
                  <w:vAlign w:val="center"/>
                </w:tcPr>
                <w:p w14:paraId="755CF110">
                  <w:pPr>
                    <w:keepNext w:val="0"/>
                    <w:keepLines w:val="0"/>
                    <w:pageBreakBefore w:val="0"/>
                    <w:kinsoku/>
                    <w:wordWrap/>
                    <w:overflowPunct/>
                    <w:topLinePunct w:val="0"/>
                    <w:autoSpaceDE/>
                    <w:autoSpaceDN/>
                    <w:bidi w:val="0"/>
                    <w:adjustRightInd/>
                    <w:snapToGrid/>
                    <w:spacing w:line="0" w:lineRule="atLeast"/>
                    <w:ind w:left="0" w:leftChars="0"/>
                    <w:jc w:val="center"/>
                    <w:rPr>
                      <w:rFonts w:hint="default" w:cs="Times New Roman"/>
                      <w:color w:val="0000FF"/>
                      <w:kern w:val="2"/>
                      <w:sz w:val="21"/>
                      <w:szCs w:val="21"/>
                      <w:lang w:val="en-US" w:eastAsia="zh-CN" w:bidi="ar-SA"/>
                    </w:rPr>
                  </w:pPr>
                  <w:r>
                    <w:rPr>
                      <w:rFonts w:hint="eastAsia" w:cs="Times New Roman"/>
                      <w:color w:val="0000FF"/>
                      <w:kern w:val="2"/>
                      <w:sz w:val="21"/>
                      <w:szCs w:val="21"/>
                      <w:lang w:val="en-US" w:eastAsia="zh-CN" w:bidi="ar-SA"/>
                    </w:rPr>
                    <w:t>2600</w:t>
                  </w:r>
                  <w:r>
                    <w:rPr>
                      <w:rFonts w:hint="eastAsia" w:cs="Times New Roman"/>
                      <w:color w:val="0000FF"/>
                      <w:sz w:val="21"/>
                      <w:szCs w:val="21"/>
                      <w:lang w:val="en-US" w:eastAsia="zh-CN"/>
                    </w:rPr>
                    <w:t>t/a</w:t>
                  </w:r>
                </w:p>
              </w:tc>
              <w:tc>
                <w:tcPr>
                  <w:tcW w:w="1094" w:type="dxa"/>
                  <w:vAlign w:val="center"/>
                </w:tcPr>
                <w:p w14:paraId="6BBE39BE">
                  <w:pPr>
                    <w:keepNext w:val="0"/>
                    <w:keepLines w:val="0"/>
                    <w:suppressLineNumbers w:val="0"/>
                    <w:spacing w:before="0" w:beforeAutospacing="0" w:after="0" w:afterAutospacing="0" w:line="240" w:lineRule="atLeast"/>
                    <w:ind w:left="0" w:right="0"/>
                    <w:jc w:val="center"/>
                    <w:rPr>
                      <w:rFonts w:hint="eastAsia" w:cs="Times New Roman"/>
                      <w:color w:val="auto"/>
                      <w:sz w:val="21"/>
                      <w:szCs w:val="21"/>
                      <w:lang w:val="en-US" w:eastAsia="zh-CN"/>
                    </w:rPr>
                  </w:pPr>
                  <w:r>
                    <w:rPr>
                      <w:rFonts w:hint="eastAsia" w:cs="Times New Roman"/>
                      <w:color w:val="auto"/>
                      <w:sz w:val="21"/>
                      <w:szCs w:val="21"/>
                      <w:lang w:val="en-US" w:eastAsia="zh-CN"/>
                    </w:rPr>
                    <w:t>—</w:t>
                  </w:r>
                </w:p>
              </w:tc>
              <w:tc>
                <w:tcPr>
                  <w:tcW w:w="2108" w:type="dxa"/>
                  <w:vAlign w:val="center"/>
                </w:tcPr>
                <w:p w14:paraId="6F05E1AD">
                  <w:pPr>
                    <w:keepNext w:val="0"/>
                    <w:keepLines w:val="0"/>
                    <w:suppressLineNumbers w:val="0"/>
                    <w:spacing w:before="0" w:beforeAutospacing="0" w:after="0" w:afterAutospacing="0" w:line="240" w:lineRule="atLeast"/>
                    <w:ind w:left="0" w:right="0"/>
                    <w:jc w:val="center"/>
                    <w:rPr>
                      <w:rFonts w:hint="default" w:cs="Times New Roman"/>
                      <w:color w:val="0000FF"/>
                      <w:sz w:val="21"/>
                      <w:szCs w:val="21"/>
                      <w:lang w:val="en-US" w:eastAsia="zh-CN"/>
                    </w:rPr>
                  </w:pPr>
                  <w:r>
                    <w:rPr>
                      <w:rFonts w:hint="eastAsia" w:cs="Times New Roman"/>
                      <w:color w:val="0000FF"/>
                      <w:sz w:val="21"/>
                      <w:szCs w:val="21"/>
                      <w:lang w:val="en-US" w:eastAsia="zh-CN"/>
                    </w:rPr>
                    <w:t>PP吨包内衬为PE材质，运输进厂前已分选好</w:t>
                  </w:r>
                </w:p>
              </w:tc>
            </w:tr>
            <w:tr w14:paraId="439C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00" w:type="dxa"/>
                  <w:vMerge w:val="continue"/>
                  <w:vAlign w:val="center"/>
                </w:tcPr>
                <w:p w14:paraId="70EE40DC">
                  <w:pPr>
                    <w:keepNext w:val="0"/>
                    <w:keepLines w:val="0"/>
                    <w:suppressLineNumbers w:val="0"/>
                    <w:spacing w:before="0" w:beforeAutospacing="0" w:after="0" w:afterAutospacing="0" w:line="240" w:lineRule="atLeast"/>
                    <w:ind w:left="0" w:right="0"/>
                    <w:jc w:val="center"/>
                    <w:rPr>
                      <w:rFonts w:hint="eastAsia" w:ascii="Times New Roman" w:hAnsi="Times New Roman" w:eastAsia="宋体" w:cs="Times New Roman"/>
                      <w:color w:val="auto"/>
                      <w:sz w:val="21"/>
                      <w:szCs w:val="21"/>
                    </w:rPr>
                  </w:pPr>
                </w:p>
              </w:tc>
              <w:tc>
                <w:tcPr>
                  <w:tcW w:w="723" w:type="dxa"/>
                  <w:vMerge w:val="continue"/>
                  <w:vAlign w:val="center"/>
                </w:tcPr>
                <w:p w14:paraId="7B374788">
                  <w:pPr>
                    <w:keepNext w:val="0"/>
                    <w:keepLines w:val="0"/>
                    <w:pageBreakBefore w:val="0"/>
                    <w:kinsoku/>
                    <w:wordWrap/>
                    <w:overflowPunct/>
                    <w:topLinePunct w:val="0"/>
                    <w:autoSpaceDE/>
                    <w:autoSpaceDN/>
                    <w:bidi w:val="0"/>
                    <w:adjustRightInd/>
                    <w:snapToGrid/>
                    <w:spacing w:line="0" w:lineRule="atLeast"/>
                    <w:ind w:left="0" w:leftChars="0"/>
                    <w:jc w:val="center"/>
                    <w:rPr>
                      <w:rFonts w:hint="eastAsia" w:cs="Times New Roman"/>
                      <w:color w:val="0000FF"/>
                      <w:kern w:val="2"/>
                      <w:sz w:val="21"/>
                      <w:szCs w:val="21"/>
                      <w:lang w:val="en-US" w:eastAsia="zh-CN" w:bidi="ar-SA"/>
                    </w:rPr>
                  </w:pPr>
                </w:p>
              </w:tc>
              <w:tc>
                <w:tcPr>
                  <w:tcW w:w="723" w:type="dxa"/>
                  <w:vAlign w:val="center"/>
                </w:tcPr>
                <w:p w14:paraId="2B4BD325">
                  <w:pPr>
                    <w:keepNext w:val="0"/>
                    <w:keepLines w:val="0"/>
                    <w:pageBreakBefore w:val="0"/>
                    <w:kinsoku/>
                    <w:wordWrap/>
                    <w:overflowPunct/>
                    <w:topLinePunct w:val="0"/>
                    <w:autoSpaceDE/>
                    <w:autoSpaceDN/>
                    <w:bidi w:val="0"/>
                    <w:adjustRightInd/>
                    <w:snapToGrid/>
                    <w:spacing w:line="0" w:lineRule="atLeast"/>
                    <w:ind w:left="0" w:leftChars="0"/>
                    <w:jc w:val="center"/>
                    <w:rPr>
                      <w:rFonts w:hint="eastAsia" w:cs="Times New Roman"/>
                      <w:color w:val="0000FF"/>
                      <w:kern w:val="2"/>
                      <w:sz w:val="21"/>
                      <w:szCs w:val="21"/>
                      <w:lang w:val="en-US" w:eastAsia="zh-CN" w:bidi="ar-SA"/>
                    </w:rPr>
                  </w:pPr>
                  <w:r>
                    <w:rPr>
                      <w:rFonts w:hint="eastAsia" w:cs="Times New Roman"/>
                      <w:color w:val="0000FF"/>
                      <w:kern w:val="2"/>
                      <w:sz w:val="21"/>
                      <w:szCs w:val="21"/>
                      <w:lang w:val="en-US" w:eastAsia="zh-CN" w:bidi="ar-SA"/>
                    </w:rPr>
                    <w:t>PE吨包</w:t>
                  </w:r>
                </w:p>
              </w:tc>
              <w:tc>
                <w:tcPr>
                  <w:tcW w:w="1567" w:type="dxa"/>
                  <w:vAlign w:val="center"/>
                </w:tcPr>
                <w:p w14:paraId="0CBE7EE6">
                  <w:pPr>
                    <w:keepNext w:val="0"/>
                    <w:keepLines w:val="0"/>
                    <w:pageBreakBefore w:val="0"/>
                    <w:kinsoku/>
                    <w:wordWrap/>
                    <w:overflowPunct/>
                    <w:topLinePunct w:val="0"/>
                    <w:autoSpaceDE/>
                    <w:autoSpaceDN/>
                    <w:bidi w:val="0"/>
                    <w:adjustRightInd/>
                    <w:snapToGrid/>
                    <w:spacing w:line="0" w:lineRule="atLeast"/>
                    <w:ind w:left="0" w:leftChars="0"/>
                    <w:jc w:val="center"/>
                    <w:rPr>
                      <w:rFonts w:hint="eastAsia" w:cs="Times New Roman"/>
                      <w:color w:val="0000FF"/>
                      <w:kern w:val="2"/>
                      <w:sz w:val="21"/>
                      <w:szCs w:val="21"/>
                      <w:lang w:val="en-US" w:eastAsia="zh-CN" w:bidi="ar-SA"/>
                    </w:rPr>
                  </w:pPr>
                  <w:r>
                    <w:rPr>
                      <w:rFonts w:hint="eastAsia" w:cs="Times New Roman"/>
                      <w:color w:val="0000FF"/>
                      <w:kern w:val="2"/>
                      <w:sz w:val="21"/>
                      <w:szCs w:val="21"/>
                      <w:lang w:val="en-US" w:eastAsia="zh-CN" w:bidi="ar-SA"/>
                    </w:rPr>
                    <w:t>0</w:t>
                  </w:r>
                  <w:r>
                    <w:rPr>
                      <w:rFonts w:hint="eastAsia" w:cs="Times New Roman"/>
                      <w:color w:val="0000FF"/>
                      <w:sz w:val="21"/>
                      <w:szCs w:val="21"/>
                      <w:lang w:val="en-US" w:eastAsia="zh-CN"/>
                    </w:rPr>
                    <w:t>t/a</w:t>
                  </w:r>
                </w:p>
              </w:tc>
              <w:tc>
                <w:tcPr>
                  <w:tcW w:w="1601" w:type="dxa"/>
                  <w:vAlign w:val="center"/>
                </w:tcPr>
                <w:p w14:paraId="1FEB9C23">
                  <w:pPr>
                    <w:keepNext w:val="0"/>
                    <w:keepLines w:val="0"/>
                    <w:pageBreakBefore w:val="0"/>
                    <w:kinsoku/>
                    <w:wordWrap/>
                    <w:overflowPunct/>
                    <w:topLinePunct w:val="0"/>
                    <w:autoSpaceDE/>
                    <w:autoSpaceDN/>
                    <w:bidi w:val="0"/>
                    <w:adjustRightInd/>
                    <w:snapToGrid/>
                    <w:spacing w:line="0" w:lineRule="atLeast"/>
                    <w:ind w:left="0" w:leftChars="0"/>
                    <w:jc w:val="center"/>
                    <w:rPr>
                      <w:rFonts w:hint="default" w:cs="Times New Roman"/>
                      <w:color w:val="0000FF"/>
                      <w:kern w:val="2"/>
                      <w:sz w:val="21"/>
                      <w:szCs w:val="21"/>
                      <w:lang w:val="en-US" w:eastAsia="zh-CN" w:bidi="ar-SA"/>
                    </w:rPr>
                  </w:pPr>
                  <w:r>
                    <w:rPr>
                      <w:rFonts w:hint="eastAsia" w:cs="Times New Roman"/>
                      <w:color w:val="0000FF"/>
                      <w:kern w:val="2"/>
                      <w:sz w:val="21"/>
                      <w:szCs w:val="21"/>
                      <w:lang w:val="en-US" w:eastAsia="zh-CN" w:bidi="ar-SA"/>
                    </w:rPr>
                    <w:t>1010</w:t>
                  </w:r>
                  <w:r>
                    <w:rPr>
                      <w:rFonts w:hint="eastAsia" w:cs="Times New Roman"/>
                      <w:color w:val="0000FF"/>
                      <w:sz w:val="21"/>
                      <w:szCs w:val="21"/>
                      <w:lang w:val="en-US" w:eastAsia="zh-CN"/>
                    </w:rPr>
                    <w:t>t/a</w:t>
                  </w:r>
                </w:p>
              </w:tc>
              <w:tc>
                <w:tcPr>
                  <w:tcW w:w="1094" w:type="dxa"/>
                  <w:vAlign w:val="center"/>
                </w:tcPr>
                <w:p w14:paraId="2BB45282">
                  <w:pPr>
                    <w:keepNext w:val="0"/>
                    <w:keepLines w:val="0"/>
                    <w:suppressLineNumbers w:val="0"/>
                    <w:spacing w:before="0" w:beforeAutospacing="0" w:after="0" w:afterAutospacing="0" w:line="240" w:lineRule="atLeast"/>
                    <w:ind w:left="0" w:leftChars="0" w:right="0" w:rightChars="0"/>
                    <w:jc w:val="center"/>
                    <w:rPr>
                      <w:rFonts w:hint="eastAsia" w:cs="Times New Roman"/>
                      <w:color w:val="auto"/>
                      <w:sz w:val="21"/>
                      <w:szCs w:val="21"/>
                      <w:lang w:val="en-US" w:eastAsia="zh-CN"/>
                    </w:rPr>
                  </w:pPr>
                  <w:r>
                    <w:rPr>
                      <w:rFonts w:hint="eastAsia" w:cs="Times New Roman"/>
                      <w:color w:val="auto"/>
                      <w:sz w:val="21"/>
                      <w:szCs w:val="21"/>
                      <w:lang w:val="en-US" w:eastAsia="zh-CN"/>
                    </w:rPr>
                    <w:t>—</w:t>
                  </w:r>
                </w:p>
              </w:tc>
              <w:tc>
                <w:tcPr>
                  <w:tcW w:w="2108" w:type="dxa"/>
                  <w:vAlign w:val="center"/>
                </w:tcPr>
                <w:p w14:paraId="3BD40AE0">
                  <w:pPr>
                    <w:keepNext w:val="0"/>
                    <w:keepLines w:val="0"/>
                    <w:suppressLineNumbers w:val="0"/>
                    <w:spacing w:before="0" w:beforeAutospacing="0" w:after="0" w:afterAutospacing="0" w:line="240" w:lineRule="atLeast"/>
                    <w:ind w:left="0" w:leftChars="0" w:right="0" w:rightChars="0"/>
                    <w:jc w:val="center"/>
                    <w:rPr>
                      <w:rFonts w:hint="default" w:cs="Times New Roman"/>
                      <w:color w:val="0000FF"/>
                      <w:sz w:val="21"/>
                      <w:szCs w:val="21"/>
                      <w:lang w:val="en-US" w:eastAsia="zh-CN"/>
                    </w:rPr>
                  </w:pPr>
                  <w:r>
                    <w:rPr>
                      <w:rFonts w:hint="eastAsia" w:cs="Times New Roman"/>
                      <w:color w:val="0000FF"/>
                      <w:sz w:val="21"/>
                      <w:szCs w:val="21"/>
                      <w:lang w:val="en-US" w:eastAsia="zh-CN"/>
                    </w:rPr>
                    <w:t>年用量包含PP吨包的PE内衬</w:t>
                  </w:r>
                </w:p>
              </w:tc>
            </w:tr>
            <w:tr w14:paraId="34D7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00" w:type="dxa"/>
                  <w:vAlign w:val="center"/>
                </w:tcPr>
                <w:p w14:paraId="6DDA0079">
                  <w:pPr>
                    <w:keepNext w:val="0"/>
                    <w:keepLines w:val="0"/>
                    <w:suppressLineNumbers w:val="0"/>
                    <w:spacing w:before="0" w:beforeAutospacing="0" w:after="0" w:afterAutospacing="0" w:line="240" w:lineRule="atLeast"/>
                    <w:ind w:left="0" w:right="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3</w:t>
                  </w:r>
                </w:p>
              </w:tc>
              <w:tc>
                <w:tcPr>
                  <w:tcW w:w="1446" w:type="dxa"/>
                  <w:gridSpan w:val="2"/>
                  <w:vAlign w:val="center"/>
                </w:tcPr>
                <w:p w14:paraId="216ADDBE">
                  <w:pPr>
                    <w:keepNext w:val="0"/>
                    <w:keepLines w:val="0"/>
                    <w:pageBreakBefore w:val="0"/>
                    <w:kinsoku/>
                    <w:wordWrap/>
                    <w:overflowPunct/>
                    <w:topLinePunct w:val="0"/>
                    <w:autoSpaceDE/>
                    <w:autoSpaceDN/>
                    <w:bidi w:val="0"/>
                    <w:adjustRightInd/>
                    <w:snapToGrid/>
                    <w:spacing w:line="0" w:lineRule="atLeast"/>
                    <w:ind w:left="0" w:leftChars="0"/>
                    <w:jc w:val="center"/>
                    <w:rPr>
                      <w:rFonts w:hint="default" w:cs="Times New Roman"/>
                      <w:color w:val="0000FF"/>
                      <w:kern w:val="2"/>
                      <w:sz w:val="21"/>
                      <w:szCs w:val="21"/>
                      <w:lang w:val="en-US" w:eastAsia="zh-CN" w:bidi="ar-SA"/>
                    </w:rPr>
                  </w:pPr>
                  <w:r>
                    <w:rPr>
                      <w:rFonts w:hint="eastAsia" w:cs="Times New Roman"/>
                      <w:color w:val="0000FF"/>
                      <w:kern w:val="2"/>
                      <w:sz w:val="21"/>
                      <w:szCs w:val="21"/>
                      <w:lang w:val="en-US" w:eastAsia="zh-CN" w:bidi="ar-SA"/>
                    </w:rPr>
                    <w:t>废PP片料</w:t>
                  </w:r>
                </w:p>
              </w:tc>
              <w:tc>
                <w:tcPr>
                  <w:tcW w:w="1567" w:type="dxa"/>
                  <w:vAlign w:val="center"/>
                </w:tcPr>
                <w:p w14:paraId="4D6A3B8E">
                  <w:pPr>
                    <w:keepNext w:val="0"/>
                    <w:keepLines w:val="0"/>
                    <w:pageBreakBefore w:val="0"/>
                    <w:kinsoku/>
                    <w:wordWrap/>
                    <w:overflowPunct/>
                    <w:topLinePunct w:val="0"/>
                    <w:autoSpaceDE/>
                    <w:autoSpaceDN/>
                    <w:bidi w:val="0"/>
                    <w:adjustRightInd/>
                    <w:snapToGrid/>
                    <w:spacing w:line="0" w:lineRule="atLeast"/>
                    <w:ind w:left="0" w:leftChars="0"/>
                    <w:jc w:val="center"/>
                    <w:rPr>
                      <w:rFonts w:hint="default" w:ascii="Times New Roman" w:hAnsi="Times New Roman" w:eastAsia="宋体" w:cs="Times New Roman"/>
                      <w:color w:val="0000FF"/>
                      <w:kern w:val="2"/>
                      <w:sz w:val="21"/>
                      <w:szCs w:val="21"/>
                      <w:lang w:val="en-US" w:eastAsia="zh-CN" w:bidi="ar-SA"/>
                    </w:rPr>
                  </w:pPr>
                  <w:r>
                    <w:rPr>
                      <w:rFonts w:hint="eastAsia" w:cs="Times New Roman"/>
                      <w:color w:val="0000FF"/>
                      <w:kern w:val="2"/>
                      <w:sz w:val="21"/>
                      <w:szCs w:val="21"/>
                      <w:lang w:val="en-US" w:eastAsia="zh-CN" w:bidi="ar-SA"/>
                    </w:rPr>
                    <w:t>0</w:t>
                  </w:r>
                  <w:r>
                    <w:rPr>
                      <w:rFonts w:hint="eastAsia" w:cs="Times New Roman"/>
                      <w:color w:val="0000FF"/>
                      <w:sz w:val="21"/>
                      <w:szCs w:val="21"/>
                      <w:lang w:val="en-US" w:eastAsia="zh-CN"/>
                    </w:rPr>
                    <w:t>t/a</w:t>
                  </w:r>
                </w:p>
              </w:tc>
              <w:tc>
                <w:tcPr>
                  <w:tcW w:w="1601" w:type="dxa"/>
                  <w:vAlign w:val="center"/>
                </w:tcPr>
                <w:p w14:paraId="6B11E19D">
                  <w:pPr>
                    <w:keepNext w:val="0"/>
                    <w:keepLines w:val="0"/>
                    <w:pageBreakBefore w:val="0"/>
                    <w:kinsoku/>
                    <w:wordWrap/>
                    <w:overflowPunct/>
                    <w:topLinePunct w:val="0"/>
                    <w:autoSpaceDE/>
                    <w:autoSpaceDN/>
                    <w:bidi w:val="0"/>
                    <w:adjustRightInd/>
                    <w:snapToGrid/>
                    <w:spacing w:line="0" w:lineRule="atLeast"/>
                    <w:ind w:left="0" w:leftChars="0"/>
                    <w:jc w:val="center"/>
                    <w:rPr>
                      <w:rFonts w:hint="eastAsia" w:cs="Times New Roman"/>
                      <w:color w:val="0000FF"/>
                      <w:kern w:val="2"/>
                      <w:sz w:val="21"/>
                      <w:szCs w:val="21"/>
                      <w:lang w:val="en-US" w:eastAsia="zh-CN" w:bidi="ar-SA"/>
                    </w:rPr>
                  </w:pPr>
                  <w:r>
                    <w:rPr>
                      <w:rFonts w:hint="eastAsia" w:cs="Times New Roman"/>
                      <w:color w:val="0000FF"/>
                      <w:kern w:val="2"/>
                      <w:sz w:val="21"/>
                      <w:szCs w:val="21"/>
                      <w:lang w:val="en-US" w:eastAsia="zh-CN" w:bidi="ar-SA"/>
                    </w:rPr>
                    <w:t>1425</w:t>
                  </w:r>
                  <w:r>
                    <w:rPr>
                      <w:rFonts w:hint="eastAsia" w:cs="Times New Roman"/>
                      <w:color w:val="0000FF"/>
                      <w:sz w:val="21"/>
                      <w:szCs w:val="21"/>
                      <w:lang w:val="en-US" w:eastAsia="zh-CN"/>
                    </w:rPr>
                    <w:t>t/a</w:t>
                  </w:r>
                </w:p>
              </w:tc>
              <w:tc>
                <w:tcPr>
                  <w:tcW w:w="1094" w:type="dxa"/>
                  <w:vAlign w:val="center"/>
                </w:tcPr>
                <w:p w14:paraId="0959CA4F">
                  <w:pPr>
                    <w:keepNext w:val="0"/>
                    <w:keepLines w:val="0"/>
                    <w:suppressLineNumbers w:val="0"/>
                    <w:spacing w:before="0" w:beforeAutospacing="0" w:after="0" w:afterAutospacing="0" w:line="240" w:lineRule="atLeast"/>
                    <w:ind w:left="0" w:right="0"/>
                    <w:jc w:val="center"/>
                    <w:rPr>
                      <w:rFonts w:hint="default" w:cs="Times New Roman"/>
                      <w:color w:val="FF0000"/>
                      <w:sz w:val="21"/>
                      <w:szCs w:val="21"/>
                      <w:lang w:val="en-US" w:eastAsia="zh-CN"/>
                    </w:rPr>
                  </w:pPr>
                  <w:r>
                    <w:rPr>
                      <w:rFonts w:hint="eastAsia" w:cs="Times New Roman"/>
                      <w:color w:val="auto"/>
                      <w:sz w:val="21"/>
                      <w:szCs w:val="21"/>
                      <w:lang w:val="en-US" w:eastAsia="zh-CN"/>
                    </w:rPr>
                    <w:t>吨包</w:t>
                  </w:r>
                </w:p>
              </w:tc>
              <w:tc>
                <w:tcPr>
                  <w:tcW w:w="2108" w:type="dxa"/>
                  <w:vAlign w:val="center"/>
                </w:tcPr>
                <w:p w14:paraId="0161E76C">
                  <w:pPr>
                    <w:keepNext w:val="0"/>
                    <w:keepLines w:val="0"/>
                    <w:suppressLineNumbers w:val="0"/>
                    <w:spacing w:before="0" w:beforeAutospacing="0" w:after="0" w:afterAutospacing="0" w:line="240" w:lineRule="atLeast"/>
                    <w:ind w:left="0" w:right="0"/>
                    <w:jc w:val="center"/>
                    <w:rPr>
                      <w:rFonts w:hint="eastAsia" w:cs="Times New Roman"/>
                      <w:color w:val="auto"/>
                      <w:sz w:val="21"/>
                      <w:szCs w:val="21"/>
                      <w:lang w:val="en-US" w:eastAsia="zh-CN"/>
                    </w:rPr>
                  </w:pPr>
                </w:p>
              </w:tc>
            </w:tr>
            <w:tr w14:paraId="57B3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00" w:type="dxa"/>
                  <w:vAlign w:val="center"/>
                </w:tcPr>
                <w:p w14:paraId="3630372B">
                  <w:pPr>
                    <w:keepNext w:val="0"/>
                    <w:keepLines w:val="0"/>
                    <w:suppressLineNumbers w:val="0"/>
                    <w:spacing w:before="0" w:beforeAutospacing="0" w:after="0" w:afterAutospacing="0" w:line="240" w:lineRule="atLeast"/>
                    <w:ind w:left="0" w:leftChars="0" w:right="0" w:rightChars="0"/>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4</w:t>
                  </w:r>
                </w:p>
              </w:tc>
              <w:tc>
                <w:tcPr>
                  <w:tcW w:w="1446" w:type="dxa"/>
                  <w:gridSpan w:val="2"/>
                  <w:vAlign w:val="center"/>
                </w:tcPr>
                <w:p w14:paraId="091B9F98">
                  <w:pPr>
                    <w:keepNext w:val="0"/>
                    <w:keepLines w:val="0"/>
                    <w:pageBreakBefore w:val="0"/>
                    <w:kinsoku/>
                    <w:wordWrap/>
                    <w:overflowPunct/>
                    <w:topLinePunct w:val="0"/>
                    <w:autoSpaceDE/>
                    <w:autoSpaceDN/>
                    <w:bidi w:val="0"/>
                    <w:adjustRightInd/>
                    <w:snapToGrid/>
                    <w:spacing w:line="0" w:lineRule="atLeast"/>
                    <w:ind w:left="0" w:leftChars="0"/>
                    <w:jc w:val="center"/>
                    <w:rPr>
                      <w:rFonts w:hint="eastAsia" w:cs="Times New Roman"/>
                      <w:color w:val="0000FF"/>
                      <w:kern w:val="2"/>
                      <w:sz w:val="21"/>
                      <w:szCs w:val="21"/>
                      <w:lang w:val="en-US" w:eastAsia="zh-CN" w:bidi="ar-SA"/>
                    </w:rPr>
                  </w:pPr>
                  <w:r>
                    <w:rPr>
                      <w:rFonts w:hint="eastAsia" w:cs="Times New Roman"/>
                      <w:color w:val="0000FF"/>
                      <w:kern w:val="2"/>
                      <w:sz w:val="21"/>
                      <w:szCs w:val="21"/>
                      <w:lang w:val="en-US" w:eastAsia="zh-CN" w:bidi="ar-SA"/>
                    </w:rPr>
                    <w:t>废ABS片料</w:t>
                  </w:r>
                </w:p>
              </w:tc>
              <w:tc>
                <w:tcPr>
                  <w:tcW w:w="1567" w:type="dxa"/>
                  <w:vAlign w:val="center"/>
                </w:tcPr>
                <w:p w14:paraId="01F0FD4C">
                  <w:pPr>
                    <w:keepNext w:val="0"/>
                    <w:keepLines w:val="0"/>
                    <w:pageBreakBefore w:val="0"/>
                    <w:kinsoku/>
                    <w:wordWrap/>
                    <w:overflowPunct/>
                    <w:topLinePunct w:val="0"/>
                    <w:autoSpaceDE/>
                    <w:autoSpaceDN/>
                    <w:bidi w:val="0"/>
                    <w:adjustRightInd/>
                    <w:snapToGrid/>
                    <w:spacing w:line="0" w:lineRule="atLeast"/>
                    <w:ind w:left="0" w:leftChars="0"/>
                    <w:jc w:val="center"/>
                    <w:rPr>
                      <w:rFonts w:hint="eastAsia" w:cs="Times New Roman"/>
                      <w:color w:val="0000FF"/>
                      <w:kern w:val="2"/>
                      <w:sz w:val="21"/>
                      <w:szCs w:val="21"/>
                      <w:lang w:val="en-US" w:eastAsia="zh-CN" w:bidi="ar-SA"/>
                    </w:rPr>
                  </w:pPr>
                  <w:r>
                    <w:rPr>
                      <w:rFonts w:hint="eastAsia" w:cs="Times New Roman"/>
                      <w:color w:val="0000FF"/>
                      <w:kern w:val="2"/>
                      <w:sz w:val="21"/>
                      <w:szCs w:val="21"/>
                      <w:lang w:val="en-US" w:eastAsia="zh-CN" w:bidi="ar-SA"/>
                    </w:rPr>
                    <w:t>0</w:t>
                  </w:r>
                  <w:r>
                    <w:rPr>
                      <w:rFonts w:hint="eastAsia" w:cs="Times New Roman"/>
                      <w:color w:val="0000FF"/>
                      <w:sz w:val="21"/>
                      <w:szCs w:val="21"/>
                      <w:lang w:val="en-US" w:eastAsia="zh-CN"/>
                    </w:rPr>
                    <w:t>t/a</w:t>
                  </w:r>
                </w:p>
              </w:tc>
              <w:tc>
                <w:tcPr>
                  <w:tcW w:w="1601" w:type="dxa"/>
                  <w:vAlign w:val="center"/>
                </w:tcPr>
                <w:p w14:paraId="360BD930">
                  <w:pPr>
                    <w:keepNext w:val="0"/>
                    <w:keepLines w:val="0"/>
                    <w:pageBreakBefore w:val="0"/>
                    <w:kinsoku/>
                    <w:wordWrap/>
                    <w:overflowPunct/>
                    <w:topLinePunct w:val="0"/>
                    <w:autoSpaceDE/>
                    <w:autoSpaceDN/>
                    <w:bidi w:val="0"/>
                    <w:adjustRightInd/>
                    <w:snapToGrid/>
                    <w:spacing w:line="0" w:lineRule="atLeast"/>
                    <w:ind w:left="0" w:leftChars="0"/>
                    <w:jc w:val="center"/>
                    <w:rPr>
                      <w:rFonts w:hint="eastAsia" w:cs="Times New Roman"/>
                      <w:color w:val="0000FF"/>
                      <w:kern w:val="2"/>
                      <w:sz w:val="21"/>
                      <w:szCs w:val="21"/>
                      <w:lang w:val="en-US" w:eastAsia="zh-CN" w:bidi="ar-SA"/>
                    </w:rPr>
                  </w:pPr>
                  <w:r>
                    <w:rPr>
                      <w:rFonts w:hint="eastAsia" w:cs="Times New Roman"/>
                      <w:color w:val="0000FF"/>
                      <w:kern w:val="2"/>
                      <w:sz w:val="21"/>
                      <w:szCs w:val="21"/>
                      <w:lang w:val="en-US" w:eastAsia="zh-CN" w:bidi="ar-SA"/>
                    </w:rPr>
                    <w:t>2020</w:t>
                  </w:r>
                  <w:r>
                    <w:rPr>
                      <w:rFonts w:hint="eastAsia" w:cs="Times New Roman"/>
                      <w:color w:val="0000FF"/>
                      <w:sz w:val="21"/>
                      <w:szCs w:val="21"/>
                      <w:lang w:val="en-US" w:eastAsia="zh-CN"/>
                    </w:rPr>
                    <w:t>t/a</w:t>
                  </w:r>
                </w:p>
              </w:tc>
              <w:tc>
                <w:tcPr>
                  <w:tcW w:w="1094" w:type="dxa"/>
                  <w:vAlign w:val="center"/>
                </w:tcPr>
                <w:p w14:paraId="5972CC96">
                  <w:pPr>
                    <w:keepNext w:val="0"/>
                    <w:keepLines w:val="0"/>
                    <w:suppressLineNumbers w:val="0"/>
                    <w:spacing w:before="0" w:beforeAutospacing="0" w:after="0" w:afterAutospacing="0" w:line="240" w:lineRule="atLeast"/>
                    <w:ind w:left="0" w:leftChars="0" w:right="0" w:rightChars="0"/>
                    <w:jc w:val="center"/>
                    <w:rPr>
                      <w:rFonts w:hint="eastAsia" w:cs="Times New Roman"/>
                      <w:color w:val="auto"/>
                      <w:sz w:val="21"/>
                      <w:szCs w:val="21"/>
                      <w:lang w:val="en-US" w:eastAsia="zh-CN"/>
                    </w:rPr>
                  </w:pPr>
                  <w:r>
                    <w:rPr>
                      <w:rFonts w:hint="eastAsia" w:cs="Times New Roman"/>
                      <w:color w:val="auto"/>
                      <w:sz w:val="21"/>
                      <w:szCs w:val="21"/>
                      <w:lang w:val="en-US" w:eastAsia="zh-CN"/>
                    </w:rPr>
                    <w:t>吨包</w:t>
                  </w:r>
                </w:p>
              </w:tc>
              <w:tc>
                <w:tcPr>
                  <w:tcW w:w="2108" w:type="dxa"/>
                  <w:vAlign w:val="center"/>
                </w:tcPr>
                <w:p w14:paraId="126813F4">
                  <w:pPr>
                    <w:keepNext w:val="0"/>
                    <w:keepLines w:val="0"/>
                    <w:suppressLineNumbers w:val="0"/>
                    <w:spacing w:before="0" w:beforeAutospacing="0" w:after="0" w:afterAutospacing="0" w:line="240" w:lineRule="atLeast"/>
                    <w:ind w:left="0" w:leftChars="0" w:right="0" w:rightChars="0"/>
                    <w:jc w:val="center"/>
                    <w:rPr>
                      <w:rFonts w:hint="eastAsia" w:cs="Times New Roman"/>
                      <w:color w:val="auto"/>
                      <w:sz w:val="21"/>
                      <w:szCs w:val="21"/>
                      <w:lang w:val="en-US" w:eastAsia="zh-CN"/>
                    </w:rPr>
                  </w:pPr>
                </w:p>
              </w:tc>
            </w:tr>
            <w:tr w14:paraId="0645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00" w:type="dxa"/>
                  <w:vAlign w:val="center"/>
                </w:tcPr>
                <w:p w14:paraId="31716D89">
                  <w:pPr>
                    <w:keepNext w:val="0"/>
                    <w:keepLines w:val="0"/>
                    <w:suppressLineNumbers w:val="0"/>
                    <w:spacing w:before="0" w:beforeAutospacing="0" w:after="0" w:afterAutospacing="0" w:line="240" w:lineRule="atLeast"/>
                    <w:ind w:left="0" w:leftChars="0" w:right="0" w:rightChars="0"/>
                    <w:jc w:val="center"/>
                    <w:rPr>
                      <w:rFonts w:hint="default" w:cs="Times New Roman"/>
                      <w:color w:val="auto"/>
                      <w:sz w:val="21"/>
                      <w:szCs w:val="21"/>
                      <w:lang w:val="en-US" w:eastAsia="zh-CN"/>
                    </w:rPr>
                  </w:pPr>
                  <w:r>
                    <w:rPr>
                      <w:rFonts w:hint="eastAsia" w:cs="Times New Roman"/>
                      <w:color w:val="auto"/>
                      <w:sz w:val="21"/>
                      <w:szCs w:val="21"/>
                      <w:lang w:val="en-US" w:eastAsia="zh-CN"/>
                    </w:rPr>
                    <w:t>5</w:t>
                  </w:r>
                </w:p>
              </w:tc>
              <w:tc>
                <w:tcPr>
                  <w:tcW w:w="1446" w:type="dxa"/>
                  <w:gridSpan w:val="2"/>
                  <w:vAlign w:val="center"/>
                </w:tcPr>
                <w:p w14:paraId="4FD965D8">
                  <w:pPr>
                    <w:keepNext w:val="0"/>
                    <w:keepLines w:val="0"/>
                    <w:pageBreakBefore w:val="0"/>
                    <w:kinsoku/>
                    <w:wordWrap/>
                    <w:overflowPunct/>
                    <w:topLinePunct w:val="0"/>
                    <w:autoSpaceDE/>
                    <w:autoSpaceDN/>
                    <w:bidi w:val="0"/>
                    <w:adjustRightInd/>
                    <w:snapToGrid/>
                    <w:spacing w:line="0" w:lineRule="atLeast"/>
                    <w:ind w:left="0" w:leftChars="0"/>
                    <w:jc w:val="center"/>
                    <w:rPr>
                      <w:rFonts w:hint="default" w:cs="Times New Roman"/>
                      <w:color w:val="0000FF"/>
                      <w:kern w:val="2"/>
                      <w:sz w:val="21"/>
                      <w:szCs w:val="21"/>
                      <w:lang w:val="en-US" w:eastAsia="zh-CN" w:bidi="ar-SA"/>
                    </w:rPr>
                  </w:pPr>
                  <w:r>
                    <w:rPr>
                      <w:rFonts w:hint="eastAsia" w:cs="Times New Roman"/>
                      <w:color w:val="0000FF"/>
                      <w:kern w:val="2"/>
                      <w:sz w:val="21"/>
                      <w:szCs w:val="21"/>
                      <w:lang w:val="en-US" w:eastAsia="zh-CN" w:bidi="ar-SA"/>
                    </w:rPr>
                    <w:t>PP新料</w:t>
                  </w:r>
                </w:p>
              </w:tc>
              <w:tc>
                <w:tcPr>
                  <w:tcW w:w="1567" w:type="dxa"/>
                  <w:vAlign w:val="center"/>
                </w:tcPr>
                <w:p w14:paraId="3991535E">
                  <w:pPr>
                    <w:keepNext w:val="0"/>
                    <w:keepLines w:val="0"/>
                    <w:pageBreakBefore w:val="0"/>
                    <w:kinsoku/>
                    <w:wordWrap/>
                    <w:overflowPunct/>
                    <w:topLinePunct w:val="0"/>
                    <w:autoSpaceDE/>
                    <w:autoSpaceDN/>
                    <w:bidi w:val="0"/>
                    <w:adjustRightInd/>
                    <w:snapToGrid/>
                    <w:spacing w:line="0" w:lineRule="atLeast"/>
                    <w:ind w:left="0" w:leftChars="0"/>
                    <w:jc w:val="center"/>
                    <w:rPr>
                      <w:rFonts w:hint="eastAsia" w:cs="Times New Roman"/>
                      <w:color w:val="0000FF"/>
                      <w:kern w:val="2"/>
                      <w:sz w:val="21"/>
                      <w:szCs w:val="21"/>
                      <w:lang w:val="en-US" w:eastAsia="zh-CN" w:bidi="ar-SA"/>
                    </w:rPr>
                  </w:pPr>
                  <w:r>
                    <w:rPr>
                      <w:rFonts w:hint="eastAsia" w:cs="Times New Roman"/>
                      <w:color w:val="0000FF"/>
                      <w:kern w:val="2"/>
                      <w:sz w:val="21"/>
                      <w:szCs w:val="21"/>
                      <w:lang w:val="en-US" w:eastAsia="zh-CN" w:bidi="ar-SA"/>
                    </w:rPr>
                    <w:t>0</w:t>
                  </w:r>
                  <w:r>
                    <w:rPr>
                      <w:rFonts w:hint="eastAsia" w:cs="Times New Roman"/>
                      <w:color w:val="0000FF"/>
                      <w:sz w:val="21"/>
                      <w:szCs w:val="21"/>
                      <w:lang w:val="en-US" w:eastAsia="zh-CN"/>
                    </w:rPr>
                    <w:t>t/a</w:t>
                  </w:r>
                </w:p>
              </w:tc>
              <w:tc>
                <w:tcPr>
                  <w:tcW w:w="1601" w:type="dxa"/>
                  <w:vAlign w:val="center"/>
                </w:tcPr>
                <w:p w14:paraId="3015AFF6">
                  <w:pPr>
                    <w:keepNext w:val="0"/>
                    <w:keepLines w:val="0"/>
                    <w:pageBreakBefore w:val="0"/>
                    <w:kinsoku/>
                    <w:wordWrap/>
                    <w:overflowPunct/>
                    <w:topLinePunct w:val="0"/>
                    <w:autoSpaceDE/>
                    <w:autoSpaceDN/>
                    <w:bidi w:val="0"/>
                    <w:adjustRightInd/>
                    <w:snapToGrid/>
                    <w:spacing w:line="0" w:lineRule="atLeast"/>
                    <w:ind w:left="0" w:leftChars="0"/>
                    <w:jc w:val="center"/>
                    <w:rPr>
                      <w:rFonts w:hint="default" w:cs="Times New Roman"/>
                      <w:color w:val="0000FF"/>
                      <w:kern w:val="2"/>
                      <w:sz w:val="21"/>
                      <w:szCs w:val="21"/>
                      <w:lang w:val="en-US" w:eastAsia="zh-CN" w:bidi="ar-SA"/>
                    </w:rPr>
                  </w:pPr>
                  <w:r>
                    <w:rPr>
                      <w:rFonts w:hint="eastAsia" w:cs="Times New Roman"/>
                      <w:color w:val="0000FF"/>
                      <w:kern w:val="2"/>
                      <w:sz w:val="21"/>
                      <w:szCs w:val="21"/>
                      <w:lang w:val="en-US" w:eastAsia="zh-CN" w:bidi="ar-SA"/>
                    </w:rPr>
                    <w:t>4025</w:t>
                  </w:r>
                  <w:r>
                    <w:rPr>
                      <w:rFonts w:hint="eastAsia" w:cs="Times New Roman"/>
                      <w:color w:val="0000FF"/>
                      <w:sz w:val="21"/>
                      <w:szCs w:val="21"/>
                      <w:lang w:val="en-US" w:eastAsia="zh-CN"/>
                    </w:rPr>
                    <w:t>t/a</w:t>
                  </w:r>
                </w:p>
              </w:tc>
              <w:tc>
                <w:tcPr>
                  <w:tcW w:w="1094" w:type="dxa"/>
                  <w:vAlign w:val="center"/>
                </w:tcPr>
                <w:p w14:paraId="4CE335DE">
                  <w:pPr>
                    <w:keepNext w:val="0"/>
                    <w:keepLines w:val="0"/>
                    <w:suppressLineNumbers w:val="0"/>
                    <w:spacing w:before="0" w:beforeAutospacing="0" w:after="0" w:afterAutospacing="0" w:line="240" w:lineRule="atLeast"/>
                    <w:ind w:left="0" w:leftChars="0" w:right="0" w:rightChars="0"/>
                    <w:jc w:val="center"/>
                    <w:rPr>
                      <w:rFonts w:hint="default" w:cs="Times New Roman"/>
                      <w:color w:val="auto"/>
                      <w:sz w:val="21"/>
                      <w:szCs w:val="21"/>
                      <w:lang w:val="en-US" w:eastAsia="zh-CN"/>
                    </w:rPr>
                  </w:pPr>
                  <w:r>
                    <w:rPr>
                      <w:rFonts w:hint="eastAsia" w:cs="Times New Roman"/>
                      <w:color w:val="auto"/>
                      <w:sz w:val="21"/>
                      <w:szCs w:val="21"/>
                      <w:lang w:val="en-US" w:eastAsia="zh-CN"/>
                    </w:rPr>
                    <w:t>袋装</w:t>
                  </w:r>
                </w:p>
              </w:tc>
              <w:tc>
                <w:tcPr>
                  <w:tcW w:w="2108" w:type="dxa"/>
                  <w:vAlign w:val="center"/>
                </w:tcPr>
                <w:p w14:paraId="6BF03365">
                  <w:pPr>
                    <w:keepNext w:val="0"/>
                    <w:keepLines w:val="0"/>
                    <w:suppressLineNumbers w:val="0"/>
                    <w:spacing w:before="0" w:beforeAutospacing="0" w:after="0" w:afterAutospacing="0" w:line="240" w:lineRule="atLeast"/>
                    <w:ind w:left="0" w:leftChars="0" w:right="0" w:rightChars="0"/>
                    <w:jc w:val="center"/>
                    <w:rPr>
                      <w:rFonts w:hint="default" w:cs="Times New Roman"/>
                      <w:color w:val="FF0000"/>
                      <w:sz w:val="21"/>
                      <w:szCs w:val="21"/>
                      <w:lang w:val="en-US" w:eastAsia="zh-CN"/>
                    </w:rPr>
                  </w:pPr>
                  <w:r>
                    <w:rPr>
                      <w:rFonts w:hint="eastAsia" w:cs="Times New Roman"/>
                      <w:color w:val="FF0000"/>
                      <w:sz w:val="21"/>
                      <w:szCs w:val="21"/>
                      <w:lang w:val="en-US" w:eastAsia="zh-CN"/>
                    </w:rPr>
                    <w:t>颗粒状（圆柱体）</w:t>
                  </w:r>
                </w:p>
              </w:tc>
            </w:tr>
            <w:tr w14:paraId="4259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00" w:type="dxa"/>
                  <w:vAlign w:val="center"/>
                </w:tcPr>
                <w:p w14:paraId="321E1D66">
                  <w:pPr>
                    <w:keepNext w:val="0"/>
                    <w:keepLines w:val="0"/>
                    <w:suppressLineNumbers w:val="0"/>
                    <w:spacing w:before="0" w:beforeAutospacing="0" w:after="0" w:afterAutospacing="0" w:line="240" w:lineRule="atLeast"/>
                    <w:ind w:left="0" w:leftChars="0" w:right="0" w:rightChars="0"/>
                    <w:jc w:val="center"/>
                    <w:rPr>
                      <w:rFonts w:hint="default" w:cs="Times New Roman"/>
                      <w:color w:val="auto"/>
                      <w:sz w:val="21"/>
                      <w:szCs w:val="21"/>
                      <w:lang w:val="en-US" w:eastAsia="zh-CN"/>
                    </w:rPr>
                  </w:pPr>
                  <w:r>
                    <w:rPr>
                      <w:rFonts w:hint="eastAsia" w:cs="Times New Roman"/>
                      <w:color w:val="auto"/>
                      <w:sz w:val="21"/>
                      <w:szCs w:val="21"/>
                      <w:lang w:val="en-US" w:eastAsia="zh-CN"/>
                    </w:rPr>
                    <w:t>6</w:t>
                  </w:r>
                </w:p>
              </w:tc>
              <w:tc>
                <w:tcPr>
                  <w:tcW w:w="1446" w:type="dxa"/>
                  <w:gridSpan w:val="2"/>
                  <w:vAlign w:val="center"/>
                </w:tcPr>
                <w:p w14:paraId="0B2BB0E7">
                  <w:pPr>
                    <w:keepNext w:val="0"/>
                    <w:keepLines w:val="0"/>
                    <w:pageBreakBefore w:val="0"/>
                    <w:kinsoku/>
                    <w:wordWrap/>
                    <w:overflowPunct/>
                    <w:topLinePunct w:val="0"/>
                    <w:autoSpaceDE/>
                    <w:autoSpaceDN/>
                    <w:bidi w:val="0"/>
                    <w:adjustRightInd/>
                    <w:snapToGrid/>
                    <w:spacing w:line="0" w:lineRule="atLeast"/>
                    <w:ind w:left="0" w:leftChars="0"/>
                    <w:jc w:val="center"/>
                    <w:rPr>
                      <w:rFonts w:hint="eastAsia" w:cs="Times New Roman"/>
                      <w:color w:val="0000FF"/>
                      <w:kern w:val="2"/>
                      <w:sz w:val="21"/>
                      <w:szCs w:val="21"/>
                      <w:lang w:val="en-US" w:eastAsia="zh-CN" w:bidi="ar-SA"/>
                    </w:rPr>
                  </w:pPr>
                  <w:r>
                    <w:rPr>
                      <w:rFonts w:hint="eastAsia" w:cs="Times New Roman"/>
                      <w:color w:val="0000FF"/>
                      <w:kern w:val="2"/>
                      <w:sz w:val="21"/>
                      <w:szCs w:val="21"/>
                      <w:lang w:val="en-US" w:eastAsia="zh-CN" w:bidi="ar-SA"/>
                    </w:rPr>
                    <w:t>PE新料</w:t>
                  </w:r>
                </w:p>
              </w:tc>
              <w:tc>
                <w:tcPr>
                  <w:tcW w:w="1567" w:type="dxa"/>
                  <w:vAlign w:val="center"/>
                </w:tcPr>
                <w:p w14:paraId="220E6667">
                  <w:pPr>
                    <w:keepNext w:val="0"/>
                    <w:keepLines w:val="0"/>
                    <w:pageBreakBefore w:val="0"/>
                    <w:kinsoku/>
                    <w:wordWrap/>
                    <w:overflowPunct/>
                    <w:topLinePunct w:val="0"/>
                    <w:autoSpaceDE/>
                    <w:autoSpaceDN/>
                    <w:bidi w:val="0"/>
                    <w:adjustRightInd/>
                    <w:snapToGrid/>
                    <w:spacing w:line="0" w:lineRule="atLeast"/>
                    <w:ind w:left="0" w:leftChars="0"/>
                    <w:jc w:val="center"/>
                    <w:rPr>
                      <w:rFonts w:hint="eastAsia" w:cs="Times New Roman"/>
                      <w:color w:val="0000FF"/>
                      <w:kern w:val="2"/>
                      <w:sz w:val="21"/>
                      <w:szCs w:val="21"/>
                      <w:lang w:val="en-US" w:eastAsia="zh-CN" w:bidi="ar-SA"/>
                    </w:rPr>
                  </w:pPr>
                  <w:r>
                    <w:rPr>
                      <w:rFonts w:hint="eastAsia" w:cs="Times New Roman"/>
                      <w:color w:val="0000FF"/>
                      <w:kern w:val="2"/>
                      <w:sz w:val="21"/>
                      <w:szCs w:val="21"/>
                      <w:lang w:val="en-US" w:eastAsia="zh-CN" w:bidi="ar-SA"/>
                    </w:rPr>
                    <w:t>0</w:t>
                  </w:r>
                  <w:r>
                    <w:rPr>
                      <w:rFonts w:hint="eastAsia" w:cs="Times New Roman"/>
                      <w:color w:val="0000FF"/>
                      <w:sz w:val="21"/>
                      <w:szCs w:val="21"/>
                      <w:lang w:val="en-US" w:eastAsia="zh-CN"/>
                    </w:rPr>
                    <w:t>t/a</w:t>
                  </w:r>
                </w:p>
              </w:tc>
              <w:tc>
                <w:tcPr>
                  <w:tcW w:w="1601" w:type="dxa"/>
                  <w:vAlign w:val="center"/>
                </w:tcPr>
                <w:p w14:paraId="7ADC355E">
                  <w:pPr>
                    <w:keepNext w:val="0"/>
                    <w:keepLines w:val="0"/>
                    <w:pageBreakBefore w:val="0"/>
                    <w:kinsoku/>
                    <w:wordWrap/>
                    <w:overflowPunct/>
                    <w:topLinePunct w:val="0"/>
                    <w:autoSpaceDE/>
                    <w:autoSpaceDN/>
                    <w:bidi w:val="0"/>
                    <w:adjustRightInd/>
                    <w:snapToGrid/>
                    <w:spacing w:line="0" w:lineRule="atLeast"/>
                    <w:ind w:left="0" w:leftChars="0"/>
                    <w:jc w:val="center"/>
                    <w:rPr>
                      <w:rFonts w:hint="default" w:cs="Times New Roman"/>
                      <w:color w:val="0000FF"/>
                      <w:kern w:val="2"/>
                      <w:sz w:val="21"/>
                      <w:szCs w:val="21"/>
                      <w:lang w:val="en-US" w:eastAsia="zh-CN" w:bidi="ar-SA"/>
                    </w:rPr>
                  </w:pPr>
                  <w:r>
                    <w:rPr>
                      <w:rFonts w:hint="eastAsia" w:cs="Times New Roman"/>
                      <w:color w:val="0000FF"/>
                      <w:kern w:val="2"/>
                      <w:sz w:val="21"/>
                      <w:szCs w:val="21"/>
                      <w:lang w:val="en-US" w:eastAsia="zh-CN" w:bidi="ar-SA"/>
                    </w:rPr>
                    <w:t>1010</w:t>
                  </w:r>
                  <w:r>
                    <w:rPr>
                      <w:rFonts w:hint="eastAsia" w:cs="Times New Roman"/>
                      <w:color w:val="0000FF"/>
                      <w:sz w:val="21"/>
                      <w:szCs w:val="21"/>
                      <w:lang w:val="en-US" w:eastAsia="zh-CN"/>
                    </w:rPr>
                    <w:t>t/a</w:t>
                  </w:r>
                </w:p>
              </w:tc>
              <w:tc>
                <w:tcPr>
                  <w:tcW w:w="1094" w:type="dxa"/>
                  <w:vAlign w:val="center"/>
                </w:tcPr>
                <w:p w14:paraId="4FA5007E">
                  <w:pPr>
                    <w:keepNext w:val="0"/>
                    <w:keepLines w:val="0"/>
                    <w:suppressLineNumbers w:val="0"/>
                    <w:spacing w:before="0" w:beforeAutospacing="0" w:after="0" w:afterAutospacing="0" w:line="240" w:lineRule="atLeast"/>
                    <w:ind w:left="0" w:leftChars="0" w:right="0" w:rightChars="0"/>
                    <w:jc w:val="center"/>
                    <w:rPr>
                      <w:rFonts w:hint="eastAsia" w:cs="Times New Roman"/>
                      <w:color w:val="auto"/>
                      <w:sz w:val="21"/>
                      <w:szCs w:val="21"/>
                      <w:lang w:val="en-US" w:eastAsia="zh-CN"/>
                    </w:rPr>
                  </w:pPr>
                  <w:r>
                    <w:rPr>
                      <w:rFonts w:hint="eastAsia" w:cs="Times New Roman"/>
                      <w:color w:val="auto"/>
                      <w:sz w:val="21"/>
                      <w:szCs w:val="21"/>
                      <w:lang w:val="en-US" w:eastAsia="zh-CN"/>
                    </w:rPr>
                    <w:t>袋装</w:t>
                  </w:r>
                </w:p>
              </w:tc>
              <w:tc>
                <w:tcPr>
                  <w:tcW w:w="2108" w:type="dxa"/>
                  <w:vAlign w:val="center"/>
                </w:tcPr>
                <w:p w14:paraId="624A3222">
                  <w:pPr>
                    <w:keepNext w:val="0"/>
                    <w:keepLines w:val="0"/>
                    <w:suppressLineNumbers w:val="0"/>
                    <w:spacing w:before="0" w:beforeAutospacing="0" w:after="0" w:afterAutospacing="0" w:line="240" w:lineRule="atLeast"/>
                    <w:ind w:left="0" w:leftChars="0" w:right="0" w:rightChars="0"/>
                    <w:jc w:val="center"/>
                    <w:rPr>
                      <w:rFonts w:hint="eastAsia" w:cs="Times New Roman"/>
                      <w:color w:val="FF0000"/>
                      <w:sz w:val="21"/>
                      <w:szCs w:val="21"/>
                      <w:lang w:val="en-US" w:eastAsia="zh-CN"/>
                    </w:rPr>
                  </w:pPr>
                  <w:r>
                    <w:rPr>
                      <w:rFonts w:hint="eastAsia" w:cs="Times New Roman"/>
                      <w:color w:val="FF0000"/>
                      <w:sz w:val="21"/>
                      <w:szCs w:val="21"/>
                      <w:lang w:val="en-US" w:eastAsia="zh-CN"/>
                    </w:rPr>
                    <w:t>颗粒状（圆柱体）</w:t>
                  </w:r>
                </w:p>
              </w:tc>
            </w:tr>
            <w:tr w14:paraId="275B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00" w:type="dxa"/>
                  <w:vAlign w:val="center"/>
                </w:tcPr>
                <w:p w14:paraId="274FD619">
                  <w:pPr>
                    <w:keepNext w:val="0"/>
                    <w:keepLines w:val="0"/>
                    <w:suppressLineNumbers w:val="0"/>
                    <w:spacing w:before="0" w:beforeAutospacing="0" w:after="0" w:afterAutospacing="0" w:line="240" w:lineRule="atLeast"/>
                    <w:ind w:left="0" w:right="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7</w:t>
                  </w:r>
                </w:p>
              </w:tc>
              <w:tc>
                <w:tcPr>
                  <w:tcW w:w="1446" w:type="dxa"/>
                  <w:gridSpan w:val="2"/>
                  <w:vAlign w:val="center"/>
                </w:tcPr>
                <w:p w14:paraId="11E989CF">
                  <w:pPr>
                    <w:keepNext w:val="0"/>
                    <w:keepLines w:val="0"/>
                    <w:pageBreakBefore w:val="0"/>
                    <w:tabs>
                      <w:tab w:val="left" w:pos="436"/>
                    </w:tabs>
                    <w:kinsoku/>
                    <w:wordWrap/>
                    <w:overflowPunct/>
                    <w:topLinePunct w:val="0"/>
                    <w:autoSpaceDE/>
                    <w:autoSpaceDN/>
                    <w:bidi w:val="0"/>
                    <w:adjustRightInd/>
                    <w:snapToGrid/>
                    <w:spacing w:line="0" w:lineRule="atLeast"/>
                    <w:ind w:left="0" w:left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机油</w:t>
                  </w:r>
                </w:p>
              </w:tc>
              <w:tc>
                <w:tcPr>
                  <w:tcW w:w="1567" w:type="dxa"/>
                  <w:vAlign w:val="center"/>
                </w:tcPr>
                <w:p w14:paraId="6689B72B">
                  <w:pPr>
                    <w:keepNext w:val="0"/>
                    <w:keepLines w:val="0"/>
                    <w:pageBreakBefore w:val="0"/>
                    <w:kinsoku/>
                    <w:wordWrap/>
                    <w:overflowPunct/>
                    <w:topLinePunct w:val="0"/>
                    <w:autoSpaceDE/>
                    <w:autoSpaceDN/>
                    <w:bidi w:val="0"/>
                    <w:adjustRightInd/>
                    <w:snapToGrid/>
                    <w:spacing w:line="0" w:lineRule="atLeast"/>
                    <w:ind w:left="0" w:left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0.12</w:t>
                  </w:r>
                  <w:r>
                    <w:rPr>
                      <w:rFonts w:hint="eastAsia" w:cs="Times New Roman"/>
                      <w:color w:val="auto"/>
                      <w:sz w:val="21"/>
                      <w:szCs w:val="21"/>
                      <w:lang w:val="en-US" w:eastAsia="zh-CN"/>
                    </w:rPr>
                    <w:t>t/a</w:t>
                  </w:r>
                </w:p>
              </w:tc>
              <w:tc>
                <w:tcPr>
                  <w:tcW w:w="1601" w:type="dxa"/>
                  <w:vAlign w:val="center"/>
                </w:tcPr>
                <w:p w14:paraId="51EF6D19">
                  <w:pPr>
                    <w:keepNext w:val="0"/>
                    <w:keepLines w:val="0"/>
                    <w:pageBreakBefore w:val="0"/>
                    <w:kinsoku/>
                    <w:wordWrap/>
                    <w:overflowPunct/>
                    <w:topLinePunct w:val="0"/>
                    <w:autoSpaceDE/>
                    <w:autoSpaceDN/>
                    <w:bidi w:val="0"/>
                    <w:adjustRightInd/>
                    <w:snapToGrid/>
                    <w:spacing w:line="0" w:lineRule="atLeast"/>
                    <w:ind w:left="0" w:leftChars="0"/>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w:t>
                  </w:r>
                  <w:r>
                    <w:rPr>
                      <w:rFonts w:hint="eastAsia" w:cs="Times New Roman"/>
                      <w:color w:val="auto"/>
                      <w:sz w:val="21"/>
                      <w:szCs w:val="21"/>
                      <w:lang w:val="en-US" w:eastAsia="zh-CN"/>
                    </w:rPr>
                    <w:t>t/a</w:t>
                  </w:r>
                </w:p>
              </w:tc>
              <w:tc>
                <w:tcPr>
                  <w:tcW w:w="1094" w:type="dxa"/>
                  <w:vAlign w:val="center"/>
                </w:tcPr>
                <w:p w14:paraId="4EA0D295">
                  <w:pPr>
                    <w:keepNext w:val="0"/>
                    <w:keepLines w:val="0"/>
                    <w:suppressLineNumbers w:val="0"/>
                    <w:spacing w:before="0" w:beforeAutospacing="0" w:after="0" w:afterAutospacing="0" w:line="240" w:lineRule="atLeast"/>
                    <w:ind w:left="0" w:right="0"/>
                    <w:jc w:val="center"/>
                    <w:rPr>
                      <w:rFonts w:hint="default" w:cs="Times New Roman"/>
                      <w:color w:val="auto"/>
                      <w:sz w:val="21"/>
                      <w:szCs w:val="21"/>
                      <w:lang w:val="en-US" w:eastAsia="zh-CN"/>
                    </w:rPr>
                  </w:pPr>
                  <w:r>
                    <w:rPr>
                      <w:rFonts w:hint="eastAsia" w:cs="Times New Roman"/>
                      <w:color w:val="auto"/>
                      <w:sz w:val="21"/>
                      <w:szCs w:val="21"/>
                      <w:lang w:val="en-US" w:eastAsia="zh-CN"/>
                    </w:rPr>
                    <w:t>桶装</w:t>
                  </w:r>
                </w:p>
              </w:tc>
              <w:tc>
                <w:tcPr>
                  <w:tcW w:w="2108" w:type="dxa"/>
                  <w:vAlign w:val="center"/>
                </w:tcPr>
                <w:p w14:paraId="4BA19DC9">
                  <w:pPr>
                    <w:keepNext w:val="0"/>
                    <w:keepLines w:val="0"/>
                    <w:suppressLineNumbers w:val="0"/>
                    <w:spacing w:before="0" w:beforeAutospacing="0" w:after="0" w:afterAutospacing="0" w:line="240" w:lineRule="atLeast"/>
                    <w:ind w:left="0" w:right="0"/>
                    <w:jc w:val="center"/>
                    <w:rPr>
                      <w:rFonts w:hint="eastAsia" w:cs="Times New Roman"/>
                      <w:color w:val="auto"/>
                      <w:sz w:val="21"/>
                      <w:szCs w:val="21"/>
                      <w:lang w:val="en-US" w:eastAsia="zh-CN"/>
                    </w:rPr>
                  </w:pPr>
                </w:p>
              </w:tc>
            </w:tr>
            <w:tr w14:paraId="1655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00" w:type="dxa"/>
                  <w:vAlign w:val="center"/>
                </w:tcPr>
                <w:p w14:paraId="48D6FACA">
                  <w:pPr>
                    <w:keepNext w:val="0"/>
                    <w:keepLines w:val="0"/>
                    <w:suppressLineNumbers w:val="0"/>
                    <w:spacing w:before="0" w:beforeAutospacing="0" w:after="0" w:afterAutospacing="0" w:line="240" w:lineRule="atLeast"/>
                    <w:ind w:left="0" w:right="0"/>
                    <w:jc w:val="center"/>
                    <w:rPr>
                      <w:rFonts w:hint="default" w:cs="Times New Roman"/>
                      <w:color w:val="auto"/>
                      <w:sz w:val="21"/>
                      <w:szCs w:val="21"/>
                      <w:lang w:val="en-US" w:eastAsia="zh-CN"/>
                    </w:rPr>
                  </w:pPr>
                  <w:r>
                    <w:rPr>
                      <w:rFonts w:hint="eastAsia" w:cs="Times New Roman"/>
                      <w:color w:val="auto"/>
                      <w:sz w:val="21"/>
                      <w:szCs w:val="21"/>
                      <w:lang w:val="en-US" w:eastAsia="zh-CN"/>
                    </w:rPr>
                    <w:t>8</w:t>
                  </w:r>
                </w:p>
              </w:tc>
              <w:tc>
                <w:tcPr>
                  <w:tcW w:w="1446" w:type="dxa"/>
                  <w:gridSpan w:val="2"/>
                  <w:vAlign w:val="center"/>
                </w:tcPr>
                <w:p w14:paraId="496D7F25">
                  <w:pPr>
                    <w:keepNext w:val="0"/>
                    <w:keepLines w:val="0"/>
                    <w:pageBreakBefore w:val="0"/>
                    <w:tabs>
                      <w:tab w:val="left" w:pos="436"/>
                    </w:tabs>
                    <w:kinsoku/>
                    <w:wordWrap/>
                    <w:overflowPunct/>
                    <w:topLinePunct w:val="0"/>
                    <w:autoSpaceDE/>
                    <w:autoSpaceDN/>
                    <w:bidi w:val="0"/>
                    <w:adjustRightInd/>
                    <w:snapToGrid/>
                    <w:spacing w:line="0" w:lineRule="atLeast"/>
                    <w:ind w:left="0" w:lef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润滑油</w:t>
                  </w:r>
                </w:p>
              </w:tc>
              <w:tc>
                <w:tcPr>
                  <w:tcW w:w="1567" w:type="dxa"/>
                  <w:vAlign w:val="center"/>
                </w:tcPr>
                <w:p w14:paraId="26B9B0AF">
                  <w:pPr>
                    <w:keepNext w:val="0"/>
                    <w:keepLines w:val="0"/>
                    <w:pageBreakBefore w:val="0"/>
                    <w:kinsoku/>
                    <w:wordWrap/>
                    <w:overflowPunct/>
                    <w:topLinePunct w:val="0"/>
                    <w:autoSpaceDE/>
                    <w:autoSpaceDN/>
                    <w:bidi w:val="0"/>
                    <w:adjustRightInd/>
                    <w:snapToGrid/>
                    <w:spacing w:line="0" w:lineRule="atLeast"/>
                    <w:ind w:left="0" w:leftChars="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0</w:t>
                  </w:r>
                  <w:r>
                    <w:rPr>
                      <w:rFonts w:hint="eastAsia" w:cs="Times New Roman"/>
                      <w:color w:val="auto"/>
                      <w:sz w:val="21"/>
                      <w:szCs w:val="21"/>
                      <w:lang w:val="en-US" w:eastAsia="zh-CN"/>
                    </w:rPr>
                    <w:t>t/a</w:t>
                  </w:r>
                </w:p>
              </w:tc>
              <w:tc>
                <w:tcPr>
                  <w:tcW w:w="1601" w:type="dxa"/>
                  <w:vAlign w:val="center"/>
                </w:tcPr>
                <w:p w14:paraId="6130DC5A">
                  <w:pPr>
                    <w:keepNext w:val="0"/>
                    <w:keepLines w:val="0"/>
                    <w:pageBreakBefore w:val="0"/>
                    <w:kinsoku/>
                    <w:wordWrap/>
                    <w:overflowPunct/>
                    <w:topLinePunct w:val="0"/>
                    <w:autoSpaceDE/>
                    <w:autoSpaceDN/>
                    <w:bidi w:val="0"/>
                    <w:adjustRightInd/>
                    <w:snapToGrid/>
                    <w:spacing w:line="0" w:lineRule="atLeast"/>
                    <w:ind w:left="0" w:leftChars="0"/>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0.15</w:t>
                  </w:r>
                  <w:r>
                    <w:rPr>
                      <w:rFonts w:hint="eastAsia" w:cs="Times New Roman"/>
                      <w:color w:val="auto"/>
                      <w:sz w:val="21"/>
                      <w:szCs w:val="21"/>
                      <w:lang w:val="en-US" w:eastAsia="zh-CN"/>
                    </w:rPr>
                    <w:t>t/a</w:t>
                  </w:r>
                </w:p>
              </w:tc>
              <w:tc>
                <w:tcPr>
                  <w:tcW w:w="1094" w:type="dxa"/>
                  <w:vAlign w:val="center"/>
                </w:tcPr>
                <w:p w14:paraId="22F3C526">
                  <w:pPr>
                    <w:keepNext w:val="0"/>
                    <w:keepLines w:val="0"/>
                    <w:suppressLineNumbers w:val="0"/>
                    <w:spacing w:before="0" w:beforeAutospacing="0" w:after="0" w:afterAutospacing="0" w:line="240" w:lineRule="atLeast"/>
                    <w:ind w:left="0" w:right="0"/>
                    <w:jc w:val="center"/>
                    <w:rPr>
                      <w:rFonts w:hint="eastAsia" w:cs="Times New Roman"/>
                      <w:color w:val="auto"/>
                      <w:sz w:val="21"/>
                      <w:szCs w:val="21"/>
                      <w:lang w:val="en-US" w:eastAsia="zh-CN"/>
                    </w:rPr>
                  </w:pPr>
                  <w:r>
                    <w:rPr>
                      <w:rFonts w:hint="eastAsia" w:cs="Times New Roman"/>
                      <w:color w:val="auto"/>
                      <w:sz w:val="21"/>
                      <w:szCs w:val="21"/>
                      <w:lang w:val="en-US" w:eastAsia="zh-CN"/>
                    </w:rPr>
                    <w:t>桶装</w:t>
                  </w:r>
                </w:p>
              </w:tc>
              <w:tc>
                <w:tcPr>
                  <w:tcW w:w="2108" w:type="dxa"/>
                  <w:vAlign w:val="center"/>
                </w:tcPr>
                <w:p w14:paraId="0F7E2D89">
                  <w:pPr>
                    <w:keepNext w:val="0"/>
                    <w:keepLines w:val="0"/>
                    <w:suppressLineNumbers w:val="0"/>
                    <w:spacing w:before="0" w:beforeAutospacing="0" w:after="0" w:afterAutospacing="0" w:line="240" w:lineRule="atLeast"/>
                    <w:ind w:left="0" w:right="0"/>
                    <w:jc w:val="center"/>
                    <w:rPr>
                      <w:rFonts w:hint="eastAsia" w:cs="Times New Roman"/>
                      <w:color w:val="auto"/>
                      <w:sz w:val="21"/>
                      <w:szCs w:val="21"/>
                      <w:lang w:val="en-US" w:eastAsia="zh-CN"/>
                    </w:rPr>
                  </w:pPr>
                </w:p>
              </w:tc>
            </w:tr>
            <w:tr w14:paraId="769C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00" w:type="dxa"/>
                  <w:vAlign w:val="center"/>
                </w:tcPr>
                <w:p w14:paraId="1C7E8368">
                  <w:pPr>
                    <w:keepNext w:val="0"/>
                    <w:keepLines w:val="0"/>
                    <w:suppressLineNumbers w:val="0"/>
                    <w:spacing w:before="0" w:beforeAutospacing="0" w:after="0" w:afterAutospacing="0" w:line="240" w:lineRule="atLeast"/>
                    <w:ind w:left="0" w:right="0"/>
                    <w:jc w:val="center"/>
                    <w:rPr>
                      <w:rFonts w:hint="default" w:cs="Times New Roman"/>
                      <w:color w:val="auto"/>
                      <w:sz w:val="21"/>
                      <w:szCs w:val="21"/>
                      <w:lang w:val="en-US" w:eastAsia="zh-CN"/>
                    </w:rPr>
                  </w:pPr>
                  <w:r>
                    <w:rPr>
                      <w:rFonts w:hint="eastAsia" w:cs="Times New Roman"/>
                      <w:color w:val="auto"/>
                      <w:sz w:val="21"/>
                      <w:szCs w:val="21"/>
                      <w:lang w:val="en-US" w:eastAsia="zh-CN"/>
                    </w:rPr>
                    <w:t>9</w:t>
                  </w:r>
                </w:p>
              </w:tc>
              <w:tc>
                <w:tcPr>
                  <w:tcW w:w="1446" w:type="dxa"/>
                  <w:gridSpan w:val="2"/>
                  <w:vAlign w:val="center"/>
                </w:tcPr>
                <w:p w14:paraId="6F11DC3C">
                  <w:pPr>
                    <w:keepNext w:val="0"/>
                    <w:keepLines w:val="0"/>
                    <w:pageBreakBefore w:val="0"/>
                    <w:tabs>
                      <w:tab w:val="left" w:pos="436"/>
                    </w:tabs>
                    <w:kinsoku/>
                    <w:wordWrap/>
                    <w:overflowPunct/>
                    <w:topLinePunct w:val="0"/>
                    <w:autoSpaceDE/>
                    <w:autoSpaceDN/>
                    <w:bidi w:val="0"/>
                    <w:adjustRightInd/>
                    <w:snapToGrid/>
                    <w:spacing w:line="0" w:lineRule="atLeast"/>
                    <w:ind w:left="0" w:leftChars="0"/>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液压油</w:t>
                  </w:r>
                </w:p>
              </w:tc>
              <w:tc>
                <w:tcPr>
                  <w:tcW w:w="1567" w:type="dxa"/>
                  <w:vAlign w:val="center"/>
                </w:tcPr>
                <w:p w14:paraId="240C146D">
                  <w:pPr>
                    <w:keepNext w:val="0"/>
                    <w:keepLines w:val="0"/>
                    <w:pageBreakBefore w:val="0"/>
                    <w:kinsoku/>
                    <w:wordWrap/>
                    <w:overflowPunct/>
                    <w:topLinePunct w:val="0"/>
                    <w:autoSpaceDE/>
                    <w:autoSpaceDN/>
                    <w:bidi w:val="0"/>
                    <w:adjustRightInd/>
                    <w:snapToGrid/>
                    <w:spacing w:line="0" w:lineRule="atLeast"/>
                    <w:ind w:left="0" w:leftChars="0"/>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0.005</w:t>
                  </w:r>
                  <w:r>
                    <w:rPr>
                      <w:rFonts w:hint="eastAsia" w:cs="Times New Roman"/>
                      <w:color w:val="auto"/>
                      <w:sz w:val="21"/>
                      <w:szCs w:val="21"/>
                      <w:lang w:val="en-US" w:eastAsia="zh-CN"/>
                    </w:rPr>
                    <w:t>t/a</w:t>
                  </w:r>
                </w:p>
              </w:tc>
              <w:tc>
                <w:tcPr>
                  <w:tcW w:w="1601" w:type="dxa"/>
                  <w:vAlign w:val="center"/>
                </w:tcPr>
                <w:p w14:paraId="24205262">
                  <w:pPr>
                    <w:keepNext w:val="0"/>
                    <w:keepLines w:val="0"/>
                    <w:pageBreakBefore w:val="0"/>
                    <w:kinsoku/>
                    <w:wordWrap/>
                    <w:overflowPunct/>
                    <w:topLinePunct w:val="0"/>
                    <w:autoSpaceDE/>
                    <w:autoSpaceDN/>
                    <w:bidi w:val="0"/>
                    <w:adjustRightInd/>
                    <w:snapToGrid/>
                    <w:spacing w:line="0" w:lineRule="atLeast"/>
                    <w:ind w:left="0" w:leftChars="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0.005</w:t>
                  </w:r>
                  <w:r>
                    <w:rPr>
                      <w:rFonts w:hint="eastAsia" w:cs="Times New Roman"/>
                      <w:color w:val="auto"/>
                      <w:sz w:val="21"/>
                      <w:szCs w:val="21"/>
                      <w:lang w:val="en-US" w:eastAsia="zh-CN"/>
                    </w:rPr>
                    <w:t>t/a</w:t>
                  </w:r>
                </w:p>
              </w:tc>
              <w:tc>
                <w:tcPr>
                  <w:tcW w:w="1094" w:type="dxa"/>
                  <w:vAlign w:val="center"/>
                </w:tcPr>
                <w:p w14:paraId="5D1B6CF2">
                  <w:pPr>
                    <w:keepNext w:val="0"/>
                    <w:keepLines w:val="0"/>
                    <w:suppressLineNumbers w:val="0"/>
                    <w:spacing w:before="0" w:beforeAutospacing="0" w:after="0" w:afterAutospacing="0" w:line="240" w:lineRule="atLeast"/>
                    <w:ind w:left="0" w:right="0"/>
                    <w:jc w:val="center"/>
                    <w:rPr>
                      <w:rFonts w:hint="eastAsia" w:cs="Times New Roman"/>
                      <w:color w:val="auto"/>
                      <w:sz w:val="21"/>
                      <w:szCs w:val="21"/>
                      <w:lang w:val="en-US" w:eastAsia="zh-CN"/>
                    </w:rPr>
                  </w:pPr>
                  <w:r>
                    <w:rPr>
                      <w:rFonts w:hint="eastAsia" w:cs="Times New Roman"/>
                      <w:color w:val="auto"/>
                      <w:sz w:val="21"/>
                      <w:szCs w:val="21"/>
                      <w:lang w:val="en-US" w:eastAsia="zh-CN"/>
                    </w:rPr>
                    <w:t>桶装</w:t>
                  </w:r>
                </w:p>
              </w:tc>
              <w:tc>
                <w:tcPr>
                  <w:tcW w:w="2108" w:type="dxa"/>
                  <w:vAlign w:val="center"/>
                </w:tcPr>
                <w:p w14:paraId="20BFE6BB">
                  <w:pPr>
                    <w:keepNext w:val="0"/>
                    <w:keepLines w:val="0"/>
                    <w:suppressLineNumbers w:val="0"/>
                    <w:spacing w:before="0" w:beforeAutospacing="0" w:after="0" w:afterAutospacing="0" w:line="240" w:lineRule="atLeast"/>
                    <w:ind w:left="0" w:right="0"/>
                    <w:jc w:val="center"/>
                    <w:rPr>
                      <w:rFonts w:hint="eastAsia" w:cs="Times New Roman"/>
                      <w:color w:val="auto"/>
                      <w:sz w:val="21"/>
                      <w:szCs w:val="21"/>
                      <w:lang w:val="en-US" w:eastAsia="zh-CN"/>
                    </w:rPr>
                  </w:pPr>
                </w:p>
              </w:tc>
            </w:tr>
            <w:tr w14:paraId="57CFC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00" w:type="dxa"/>
                  <w:vAlign w:val="center"/>
                </w:tcPr>
                <w:p w14:paraId="5B0E9BAA">
                  <w:pPr>
                    <w:keepNext w:val="0"/>
                    <w:keepLines w:val="0"/>
                    <w:suppressLineNumbers w:val="0"/>
                    <w:spacing w:before="0" w:beforeAutospacing="0" w:after="0" w:afterAutospacing="0" w:line="240" w:lineRule="atLeast"/>
                    <w:ind w:left="0" w:right="0"/>
                    <w:jc w:val="center"/>
                    <w:rPr>
                      <w:rFonts w:hint="default" w:cs="Times New Roman"/>
                      <w:color w:val="auto"/>
                      <w:sz w:val="21"/>
                      <w:szCs w:val="21"/>
                      <w:lang w:val="en-US" w:eastAsia="zh-CN"/>
                    </w:rPr>
                  </w:pPr>
                  <w:r>
                    <w:rPr>
                      <w:rFonts w:hint="eastAsia" w:cs="Times New Roman"/>
                      <w:color w:val="auto"/>
                      <w:sz w:val="21"/>
                      <w:szCs w:val="21"/>
                      <w:lang w:val="en-US" w:eastAsia="zh-CN"/>
                    </w:rPr>
                    <w:t>10</w:t>
                  </w:r>
                </w:p>
              </w:tc>
              <w:tc>
                <w:tcPr>
                  <w:tcW w:w="1446" w:type="dxa"/>
                  <w:gridSpan w:val="2"/>
                  <w:vAlign w:val="center"/>
                </w:tcPr>
                <w:p w14:paraId="2E0BC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auto"/>
                    <w:outlineLvl w:val="9"/>
                    <w:rPr>
                      <w:rFonts w:hint="eastAsia" w:cs="Times New Roman"/>
                      <w:color w:val="auto"/>
                      <w:kern w:val="2"/>
                      <w:sz w:val="21"/>
                      <w:szCs w:val="21"/>
                      <w:lang w:val="en-US" w:eastAsia="zh-CN" w:bidi="ar-SA"/>
                    </w:rPr>
                  </w:pPr>
                  <w:r>
                    <w:rPr>
                      <w:rFonts w:hint="eastAsia" w:cs="Times New Roman"/>
                      <w:color w:val="auto"/>
                      <w:sz w:val="21"/>
                      <w:szCs w:val="21"/>
                      <w:lang w:val="en-US" w:eastAsia="zh-CN"/>
                    </w:rPr>
                    <w:t>水</w:t>
                  </w:r>
                </w:p>
              </w:tc>
              <w:tc>
                <w:tcPr>
                  <w:tcW w:w="1567" w:type="dxa"/>
                  <w:vAlign w:val="center"/>
                </w:tcPr>
                <w:p w14:paraId="0F53DB0B">
                  <w:pPr>
                    <w:keepNext w:val="0"/>
                    <w:keepLines w:val="0"/>
                    <w:pageBreakBefore w:val="0"/>
                    <w:kinsoku/>
                    <w:wordWrap/>
                    <w:overflowPunct/>
                    <w:topLinePunct w:val="0"/>
                    <w:autoSpaceDE/>
                    <w:autoSpaceDN/>
                    <w:bidi w:val="0"/>
                    <w:adjustRightInd/>
                    <w:snapToGrid/>
                    <w:spacing w:line="0" w:lineRule="atLeast"/>
                    <w:ind w:left="0" w:leftChars="0"/>
                    <w:jc w:val="center"/>
                    <w:rPr>
                      <w:rFonts w:hint="eastAsia" w:cs="Times New Roman"/>
                      <w:color w:val="auto"/>
                      <w:kern w:val="2"/>
                      <w:sz w:val="21"/>
                      <w:szCs w:val="21"/>
                      <w:lang w:val="en-US" w:eastAsia="zh-CN" w:bidi="ar-SA"/>
                    </w:rPr>
                  </w:pPr>
                  <w:r>
                    <w:rPr>
                      <w:rFonts w:hint="default" w:ascii="Times New Roman" w:hAnsi="Times New Roman" w:cs="Times New Roman" w:eastAsiaTheme="minorEastAsia"/>
                      <w:color w:val="auto"/>
                      <w:sz w:val="21"/>
                      <w:szCs w:val="21"/>
                    </w:rPr>
                    <w:t>501.2m</w:t>
                  </w:r>
                  <w:r>
                    <w:rPr>
                      <w:rFonts w:hint="default" w:ascii="Times New Roman" w:hAnsi="Times New Roman" w:cs="Times New Roman" w:eastAsiaTheme="minorEastAsia"/>
                      <w:color w:val="auto"/>
                      <w:sz w:val="21"/>
                      <w:szCs w:val="21"/>
                      <w:vertAlign w:val="superscript"/>
                    </w:rPr>
                    <w:t>3</w:t>
                  </w:r>
                </w:p>
              </w:tc>
              <w:tc>
                <w:tcPr>
                  <w:tcW w:w="1601" w:type="dxa"/>
                  <w:vAlign w:val="center"/>
                </w:tcPr>
                <w:p w14:paraId="200440B4">
                  <w:pPr>
                    <w:keepNext w:val="0"/>
                    <w:keepLines w:val="0"/>
                    <w:pageBreakBefore w:val="0"/>
                    <w:kinsoku/>
                    <w:wordWrap/>
                    <w:overflowPunct/>
                    <w:topLinePunct w:val="0"/>
                    <w:autoSpaceDE/>
                    <w:autoSpaceDN/>
                    <w:bidi w:val="0"/>
                    <w:adjustRightInd/>
                    <w:snapToGrid/>
                    <w:spacing w:line="0" w:lineRule="atLeast"/>
                    <w:ind w:left="0" w:leftChars="0"/>
                    <w:jc w:val="center"/>
                    <w:rPr>
                      <w:rFonts w:hint="eastAsia" w:cs="Times New Roman"/>
                      <w:color w:val="auto"/>
                      <w:kern w:val="2"/>
                      <w:sz w:val="21"/>
                      <w:szCs w:val="21"/>
                      <w:lang w:val="en-US" w:eastAsia="zh-CN" w:bidi="ar-SA"/>
                    </w:rPr>
                  </w:pPr>
                  <w:r>
                    <w:rPr>
                      <w:rFonts w:hint="eastAsia" w:cs="Times New Roman" w:eastAsiaTheme="minorEastAsia"/>
                      <w:color w:val="auto"/>
                      <w:sz w:val="21"/>
                      <w:szCs w:val="21"/>
                      <w:lang w:val="en-US" w:eastAsia="zh-CN"/>
                    </w:rPr>
                    <w:t>570</w:t>
                  </w:r>
                  <w:r>
                    <w:rPr>
                      <w:rFonts w:hint="default" w:ascii="Times New Roman" w:hAnsi="Times New Roman" w:cs="Times New Roman" w:eastAsiaTheme="minorEastAsia"/>
                      <w:color w:val="auto"/>
                      <w:sz w:val="21"/>
                      <w:szCs w:val="21"/>
                    </w:rPr>
                    <w:t>m</w:t>
                  </w:r>
                  <w:r>
                    <w:rPr>
                      <w:rFonts w:hint="default" w:ascii="Times New Roman" w:hAnsi="Times New Roman" w:cs="Times New Roman" w:eastAsiaTheme="minorEastAsia"/>
                      <w:color w:val="auto"/>
                      <w:sz w:val="21"/>
                      <w:szCs w:val="21"/>
                      <w:vertAlign w:val="superscript"/>
                    </w:rPr>
                    <w:t>3</w:t>
                  </w:r>
                </w:p>
              </w:tc>
              <w:tc>
                <w:tcPr>
                  <w:tcW w:w="1094" w:type="dxa"/>
                  <w:vAlign w:val="center"/>
                </w:tcPr>
                <w:p w14:paraId="21602030">
                  <w:pPr>
                    <w:keepNext w:val="0"/>
                    <w:keepLines w:val="0"/>
                    <w:suppressLineNumbers w:val="0"/>
                    <w:spacing w:before="0" w:beforeAutospacing="0" w:after="0" w:afterAutospacing="0" w:line="240" w:lineRule="atLeast"/>
                    <w:ind w:left="0" w:right="0"/>
                    <w:jc w:val="center"/>
                    <w:rPr>
                      <w:rFonts w:hint="eastAsia" w:cs="Times New Roman"/>
                      <w:color w:val="auto"/>
                      <w:sz w:val="21"/>
                      <w:szCs w:val="21"/>
                      <w:lang w:val="en-US" w:eastAsia="zh-CN"/>
                    </w:rPr>
                  </w:pPr>
                  <w:r>
                    <w:rPr>
                      <w:rFonts w:hint="eastAsia" w:cs="Times New Roman"/>
                      <w:color w:val="auto"/>
                      <w:sz w:val="21"/>
                      <w:szCs w:val="21"/>
                      <w:lang w:val="en-US" w:eastAsia="zh-CN"/>
                    </w:rPr>
                    <w:t>—</w:t>
                  </w:r>
                </w:p>
              </w:tc>
              <w:tc>
                <w:tcPr>
                  <w:tcW w:w="2108" w:type="dxa"/>
                  <w:vAlign w:val="center"/>
                </w:tcPr>
                <w:p w14:paraId="1AFB1C8D">
                  <w:pPr>
                    <w:keepNext w:val="0"/>
                    <w:keepLines w:val="0"/>
                    <w:suppressLineNumbers w:val="0"/>
                    <w:spacing w:before="0" w:beforeAutospacing="0" w:after="0" w:afterAutospacing="0" w:line="240" w:lineRule="atLeast"/>
                    <w:ind w:left="0" w:right="0"/>
                    <w:jc w:val="center"/>
                    <w:rPr>
                      <w:rFonts w:hint="eastAsia" w:cs="Times New Roman"/>
                      <w:color w:val="auto"/>
                      <w:sz w:val="21"/>
                      <w:szCs w:val="21"/>
                      <w:lang w:val="en-US" w:eastAsia="zh-CN"/>
                    </w:rPr>
                  </w:pPr>
                </w:p>
              </w:tc>
            </w:tr>
            <w:tr w14:paraId="0D4D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00" w:type="dxa"/>
                  <w:vAlign w:val="center"/>
                </w:tcPr>
                <w:p w14:paraId="50B64D64">
                  <w:pPr>
                    <w:keepNext w:val="0"/>
                    <w:keepLines w:val="0"/>
                    <w:suppressLineNumbers w:val="0"/>
                    <w:spacing w:before="0" w:beforeAutospacing="0" w:after="0" w:afterAutospacing="0" w:line="240" w:lineRule="atLeast"/>
                    <w:ind w:left="0" w:right="0"/>
                    <w:jc w:val="center"/>
                    <w:rPr>
                      <w:rFonts w:hint="default" w:cs="Times New Roman"/>
                      <w:color w:val="auto"/>
                      <w:sz w:val="21"/>
                      <w:szCs w:val="21"/>
                      <w:lang w:val="en-US" w:eastAsia="zh-CN"/>
                    </w:rPr>
                  </w:pPr>
                  <w:r>
                    <w:rPr>
                      <w:rFonts w:hint="eastAsia" w:cs="Times New Roman"/>
                      <w:color w:val="auto"/>
                      <w:sz w:val="21"/>
                      <w:szCs w:val="21"/>
                      <w:lang w:val="en-US" w:eastAsia="zh-CN"/>
                    </w:rPr>
                    <w:t>11</w:t>
                  </w:r>
                </w:p>
              </w:tc>
              <w:tc>
                <w:tcPr>
                  <w:tcW w:w="1446" w:type="dxa"/>
                  <w:gridSpan w:val="2"/>
                  <w:vAlign w:val="center"/>
                </w:tcPr>
                <w:p w14:paraId="6D38F0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auto"/>
                    <w:outlineLvl w:val="9"/>
                    <w:rPr>
                      <w:rFonts w:hint="eastAsia" w:cs="Times New Roman"/>
                      <w:color w:val="auto"/>
                      <w:kern w:val="2"/>
                      <w:sz w:val="21"/>
                      <w:szCs w:val="21"/>
                      <w:lang w:val="en-US" w:eastAsia="zh-CN" w:bidi="ar-SA"/>
                    </w:rPr>
                  </w:pPr>
                  <w:r>
                    <w:rPr>
                      <w:rFonts w:hint="eastAsia" w:cs="Times New Roman"/>
                      <w:color w:val="auto"/>
                      <w:sz w:val="21"/>
                      <w:szCs w:val="21"/>
                      <w:lang w:val="en-US" w:eastAsia="zh-CN"/>
                    </w:rPr>
                    <w:t>电</w:t>
                  </w:r>
                </w:p>
              </w:tc>
              <w:tc>
                <w:tcPr>
                  <w:tcW w:w="1567" w:type="dxa"/>
                  <w:vAlign w:val="center"/>
                </w:tcPr>
                <w:p w14:paraId="57CAC575">
                  <w:pPr>
                    <w:keepNext w:val="0"/>
                    <w:keepLines w:val="0"/>
                    <w:pageBreakBefore w:val="0"/>
                    <w:kinsoku/>
                    <w:wordWrap/>
                    <w:overflowPunct/>
                    <w:topLinePunct w:val="0"/>
                    <w:autoSpaceDE/>
                    <w:autoSpaceDN/>
                    <w:bidi w:val="0"/>
                    <w:adjustRightInd/>
                    <w:snapToGrid/>
                    <w:spacing w:line="0" w:lineRule="atLeast"/>
                    <w:ind w:left="0" w:leftChars="0"/>
                    <w:jc w:val="center"/>
                    <w:rPr>
                      <w:rFonts w:hint="eastAsia" w:cs="Times New Roman"/>
                      <w:color w:val="auto"/>
                      <w:kern w:val="2"/>
                      <w:sz w:val="21"/>
                      <w:szCs w:val="21"/>
                      <w:lang w:val="en-US" w:eastAsia="zh-CN" w:bidi="ar-SA"/>
                    </w:rPr>
                  </w:pPr>
                  <w:r>
                    <w:rPr>
                      <w:rFonts w:hint="eastAsia" w:cs="Times New Roman"/>
                      <w:color w:val="auto"/>
                      <w:sz w:val="21"/>
                      <w:szCs w:val="21"/>
                      <w:lang w:val="en-US" w:eastAsia="zh-CN"/>
                    </w:rPr>
                    <w:t>10</w:t>
                  </w:r>
                  <w:r>
                    <w:rPr>
                      <w:rFonts w:hint="default" w:ascii="Times New Roman" w:hAnsi="Times New Roman" w:eastAsia="宋体" w:cs="Times New Roman"/>
                      <w:color w:val="auto"/>
                      <w:sz w:val="21"/>
                      <w:szCs w:val="21"/>
                      <w:lang w:val="en-US" w:eastAsia="zh-CN"/>
                    </w:rPr>
                    <w:t>万</w:t>
                  </w:r>
                  <w:r>
                    <w:rPr>
                      <w:rFonts w:hint="default" w:ascii="Times New Roman" w:hAnsi="Times New Roman" w:eastAsia="宋体" w:cs="Times New Roman"/>
                      <w:color w:val="auto"/>
                      <w:sz w:val="21"/>
                      <w:szCs w:val="21"/>
                    </w:rPr>
                    <w:t>kWh</w:t>
                  </w:r>
                </w:p>
              </w:tc>
              <w:tc>
                <w:tcPr>
                  <w:tcW w:w="1601" w:type="dxa"/>
                  <w:vAlign w:val="center"/>
                </w:tcPr>
                <w:p w14:paraId="4B868D02">
                  <w:pPr>
                    <w:keepNext w:val="0"/>
                    <w:keepLines w:val="0"/>
                    <w:pageBreakBefore w:val="0"/>
                    <w:kinsoku/>
                    <w:wordWrap/>
                    <w:overflowPunct/>
                    <w:topLinePunct w:val="0"/>
                    <w:autoSpaceDE/>
                    <w:autoSpaceDN/>
                    <w:bidi w:val="0"/>
                    <w:adjustRightInd/>
                    <w:snapToGrid/>
                    <w:spacing w:line="0" w:lineRule="atLeast"/>
                    <w:ind w:left="0" w:leftChars="0"/>
                    <w:jc w:val="center"/>
                    <w:rPr>
                      <w:rFonts w:hint="eastAsia" w:cs="Times New Roman"/>
                      <w:color w:val="auto"/>
                      <w:kern w:val="2"/>
                      <w:sz w:val="21"/>
                      <w:szCs w:val="21"/>
                      <w:lang w:val="en-US" w:eastAsia="zh-CN" w:bidi="ar-SA"/>
                    </w:rPr>
                  </w:pPr>
                  <w:r>
                    <w:rPr>
                      <w:rFonts w:hint="eastAsia" w:cs="Times New Roman"/>
                      <w:color w:val="auto"/>
                      <w:sz w:val="21"/>
                      <w:szCs w:val="21"/>
                      <w:lang w:val="en-US" w:eastAsia="zh-CN"/>
                    </w:rPr>
                    <w:t>12</w:t>
                  </w:r>
                  <w:r>
                    <w:rPr>
                      <w:rFonts w:hint="default" w:ascii="Times New Roman" w:hAnsi="Times New Roman" w:eastAsia="宋体" w:cs="Times New Roman"/>
                      <w:color w:val="auto"/>
                      <w:sz w:val="21"/>
                      <w:szCs w:val="21"/>
                      <w:lang w:val="en-US" w:eastAsia="zh-CN"/>
                    </w:rPr>
                    <w:t>万</w:t>
                  </w:r>
                  <w:r>
                    <w:rPr>
                      <w:rFonts w:hint="default" w:ascii="Times New Roman" w:hAnsi="Times New Roman" w:eastAsia="宋体" w:cs="Times New Roman"/>
                      <w:color w:val="auto"/>
                      <w:sz w:val="21"/>
                      <w:szCs w:val="21"/>
                    </w:rPr>
                    <w:t>kWh</w:t>
                  </w:r>
                </w:p>
              </w:tc>
              <w:tc>
                <w:tcPr>
                  <w:tcW w:w="1094" w:type="dxa"/>
                  <w:vAlign w:val="center"/>
                </w:tcPr>
                <w:p w14:paraId="61E14F5D">
                  <w:pPr>
                    <w:keepNext w:val="0"/>
                    <w:keepLines w:val="0"/>
                    <w:suppressLineNumbers w:val="0"/>
                    <w:spacing w:before="0" w:beforeAutospacing="0" w:after="0" w:afterAutospacing="0" w:line="240" w:lineRule="atLeast"/>
                    <w:ind w:left="0" w:right="0"/>
                    <w:jc w:val="center"/>
                    <w:rPr>
                      <w:rFonts w:hint="eastAsia" w:cs="Times New Roman"/>
                      <w:color w:val="auto"/>
                      <w:sz w:val="21"/>
                      <w:szCs w:val="21"/>
                      <w:lang w:val="en-US" w:eastAsia="zh-CN"/>
                    </w:rPr>
                  </w:pPr>
                  <w:r>
                    <w:rPr>
                      <w:rFonts w:hint="eastAsia" w:cs="Times New Roman"/>
                      <w:color w:val="auto"/>
                      <w:sz w:val="21"/>
                      <w:szCs w:val="21"/>
                      <w:lang w:val="en-US" w:eastAsia="zh-CN"/>
                    </w:rPr>
                    <w:t>—</w:t>
                  </w:r>
                </w:p>
              </w:tc>
              <w:tc>
                <w:tcPr>
                  <w:tcW w:w="2108" w:type="dxa"/>
                  <w:vAlign w:val="center"/>
                </w:tcPr>
                <w:p w14:paraId="0F2411F2">
                  <w:pPr>
                    <w:keepNext w:val="0"/>
                    <w:keepLines w:val="0"/>
                    <w:suppressLineNumbers w:val="0"/>
                    <w:spacing w:before="0" w:beforeAutospacing="0" w:after="0" w:afterAutospacing="0" w:line="240" w:lineRule="atLeast"/>
                    <w:ind w:left="0" w:right="0"/>
                    <w:jc w:val="center"/>
                    <w:rPr>
                      <w:rFonts w:hint="eastAsia" w:cs="Times New Roman"/>
                      <w:color w:val="auto"/>
                      <w:sz w:val="21"/>
                      <w:szCs w:val="21"/>
                      <w:lang w:val="en-US" w:eastAsia="zh-CN"/>
                    </w:rPr>
                  </w:pPr>
                </w:p>
              </w:tc>
            </w:tr>
          </w:tbl>
          <w:p w14:paraId="11A40647">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olor w:val="0000FF"/>
                <w:sz w:val="21"/>
                <w:szCs w:val="21"/>
                <w:lang w:val="en-US" w:eastAsia="zh-CN"/>
              </w:rPr>
            </w:pPr>
            <w:r>
              <w:rPr>
                <w:rFonts w:hint="eastAsia"/>
                <w:color w:val="0000FF"/>
                <w:sz w:val="21"/>
                <w:szCs w:val="21"/>
                <w:lang w:val="en-US" w:eastAsia="zh-CN"/>
              </w:rPr>
              <w:t>注：项目废吨包、废PP、ABS片料运输进厂前均已进行清洗，表面洁净无油渍、几乎无尘，不符合要求的原料会通知供货商运回，因此拆包过程基本无颗粒物产生。</w:t>
            </w:r>
          </w:p>
          <w:p w14:paraId="3CDB7BEE">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cs="Times New Roman"/>
                <w:color w:val="auto"/>
                <w:sz w:val="24"/>
                <w:szCs w:val="24"/>
                <w:lang w:val="en-US" w:eastAsia="zh-CN"/>
              </w:rPr>
            </w:pPr>
            <w:r>
              <w:rPr>
                <w:rFonts w:hint="eastAsia"/>
                <w:color w:val="auto"/>
                <w:sz w:val="24"/>
                <w:szCs w:val="24"/>
                <w:lang w:val="en-US" w:eastAsia="zh-CN"/>
              </w:rPr>
              <w:t>PP塑料：聚丙烯（Polypropylene，简称PP）是由丙烯单体通过加聚反应制成的半结晶的热塑性聚合物。通常呈白色蜡状固体，无毒、无味，外观透明且质地轻盈，其化学式为（C</w:t>
            </w:r>
            <w:r>
              <w:rPr>
                <w:rFonts w:hint="eastAsia"/>
                <w:color w:val="auto"/>
                <w:sz w:val="24"/>
                <w:szCs w:val="24"/>
                <w:vertAlign w:val="subscript"/>
                <w:lang w:val="en-US" w:eastAsia="zh-CN"/>
              </w:rPr>
              <w:t>3</w:t>
            </w:r>
            <w:r>
              <w:rPr>
                <w:rFonts w:hint="eastAsia"/>
                <w:color w:val="auto"/>
                <w:sz w:val="24"/>
                <w:szCs w:val="24"/>
                <w:lang w:val="en-US" w:eastAsia="zh-CN"/>
              </w:rPr>
              <w:t>H</w:t>
            </w:r>
            <w:r>
              <w:rPr>
                <w:rFonts w:hint="eastAsia"/>
                <w:color w:val="auto"/>
                <w:sz w:val="24"/>
                <w:szCs w:val="24"/>
                <w:vertAlign w:val="subscript"/>
                <w:lang w:val="en-US" w:eastAsia="zh-CN"/>
              </w:rPr>
              <w:t>6</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vertAlign w:val="subscript"/>
                <w:lang w:val="en-US" w:eastAsia="zh-CN"/>
              </w:rPr>
              <w:t>n</w:t>
            </w:r>
            <w:r>
              <w:rPr>
                <w:rFonts w:hint="eastAsia"/>
                <w:color w:val="auto"/>
                <w:sz w:val="24"/>
                <w:szCs w:val="24"/>
                <w:lang w:val="en-US" w:eastAsia="zh-CN"/>
              </w:rPr>
              <w:t>。密度为0.89～0.92g/cm</w:t>
            </w:r>
            <w:r>
              <w:rPr>
                <w:rFonts w:hint="eastAsia"/>
                <w:color w:val="auto"/>
                <w:sz w:val="24"/>
                <w:szCs w:val="24"/>
                <w:vertAlign w:val="superscript"/>
                <w:lang w:val="en-US" w:eastAsia="zh-CN"/>
              </w:rPr>
              <w:t>3</w:t>
            </w:r>
            <w:r>
              <w:rPr>
                <w:rFonts w:hint="eastAsia"/>
                <w:color w:val="auto"/>
                <w:sz w:val="24"/>
                <w:szCs w:val="24"/>
                <w:lang w:val="en-US" w:eastAsia="zh-CN"/>
              </w:rPr>
              <w:t>，起始分解温度约</w:t>
            </w:r>
            <w:r>
              <w:rPr>
                <w:rFonts w:hint="default" w:ascii="Times New Roman" w:hAnsi="Times New Roman" w:cs="Times New Roman"/>
                <w:color w:val="auto"/>
                <w:sz w:val="24"/>
                <w:szCs w:val="24"/>
                <w:lang w:val="en-US" w:eastAsia="zh-CN"/>
              </w:rPr>
              <w:t>300°C，显著分解多发生在350°C以上</w:t>
            </w:r>
            <w:r>
              <w:rPr>
                <w:rFonts w:hint="eastAsia" w:ascii="Times New Roman" w:hAnsi="Times New Roman" w:cs="Times New Roman"/>
                <w:color w:val="auto"/>
                <w:sz w:val="24"/>
                <w:szCs w:val="24"/>
                <w:lang w:val="en-US" w:eastAsia="zh-CN"/>
              </w:rPr>
              <w:t>。</w:t>
            </w:r>
          </w:p>
          <w:p w14:paraId="29F95611">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sz w:val="24"/>
                <w:szCs w:val="24"/>
                <w:lang w:val="en-US" w:eastAsia="zh-CN"/>
              </w:rPr>
            </w:pPr>
            <w:r>
              <w:rPr>
                <w:rFonts w:hint="eastAsia"/>
                <w:color w:val="auto"/>
                <w:sz w:val="24"/>
                <w:szCs w:val="24"/>
                <w:lang w:val="en-US" w:eastAsia="zh-CN"/>
              </w:rPr>
              <w:t>PE塑料：聚乙烯（Polyethylene ，简称PE）是乙烯单体经聚合反应制得的一种热塑性树脂。聚乙烯无臭，无毒，手感似蜡，具有优良的耐低温性能（最低使用温度可达</w:t>
            </w:r>
            <w:r>
              <w:rPr>
                <w:rFonts w:hint="default" w:ascii="Times New Roman" w:hAnsi="Times New Roman" w:cs="Times New Roman"/>
                <w:color w:val="auto"/>
                <w:sz w:val="24"/>
                <w:szCs w:val="24"/>
                <w:lang w:val="en-US" w:eastAsia="zh-CN"/>
              </w:rPr>
              <w:t>-100~-70°C</w:t>
            </w:r>
            <w:r>
              <w:rPr>
                <w:rFonts w:hint="eastAsia"/>
                <w:color w:val="auto"/>
                <w:sz w:val="24"/>
                <w:szCs w:val="24"/>
                <w:lang w:val="en-US" w:eastAsia="zh-CN"/>
              </w:rPr>
              <w:t>）。其化学式为（C</w:t>
            </w:r>
            <w:r>
              <w:rPr>
                <w:rFonts w:hint="eastAsia"/>
                <w:color w:val="auto"/>
                <w:sz w:val="24"/>
                <w:szCs w:val="24"/>
                <w:vertAlign w:val="subscript"/>
                <w:lang w:val="en-US" w:eastAsia="zh-CN"/>
              </w:rPr>
              <w:t>2</w:t>
            </w:r>
            <w:r>
              <w:rPr>
                <w:rFonts w:hint="eastAsia"/>
                <w:color w:val="auto"/>
                <w:sz w:val="24"/>
                <w:szCs w:val="24"/>
                <w:lang w:val="en-US" w:eastAsia="zh-CN"/>
              </w:rPr>
              <w:t>H</w:t>
            </w:r>
            <w:r>
              <w:rPr>
                <w:rFonts w:hint="eastAsia"/>
                <w:color w:val="auto"/>
                <w:sz w:val="24"/>
                <w:szCs w:val="24"/>
                <w:vertAlign w:val="subscript"/>
                <w:lang w:val="en-US" w:eastAsia="zh-CN"/>
              </w:rPr>
              <w:t>4</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vertAlign w:val="subscript"/>
                <w:lang w:val="en-US" w:eastAsia="zh-CN"/>
              </w:rPr>
              <w:t>n</w:t>
            </w:r>
            <w:r>
              <w:rPr>
                <w:rFonts w:hint="eastAsia"/>
                <w:color w:val="auto"/>
                <w:sz w:val="24"/>
                <w:szCs w:val="24"/>
                <w:lang w:val="en-US" w:eastAsia="zh-CN"/>
              </w:rPr>
              <w:t>，化学稳定性好。密度0.91至0.96g/cm</w:t>
            </w:r>
            <w:r>
              <w:rPr>
                <w:rFonts w:hint="eastAsia"/>
                <w:color w:val="auto"/>
                <w:sz w:val="24"/>
                <w:szCs w:val="24"/>
                <w:vertAlign w:val="superscript"/>
                <w:lang w:val="en-US" w:eastAsia="zh-CN"/>
              </w:rPr>
              <w:t>3</w:t>
            </w:r>
            <w:r>
              <w:rPr>
                <w:rFonts w:hint="eastAsia"/>
                <w:color w:val="auto"/>
                <w:sz w:val="24"/>
                <w:szCs w:val="24"/>
                <w:lang w:val="en-US" w:eastAsia="zh-CN"/>
              </w:rPr>
              <w:t>，分解温度通常在</w:t>
            </w:r>
            <w:r>
              <w:rPr>
                <w:rFonts w:hint="default" w:ascii="Times New Roman" w:hAnsi="Times New Roman" w:cs="Times New Roman"/>
                <w:color w:val="auto"/>
                <w:sz w:val="24"/>
                <w:szCs w:val="24"/>
                <w:lang w:val="en-US" w:eastAsia="zh-CN"/>
              </w:rPr>
              <w:t>300℃以上</w:t>
            </w:r>
            <w:r>
              <w:rPr>
                <w:rFonts w:hint="eastAsia" w:ascii="Times New Roman" w:hAnsi="Times New Roman" w:cs="Times New Roman"/>
                <w:color w:val="auto"/>
                <w:sz w:val="24"/>
                <w:szCs w:val="24"/>
                <w:lang w:val="en-US" w:eastAsia="zh-CN"/>
              </w:rPr>
              <w:t>。</w:t>
            </w:r>
          </w:p>
          <w:p w14:paraId="4E22A773">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cs="Times New Roman"/>
                <w:color w:val="auto"/>
                <w:sz w:val="24"/>
                <w:szCs w:val="24"/>
                <w:lang w:val="en-US" w:eastAsia="zh-CN"/>
              </w:rPr>
            </w:pPr>
            <w:r>
              <w:rPr>
                <w:rFonts w:hint="eastAsia"/>
                <w:color w:val="auto"/>
                <w:sz w:val="24"/>
                <w:szCs w:val="24"/>
                <w:lang w:val="en-US" w:eastAsia="zh-CN"/>
              </w:rPr>
              <w:t>ABS塑料：ABS塑料是丙烯腈、丁二烯、苯乙烯三种单体的三元共聚物，它的分子式可以写为（C</w:t>
            </w:r>
            <w:r>
              <w:rPr>
                <w:rFonts w:hint="eastAsia"/>
                <w:color w:val="auto"/>
                <w:sz w:val="24"/>
                <w:szCs w:val="24"/>
                <w:vertAlign w:val="subscript"/>
                <w:lang w:val="en-US" w:eastAsia="zh-CN"/>
              </w:rPr>
              <w:t>8</w:t>
            </w:r>
            <w:r>
              <w:rPr>
                <w:rFonts w:hint="eastAsia"/>
                <w:color w:val="auto"/>
                <w:sz w:val="24"/>
                <w:szCs w:val="24"/>
                <w:lang w:val="en-US" w:eastAsia="zh-CN"/>
              </w:rPr>
              <w:t>H</w:t>
            </w:r>
            <w:r>
              <w:rPr>
                <w:rFonts w:hint="eastAsia"/>
                <w:color w:val="auto"/>
                <w:sz w:val="24"/>
                <w:szCs w:val="24"/>
                <w:vertAlign w:val="subscript"/>
                <w:lang w:val="en-US" w:eastAsia="zh-CN"/>
              </w:rPr>
              <w:t>8</w:t>
            </w:r>
            <w:r>
              <w:rPr>
                <w:rFonts w:hint="eastAsia"/>
                <w:color w:val="auto"/>
                <w:sz w:val="24"/>
                <w:szCs w:val="24"/>
                <w:lang w:val="en-US" w:eastAsia="zh-CN"/>
              </w:rPr>
              <w:t>·C</w:t>
            </w:r>
            <w:r>
              <w:rPr>
                <w:rFonts w:hint="eastAsia"/>
                <w:color w:val="auto"/>
                <w:sz w:val="24"/>
                <w:szCs w:val="24"/>
                <w:vertAlign w:val="subscript"/>
                <w:lang w:val="en-US" w:eastAsia="zh-CN"/>
              </w:rPr>
              <w:t>4</w:t>
            </w:r>
            <w:r>
              <w:rPr>
                <w:rFonts w:hint="eastAsia"/>
                <w:color w:val="auto"/>
                <w:sz w:val="24"/>
                <w:szCs w:val="24"/>
                <w:lang w:val="en-US" w:eastAsia="zh-CN"/>
              </w:rPr>
              <w:t>H</w:t>
            </w:r>
            <w:r>
              <w:rPr>
                <w:rFonts w:hint="eastAsia"/>
                <w:color w:val="auto"/>
                <w:sz w:val="24"/>
                <w:szCs w:val="24"/>
                <w:vertAlign w:val="subscript"/>
                <w:lang w:val="en-US" w:eastAsia="zh-CN"/>
              </w:rPr>
              <w:t>6</w:t>
            </w:r>
            <w:r>
              <w:rPr>
                <w:rFonts w:hint="eastAsia"/>
                <w:color w:val="auto"/>
                <w:sz w:val="24"/>
                <w:szCs w:val="24"/>
                <w:lang w:val="en-US" w:eastAsia="zh-CN"/>
              </w:rPr>
              <w:t>·C</w:t>
            </w:r>
            <w:r>
              <w:rPr>
                <w:rFonts w:hint="eastAsia"/>
                <w:color w:val="auto"/>
                <w:sz w:val="24"/>
                <w:szCs w:val="24"/>
                <w:vertAlign w:val="subscript"/>
                <w:lang w:val="en-US" w:eastAsia="zh-CN"/>
              </w:rPr>
              <w:t>3</w:t>
            </w:r>
            <w:r>
              <w:rPr>
                <w:rFonts w:hint="eastAsia"/>
                <w:color w:val="auto"/>
                <w:sz w:val="24"/>
                <w:szCs w:val="24"/>
                <w:lang w:val="en-US" w:eastAsia="zh-CN"/>
              </w:rPr>
              <w:t>H</w:t>
            </w:r>
            <w:r>
              <w:rPr>
                <w:rFonts w:hint="eastAsia"/>
                <w:color w:val="auto"/>
                <w:sz w:val="24"/>
                <w:szCs w:val="24"/>
                <w:vertAlign w:val="subscript"/>
                <w:lang w:val="en-US" w:eastAsia="zh-CN"/>
              </w:rPr>
              <w:t>3</w:t>
            </w:r>
            <w:r>
              <w:rPr>
                <w:rFonts w:hint="eastAsia"/>
                <w:color w:val="auto"/>
                <w:sz w:val="24"/>
                <w:szCs w:val="24"/>
                <w:lang w:val="en-US" w:eastAsia="zh-CN"/>
              </w:rPr>
              <w:t>N）</w:t>
            </w:r>
            <w:r>
              <w:rPr>
                <w:rFonts w:hint="eastAsia"/>
                <w:color w:val="auto"/>
                <w:sz w:val="24"/>
                <w:szCs w:val="24"/>
                <w:vertAlign w:val="subscript"/>
                <w:lang w:val="en-US" w:eastAsia="zh-CN"/>
              </w:rPr>
              <w:t>x</w:t>
            </w:r>
            <w:r>
              <w:rPr>
                <w:rFonts w:hint="eastAsia"/>
                <w:color w:val="auto"/>
                <w:sz w:val="24"/>
                <w:szCs w:val="24"/>
                <w:lang w:val="en-US" w:eastAsia="zh-CN"/>
              </w:rPr>
              <w:t>。ABS塑料无味，外观呈象牙色半透明，或透明颗粒或粉状。密度为1.05~1.18g/cm</w:t>
            </w:r>
            <w:r>
              <w:rPr>
                <w:rFonts w:hint="eastAsia"/>
                <w:color w:val="auto"/>
                <w:sz w:val="24"/>
                <w:szCs w:val="24"/>
                <w:vertAlign w:val="superscript"/>
                <w:lang w:val="en-US" w:eastAsia="zh-CN"/>
              </w:rPr>
              <w:t>3</w:t>
            </w:r>
            <w:r>
              <w:rPr>
                <w:rFonts w:hint="eastAsia"/>
                <w:color w:val="auto"/>
                <w:sz w:val="24"/>
                <w:szCs w:val="24"/>
                <w:lang w:val="en-US" w:eastAsia="zh-CN"/>
              </w:rPr>
              <w:t>，热分解温度则</w:t>
            </w:r>
            <w:r>
              <w:rPr>
                <w:rFonts w:hint="default" w:ascii="Times New Roman" w:hAnsi="Times New Roman" w:cs="Times New Roman"/>
                <w:color w:val="auto"/>
                <w:sz w:val="24"/>
                <w:szCs w:val="24"/>
                <w:lang w:val="en-US" w:eastAsia="zh-CN"/>
              </w:rPr>
              <w:t>高于250℃</w:t>
            </w:r>
            <w:r>
              <w:rPr>
                <w:rFonts w:hint="eastAsia" w:ascii="Times New Roman" w:hAnsi="Times New Roman" w:cs="Times New Roman"/>
                <w:color w:val="auto"/>
                <w:sz w:val="24"/>
                <w:szCs w:val="24"/>
                <w:lang w:val="en-US" w:eastAsia="zh-CN"/>
              </w:rPr>
              <w:t>。</w:t>
            </w:r>
          </w:p>
          <w:p w14:paraId="05EB482F">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olor w:val="auto"/>
                <w:sz w:val="24"/>
                <w:szCs w:val="24"/>
                <w:lang w:val="en-US" w:eastAsia="zh-CN"/>
              </w:rPr>
            </w:pPr>
            <w:r>
              <w:rPr>
                <w:rFonts w:hint="eastAsia" w:cs="Times New Roman"/>
                <w:color w:val="auto"/>
                <w:sz w:val="24"/>
                <w:szCs w:val="24"/>
                <w:lang w:val="en-US" w:eastAsia="zh-CN"/>
              </w:rPr>
              <w:t>润滑油</w:t>
            </w:r>
            <w:r>
              <w:rPr>
                <w:rFonts w:hint="eastAsia" w:ascii="Times New Roman" w:hAnsi="Times New Roman" w:cs="Times New Roman"/>
                <w:color w:val="auto"/>
                <w:sz w:val="24"/>
                <w:szCs w:val="24"/>
                <w:lang w:val="en-US" w:eastAsia="zh-CN"/>
              </w:rPr>
              <w:t>：淡黄色粘稠液体，溶于苯、丙酮等多数有机溶剂。可燃液体，遇明火、高热可燃</w:t>
            </w:r>
            <w:r>
              <w:rPr>
                <w:rFonts w:hint="eastAsia" w:cs="Times New Roman"/>
                <w:color w:val="auto"/>
                <w:sz w:val="24"/>
                <w:szCs w:val="24"/>
                <w:lang w:val="en-US" w:eastAsia="zh-CN"/>
              </w:rPr>
              <w:t>。</w:t>
            </w:r>
          </w:p>
          <w:p w14:paraId="4676FB44">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olor w:val="auto"/>
                <w:sz w:val="24"/>
                <w:szCs w:val="24"/>
                <w:lang w:val="en-US" w:eastAsia="zh-CN"/>
              </w:rPr>
            </w:pPr>
            <w:r>
              <w:rPr>
                <w:rFonts w:hint="eastAsia" w:cs="Times New Roman"/>
                <w:color w:val="auto"/>
                <w:sz w:val="24"/>
                <w:szCs w:val="24"/>
                <w:lang w:val="en-US" w:eastAsia="zh-CN"/>
              </w:rPr>
              <w:t>液压油</w:t>
            </w:r>
            <w:r>
              <w:rPr>
                <w:rFonts w:hint="eastAsia" w:ascii="Times New Roman" w:hAnsi="Times New Roman" w:cs="Times New Roman"/>
                <w:color w:val="auto"/>
                <w:sz w:val="24"/>
                <w:szCs w:val="24"/>
                <w:lang w:val="en-US" w:eastAsia="zh-CN"/>
              </w:rPr>
              <w:t>：室温下琥珀色液体</w:t>
            </w:r>
            <w:r>
              <w:rPr>
                <w:rFonts w:hint="eastAsia" w:cs="Times New Roman"/>
                <w:color w:val="auto"/>
                <w:sz w:val="24"/>
                <w:szCs w:val="24"/>
                <w:lang w:val="en-US" w:eastAsia="zh-CN"/>
              </w:rPr>
              <w:t>，沸点</w:t>
            </w:r>
            <w:r>
              <w:rPr>
                <w:rFonts w:hint="default" w:ascii="Times New Roman" w:hAnsi="Times New Roman" w:cs="Times New Roman"/>
                <w:color w:val="auto"/>
                <w:sz w:val="24"/>
                <w:szCs w:val="24"/>
                <w:lang w:val="en-US" w:eastAsia="zh-CN"/>
              </w:rPr>
              <w:t>&gt;290℃</w:t>
            </w:r>
            <w:r>
              <w:rPr>
                <w:rFonts w:hint="eastAsia" w:ascii="Times New Roman" w:hAnsi="Times New Roman" w:cs="Times New Roman"/>
                <w:color w:val="auto"/>
                <w:sz w:val="24"/>
                <w:szCs w:val="24"/>
                <w:lang w:val="en-US" w:eastAsia="zh-CN"/>
              </w:rPr>
              <w:t>，不溶于水。可燃液体，遇明火、高热可燃。</w:t>
            </w:r>
          </w:p>
          <w:p w14:paraId="6FC674B7">
            <w:pPr>
              <w:spacing w:line="480" w:lineRule="exact"/>
              <w:ind w:firstLine="482" w:firstLineChars="200"/>
              <w:outlineLvl w:val="1"/>
              <w:rPr>
                <w:rFonts w:hint="default" w:ascii="Times New Roman" w:hAnsi="Times New Roman" w:cs="Times New Roman" w:eastAsiaTheme="minorEastAsia"/>
                <w:b/>
                <w:bCs/>
                <w:snapToGrid w:val="0"/>
                <w:color w:val="auto"/>
                <w:sz w:val="24"/>
              </w:rPr>
            </w:pPr>
            <w:r>
              <w:rPr>
                <w:rFonts w:hint="eastAsia"/>
                <w:b/>
                <w:bCs/>
                <w:color w:val="auto"/>
                <w:sz w:val="24"/>
                <w:highlight w:val="none"/>
                <w:lang w:val="en-US" w:eastAsia="zh-CN"/>
              </w:rPr>
              <w:t>七、</w:t>
            </w:r>
            <w:r>
              <w:rPr>
                <w:rFonts w:hint="default" w:ascii="Times New Roman" w:hAnsi="Times New Roman" w:cs="Times New Roman" w:eastAsiaTheme="minorEastAsia"/>
                <w:b/>
                <w:bCs/>
                <w:snapToGrid w:val="0"/>
                <w:color w:val="auto"/>
                <w:sz w:val="24"/>
              </w:rPr>
              <w:t>公用工程</w:t>
            </w:r>
          </w:p>
          <w:p w14:paraId="4D784784">
            <w:pPr>
              <w:pStyle w:val="83"/>
              <w:spacing w:line="480" w:lineRule="exact"/>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lang w:val="en-US" w:eastAsia="zh-CN"/>
              </w:rPr>
              <w:t>1、</w:t>
            </w:r>
            <w:r>
              <w:rPr>
                <w:rFonts w:hint="default" w:ascii="Times New Roman" w:hAnsi="Times New Roman" w:cs="Times New Roman" w:eastAsiaTheme="minorEastAsia"/>
                <w:color w:val="auto"/>
                <w:sz w:val="24"/>
                <w:szCs w:val="24"/>
              </w:rPr>
              <w:t>给排水</w:t>
            </w:r>
          </w:p>
          <w:p w14:paraId="3D86658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auto"/>
                <w:sz w:val="24"/>
                <w:szCs w:val="24"/>
              </w:rPr>
              <w:t>1）给水：</w:t>
            </w:r>
            <w:r>
              <w:rPr>
                <w:rFonts w:hint="eastAsia" w:cs="Times New Roman" w:eastAsiaTheme="minorEastAsia"/>
                <w:color w:val="auto"/>
                <w:sz w:val="24"/>
                <w:szCs w:val="24"/>
                <w:lang w:val="en-US" w:eastAsia="zh-CN"/>
              </w:rPr>
              <w:t>项目</w:t>
            </w:r>
            <w:r>
              <w:rPr>
                <w:rFonts w:hint="default" w:ascii="Times New Roman" w:hAnsi="Times New Roman" w:cs="Times New Roman" w:eastAsiaTheme="minorEastAsia"/>
                <w:color w:val="auto"/>
                <w:sz w:val="24"/>
                <w:szCs w:val="24"/>
              </w:rPr>
              <w:t>用水由园区供水管网供给</w:t>
            </w:r>
            <w:r>
              <w:rPr>
                <w:rFonts w:hint="eastAsia" w:cs="Times New Roman" w:eastAsiaTheme="minorEastAsia"/>
                <w:color w:val="auto"/>
                <w:sz w:val="24"/>
                <w:szCs w:val="24"/>
                <w:lang w:eastAsia="zh-CN"/>
              </w:rPr>
              <w:t>，</w:t>
            </w:r>
            <w:r>
              <w:rPr>
                <w:rFonts w:hint="default" w:ascii="Times New Roman" w:hAnsi="Times New Roman" w:cs="Times New Roman" w:eastAsiaTheme="minorEastAsia"/>
                <w:color w:val="auto"/>
                <w:sz w:val="24"/>
                <w:szCs w:val="24"/>
              </w:rPr>
              <w:t>水质、水量可以满足本工程的用水需求</w:t>
            </w:r>
            <w:r>
              <w:rPr>
                <w:rFonts w:hint="eastAsia" w:ascii="Times New Roman" w:hAnsi="Times New Roman" w:cs="Times New Roman" w:eastAsiaTheme="minorEastAsia"/>
                <w:color w:val="auto"/>
                <w:sz w:val="24"/>
                <w:szCs w:val="24"/>
                <w:lang w:eastAsia="zh-CN"/>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项目</w:t>
            </w:r>
            <w:r>
              <w:rPr>
                <w:rFonts w:hint="eastAsia" w:cs="Times New Roman" w:eastAsiaTheme="minorEastAsia"/>
                <w:color w:val="000000" w:themeColor="text1"/>
                <w:sz w:val="24"/>
                <w:szCs w:val="24"/>
                <w:lang w:val="en-US" w:eastAsia="zh-CN"/>
                <w14:textFill>
                  <w14:solidFill>
                    <w14:schemeClr w14:val="tx1"/>
                  </w14:solidFill>
                </w14:textFill>
              </w:rPr>
              <w:t>用水为湿式粉碎、清洗、冷却、喷淋塔及生活用水，总</w:t>
            </w:r>
            <w:r>
              <w:rPr>
                <w:rFonts w:hint="eastAsia" w:ascii="Times New Roman" w:hAnsi="Times New Roman" w:cs="Times New Roman"/>
                <w:color w:val="000000" w:themeColor="text1"/>
                <w:sz w:val="24"/>
                <w:szCs w:val="24"/>
                <w:lang w:val="en-US" w:eastAsia="zh-CN"/>
                <w14:textFill>
                  <w14:solidFill>
                    <w14:schemeClr w14:val="tx1"/>
                  </w14:solidFill>
                </w14:textFill>
              </w:rPr>
              <w:t>新鲜水量</w:t>
            </w:r>
            <w:r>
              <w:rPr>
                <w:rFonts w:hint="eastAsia" w:cs="Times New Roman"/>
                <w:color w:val="000000" w:themeColor="text1"/>
                <w:sz w:val="24"/>
                <w:szCs w:val="24"/>
                <w:lang w:val="en-US" w:eastAsia="zh-CN"/>
                <w14:textFill>
                  <w14:solidFill>
                    <w14:schemeClr w14:val="tx1"/>
                  </w14:solidFill>
                </w14:textFill>
              </w:rPr>
              <w:t>1.9</w:t>
            </w:r>
            <w:r>
              <w:rPr>
                <w:rFonts w:hint="default" w:ascii="Times New Roman" w:hAnsi="Times New Roman" w:cs="Times New Roman"/>
                <w:color w:val="000000" w:themeColor="text1"/>
                <w:sz w:val="24"/>
                <w:szCs w:val="24"/>
                <w:lang w:val="en-US" w:eastAsia="zh-CN"/>
                <w14:textFill>
                  <w14:solidFill>
                    <w14:schemeClr w14:val="tx1"/>
                  </w14:solidFill>
                </w14:textFill>
              </w:rPr>
              <w:t>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lang w:val="en-US" w:eastAsia="zh-CN"/>
                <w14:textFill>
                  <w14:solidFill>
                    <w14:schemeClr w14:val="tx1"/>
                  </w14:solidFill>
                </w14:textFill>
              </w:rPr>
              <w:t>/d</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本项目</w:t>
            </w:r>
            <w:r>
              <w:rPr>
                <w:rFonts w:hint="default" w:ascii="Times New Roman" w:hAnsi="Times New Roman" w:cs="Times New Roman"/>
                <w:color w:val="000000" w:themeColor="text1"/>
                <w:sz w:val="24"/>
                <w:szCs w:val="24"/>
                <w:lang w:val="en-US" w:eastAsia="zh-CN"/>
                <w14:textFill>
                  <w14:solidFill>
                    <w14:schemeClr w14:val="tx1"/>
                  </w14:solidFill>
                </w14:textFill>
              </w:rPr>
              <w:t>用水如下：</w:t>
            </w:r>
          </w:p>
          <w:p w14:paraId="0577F9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FF0000"/>
                <w:sz w:val="24"/>
              </w:rPr>
            </w:pPr>
            <w:r>
              <w:rPr>
                <w:rFonts w:hint="default" w:ascii="Times New Roman" w:hAnsi="Times New Roman" w:eastAsia="宋体" w:cs="Times New Roman"/>
                <w:color w:val="FF0000"/>
                <w:sz w:val="24"/>
              </w:rPr>
              <w:t>①</w:t>
            </w:r>
            <w:r>
              <w:rPr>
                <w:rFonts w:hint="eastAsia" w:cs="Times New Roman" w:eastAsiaTheme="minorEastAsia"/>
                <w:color w:val="FF0000"/>
                <w:sz w:val="24"/>
                <w:szCs w:val="24"/>
                <w:lang w:val="en-US" w:eastAsia="zh-CN"/>
              </w:rPr>
              <w:t>湿式粉碎用水：项目湿式粉碎用水量</w:t>
            </w:r>
            <w:r>
              <w:rPr>
                <w:rFonts w:hint="eastAsia"/>
                <w:color w:val="FF0000"/>
                <w:sz w:val="24"/>
                <w:lang w:val="en-US" w:eastAsia="zh-CN"/>
              </w:rPr>
              <w:t>8</w:t>
            </w:r>
            <w:r>
              <w:rPr>
                <w:color w:val="FF0000"/>
                <w:sz w:val="24"/>
              </w:rPr>
              <w:t>m</w:t>
            </w:r>
            <w:r>
              <w:rPr>
                <w:color w:val="FF0000"/>
                <w:sz w:val="24"/>
                <w:vertAlign w:val="superscript"/>
              </w:rPr>
              <w:t>3</w:t>
            </w:r>
            <w:r>
              <w:rPr>
                <w:color w:val="FF0000"/>
                <w:sz w:val="24"/>
              </w:rPr>
              <w:t>/d</w:t>
            </w:r>
            <w:r>
              <w:rPr>
                <w:rFonts w:hint="eastAsia"/>
                <w:color w:val="FF0000"/>
                <w:sz w:val="24"/>
                <w:lang w:eastAsia="zh-CN"/>
              </w:rPr>
              <w:t>，</w:t>
            </w:r>
            <w:r>
              <w:rPr>
                <w:rFonts w:hint="eastAsia"/>
                <w:color w:val="FF0000"/>
                <w:sz w:val="24"/>
                <w:lang w:val="en-US" w:eastAsia="zh-CN"/>
              </w:rPr>
              <w:t>其中新鲜水量0.5</w:t>
            </w:r>
            <w:r>
              <w:rPr>
                <w:color w:val="FF0000"/>
                <w:sz w:val="24"/>
              </w:rPr>
              <w:t>m</w:t>
            </w:r>
            <w:r>
              <w:rPr>
                <w:color w:val="FF0000"/>
                <w:sz w:val="24"/>
                <w:vertAlign w:val="superscript"/>
              </w:rPr>
              <w:t>3</w:t>
            </w:r>
            <w:r>
              <w:rPr>
                <w:color w:val="FF0000"/>
                <w:sz w:val="24"/>
              </w:rPr>
              <w:t>/d</w:t>
            </w:r>
            <w:r>
              <w:rPr>
                <w:rFonts w:hint="eastAsia" w:cs="Times New Roman"/>
                <w:b w:val="0"/>
                <w:bCs w:val="0"/>
                <w:color w:val="FF0000"/>
                <w:kern w:val="2"/>
                <w:sz w:val="24"/>
                <w:szCs w:val="24"/>
                <w:lang w:val="en-US" w:eastAsia="zh-CN" w:bidi="ar-SA"/>
              </w:rPr>
              <w:t>。</w:t>
            </w:r>
          </w:p>
          <w:p w14:paraId="3FDA042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FF0000"/>
                <w:sz w:val="24"/>
                <w:lang w:val="en-US" w:eastAsia="zh-CN"/>
              </w:rPr>
            </w:pPr>
            <w:r>
              <w:rPr>
                <w:rFonts w:hint="eastAsia" w:ascii="Times New Roman" w:hAnsi="Times New Roman" w:cs="Times New Roman"/>
                <w:color w:val="FF0000"/>
                <w:sz w:val="24"/>
                <w:lang w:val="en-US" w:eastAsia="zh-CN"/>
              </w:rPr>
              <w:t>②</w:t>
            </w:r>
            <w:r>
              <w:rPr>
                <w:rFonts w:hint="eastAsia" w:cs="Times New Roman" w:eastAsiaTheme="minorEastAsia"/>
                <w:color w:val="FF0000"/>
                <w:sz w:val="24"/>
                <w:szCs w:val="24"/>
                <w:lang w:val="en-US" w:eastAsia="zh-CN"/>
              </w:rPr>
              <w:t>清洗用水：</w:t>
            </w:r>
            <w:r>
              <w:rPr>
                <w:rFonts w:hint="eastAsia" w:ascii="Times New Roman" w:hAnsi="Times New Roman" w:eastAsia="宋体" w:cs="Times New Roman"/>
                <w:b w:val="0"/>
                <w:bCs w:val="0"/>
                <w:color w:val="FF0000"/>
                <w:spacing w:val="0"/>
                <w:sz w:val="24"/>
                <w:szCs w:val="24"/>
                <w:lang w:val="en-US" w:eastAsia="zh-CN"/>
              </w:rPr>
              <w:t>项目清洗不使用清洗剂，仅用清水进行清洗</w:t>
            </w:r>
            <w:r>
              <w:rPr>
                <w:rFonts w:hint="eastAsia" w:cs="Times New Roman" w:eastAsiaTheme="minorEastAsia"/>
                <w:color w:val="FF0000"/>
                <w:sz w:val="24"/>
                <w:szCs w:val="24"/>
                <w:lang w:val="en-US" w:eastAsia="zh-CN"/>
              </w:rPr>
              <w:t>，清洗用水量3</w:t>
            </w:r>
            <w:r>
              <w:rPr>
                <w:color w:val="FF0000"/>
                <w:sz w:val="24"/>
              </w:rPr>
              <w:t>m</w:t>
            </w:r>
            <w:r>
              <w:rPr>
                <w:color w:val="FF0000"/>
                <w:sz w:val="24"/>
                <w:vertAlign w:val="superscript"/>
              </w:rPr>
              <w:t>3</w:t>
            </w:r>
            <w:r>
              <w:rPr>
                <w:color w:val="FF0000"/>
                <w:sz w:val="24"/>
              </w:rPr>
              <w:t>/d</w:t>
            </w:r>
            <w:r>
              <w:rPr>
                <w:rFonts w:hint="eastAsia"/>
                <w:color w:val="FF0000"/>
                <w:sz w:val="24"/>
                <w:lang w:eastAsia="zh-CN"/>
              </w:rPr>
              <w:t>，</w:t>
            </w:r>
            <w:r>
              <w:rPr>
                <w:rFonts w:hint="eastAsia"/>
                <w:color w:val="FF0000"/>
                <w:sz w:val="24"/>
                <w:lang w:val="en-US" w:eastAsia="zh-CN"/>
              </w:rPr>
              <w:t>其中新鲜水量0.3</w:t>
            </w:r>
            <w:r>
              <w:rPr>
                <w:color w:val="FF0000"/>
                <w:sz w:val="24"/>
              </w:rPr>
              <w:t>m</w:t>
            </w:r>
            <w:r>
              <w:rPr>
                <w:color w:val="FF0000"/>
                <w:sz w:val="24"/>
                <w:vertAlign w:val="superscript"/>
              </w:rPr>
              <w:t>3</w:t>
            </w:r>
            <w:r>
              <w:rPr>
                <w:color w:val="FF0000"/>
                <w:sz w:val="24"/>
              </w:rPr>
              <w:t>/d</w:t>
            </w:r>
            <w:r>
              <w:rPr>
                <w:rFonts w:hint="eastAsia" w:cs="Times New Roman"/>
                <w:b w:val="0"/>
                <w:bCs w:val="0"/>
                <w:color w:val="FF0000"/>
                <w:kern w:val="2"/>
                <w:sz w:val="24"/>
                <w:szCs w:val="24"/>
                <w:lang w:val="en-US" w:eastAsia="zh-CN" w:bidi="ar-SA"/>
              </w:rPr>
              <w:t>。</w:t>
            </w:r>
          </w:p>
          <w:p w14:paraId="24F1D05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③</w:t>
            </w:r>
            <w:r>
              <w:rPr>
                <w:rFonts w:hint="eastAsia" w:cs="Times New Roman" w:eastAsiaTheme="minorEastAsia"/>
                <w:color w:val="000000" w:themeColor="text1"/>
                <w:sz w:val="24"/>
                <w:szCs w:val="24"/>
                <w:lang w:val="en-US" w:eastAsia="zh-CN"/>
                <w14:textFill>
                  <w14:solidFill>
                    <w14:schemeClr w14:val="tx1"/>
                  </w14:solidFill>
                </w14:textFill>
              </w:rPr>
              <w:t>冷却用水：项目冷却工序循环水量40m</w:t>
            </w:r>
            <w:r>
              <w:rPr>
                <w:rFonts w:hint="eastAsia" w:cs="Times New Roman" w:eastAsiaTheme="minorEastAsia"/>
                <w:color w:val="000000" w:themeColor="text1"/>
                <w:sz w:val="24"/>
                <w:szCs w:val="24"/>
                <w:vertAlign w:val="superscript"/>
                <w:lang w:val="en-US" w:eastAsia="zh-CN"/>
                <w14:textFill>
                  <w14:solidFill>
                    <w14:schemeClr w14:val="tx1"/>
                  </w14:solidFill>
                </w14:textFill>
              </w:rPr>
              <w:t>3</w:t>
            </w:r>
            <w:r>
              <w:rPr>
                <w:rFonts w:hint="eastAsia" w:cs="Times New Roman" w:eastAsiaTheme="minorEastAsia"/>
                <w:color w:val="000000" w:themeColor="text1"/>
                <w:sz w:val="24"/>
                <w:szCs w:val="24"/>
                <w:lang w:val="en-US" w:eastAsia="zh-CN"/>
                <w14:textFill>
                  <w14:solidFill>
                    <w14:schemeClr w14:val="tx1"/>
                  </w14:solidFill>
                </w14:textFill>
              </w:rPr>
              <w:t>/d，冷却工序补水量按循环水量1%计算，则冷却工序补水量为0.4m</w:t>
            </w:r>
            <w:r>
              <w:rPr>
                <w:rFonts w:hint="eastAsia" w:cs="Times New Roman" w:eastAsiaTheme="minorEastAsia"/>
                <w:color w:val="000000" w:themeColor="text1"/>
                <w:sz w:val="24"/>
                <w:szCs w:val="24"/>
                <w:vertAlign w:val="superscript"/>
                <w:lang w:val="en-US" w:eastAsia="zh-CN"/>
                <w14:textFill>
                  <w14:solidFill>
                    <w14:schemeClr w14:val="tx1"/>
                  </w14:solidFill>
                </w14:textFill>
              </w:rPr>
              <w:t>3</w:t>
            </w:r>
            <w:r>
              <w:rPr>
                <w:rFonts w:hint="eastAsia" w:cs="Times New Roman" w:eastAsiaTheme="minorEastAsia"/>
                <w:color w:val="000000" w:themeColor="text1"/>
                <w:sz w:val="24"/>
                <w:szCs w:val="24"/>
                <w:lang w:val="en-US" w:eastAsia="zh-CN"/>
                <w14:textFill>
                  <w14:solidFill>
                    <w14:schemeClr w14:val="tx1"/>
                  </w14:solidFill>
                </w14:textFill>
              </w:rPr>
              <w:t>/d</w:t>
            </w:r>
            <w:r>
              <w:rPr>
                <w:rFonts w:hint="eastAsia"/>
                <w:color w:val="000000" w:themeColor="text1"/>
                <w:sz w:val="24"/>
                <w:lang w:eastAsia="zh-CN"/>
                <w14:textFill>
                  <w14:solidFill>
                    <w14:schemeClr w14:val="tx1"/>
                  </w14:solidFill>
                </w14:textFill>
              </w:rPr>
              <w:t>；</w:t>
            </w:r>
          </w:p>
          <w:p w14:paraId="3328764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cs="Times New Roman"/>
                <w:color w:val="000000" w:themeColor="text1"/>
                <w:sz w:val="24"/>
                <w:lang w:val="en-US" w:eastAsia="zh-CN"/>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④</w:t>
            </w:r>
            <w:r>
              <w:rPr>
                <w:rFonts w:hint="eastAsia" w:cs="Times New Roman"/>
                <w:color w:val="000000" w:themeColor="text1"/>
                <w:sz w:val="24"/>
                <w:lang w:val="en-US" w:eastAsia="zh-CN"/>
                <w14:textFill>
                  <w14:solidFill>
                    <w14:schemeClr w14:val="tx1"/>
                  </w14:solidFill>
                </w14:textFill>
              </w:rPr>
              <w:t>喷淋塔用水：</w:t>
            </w:r>
            <w:r>
              <w:rPr>
                <w:rFonts w:hint="eastAsia" w:cs="Times New Roman" w:eastAsiaTheme="minorEastAsia"/>
                <w:color w:val="000000" w:themeColor="text1"/>
                <w:sz w:val="24"/>
                <w:szCs w:val="24"/>
                <w:lang w:val="en-US" w:eastAsia="zh-CN"/>
                <w14:textFill>
                  <w14:solidFill>
                    <w14:schemeClr w14:val="tx1"/>
                  </w14:solidFill>
                </w14:textFill>
              </w:rPr>
              <w:t>项目喷淋塔循环水量30m</w:t>
            </w:r>
            <w:r>
              <w:rPr>
                <w:rFonts w:hint="eastAsia" w:cs="Times New Roman" w:eastAsiaTheme="minorEastAsia"/>
                <w:color w:val="000000" w:themeColor="text1"/>
                <w:sz w:val="24"/>
                <w:szCs w:val="24"/>
                <w:vertAlign w:val="superscript"/>
                <w:lang w:val="en-US" w:eastAsia="zh-CN"/>
                <w14:textFill>
                  <w14:solidFill>
                    <w14:schemeClr w14:val="tx1"/>
                  </w14:solidFill>
                </w14:textFill>
              </w:rPr>
              <w:t>3</w:t>
            </w:r>
            <w:r>
              <w:rPr>
                <w:rFonts w:hint="eastAsia" w:cs="Times New Roman" w:eastAsiaTheme="minorEastAsia"/>
                <w:color w:val="000000" w:themeColor="text1"/>
                <w:sz w:val="24"/>
                <w:szCs w:val="24"/>
                <w:lang w:val="en-US" w:eastAsia="zh-CN"/>
                <w14:textFill>
                  <w14:solidFill>
                    <w14:schemeClr w14:val="tx1"/>
                  </w14:solidFill>
                </w14:textFill>
              </w:rPr>
              <w:t>/d，喷淋塔补水量按循环水量1%计算，则喷淋塔补水量为0.3m</w:t>
            </w:r>
            <w:r>
              <w:rPr>
                <w:rFonts w:hint="eastAsia" w:cs="Times New Roman" w:eastAsiaTheme="minorEastAsia"/>
                <w:color w:val="000000" w:themeColor="text1"/>
                <w:sz w:val="24"/>
                <w:szCs w:val="24"/>
                <w:vertAlign w:val="superscript"/>
                <w:lang w:val="en-US" w:eastAsia="zh-CN"/>
                <w14:textFill>
                  <w14:solidFill>
                    <w14:schemeClr w14:val="tx1"/>
                  </w14:solidFill>
                </w14:textFill>
              </w:rPr>
              <w:t>3</w:t>
            </w:r>
            <w:r>
              <w:rPr>
                <w:rFonts w:hint="eastAsia" w:cs="Times New Roman" w:eastAsiaTheme="minorEastAsia"/>
                <w:color w:val="000000" w:themeColor="text1"/>
                <w:sz w:val="24"/>
                <w:szCs w:val="24"/>
                <w:lang w:val="en-US" w:eastAsia="zh-CN"/>
                <w14:textFill>
                  <w14:solidFill>
                    <w14:schemeClr w14:val="tx1"/>
                  </w14:solidFill>
                </w14:textFill>
              </w:rPr>
              <w:t>/d。</w:t>
            </w:r>
          </w:p>
          <w:p w14:paraId="74F6A39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Times New Roman"/>
                <w:color w:val="auto"/>
                <w:sz w:val="24"/>
                <w:lang w:eastAsia="zh-CN"/>
              </w:rPr>
            </w:pPr>
            <w:r>
              <w:rPr>
                <w:rFonts w:hint="eastAsia" w:cs="Times New Roman"/>
                <w:color w:val="000000" w:themeColor="text1"/>
                <w:sz w:val="24"/>
                <w:lang w:val="en-US" w:eastAsia="zh-CN"/>
                <w14:textFill>
                  <w14:solidFill>
                    <w14:schemeClr w14:val="tx1"/>
                  </w14:solidFill>
                </w14:textFill>
              </w:rPr>
              <w:t>⑤</w:t>
            </w:r>
            <w:r>
              <w:rPr>
                <w:rFonts w:hint="eastAsia" w:ascii="Times New Roman" w:hAnsi="Times New Roman" w:cs="Times New Roman"/>
                <w:color w:val="000000" w:themeColor="text1"/>
                <w:sz w:val="24"/>
                <w:lang w:val="en-US" w:eastAsia="zh-CN"/>
                <w14:textFill>
                  <w14:solidFill>
                    <w14:schemeClr w14:val="tx1"/>
                  </w14:solidFill>
                </w14:textFill>
              </w:rPr>
              <w:t>生活用水：</w:t>
            </w:r>
            <w:r>
              <w:rPr>
                <w:rFonts w:hint="eastAsia"/>
                <w:color w:val="auto"/>
                <w:sz w:val="24"/>
                <w:lang w:val="en-US" w:eastAsia="zh-CN"/>
              </w:rPr>
              <w:t>参照</w:t>
            </w:r>
            <w:r>
              <w:rPr>
                <w:color w:val="auto"/>
                <w:sz w:val="24"/>
              </w:rPr>
              <w:t>《</w:t>
            </w:r>
            <w:r>
              <w:rPr>
                <w:rFonts w:hint="eastAsia"/>
                <w:color w:val="auto"/>
                <w:sz w:val="24"/>
                <w:lang w:eastAsia="zh-CN"/>
              </w:rPr>
              <w:t>生活与服务业用水定额</w:t>
            </w:r>
            <w:r>
              <w:rPr>
                <w:rFonts w:hint="eastAsia"/>
                <w:color w:val="auto"/>
                <w:sz w:val="24"/>
                <w:lang w:val="en-US" w:eastAsia="zh-CN"/>
              </w:rPr>
              <w:t xml:space="preserve"> 第2部分：服务业</w:t>
            </w:r>
            <w:r>
              <w:rPr>
                <w:color w:val="auto"/>
                <w:sz w:val="24"/>
              </w:rPr>
              <w:t>》（DB13/T</w:t>
            </w:r>
            <w:r>
              <w:rPr>
                <w:rFonts w:hint="eastAsia"/>
                <w:color w:val="auto"/>
                <w:sz w:val="24"/>
                <w:lang w:val="en-US" w:eastAsia="zh-CN"/>
              </w:rPr>
              <w:t>5450.2</w:t>
            </w:r>
            <w:r>
              <w:rPr>
                <w:color w:val="auto"/>
                <w:sz w:val="24"/>
              </w:rPr>
              <w:t>-20</w:t>
            </w:r>
            <w:r>
              <w:rPr>
                <w:rFonts w:hint="eastAsia"/>
                <w:color w:val="auto"/>
                <w:sz w:val="24"/>
                <w:lang w:val="en-US" w:eastAsia="zh-CN"/>
              </w:rPr>
              <w:t>21</w:t>
            </w:r>
            <w:r>
              <w:rPr>
                <w:color w:val="auto"/>
                <w:sz w:val="24"/>
              </w:rPr>
              <w:t>）表1</w:t>
            </w:r>
            <w:r>
              <w:rPr>
                <w:rFonts w:hint="eastAsia"/>
                <w:color w:val="auto"/>
                <w:sz w:val="24"/>
                <w:lang w:val="en-US" w:eastAsia="zh-CN"/>
              </w:rPr>
              <w:t>县直机关</w:t>
            </w:r>
            <w:r>
              <w:rPr>
                <w:color w:val="auto"/>
                <w:sz w:val="24"/>
              </w:rPr>
              <w:t>用水定额，职工生活按</w:t>
            </w:r>
            <w:r>
              <w:rPr>
                <w:rFonts w:hint="eastAsia"/>
                <w:color w:val="auto"/>
                <w:sz w:val="24"/>
                <w:lang w:val="en-US" w:eastAsia="zh-CN"/>
              </w:rPr>
              <w:t>12</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color w:val="auto"/>
                <w:sz w:val="24"/>
              </w:rPr>
              <w:t>/</w:t>
            </w:r>
            <w:r>
              <w:rPr>
                <w:rFonts w:hint="eastAsia"/>
                <w:color w:val="auto"/>
                <w:sz w:val="24"/>
                <w:lang w:eastAsia="zh-CN"/>
              </w:rPr>
              <w:t>（</w:t>
            </w:r>
            <w:r>
              <w:rPr>
                <w:color w:val="auto"/>
                <w:sz w:val="24"/>
              </w:rPr>
              <w:t>人·</w:t>
            </w:r>
            <w:r>
              <w:rPr>
                <w:rFonts w:hint="eastAsia"/>
                <w:color w:val="auto"/>
                <w:sz w:val="24"/>
                <w:lang w:val="en-US" w:eastAsia="zh-CN"/>
              </w:rPr>
              <w:t>a</w:t>
            </w:r>
            <w:r>
              <w:rPr>
                <w:rFonts w:hint="eastAsia"/>
                <w:color w:val="auto"/>
                <w:sz w:val="24"/>
                <w:lang w:eastAsia="zh-CN"/>
              </w:rPr>
              <w:t>）</w:t>
            </w:r>
            <w:r>
              <w:rPr>
                <w:color w:val="auto"/>
                <w:sz w:val="24"/>
              </w:rPr>
              <w:t>计算，</w:t>
            </w:r>
            <w:r>
              <w:rPr>
                <w:color w:val="auto"/>
                <w:sz w:val="24"/>
                <w:szCs w:val="18"/>
              </w:rPr>
              <w:t>项目劳动定员为</w:t>
            </w:r>
            <w:r>
              <w:rPr>
                <w:rFonts w:hint="eastAsia"/>
                <w:color w:val="auto"/>
                <w:sz w:val="24"/>
                <w:szCs w:val="18"/>
                <w:lang w:val="en-US" w:eastAsia="zh-CN"/>
              </w:rPr>
              <w:t>10</w:t>
            </w:r>
            <w:r>
              <w:rPr>
                <w:color w:val="auto"/>
                <w:sz w:val="24"/>
                <w:szCs w:val="18"/>
              </w:rPr>
              <w:t>人，</w:t>
            </w:r>
            <w:r>
              <w:rPr>
                <w:rFonts w:hint="eastAsia"/>
                <w:color w:val="auto"/>
                <w:sz w:val="24"/>
                <w:szCs w:val="18"/>
                <w:lang w:val="en-US" w:eastAsia="zh-CN"/>
              </w:rPr>
              <w:t>不在厂区食宿，年生产300天，则</w:t>
            </w:r>
            <w:r>
              <w:rPr>
                <w:color w:val="auto"/>
                <w:sz w:val="24"/>
              </w:rPr>
              <w:t>职工生活用水量为</w:t>
            </w:r>
            <w:r>
              <w:rPr>
                <w:rFonts w:hint="eastAsia"/>
                <w:color w:val="auto"/>
                <w:sz w:val="24"/>
                <w:lang w:val="en-US" w:eastAsia="zh-CN"/>
              </w:rPr>
              <w:t>0.4</w:t>
            </w:r>
            <w:r>
              <w:rPr>
                <w:color w:val="auto"/>
                <w:sz w:val="24"/>
              </w:rPr>
              <w:t>m</w:t>
            </w:r>
            <w:r>
              <w:rPr>
                <w:color w:val="auto"/>
                <w:sz w:val="24"/>
                <w:vertAlign w:val="superscript"/>
              </w:rPr>
              <w:t>3</w:t>
            </w:r>
            <w:r>
              <w:rPr>
                <w:color w:val="auto"/>
                <w:sz w:val="24"/>
              </w:rPr>
              <w:t>/d</w:t>
            </w:r>
            <w:r>
              <w:rPr>
                <w:rFonts w:hint="eastAsia"/>
                <w:color w:val="auto"/>
                <w:sz w:val="24"/>
                <w:lang w:eastAsia="zh-CN"/>
              </w:rPr>
              <w:t>。</w:t>
            </w:r>
          </w:p>
          <w:p w14:paraId="1987C7DC">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排水：</w:t>
            </w:r>
          </w:p>
          <w:p w14:paraId="517F1F2B">
            <w:pPr>
              <w:numPr>
                <w:ilvl w:val="0"/>
                <w:numId w:val="0"/>
              </w:numPr>
              <w:spacing w:line="480" w:lineRule="exact"/>
              <w:ind w:firstLine="480" w:firstLineChars="200"/>
              <w:rPr>
                <w:rFonts w:hint="eastAsia" w:ascii="宋体" w:hAnsi="宋体"/>
                <w:color w:val="auto"/>
                <w:sz w:val="24"/>
                <w:lang w:eastAsia="zh-CN"/>
              </w:rPr>
            </w:pPr>
            <w:r>
              <w:rPr>
                <w:rFonts w:hint="eastAsia" w:cs="Times New Roman" w:eastAsiaTheme="minorEastAsia"/>
                <w:color w:val="000000" w:themeColor="text1"/>
                <w:sz w:val="24"/>
                <w:szCs w:val="24"/>
                <w:lang w:val="en-US" w:eastAsia="zh-CN"/>
                <w14:textFill>
                  <w14:solidFill>
                    <w14:schemeClr w14:val="tx1"/>
                  </w14:solidFill>
                </w14:textFill>
              </w:rPr>
              <w:t>项目喷淋塔</w:t>
            </w:r>
            <w:r>
              <w:rPr>
                <w:rFonts w:hint="default" w:ascii="Times New Roman" w:hAnsi="Times New Roman" w:cs="Times New Roman"/>
                <w:color w:val="000000" w:themeColor="text1"/>
                <w:sz w:val="24"/>
                <w14:textFill>
                  <w14:solidFill>
                    <w14:schemeClr w14:val="tx1"/>
                  </w14:solidFill>
                </w14:textFill>
              </w:rPr>
              <w:t>定期补水，日常不排水</w:t>
            </w:r>
            <w:r>
              <w:rPr>
                <w:rFonts w:hint="eastAsia" w:ascii="Times New Roman" w:hAnsi="Times New Roman"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项目冷却工序定期排水，冷却工序排水同湿式粉碎、清洗、甩干、压滤废水经沉淀池处理后循环利用，不外排；</w:t>
            </w:r>
            <w:r>
              <w:rPr>
                <w:rFonts w:hint="eastAsia" w:ascii="宋体" w:hAnsi="宋体"/>
                <w:color w:val="0000FF"/>
                <w:spacing w:val="2"/>
                <w:sz w:val="24"/>
              </w:rPr>
              <w:t>生活废水</w:t>
            </w:r>
            <w:r>
              <w:rPr>
                <w:rFonts w:hint="eastAsia" w:ascii="宋体" w:hAnsi="宋体"/>
                <w:color w:val="0000FF"/>
                <w:spacing w:val="2"/>
                <w:sz w:val="24"/>
                <w:lang w:val="en-US" w:eastAsia="zh-CN"/>
              </w:rPr>
              <w:t>主要为盥洗废水，水质简单，</w:t>
            </w:r>
            <w:r>
              <w:rPr>
                <w:rFonts w:hint="eastAsia" w:ascii="宋体" w:hAnsi="宋体"/>
                <w:color w:val="auto"/>
                <w:spacing w:val="2"/>
                <w:sz w:val="24"/>
              </w:rPr>
              <w:t>产生量按照用水量的</w:t>
            </w:r>
            <w:r>
              <w:rPr>
                <w:color w:val="auto"/>
                <w:spacing w:val="2"/>
                <w:sz w:val="24"/>
              </w:rPr>
              <w:t>80%</w:t>
            </w:r>
            <w:r>
              <w:rPr>
                <w:rFonts w:hint="eastAsia" w:ascii="宋体" w:hAnsi="宋体"/>
                <w:color w:val="auto"/>
                <w:spacing w:val="2"/>
                <w:sz w:val="24"/>
              </w:rPr>
              <w:t>计算，废水产生量为</w:t>
            </w:r>
            <w:r>
              <w:rPr>
                <w:rFonts w:hint="eastAsia"/>
                <w:color w:val="auto"/>
                <w:sz w:val="24"/>
                <w:lang w:val="en-US" w:eastAsia="zh-CN"/>
              </w:rPr>
              <w:t>0.32</w:t>
            </w:r>
            <w:r>
              <w:rPr>
                <w:rFonts w:hint="eastAsia"/>
                <w:color w:val="auto"/>
                <w:sz w:val="24"/>
              </w:rPr>
              <w:t>m</w:t>
            </w:r>
            <w:r>
              <w:rPr>
                <w:rFonts w:hint="eastAsia"/>
                <w:color w:val="auto"/>
                <w:sz w:val="24"/>
                <w:vertAlign w:val="superscript"/>
                <w:lang w:val="en-US" w:eastAsia="zh-CN"/>
              </w:rPr>
              <w:t>3</w:t>
            </w:r>
            <w:r>
              <w:rPr>
                <w:color w:val="auto"/>
                <w:sz w:val="24"/>
              </w:rPr>
              <w:t>/</w:t>
            </w:r>
            <w:r>
              <w:rPr>
                <w:rFonts w:hint="eastAsia"/>
                <w:color w:val="auto"/>
                <w:sz w:val="24"/>
              </w:rPr>
              <w:t>d</w:t>
            </w:r>
            <w:r>
              <w:rPr>
                <w:rFonts w:hint="eastAsia"/>
                <w:color w:val="auto"/>
                <w:sz w:val="24"/>
                <w:lang w:eastAsia="zh-CN"/>
              </w:rPr>
              <w:t>，</w:t>
            </w:r>
            <w:r>
              <w:rPr>
                <w:rFonts w:hint="eastAsia"/>
                <w:color w:val="auto"/>
                <w:sz w:val="24"/>
                <w:lang w:val="en-US" w:eastAsia="zh-CN"/>
              </w:rPr>
              <w:t>直接泼洒抑尘</w:t>
            </w:r>
            <w:r>
              <w:rPr>
                <w:rFonts w:hint="eastAsia" w:ascii="宋体" w:hAnsi="宋体"/>
                <w:color w:val="auto"/>
                <w:sz w:val="24"/>
                <w:lang w:eastAsia="zh-CN"/>
              </w:rPr>
              <w:t>。</w:t>
            </w:r>
          </w:p>
          <w:p w14:paraId="0F338CBB">
            <w:pPr>
              <w:numPr>
                <w:ilvl w:val="0"/>
                <w:numId w:val="0"/>
              </w:numPr>
              <w:spacing w:line="480" w:lineRule="exact"/>
              <w:ind w:firstLine="480" w:firstLineChars="200"/>
              <w:rPr>
                <w:rFonts w:hint="eastAsia" w:cs="Times New Roman" w:eastAsiaTheme="minorEastAsia"/>
                <w:color w:val="auto"/>
                <w:sz w:val="24"/>
                <w:lang w:eastAsia="zh-CN"/>
              </w:rPr>
            </w:pPr>
            <w:r>
              <w:rPr>
                <w:rFonts w:hint="eastAsia" w:cs="Times New Roman"/>
                <w:b w:val="0"/>
                <w:bCs/>
                <w:color w:val="auto"/>
                <w:sz w:val="24"/>
                <w:lang w:val="en-US" w:eastAsia="zh-CN"/>
              </w:rPr>
              <w:t>项目</w:t>
            </w:r>
            <w:r>
              <w:rPr>
                <w:rFonts w:hint="default" w:ascii="Times New Roman" w:hAnsi="Times New Roman" w:cs="Times New Roman" w:eastAsiaTheme="minorEastAsia"/>
                <w:color w:val="auto"/>
                <w:sz w:val="24"/>
                <w:lang w:val="en-US" w:eastAsia="zh-CN"/>
              </w:rPr>
              <w:t>完成后全厂</w:t>
            </w:r>
            <w:r>
              <w:rPr>
                <w:rFonts w:hint="eastAsia" w:cs="Times New Roman" w:eastAsiaTheme="minorEastAsia"/>
                <w:color w:val="auto"/>
                <w:sz w:val="24"/>
                <w:lang w:val="en-US" w:eastAsia="zh-CN"/>
              </w:rPr>
              <w:t>水量平衡</w:t>
            </w:r>
            <w:r>
              <w:rPr>
                <w:rFonts w:hint="default" w:ascii="Times New Roman" w:hAnsi="Times New Roman" w:cs="Times New Roman" w:eastAsiaTheme="minorEastAsia"/>
                <w:color w:val="auto"/>
                <w:sz w:val="24"/>
              </w:rPr>
              <w:t>图</w:t>
            </w:r>
            <w:r>
              <w:rPr>
                <w:rFonts w:hint="eastAsia" w:cs="Times New Roman" w:eastAsiaTheme="minorEastAsia"/>
                <w:color w:val="auto"/>
                <w:sz w:val="24"/>
                <w:lang w:val="en-US" w:eastAsia="zh-CN"/>
              </w:rPr>
              <w:t>见图1</w:t>
            </w:r>
            <w:r>
              <w:rPr>
                <w:rFonts w:hint="eastAsia" w:cs="Times New Roman" w:eastAsiaTheme="minorEastAsia"/>
                <w:color w:val="auto"/>
                <w:sz w:val="24"/>
                <w:lang w:eastAsia="zh-CN"/>
              </w:rPr>
              <w:t>。</w:t>
            </w:r>
          </w:p>
          <w:p w14:paraId="258CAC4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10464" behindDoc="0" locked="0" layoutInCell="1" allowOverlap="1">
                      <wp:simplePos x="0" y="0"/>
                      <wp:positionH relativeFrom="column">
                        <wp:posOffset>3531235</wp:posOffset>
                      </wp:positionH>
                      <wp:positionV relativeFrom="paragraph">
                        <wp:posOffset>-18415</wp:posOffset>
                      </wp:positionV>
                      <wp:extent cx="586105" cy="2794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586105" cy="279400"/>
                              </a:xfrm>
                              <a:prstGeom prst="rect">
                                <a:avLst/>
                              </a:prstGeom>
                              <a:noFill/>
                              <a:ln>
                                <a:noFill/>
                              </a:ln>
                            </wps:spPr>
                            <wps:txbx>
                              <w:txbxContent>
                                <w:p w14:paraId="5E9C3350">
                                  <w:pPr>
                                    <w:rPr>
                                      <w:rFonts w:hint="default" w:eastAsia="宋体"/>
                                      <w:lang w:val="en-US" w:eastAsia="zh-CN"/>
                                    </w:rPr>
                                  </w:pPr>
                                  <w:r>
                                    <w:rPr>
                                      <w:rFonts w:hint="eastAsia"/>
                                      <w:lang w:val="en-US" w:eastAsia="zh-CN"/>
                                    </w:rPr>
                                    <w:t>7.5</w:t>
                                  </w:r>
                                </w:p>
                              </w:txbxContent>
                            </wps:txbx>
                            <wps:bodyPr upright="1"/>
                          </wps:wsp>
                        </a:graphicData>
                      </a:graphic>
                    </wp:anchor>
                  </w:drawing>
                </mc:Choice>
                <mc:Fallback>
                  <w:pict>
                    <v:shape id="_x0000_s1026" o:spid="_x0000_s1026" o:spt="202" type="#_x0000_t202" style="position:absolute;left:0pt;margin-left:278.05pt;margin-top:-1.45pt;height:22pt;width:46.15pt;z-index:251710464;mso-width-relative:page;mso-height-relative:page;" filled="f" stroked="f" coordsize="21600,21600" o:gfxdata="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dvHQNcA&#10;AAAJAQAADwAAAAAAAAABACAAAAAiAAAAZHJzL2Rvd25yZXYueG1sUEsBAhQAFAAAAAgAh07iQAgH&#10;JLSuAQAAUQMAAA4AAAAAAAAAAQAgAAAAJgEAAGRycy9lMm9Eb2MueG1sUEsFBgAAAAAGAAYAWQEA&#10;AEYFAAAAAA==&#10;">
                      <v:fill on="f" focussize="0,0"/>
                      <v:stroke on="f"/>
                      <v:imagedata o:title=""/>
                      <o:lock v:ext="edit" aspectratio="f"/>
                      <v:textbox>
                        <w:txbxContent>
                          <w:p w14:paraId="5E9C3350">
                            <w:pPr>
                              <w:rPr>
                                <w:rFonts w:hint="default" w:eastAsia="宋体"/>
                                <w:lang w:val="en-US" w:eastAsia="zh-CN"/>
                              </w:rPr>
                            </w:pPr>
                            <w:r>
                              <w:rPr>
                                <w:rFonts w:hint="eastAsia"/>
                                <w:lang w:val="en-US" w:eastAsia="zh-CN"/>
                              </w:rPr>
                              <w:t>7.5</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22752" behindDoc="0" locked="0" layoutInCell="1" allowOverlap="1">
                      <wp:simplePos x="0" y="0"/>
                      <wp:positionH relativeFrom="column">
                        <wp:posOffset>2273300</wp:posOffset>
                      </wp:positionH>
                      <wp:positionV relativeFrom="paragraph">
                        <wp:posOffset>201930</wp:posOffset>
                      </wp:positionV>
                      <wp:extent cx="5080" cy="222250"/>
                      <wp:effectExtent l="36195" t="0" r="34925" b="6350"/>
                      <wp:wrapNone/>
                      <wp:docPr id="11" name="直接连接符 11"/>
                      <wp:cNvGraphicFramePr/>
                      <a:graphic xmlns:a="http://schemas.openxmlformats.org/drawingml/2006/main">
                        <a:graphicData uri="http://schemas.microsoft.com/office/word/2010/wordprocessingShape">
                          <wps:wsp>
                            <wps:cNvCnPr/>
                            <wps:spPr>
                              <a:xfrm flipH="1">
                                <a:off x="0" y="0"/>
                                <a:ext cx="5080" cy="222250"/>
                              </a:xfrm>
                              <a:prstGeom prst="line">
                                <a:avLst/>
                              </a:prstGeom>
                              <a:ln w="9525"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179pt;margin-top:15.9pt;height:17.5pt;width:0.4pt;z-index:251722752;mso-width-relative:page;mso-height-relative:page;" filled="f" stroked="t" coordsize="21600,21600" o:gfxdata="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lSCh9YAAAAJAQAADwAAAAAAAAABACAAAAAiAAAAZHJz&#10;L2Rvd25yZXYueG1sUEsBAhQAFAAAAAgAh07iQDXsRlgGAgAA9QMAAA4AAAAAAAAAAQAgAAAAJQEA&#10;AGRycy9lMm9Eb2MueG1sUEsFBgAAAAAGAAYAWQEAAJ0FAAAAAA==&#10;">
                      <v:fill on="f" focussize="0,0"/>
                      <v:stroke color="#000000" joinstyle="round" dashstyle="dash" endarrow="block"/>
                      <v:imagedata o:title=""/>
                      <o:lock v:ext="edit" aspectratio="f"/>
                    </v:lin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26848" behindDoc="0" locked="0" layoutInCell="1" allowOverlap="1">
                      <wp:simplePos x="0" y="0"/>
                      <wp:positionH relativeFrom="column">
                        <wp:posOffset>2263775</wp:posOffset>
                      </wp:positionH>
                      <wp:positionV relativeFrom="paragraph">
                        <wp:posOffset>195580</wp:posOffset>
                      </wp:positionV>
                      <wp:extent cx="2247900" cy="9525"/>
                      <wp:effectExtent l="0" t="0" r="0" b="0"/>
                      <wp:wrapNone/>
                      <wp:docPr id="35" name="直接连接符 35"/>
                      <wp:cNvGraphicFramePr/>
                      <a:graphic xmlns:a="http://schemas.openxmlformats.org/drawingml/2006/main">
                        <a:graphicData uri="http://schemas.microsoft.com/office/word/2010/wordprocessingShape">
                          <wps:wsp>
                            <wps:cNvCnPr/>
                            <wps:spPr>
                              <a:xfrm flipH="1">
                                <a:off x="0" y="0"/>
                                <a:ext cx="2247900" cy="9525"/>
                              </a:xfrm>
                              <a:prstGeom prst="line">
                                <a:avLst/>
                              </a:prstGeom>
                              <a:ln w="9525" cap="flat" cmpd="sng">
                                <a:solidFill>
                                  <a:srgbClr val="000000"/>
                                </a:solidFill>
                                <a:prstDash val="dash"/>
                                <a:headEnd type="none" w="med" len="med"/>
                                <a:tailEnd type="none" w="med" len="med"/>
                              </a:ln>
                            </wps:spPr>
                            <wps:bodyPr upright="1"/>
                          </wps:wsp>
                        </a:graphicData>
                      </a:graphic>
                    </wp:anchor>
                  </w:drawing>
                </mc:Choice>
                <mc:Fallback>
                  <w:pict>
                    <v:line id="_x0000_s1026" o:spid="_x0000_s1026" o:spt="20" style="position:absolute;left:0pt;flip:x;margin-left:178.25pt;margin-top:15.4pt;height:0.75pt;width:177pt;z-index:251726848;mso-width-relative:page;mso-height-relative:page;" filled="f" stroked="t" coordsize="21600,21600" o:gfxdata="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vGoLvVAAAACQEAAA8AAAAAAAAAAQAgAAAAIgAAAGRycy9kb3ducmV2&#10;LnhtbFBLAQIUABQAAAAIAIdO4kAuqpqm/wEAAPIDAAAOAAAAAAAAAAEAIAAAACQBAABkcnMvZTJv&#10;RG9jLnhtbFBLBQYAAAAABgAGAFkBAACVBQAAAAA=&#10;">
                      <v:fill on="f" focussize="0,0"/>
                      <v:stroke color="#000000" joinstyle="round" dashstyle="dash"/>
                      <v:imagedata o:title=""/>
                      <o:lock v:ext="edit" aspectratio="f"/>
                    </v:lin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23776" behindDoc="0" locked="0" layoutInCell="1" allowOverlap="1">
                      <wp:simplePos x="0" y="0"/>
                      <wp:positionH relativeFrom="column">
                        <wp:posOffset>730885</wp:posOffset>
                      </wp:positionH>
                      <wp:positionV relativeFrom="paragraph">
                        <wp:posOffset>314960</wp:posOffset>
                      </wp:positionV>
                      <wp:extent cx="586105" cy="2794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586105" cy="279400"/>
                              </a:xfrm>
                              <a:prstGeom prst="rect">
                                <a:avLst/>
                              </a:prstGeom>
                              <a:noFill/>
                              <a:ln>
                                <a:noFill/>
                              </a:ln>
                            </wps:spPr>
                            <wps:txbx>
                              <w:txbxContent>
                                <w:p w14:paraId="16F2E69B">
                                  <w:pPr>
                                    <w:rPr>
                                      <w:rFonts w:hint="default"/>
                                      <w:lang w:val="en-US" w:eastAsia="zh-CN"/>
                                    </w:rPr>
                                  </w:pPr>
                                  <w:r>
                                    <w:rPr>
                                      <w:rFonts w:hint="eastAsia"/>
                                      <w:lang w:val="en-US" w:eastAsia="zh-CN"/>
                                    </w:rPr>
                                    <w:t>0.5</w:t>
                                  </w:r>
                                </w:p>
                              </w:txbxContent>
                            </wps:txbx>
                            <wps:bodyPr upright="1"/>
                          </wps:wsp>
                        </a:graphicData>
                      </a:graphic>
                    </wp:anchor>
                  </w:drawing>
                </mc:Choice>
                <mc:Fallback>
                  <w:pict>
                    <v:shape id="_x0000_s1026" o:spid="_x0000_s1026" o:spt="202" type="#_x0000_t202" style="position:absolute;left:0pt;margin-left:57.55pt;margin-top:24.8pt;height:22pt;width:46.15pt;z-index:251723776;mso-width-relative:page;mso-height-relative:page;" filled="f" stroked="f" coordsize="21600,21600" o:gfxdata="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ylCiH1gAA&#10;AAkBAAAPAAAAAAAAAAEAIAAAACIAAABkcnMvZG93bnJldi54bWxQSwECFAAUAAAACACHTuJABoeP&#10;n64BAABPAwAADgAAAAAAAAABACAAAAAlAQAAZHJzL2Uyb0RvYy54bWxQSwUGAAAAAAYABgBZAQAA&#10;RQUAAAAA&#10;">
                      <v:fill on="f" focussize="0,0"/>
                      <v:stroke on="f"/>
                      <v:imagedata o:title=""/>
                      <o:lock v:ext="edit" aspectratio="f"/>
                      <v:textbox>
                        <w:txbxContent>
                          <w:p w14:paraId="16F2E69B">
                            <w:pPr>
                              <w:rPr>
                                <w:rFonts w:hint="default"/>
                                <w:lang w:val="en-US" w:eastAsia="zh-CN"/>
                              </w:rPr>
                            </w:pPr>
                            <w:r>
                              <w:rPr>
                                <w:rFonts w:hint="eastAsia"/>
                                <w:lang w:val="en-US" w:eastAsia="zh-CN"/>
                              </w:rPr>
                              <w:t>0.5</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09440" behindDoc="0" locked="0" layoutInCell="1" allowOverlap="1">
                      <wp:simplePos x="0" y="0"/>
                      <wp:positionH relativeFrom="column">
                        <wp:posOffset>4507230</wp:posOffset>
                      </wp:positionH>
                      <wp:positionV relativeFrom="paragraph">
                        <wp:posOffset>176530</wp:posOffset>
                      </wp:positionV>
                      <wp:extent cx="4445" cy="1273175"/>
                      <wp:effectExtent l="4445" t="0" r="10160" b="3175"/>
                      <wp:wrapNone/>
                      <wp:docPr id="107" name="直接连接符 107"/>
                      <wp:cNvGraphicFramePr/>
                      <a:graphic xmlns:a="http://schemas.openxmlformats.org/drawingml/2006/main">
                        <a:graphicData uri="http://schemas.microsoft.com/office/word/2010/wordprocessingShape">
                          <wps:wsp>
                            <wps:cNvCnPr/>
                            <wps:spPr>
                              <a:xfrm flipV="1">
                                <a:off x="0" y="0"/>
                                <a:ext cx="4445" cy="1273175"/>
                              </a:xfrm>
                              <a:prstGeom prst="line">
                                <a:avLst/>
                              </a:prstGeom>
                              <a:ln w="9525" cap="flat" cmpd="sng">
                                <a:solidFill>
                                  <a:srgbClr val="000000"/>
                                </a:solidFill>
                                <a:prstDash val="dash"/>
                                <a:headEnd type="none" w="med" len="med"/>
                                <a:tailEnd type="none" w="med" len="med"/>
                              </a:ln>
                            </wps:spPr>
                            <wps:bodyPr upright="1"/>
                          </wps:wsp>
                        </a:graphicData>
                      </a:graphic>
                    </wp:anchor>
                  </w:drawing>
                </mc:Choice>
                <mc:Fallback>
                  <w:pict>
                    <v:line id="_x0000_s1026" o:spid="_x0000_s1026" o:spt="20" style="position:absolute;left:0pt;flip:y;margin-left:354.9pt;margin-top:13.9pt;height:100.25pt;width:0.35pt;z-index:251709440;mso-width-relative:page;mso-height-relative:page;" filled="f" stroked="t" coordsize="21600,21600" o:gfxdata="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Sk7yb1gAAAAoBAAAPAAAAAAAAAAEAIAAAACIAAABkcnMvZG93bnJl&#10;di54bWxQSwECFAAUAAAACACHTuJANOMwyv8BAAD0AwAADgAAAAAAAAABACAAAAAlAQAAZHJzL2Uy&#10;b0RvYy54bWxQSwUGAAAAAAYABgBZAQAAlgUAAAAA&#10;">
                      <v:fill on="f" focussize="0,0"/>
                      <v:stroke color="#000000" joinstyle="round" dashstyle="dash"/>
                      <v:imagedata o:title=""/>
                      <o:lock v:ext="edit" aspectratio="f"/>
                    </v:line>
                  </w:pict>
                </mc:Fallback>
              </mc:AlternateContent>
            </w:r>
          </w:p>
          <w:p w14:paraId="7426353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01248" behindDoc="0" locked="0" layoutInCell="1" allowOverlap="1">
                      <wp:simplePos x="0" y="0"/>
                      <wp:positionH relativeFrom="column">
                        <wp:posOffset>2645410</wp:posOffset>
                      </wp:positionH>
                      <wp:positionV relativeFrom="paragraph">
                        <wp:posOffset>3810</wp:posOffset>
                      </wp:positionV>
                      <wp:extent cx="586105" cy="2794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586105" cy="279400"/>
                              </a:xfrm>
                              <a:prstGeom prst="rect">
                                <a:avLst/>
                              </a:prstGeom>
                              <a:noFill/>
                              <a:ln>
                                <a:noFill/>
                              </a:ln>
                            </wps:spPr>
                            <wps:txbx>
                              <w:txbxContent>
                                <w:p w14:paraId="7F6B9FF4">
                                  <w:pPr>
                                    <w:rPr>
                                      <w:rFonts w:hint="default" w:eastAsia="宋体"/>
                                      <w:lang w:val="en-US" w:eastAsia="zh-CN"/>
                                    </w:rPr>
                                  </w:pPr>
                                  <w:r>
                                    <w:rPr>
                                      <w:rFonts w:hint="eastAsia"/>
                                      <w:lang w:val="en-US" w:eastAsia="zh-CN"/>
                                    </w:rPr>
                                    <w:t>7.2</w:t>
                                  </w:r>
                                </w:p>
                              </w:txbxContent>
                            </wps:txbx>
                            <wps:bodyPr upright="1"/>
                          </wps:wsp>
                        </a:graphicData>
                      </a:graphic>
                    </wp:anchor>
                  </w:drawing>
                </mc:Choice>
                <mc:Fallback>
                  <w:pict>
                    <v:shape id="_x0000_s1026" o:spid="_x0000_s1026" o:spt="202" type="#_x0000_t202" style="position:absolute;left:0pt;margin-left:208.3pt;margin-top:0.3pt;height:22pt;width:46.15pt;z-index:251701248;mso-width-relative:page;mso-height-relative:page;" filled="f" stroked="f" coordsize="21600,21600" o:gfxdata="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Gs88vUAAAA&#10;BwEAAA8AAAAAAAAAAQAgAAAAIgAAAGRycy9kb3ducmV2LnhtbFBLAQIUABQAAAAIAIdO4kD0JPpf&#10;rwEAAFEDAAAOAAAAAAAAAAEAIAAAACMBAABkcnMvZTJvRG9jLnhtbFBLBQYAAAAABgAGAFkBAABE&#10;BQAAAAA=&#10;">
                      <v:fill on="f" focussize="0,0"/>
                      <v:stroke on="f"/>
                      <v:imagedata o:title=""/>
                      <o:lock v:ext="edit" aspectratio="f"/>
                      <v:textbox>
                        <w:txbxContent>
                          <w:p w14:paraId="7F6B9FF4">
                            <w:pPr>
                              <w:rPr>
                                <w:rFonts w:hint="default" w:eastAsia="宋体"/>
                                <w:lang w:val="en-US" w:eastAsia="zh-CN"/>
                              </w:rPr>
                            </w:pPr>
                            <w:r>
                              <w:rPr>
                                <w:rFonts w:hint="eastAsia"/>
                                <w:lang w:val="en-US" w:eastAsia="zh-CN"/>
                              </w:rPr>
                              <w:t>7.2</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3435350</wp:posOffset>
                      </wp:positionH>
                      <wp:positionV relativeFrom="paragraph">
                        <wp:posOffset>185420</wp:posOffset>
                      </wp:positionV>
                      <wp:extent cx="0" cy="2162175"/>
                      <wp:effectExtent l="5080" t="0" r="13970" b="9525"/>
                      <wp:wrapNone/>
                      <wp:docPr id="13" name="直接连接符 13"/>
                      <wp:cNvGraphicFramePr/>
                      <a:graphic xmlns:a="http://schemas.openxmlformats.org/drawingml/2006/main">
                        <a:graphicData uri="http://schemas.microsoft.com/office/word/2010/wordprocessingShape">
                          <wps:wsp>
                            <wps:cNvCnPr/>
                            <wps:spPr>
                              <a:xfrm>
                                <a:off x="0" y="0"/>
                                <a:ext cx="0" cy="21621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0.5pt;margin-top:14.6pt;height:170.25pt;width:0pt;z-index:251682816;mso-width-relative:page;mso-height-relative:page;" filled="f" stroked="t" coordsize="21600,21600" o:gfxdata="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J+mK82AAAAAoBAAAPAAAAAAAAAAEAIAAAACIAAABkcnMvZG93bnJldi54bWxQSwEC&#10;FAAUAAAACACHTuJAWGCs2vQBAADmAwAADgAAAAAAAAABACAAAAAnAQAAZHJzL2Uyb0RvYy54bWxQ&#10;SwUGAAAAAAYABgBZAQAAjQUAAAAA&#10;">
                      <v:fill on="f" focussize="0,0"/>
                      <v:stroke color="#000000" joinstyle="round"/>
                      <v:imagedata o:title=""/>
                      <o:lock v:ext="edit" aspectratio="f"/>
                    </v:lin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97152" behindDoc="0" locked="0" layoutInCell="1" allowOverlap="1">
                      <wp:simplePos x="0" y="0"/>
                      <wp:positionH relativeFrom="column">
                        <wp:posOffset>2442845</wp:posOffset>
                      </wp:positionH>
                      <wp:positionV relativeFrom="paragraph">
                        <wp:posOffset>185420</wp:posOffset>
                      </wp:positionV>
                      <wp:extent cx="963930" cy="12065"/>
                      <wp:effectExtent l="0" t="36830" r="7620" b="27305"/>
                      <wp:wrapNone/>
                      <wp:docPr id="115" name="直接连接符 115"/>
                      <wp:cNvGraphicFramePr/>
                      <a:graphic xmlns:a="http://schemas.openxmlformats.org/drawingml/2006/main">
                        <a:graphicData uri="http://schemas.microsoft.com/office/word/2010/wordprocessingShape">
                          <wps:wsp>
                            <wps:cNvCnPr/>
                            <wps:spPr>
                              <a:xfrm flipV="1">
                                <a:off x="0" y="0"/>
                                <a:ext cx="963930" cy="120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192.35pt;margin-top:14.6pt;height:0.95pt;width:75.9pt;z-index:251697152;mso-width-relative:page;mso-height-relative:page;" filled="f" stroked="t" coordsize="21600,21600" o:gfxdata="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bJKTjaAAAACQEAAA8AAAAAAAAAAQAgAAAA&#10;IgAAAGRycy9kb3ducmV2LnhtbFBLAQIUABQAAAAIAIdO4kAesZzvCQIAAPkDAAAOAAAAAAAAAAEA&#10;IAAAACkBAABkcnMvZTJvRG9jLnhtbFBLBQYAAAAABgAGAFkBAACkBQAAAAA=&#10;">
                      <v:fill on="f" focussize="0,0"/>
                      <v:stroke color="#000000" joinstyle="round" endarrow="block"/>
                      <v:imagedata o:title=""/>
                      <o:lock v:ext="edit" aspectratio="f"/>
                    </v:lin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1068070</wp:posOffset>
                      </wp:positionH>
                      <wp:positionV relativeFrom="paragraph">
                        <wp:posOffset>61595</wp:posOffset>
                      </wp:positionV>
                      <wp:extent cx="1390015" cy="285750"/>
                      <wp:effectExtent l="4445" t="4445" r="15240" b="14605"/>
                      <wp:wrapNone/>
                      <wp:docPr id="39" name="文本框 39"/>
                      <wp:cNvGraphicFramePr/>
                      <a:graphic xmlns:a="http://schemas.openxmlformats.org/drawingml/2006/main">
                        <a:graphicData uri="http://schemas.microsoft.com/office/word/2010/wordprocessingShape">
                          <wps:wsp>
                            <wps:cNvSpPr txBox="1"/>
                            <wps:spPr>
                              <a:xfrm>
                                <a:off x="0" y="0"/>
                                <a:ext cx="1390015" cy="285750"/>
                              </a:xfrm>
                              <a:prstGeom prst="rect">
                                <a:avLst/>
                              </a:prstGeom>
                              <a:noFill/>
                              <a:ln w="9525" cap="flat" cmpd="sng">
                                <a:solidFill>
                                  <a:srgbClr val="000000"/>
                                </a:solidFill>
                                <a:prstDash val="solid"/>
                                <a:miter/>
                                <a:headEnd type="none" w="med" len="med"/>
                                <a:tailEnd type="none" w="med" len="med"/>
                              </a:ln>
                            </wps:spPr>
                            <wps:txbx>
                              <w:txbxContent>
                                <w:p w14:paraId="3B82D268">
                                  <w:pPr>
                                    <w:jc w:val="center"/>
                                    <w:rPr>
                                      <w:rFonts w:hint="eastAsia" w:eastAsia="宋体"/>
                                      <w:lang w:eastAsia="zh-CN"/>
                                    </w:rPr>
                                  </w:pPr>
                                  <w:r>
                                    <w:rPr>
                                      <w:rFonts w:hint="eastAsia"/>
                                      <w:lang w:val="en-US" w:eastAsia="zh-CN"/>
                                    </w:rPr>
                                    <w:t>湿式粉碎</w:t>
                                  </w:r>
                                  <w:r>
                                    <w:rPr>
                                      <w:rFonts w:hint="eastAsia"/>
                                      <w:lang w:eastAsia="zh-CN"/>
                                    </w:rPr>
                                    <w:t>用水（</w:t>
                                  </w:r>
                                  <w:r>
                                    <w:rPr>
                                      <w:rFonts w:hint="eastAsia"/>
                                      <w:lang w:val="en-US" w:eastAsia="zh-CN"/>
                                    </w:rPr>
                                    <w:t>-0.8</w:t>
                                  </w:r>
                                  <w:r>
                                    <w:rPr>
                                      <w:rFonts w:hint="eastAsia"/>
                                      <w:lang w:eastAsia="zh-CN"/>
                                    </w:rPr>
                                    <w:t>）</w:t>
                                  </w:r>
                                </w:p>
                              </w:txbxContent>
                            </wps:txbx>
                            <wps:bodyPr upright="1"/>
                          </wps:wsp>
                        </a:graphicData>
                      </a:graphic>
                    </wp:anchor>
                  </w:drawing>
                </mc:Choice>
                <mc:Fallback>
                  <w:pict>
                    <v:shape id="_x0000_s1026" o:spid="_x0000_s1026" o:spt="202" type="#_x0000_t202" style="position:absolute;left:0pt;margin-left:84.1pt;margin-top:4.85pt;height:22.5pt;width:109.45pt;z-index:251679744;mso-width-relative:page;mso-height-relative:page;" filled="f" stroked="t" coordsize="21600,21600" o:gfxdata="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huhD9UAAAAIAQAADwAAAAAAAAABACAAAAAiAAAAZHJz&#10;L2Rvd25yZXYueG1sUEsBAhQAFAAAAAgAh07iQB5/j+MHAgAADwQAAA4AAAAAAAAAAQAgAAAAJAEA&#10;AGRycy9lMm9Eb2MueG1sUEsFBgAAAAAGAAYAWQEAAJ0FAAAAAA==&#10;">
                      <v:fill on="f" focussize="0,0"/>
                      <v:stroke color="#000000" joinstyle="miter"/>
                      <v:imagedata o:title=""/>
                      <o:lock v:ext="edit" aspectratio="f"/>
                      <v:textbox>
                        <w:txbxContent>
                          <w:p w14:paraId="3B82D268">
                            <w:pPr>
                              <w:jc w:val="center"/>
                              <w:rPr>
                                <w:rFonts w:hint="eastAsia" w:eastAsia="宋体"/>
                                <w:lang w:eastAsia="zh-CN"/>
                              </w:rPr>
                            </w:pPr>
                            <w:r>
                              <w:rPr>
                                <w:rFonts w:hint="eastAsia"/>
                                <w:lang w:val="en-US" w:eastAsia="zh-CN"/>
                              </w:rPr>
                              <w:t>湿式粉碎</w:t>
                            </w:r>
                            <w:r>
                              <w:rPr>
                                <w:rFonts w:hint="eastAsia"/>
                                <w:lang w:eastAsia="zh-CN"/>
                              </w:rPr>
                              <w:t>用水（</w:t>
                            </w:r>
                            <w:r>
                              <w:rPr>
                                <w:rFonts w:hint="eastAsia"/>
                                <w:lang w:val="en-US" w:eastAsia="zh-CN"/>
                              </w:rPr>
                              <w:t>-0.8</w:t>
                            </w:r>
                            <w:r>
                              <w:rPr>
                                <w:rFonts w:hint="eastAsia"/>
                                <w:lang w:eastAsia="zh-CN"/>
                              </w:rPr>
                              <w:t>）</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15584" behindDoc="0" locked="0" layoutInCell="1" allowOverlap="1">
                      <wp:simplePos x="0" y="0"/>
                      <wp:positionH relativeFrom="column">
                        <wp:posOffset>718820</wp:posOffset>
                      </wp:positionH>
                      <wp:positionV relativeFrom="paragraph">
                        <wp:posOffset>201295</wp:posOffset>
                      </wp:positionV>
                      <wp:extent cx="342265" cy="7620"/>
                      <wp:effectExtent l="0" t="36195" r="635" b="32385"/>
                      <wp:wrapNone/>
                      <wp:docPr id="128" name="直接连接符 128"/>
                      <wp:cNvGraphicFramePr/>
                      <a:graphic xmlns:a="http://schemas.openxmlformats.org/drawingml/2006/main">
                        <a:graphicData uri="http://schemas.microsoft.com/office/word/2010/wordprocessingShape">
                          <wps:wsp>
                            <wps:cNvCnPr/>
                            <wps:spPr>
                              <a:xfrm flipV="1">
                                <a:off x="0" y="0"/>
                                <a:ext cx="342265" cy="76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56.6pt;margin-top:15.85pt;height:0.6pt;width:26.95pt;z-index:251715584;mso-width-relative:page;mso-height-relative:page;" filled="f" stroked="t" coordsize="21600,21600" o:gfxdata="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W1LHzYAAAACQEAAA8AAAAAAAAAAQAgAAAAIgAA&#10;AGRycy9kb3ducmV2LnhtbFBLAQIUABQAAAAIAIdO4kDW9hneCAIAAPgDAAAOAAAAAAAAAAEAIAAA&#10;ACcBAABkcnMvZTJvRG9jLnhtbFBLBQYAAAAABgAGAFkBAAChBQAAAAA=&#10;">
                      <v:fill on="f" focussize="0,0"/>
                      <v:stroke color="#000000" joinstyle="round" endarrow="block"/>
                      <v:imagedata o:title=""/>
                      <o:lock v:ext="edit" aspectratio="f"/>
                    </v:lin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723265</wp:posOffset>
                      </wp:positionH>
                      <wp:positionV relativeFrom="paragraph">
                        <wp:posOffset>198120</wp:posOffset>
                      </wp:positionV>
                      <wp:extent cx="16510" cy="4159250"/>
                      <wp:effectExtent l="6350" t="0" r="15240" b="12700"/>
                      <wp:wrapNone/>
                      <wp:docPr id="144" name="直接连接符 144"/>
                      <wp:cNvGraphicFramePr/>
                      <a:graphic xmlns:a="http://schemas.openxmlformats.org/drawingml/2006/main">
                        <a:graphicData uri="http://schemas.microsoft.com/office/word/2010/wordprocessingShape">
                          <wps:wsp>
                            <wps:cNvCnPr/>
                            <wps:spPr>
                              <a:xfrm>
                                <a:off x="2042160" y="8305165"/>
                                <a:ext cx="16510" cy="415925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6.95pt;margin-top:15.6pt;height:327.5pt;width:1.3pt;z-index:251682816;mso-width-relative:page;mso-height-relative:page;" filled="f" stroked="t" coordsize="21600,21600" o:gfxdata="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l9xLNkAAAAKAQAADwAAAAAAAAABACAAAAAiAAAAZHJzL2Rvd25yZXYueG1sUEsB&#10;AhQAFAAAAAgAh07iQNiml9X0AQAAxgMAAA4AAAAAAAAAAQAgAAAAKAEAAGRycy9lMm9Eb2MueG1s&#10;UEsFBgAAAAAGAAYAWQEAAI4FAAAAAA==&#10;">
                      <v:fill on="f" focussize="0,0"/>
                      <v:stroke weight="1pt" color="#000000 [3213]" miterlimit="8" joinstyle="miter"/>
                      <v:imagedata o:title=""/>
                      <o:lock v:ext="edit" aspectratio="f"/>
                    </v:line>
                  </w:pict>
                </mc:Fallback>
              </mc:AlternateContent>
            </w:r>
          </w:p>
          <w:p w14:paraId="06D2EBB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3487420</wp:posOffset>
                      </wp:positionH>
                      <wp:positionV relativeFrom="paragraph">
                        <wp:posOffset>64135</wp:posOffset>
                      </wp:positionV>
                      <wp:extent cx="632460" cy="2794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632460" cy="279400"/>
                              </a:xfrm>
                              <a:prstGeom prst="rect">
                                <a:avLst/>
                              </a:prstGeom>
                              <a:noFill/>
                              <a:ln>
                                <a:noFill/>
                              </a:ln>
                            </wps:spPr>
                            <wps:txbx>
                              <w:txbxContent>
                                <w:p w14:paraId="71003802">
                                  <w:pPr>
                                    <w:rPr>
                                      <w:rFonts w:hint="default" w:eastAsia="宋体"/>
                                      <w:lang w:val="en-US" w:eastAsia="zh-CN"/>
                                    </w:rPr>
                                  </w:pPr>
                                  <w:r>
                                    <w:rPr>
                                      <w:rFonts w:hint="eastAsia"/>
                                      <w:lang w:val="en-US" w:eastAsia="zh-CN"/>
                                    </w:rPr>
                                    <w:t>2.7</w:t>
                                  </w:r>
                                </w:p>
                              </w:txbxContent>
                            </wps:txbx>
                            <wps:bodyPr upright="1"/>
                          </wps:wsp>
                        </a:graphicData>
                      </a:graphic>
                    </wp:anchor>
                  </w:drawing>
                </mc:Choice>
                <mc:Fallback>
                  <w:pict>
                    <v:shape id="_x0000_s1026" o:spid="_x0000_s1026" o:spt="202" type="#_x0000_t202" style="position:absolute;left:0pt;margin-left:274.6pt;margin-top:5.05pt;height:22pt;width:49.8pt;z-index:251688960;mso-width-relative:page;mso-height-relative:page;" filled="f" stroked="f" coordsize="21600,21600" o:gfxdata="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6D1Fl1QAA&#10;AAkBAAAPAAAAAAAAAAEAIAAAACIAAABkcnMvZG93bnJldi54bWxQSwECFAAUAAAACACHTuJAyJ1t&#10;3K8BAABRAwAADgAAAAAAAAABACAAAAAkAQAAZHJzL2Uyb0RvYy54bWxQSwUGAAAAAAYABgBZAQAA&#10;RQUAAAAA&#10;">
                      <v:fill on="f" focussize="0,0"/>
                      <v:stroke on="f"/>
                      <v:imagedata o:title=""/>
                      <o:lock v:ext="edit" aspectratio="f"/>
                      <v:textbox>
                        <w:txbxContent>
                          <w:p w14:paraId="71003802">
                            <w:pPr>
                              <w:rPr>
                                <w:rFonts w:hint="default" w:eastAsia="宋体"/>
                                <w:lang w:val="en-US" w:eastAsia="zh-CN"/>
                              </w:rPr>
                            </w:pPr>
                            <w:r>
                              <w:rPr>
                                <w:rFonts w:hint="eastAsia"/>
                                <w:lang w:val="en-US" w:eastAsia="zh-CN"/>
                              </w:rPr>
                              <w:t>2.7</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34016" behindDoc="0" locked="0" layoutInCell="1" allowOverlap="1">
                      <wp:simplePos x="0" y="0"/>
                      <wp:positionH relativeFrom="column">
                        <wp:posOffset>2216150</wp:posOffset>
                      </wp:positionH>
                      <wp:positionV relativeFrom="paragraph">
                        <wp:posOffset>284480</wp:posOffset>
                      </wp:positionV>
                      <wp:extent cx="5080" cy="241300"/>
                      <wp:effectExtent l="36195" t="0" r="34925" b="6350"/>
                      <wp:wrapNone/>
                      <wp:docPr id="43" name="直接连接符 43"/>
                      <wp:cNvGraphicFramePr/>
                      <a:graphic xmlns:a="http://schemas.openxmlformats.org/drawingml/2006/main">
                        <a:graphicData uri="http://schemas.microsoft.com/office/word/2010/wordprocessingShape">
                          <wps:wsp>
                            <wps:cNvCnPr/>
                            <wps:spPr>
                              <a:xfrm flipH="1">
                                <a:off x="0" y="0"/>
                                <a:ext cx="5080" cy="241300"/>
                              </a:xfrm>
                              <a:prstGeom prst="line">
                                <a:avLst/>
                              </a:prstGeom>
                              <a:ln w="9525"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174.5pt;margin-top:22.4pt;height:19pt;width:0.4pt;z-index:251734016;mso-width-relative:page;mso-height-relative:page;" filled="f" stroked="t" coordsize="21600,21600" o:gfxdata="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2YtlzWAAAACQEAAA8AAAAAAAAAAQAgAAAAIgAA&#10;AGRycy9kb3ducmV2LnhtbFBLAQIUABQAAAAIAIdO4kB8PAOaCgIAAPUDAAAOAAAAAAAAAAEAIAAA&#10;ACUBAABkcnMvZTJvRG9jLnhtbFBLBQYAAAAABgAGAFkBAAChBQAAAAA=&#10;">
                      <v:fill on="f" focussize="0,0"/>
                      <v:stroke color="#000000" joinstyle="round" dashstyle="dash" endarrow="block"/>
                      <v:imagedata o:title=""/>
                      <o:lock v:ext="edit" aspectratio="f"/>
                    </v:lin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32992" behindDoc="0" locked="0" layoutInCell="1" allowOverlap="1">
                      <wp:simplePos x="0" y="0"/>
                      <wp:positionH relativeFrom="column">
                        <wp:posOffset>2225675</wp:posOffset>
                      </wp:positionH>
                      <wp:positionV relativeFrom="paragraph">
                        <wp:posOffset>268605</wp:posOffset>
                      </wp:positionV>
                      <wp:extent cx="2247900" cy="9525"/>
                      <wp:effectExtent l="0" t="0" r="0" b="0"/>
                      <wp:wrapNone/>
                      <wp:docPr id="42" name="直接连接符 42"/>
                      <wp:cNvGraphicFramePr/>
                      <a:graphic xmlns:a="http://schemas.openxmlformats.org/drawingml/2006/main">
                        <a:graphicData uri="http://schemas.microsoft.com/office/word/2010/wordprocessingShape">
                          <wps:wsp>
                            <wps:cNvCnPr/>
                            <wps:spPr>
                              <a:xfrm flipH="1">
                                <a:off x="0" y="0"/>
                                <a:ext cx="2247900" cy="9525"/>
                              </a:xfrm>
                              <a:prstGeom prst="line">
                                <a:avLst/>
                              </a:prstGeom>
                              <a:ln w="9525" cap="flat" cmpd="sng">
                                <a:solidFill>
                                  <a:srgbClr val="000000"/>
                                </a:solidFill>
                                <a:prstDash val="dash"/>
                                <a:headEnd type="none" w="med" len="med"/>
                                <a:tailEnd type="none" w="med" len="med"/>
                              </a:ln>
                            </wps:spPr>
                            <wps:bodyPr upright="1"/>
                          </wps:wsp>
                        </a:graphicData>
                      </a:graphic>
                    </wp:anchor>
                  </w:drawing>
                </mc:Choice>
                <mc:Fallback>
                  <w:pict>
                    <v:line id="_x0000_s1026" o:spid="_x0000_s1026" o:spt="20" style="position:absolute;left:0pt;flip:x;margin-left:175.25pt;margin-top:21.15pt;height:0.75pt;width:177pt;z-index:251732992;mso-width-relative:page;mso-height-relative:page;" filled="f" stroked="t" coordsize="21600,21600" o:gfxdata="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AvGN/VAAAACQEAAA8AAAAAAAAAAQAgAAAAIgAAAGRycy9kb3ducmV2Lnht&#10;bFBLAQIUABQAAAAIAIdO4kAgJiVT/AEAAPIDAAAOAAAAAAAAAAEAIAAAACQBAABkcnMvZTJvRG9j&#10;LnhtbFBLBQYAAAAABgAGAFkBAACSBQAAAAA=&#10;">
                      <v:fill on="f" focussize="0,0"/>
                      <v:stroke color="#000000" joinstyle="round" dashstyle="dash"/>
                      <v:imagedata o:title=""/>
                      <o:lock v:ext="edit" aspectratio="f"/>
                    </v:line>
                  </w:pict>
                </mc:Fallback>
              </mc:AlternateContent>
            </w:r>
          </w:p>
          <w:p w14:paraId="5C05F23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93056" behindDoc="0" locked="0" layoutInCell="1" allowOverlap="1">
                      <wp:simplePos x="0" y="0"/>
                      <wp:positionH relativeFrom="column">
                        <wp:posOffset>695960</wp:posOffset>
                      </wp:positionH>
                      <wp:positionV relativeFrom="paragraph">
                        <wp:posOffset>107950</wp:posOffset>
                      </wp:positionV>
                      <wp:extent cx="450850" cy="279400"/>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450850" cy="279400"/>
                              </a:xfrm>
                              <a:prstGeom prst="rect">
                                <a:avLst/>
                              </a:prstGeom>
                              <a:noFill/>
                              <a:ln>
                                <a:noFill/>
                              </a:ln>
                            </wps:spPr>
                            <wps:txbx>
                              <w:txbxContent>
                                <w:p w14:paraId="23B943AF">
                                  <w:pPr>
                                    <w:rPr>
                                      <w:rFonts w:hint="default" w:eastAsia="宋体"/>
                                      <w:lang w:val="en-US" w:eastAsia="zh-CN"/>
                                    </w:rPr>
                                  </w:pPr>
                                  <w:r>
                                    <w:rPr>
                                      <w:rFonts w:hint="eastAsia"/>
                                      <w:lang w:val="en-US" w:eastAsia="zh-CN"/>
                                    </w:rPr>
                                    <w:t>0.3</w:t>
                                  </w:r>
                                </w:p>
                              </w:txbxContent>
                            </wps:txbx>
                            <wps:bodyPr upright="1"/>
                          </wps:wsp>
                        </a:graphicData>
                      </a:graphic>
                    </wp:anchor>
                  </w:drawing>
                </mc:Choice>
                <mc:Fallback>
                  <w:pict>
                    <v:shape id="_x0000_s1026" o:spid="_x0000_s1026" o:spt="202" type="#_x0000_t202" style="position:absolute;left:0pt;margin-left:54.8pt;margin-top:8.5pt;height:22pt;width:35.5pt;z-index:251693056;mso-width-relative:page;mso-height-relative:page;" filled="f" stroked="f" coordsize="21600,21600" o:gfxdata="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aq/jjtUAAAAJ&#10;AQAADwAAAAAAAAABACAAAAAiAAAAZHJzL2Rvd25yZXYueG1sUEsBAhQAFAAAAAgAh07iQD5A+7Gt&#10;AQAAUQMAAA4AAAAAAAAAAQAgAAAAJAEAAGRycy9lMm9Eb2MueG1sUEsFBgAAAAAGAAYAWQEAAEMF&#10;AAAAAA==&#10;">
                      <v:fill on="f" focussize="0,0"/>
                      <v:stroke on="f"/>
                      <v:imagedata o:title=""/>
                      <o:lock v:ext="edit" aspectratio="f"/>
                      <v:textbox>
                        <w:txbxContent>
                          <w:p w14:paraId="23B943AF">
                            <w:pPr>
                              <w:rPr>
                                <w:rFonts w:hint="default" w:eastAsia="宋体"/>
                                <w:lang w:val="en-US" w:eastAsia="zh-CN"/>
                              </w:rPr>
                            </w:pPr>
                            <w:r>
                              <w:rPr>
                                <w:rFonts w:hint="eastAsia"/>
                                <w:lang w:val="en-US" w:eastAsia="zh-CN"/>
                              </w:rPr>
                              <w:t>0.3</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24800" behindDoc="0" locked="0" layoutInCell="1" allowOverlap="1">
                      <wp:simplePos x="0" y="0"/>
                      <wp:positionH relativeFrom="column">
                        <wp:posOffset>2664460</wp:posOffset>
                      </wp:positionH>
                      <wp:positionV relativeFrom="paragraph">
                        <wp:posOffset>95885</wp:posOffset>
                      </wp:positionV>
                      <wp:extent cx="586105" cy="2794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586105" cy="279400"/>
                              </a:xfrm>
                              <a:prstGeom prst="rect">
                                <a:avLst/>
                              </a:prstGeom>
                              <a:noFill/>
                              <a:ln>
                                <a:noFill/>
                              </a:ln>
                            </wps:spPr>
                            <wps:txbx>
                              <w:txbxContent>
                                <w:p w14:paraId="6A633226">
                                  <w:pPr>
                                    <w:rPr>
                                      <w:rFonts w:hint="default" w:eastAsia="宋体"/>
                                      <w:lang w:val="en-US" w:eastAsia="zh-CN"/>
                                    </w:rPr>
                                  </w:pPr>
                                  <w:r>
                                    <w:rPr>
                                      <w:rFonts w:hint="eastAsia"/>
                                      <w:lang w:val="en-US" w:eastAsia="zh-CN"/>
                                    </w:rPr>
                                    <w:t>2.1</w:t>
                                  </w:r>
                                </w:p>
                              </w:txbxContent>
                            </wps:txbx>
                            <wps:bodyPr upright="1"/>
                          </wps:wsp>
                        </a:graphicData>
                      </a:graphic>
                    </wp:anchor>
                  </w:drawing>
                </mc:Choice>
                <mc:Fallback>
                  <w:pict>
                    <v:shape id="_x0000_s1026" o:spid="_x0000_s1026" o:spt="202" type="#_x0000_t202" style="position:absolute;left:0pt;margin-left:209.8pt;margin-top:7.55pt;height:22pt;width:46.15pt;z-index:251724800;mso-width-relative:page;mso-height-relative:page;" filled="f" stroked="f" coordsize="21600,21600" o:gfxdata="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dwbq11QAA&#10;AAkBAAAPAAAAAAAAAAEAIAAAACIAAABkcnMvZG93bnJldi54bWxQSwECFAAUAAAACACHTuJAzGHu&#10;zK8BAABPAwAADgAAAAAAAAABACAAAAAkAQAAZHJzL2Uyb0RvYy54bWxQSwUGAAAAAAYABgBZAQAA&#10;RQUAAAAA&#10;">
                      <v:fill on="f" focussize="0,0"/>
                      <v:stroke on="f"/>
                      <v:imagedata o:title=""/>
                      <o:lock v:ext="edit" aspectratio="f"/>
                      <v:textbox>
                        <w:txbxContent>
                          <w:p w14:paraId="6A633226">
                            <w:pPr>
                              <w:rPr>
                                <w:rFonts w:hint="default" w:eastAsia="宋体"/>
                                <w:lang w:val="en-US" w:eastAsia="zh-CN"/>
                              </w:rPr>
                            </w:pPr>
                            <w:r>
                              <w:rPr>
                                <w:rFonts w:hint="eastAsia"/>
                                <w:lang w:val="en-US" w:eastAsia="zh-CN"/>
                              </w:rPr>
                              <w:t>2.1</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20704" behindDoc="0" locked="0" layoutInCell="1" allowOverlap="1">
                      <wp:simplePos x="0" y="0"/>
                      <wp:positionH relativeFrom="column">
                        <wp:posOffset>2499995</wp:posOffset>
                      </wp:positionH>
                      <wp:positionV relativeFrom="paragraph">
                        <wp:posOffset>306070</wp:posOffset>
                      </wp:positionV>
                      <wp:extent cx="925830" cy="2540"/>
                      <wp:effectExtent l="0" t="38100" r="7620" b="35560"/>
                      <wp:wrapNone/>
                      <wp:docPr id="6" name="直接连接符 6"/>
                      <wp:cNvGraphicFramePr/>
                      <a:graphic xmlns:a="http://schemas.openxmlformats.org/drawingml/2006/main">
                        <a:graphicData uri="http://schemas.microsoft.com/office/word/2010/wordprocessingShape">
                          <wps:wsp>
                            <wps:cNvCnPr/>
                            <wps:spPr>
                              <a:xfrm flipV="1">
                                <a:off x="0" y="0"/>
                                <a:ext cx="925830" cy="2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196.85pt;margin-top:24.1pt;height:0.2pt;width:72.9pt;z-index:251720704;mso-width-relative:page;mso-height-relative:page;" filled="f" stroked="t" coordsize="21600,21600" o:gfxdata="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5rA1LaAAAACQEAAA8AAAAAAAAAAQAgAAAAIgAA&#10;AGRycy9kb3ducmV2LnhtbFBLAQIUABQAAAAIAIdO4kDE2cBXBgIAAPQDAAAOAAAAAAAAAAEAIAAA&#10;ACkBAABkcnMvZTJvRG9jLnhtbFBLBQYAAAAABgAGAFkBAAChBQAAAAA=&#10;">
                      <v:fill on="f" focussize="0,0"/>
                      <v:stroke color="#000000" joinstyle="round" endarrow="block"/>
                      <v:imagedata o:title=""/>
                      <o:lock v:ext="edit" aspectratio="f"/>
                    </v:lin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1070610</wp:posOffset>
                      </wp:positionH>
                      <wp:positionV relativeFrom="paragraph">
                        <wp:posOffset>186690</wp:posOffset>
                      </wp:positionV>
                      <wp:extent cx="1419225" cy="285750"/>
                      <wp:effectExtent l="4445" t="4445" r="5080" b="14605"/>
                      <wp:wrapNone/>
                      <wp:docPr id="147" name="文本框 147"/>
                      <wp:cNvGraphicFramePr/>
                      <a:graphic xmlns:a="http://schemas.openxmlformats.org/drawingml/2006/main">
                        <a:graphicData uri="http://schemas.microsoft.com/office/word/2010/wordprocessingShape">
                          <wps:wsp>
                            <wps:cNvSpPr txBox="1"/>
                            <wps:spPr>
                              <a:xfrm>
                                <a:off x="0" y="0"/>
                                <a:ext cx="1419225" cy="285750"/>
                              </a:xfrm>
                              <a:prstGeom prst="rect">
                                <a:avLst/>
                              </a:prstGeom>
                              <a:noFill/>
                              <a:ln w="9525" cap="flat" cmpd="sng">
                                <a:solidFill>
                                  <a:srgbClr val="000000"/>
                                </a:solidFill>
                                <a:prstDash val="solid"/>
                                <a:miter/>
                                <a:headEnd type="none" w="med" len="med"/>
                                <a:tailEnd type="none" w="med" len="med"/>
                              </a:ln>
                            </wps:spPr>
                            <wps:txbx>
                              <w:txbxContent>
                                <w:p w14:paraId="468B4BAB">
                                  <w:pPr>
                                    <w:jc w:val="center"/>
                                    <w:rPr>
                                      <w:rFonts w:hint="default" w:eastAsia="宋体"/>
                                      <w:lang w:val="en-US" w:eastAsia="zh-CN"/>
                                    </w:rPr>
                                  </w:pPr>
                                  <w:r>
                                    <w:rPr>
                                      <w:rFonts w:hint="eastAsia"/>
                                      <w:lang w:val="en-US" w:eastAsia="zh-CN"/>
                                    </w:rPr>
                                    <w:t>清洗用水（-0.3）</w:t>
                                  </w:r>
                                </w:p>
                              </w:txbxContent>
                            </wps:txbx>
                            <wps:bodyPr upright="1"/>
                          </wps:wsp>
                        </a:graphicData>
                      </a:graphic>
                    </wp:anchor>
                  </w:drawing>
                </mc:Choice>
                <mc:Fallback>
                  <w:pict>
                    <v:shape id="_x0000_s1026" o:spid="_x0000_s1026" o:spt="202" type="#_x0000_t202" style="position:absolute;left:0pt;margin-left:84.3pt;margin-top:14.7pt;height:22.5pt;width:111.75pt;z-index:251689984;mso-width-relative:page;mso-height-relative:page;" filled="f" stroked="t" coordsize="21600,21600" o:gfxdata="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&#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KwMyq1gAAAAkBAAAPAAAAAAAAAAEAIAAAACIAAABk&#10;cnMvZG93bnJldi54bWxQSwECFAAUAAAACACHTuJAPwgl7wgCAAARBAAADgAAAAAAAAABACAAAAAl&#10;AQAAZHJzL2Uyb0RvYy54bWxQSwUGAAAAAAYABgBZAQAAnwUAAAAA&#10;">
                      <v:fill on="f" focussize="0,0"/>
                      <v:stroke color="#000000" joinstyle="miter"/>
                      <v:imagedata o:title=""/>
                      <o:lock v:ext="edit" aspectratio="f"/>
                      <v:textbox>
                        <w:txbxContent>
                          <w:p w14:paraId="468B4BAB">
                            <w:pPr>
                              <w:jc w:val="center"/>
                              <w:rPr>
                                <w:rFonts w:hint="default" w:eastAsia="宋体"/>
                                <w:lang w:val="en-US" w:eastAsia="zh-CN"/>
                              </w:rPr>
                            </w:pPr>
                            <w:r>
                              <w:rPr>
                                <w:rFonts w:hint="eastAsia"/>
                                <w:lang w:val="en-US" w:eastAsia="zh-CN"/>
                              </w:rPr>
                              <w:t>清洗用水（-0.3）</w:t>
                            </w:r>
                          </w:p>
                        </w:txbxContent>
                      </v:textbox>
                    </v:shape>
                  </w:pict>
                </mc:Fallback>
              </mc:AlternateContent>
            </w:r>
          </w:p>
          <w:p w14:paraId="403E445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3471545</wp:posOffset>
                      </wp:positionH>
                      <wp:positionV relativeFrom="paragraph">
                        <wp:posOffset>48895</wp:posOffset>
                      </wp:positionV>
                      <wp:extent cx="509905" cy="2794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509905" cy="279400"/>
                              </a:xfrm>
                              <a:prstGeom prst="rect">
                                <a:avLst/>
                              </a:prstGeom>
                              <a:noFill/>
                              <a:ln>
                                <a:noFill/>
                              </a:ln>
                            </wps:spPr>
                            <wps:txbx>
                              <w:txbxContent>
                                <w:p w14:paraId="0C1C6C12">
                                  <w:pPr>
                                    <w:rPr>
                                      <w:rFonts w:hint="default" w:eastAsia="宋体"/>
                                      <w:lang w:val="en-US" w:eastAsia="zh-CN"/>
                                    </w:rPr>
                                  </w:pPr>
                                  <w:r>
                                    <w:rPr>
                                      <w:rFonts w:hint="eastAsia"/>
                                      <w:lang w:val="en-US" w:eastAsia="zh-CN"/>
                                    </w:rPr>
                                    <w:t>10.2</w:t>
                                  </w:r>
                                </w:p>
                              </w:txbxContent>
                            </wps:txbx>
                            <wps:bodyPr upright="1"/>
                          </wps:wsp>
                        </a:graphicData>
                      </a:graphic>
                    </wp:anchor>
                  </w:drawing>
                </mc:Choice>
                <mc:Fallback>
                  <w:pict>
                    <v:shape id="_x0000_s1026" o:spid="_x0000_s1026" o:spt="202" type="#_x0000_t202" style="position:absolute;left:0pt;margin-left:273.35pt;margin-top:3.85pt;height:22pt;width:40.15pt;z-index:251687936;mso-width-relative:page;mso-height-relative:page;" filled="f" stroked="f" coordsize="21600,21600" o:gfxdata="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1DZ/tYAAAAI&#10;AQAADwAAAAAAAAABACAAAAAiAAAAZHJzL2Rvd25yZXYueG1sUEsBAhQAFAAAAAgAh07iQHejBCes&#10;AQAATwMAAA4AAAAAAAAAAQAgAAAAJQEAAGRycy9lMm9Eb2MueG1sUEsFBgAAAAAGAAYAWQEAAEMF&#10;AAAAAA==&#10;">
                      <v:fill on="f" focussize="0,0"/>
                      <v:stroke on="f"/>
                      <v:imagedata o:title=""/>
                      <o:lock v:ext="edit" aspectratio="f"/>
                      <v:textbox>
                        <w:txbxContent>
                          <w:p w14:paraId="0C1C6C12">
                            <w:pPr>
                              <w:rPr>
                                <w:rFonts w:hint="default" w:eastAsia="宋体"/>
                                <w:lang w:val="en-US" w:eastAsia="zh-CN"/>
                              </w:rPr>
                            </w:pPr>
                            <w:r>
                              <w:rPr>
                                <w:rFonts w:hint="eastAsia"/>
                                <w:lang w:val="en-US" w:eastAsia="zh-CN"/>
                              </w:rPr>
                              <w:t>10.2</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11488" behindDoc="0" locked="0" layoutInCell="1" allowOverlap="1">
                      <wp:simplePos x="0" y="0"/>
                      <wp:positionH relativeFrom="column">
                        <wp:posOffset>1692910</wp:posOffset>
                      </wp:positionH>
                      <wp:positionV relativeFrom="paragraph">
                        <wp:posOffset>222885</wp:posOffset>
                      </wp:positionV>
                      <wp:extent cx="586105" cy="2794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586105" cy="279400"/>
                              </a:xfrm>
                              <a:prstGeom prst="rect">
                                <a:avLst/>
                              </a:prstGeom>
                              <a:noFill/>
                              <a:ln>
                                <a:noFill/>
                              </a:ln>
                            </wps:spPr>
                            <wps:txbx>
                              <w:txbxContent>
                                <w:p w14:paraId="5A492FD9">
                                  <w:pPr>
                                    <w:rPr>
                                      <w:rFonts w:hint="default" w:eastAsia="宋体"/>
                                      <w:lang w:val="en-US" w:eastAsia="zh-CN"/>
                                    </w:rPr>
                                  </w:pPr>
                                  <w:r>
                                    <w:rPr>
                                      <w:rFonts w:hint="eastAsia"/>
                                      <w:lang w:val="en-US" w:eastAsia="zh-CN"/>
                                    </w:rPr>
                                    <w:t>0.6</w:t>
                                  </w:r>
                                </w:p>
                              </w:txbxContent>
                            </wps:txbx>
                            <wps:bodyPr upright="1"/>
                          </wps:wsp>
                        </a:graphicData>
                      </a:graphic>
                    </wp:anchor>
                  </w:drawing>
                </mc:Choice>
                <mc:Fallback>
                  <w:pict>
                    <v:shape id="_x0000_s1026" o:spid="_x0000_s1026" o:spt="202" type="#_x0000_t202" style="position:absolute;left:0pt;margin-left:133.3pt;margin-top:17.55pt;height:22pt;width:46.15pt;z-index:251711488;mso-width-relative:page;mso-height-relative:page;" filled="f" stroked="f" coordsize="21600,21600" o:gfxdata="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d9pIvX&#10;AAAACQEAAA8AAAAAAAAAAQAgAAAAIgAAAGRycy9kb3ducmV2LnhtbFBLAQIUABQAAAAIAIdO4kAr&#10;/locrwEAAFEDAAAOAAAAAAAAAAEAIAAAACYBAABkcnMvZTJvRG9jLnhtbFBLBQYAAAAABgAGAFkB&#10;AABHBQAAAAA=&#10;">
                      <v:fill on="f" focussize="0,0"/>
                      <v:stroke on="f"/>
                      <v:imagedata o:title=""/>
                      <o:lock v:ext="edit" aspectratio="f"/>
                      <v:textbox>
                        <w:txbxContent>
                          <w:p w14:paraId="5A492FD9">
                            <w:pPr>
                              <w:rPr>
                                <w:rFonts w:hint="default" w:eastAsia="宋体"/>
                                <w:lang w:val="en-US" w:eastAsia="zh-CN"/>
                              </w:rPr>
                            </w:pPr>
                            <w:r>
                              <w:rPr>
                                <w:rFonts w:hint="eastAsia"/>
                                <w:lang w:val="en-US" w:eastAsia="zh-CN"/>
                              </w:rPr>
                              <w:t>0.6</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21728" behindDoc="0" locked="0" layoutInCell="1" allowOverlap="1">
                      <wp:simplePos x="0" y="0"/>
                      <wp:positionH relativeFrom="column">
                        <wp:posOffset>4023360</wp:posOffset>
                      </wp:positionH>
                      <wp:positionV relativeFrom="paragraph">
                        <wp:posOffset>132715</wp:posOffset>
                      </wp:positionV>
                      <wp:extent cx="991235" cy="285750"/>
                      <wp:effectExtent l="4445" t="4445" r="13970" b="14605"/>
                      <wp:wrapNone/>
                      <wp:docPr id="7" name="文本框 7"/>
                      <wp:cNvGraphicFramePr/>
                      <a:graphic xmlns:a="http://schemas.openxmlformats.org/drawingml/2006/main">
                        <a:graphicData uri="http://schemas.microsoft.com/office/word/2010/wordprocessingShape">
                          <wps:wsp>
                            <wps:cNvSpPr txBox="1"/>
                            <wps:spPr>
                              <a:xfrm>
                                <a:off x="0" y="0"/>
                                <a:ext cx="991235" cy="285750"/>
                              </a:xfrm>
                              <a:prstGeom prst="rect">
                                <a:avLst/>
                              </a:prstGeom>
                              <a:noFill/>
                              <a:ln w="9525" cap="flat" cmpd="sng">
                                <a:solidFill>
                                  <a:srgbClr val="000000"/>
                                </a:solidFill>
                                <a:prstDash val="solid"/>
                                <a:miter/>
                                <a:headEnd type="none" w="med" len="med"/>
                                <a:tailEnd type="none" w="med" len="med"/>
                              </a:ln>
                            </wps:spPr>
                            <wps:txbx>
                              <w:txbxContent>
                                <w:p w14:paraId="5CF16820">
                                  <w:pPr>
                                    <w:jc w:val="center"/>
                                    <w:rPr>
                                      <w:rFonts w:hint="default" w:eastAsia="宋体"/>
                                      <w:lang w:val="en-US" w:eastAsia="zh-CN"/>
                                    </w:rPr>
                                  </w:pPr>
                                  <w:r>
                                    <w:rPr>
                                      <w:rFonts w:hint="eastAsia"/>
                                      <w:lang w:val="en-US" w:eastAsia="zh-CN"/>
                                    </w:rPr>
                                    <w:t>沉淀池</w:t>
                                  </w:r>
                                </w:p>
                              </w:txbxContent>
                            </wps:txbx>
                            <wps:bodyPr upright="1"/>
                          </wps:wsp>
                        </a:graphicData>
                      </a:graphic>
                    </wp:anchor>
                  </w:drawing>
                </mc:Choice>
                <mc:Fallback>
                  <w:pict>
                    <v:shape id="_x0000_s1026" o:spid="_x0000_s1026" o:spt="202" type="#_x0000_t202" style="position:absolute;left:0pt;margin-left:316.8pt;margin-top:10.45pt;height:22.5pt;width:78.05pt;z-index:251721728;mso-width-relative:page;mso-height-relative:page;" filled="f" stroked="t" coordsize="21600,21600" o:gfxdata="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6Yo161gAAAAkBAAAPAAAAAAAAAAEAIAAAACIAAABkcnMv&#10;ZG93bnJldi54bWxQSwECFAAUAAAACACHTuJA4bPKwwUCAAAMBAAADgAAAAAAAAABACAAAAAlAQAA&#10;ZHJzL2Uyb0RvYy54bWxQSwUGAAAAAAYABgBZAQAAnAUAAAAA&#10;">
                      <v:fill on="f" focussize="0,0"/>
                      <v:stroke color="#000000" joinstyle="miter"/>
                      <v:imagedata o:title=""/>
                      <o:lock v:ext="edit" aspectratio="f"/>
                      <v:textbox>
                        <w:txbxContent>
                          <w:p w14:paraId="5CF16820">
                            <w:pPr>
                              <w:jc w:val="center"/>
                              <w:rPr>
                                <w:rFonts w:hint="default" w:eastAsia="宋体"/>
                                <w:lang w:val="en-US" w:eastAsia="zh-CN"/>
                              </w:rPr>
                            </w:pPr>
                            <w:r>
                              <w:rPr>
                                <w:rFonts w:hint="eastAsia"/>
                                <w:lang w:val="en-US" w:eastAsia="zh-CN"/>
                              </w:rPr>
                              <w:t>沉淀池</w:t>
                            </w:r>
                          </w:p>
                        </w:txbxContent>
                      </v:textbox>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95104" behindDoc="0" locked="0" layoutInCell="1" allowOverlap="1">
                      <wp:simplePos x="0" y="0"/>
                      <wp:positionH relativeFrom="column">
                        <wp:posOffset>3433445</wp:posOffset>
                      </wp:positionH>
                      <wp:positionV relativeFrom="paragraph">
                        <wp:posOffset>280670</wp:posOffset>
                      </wp:positionV>
                      <wp:extent cx="582930" cy="8255"/>
                      <wp:effectExtent l="0" t="36830" r="7620" b="31115"/>
                      <wp:wrapNone/>
                      <wp:docPr id="89" name="直接连接符 89"/>
                      <wp:cNvGraphicFramePr/>
                      <a:graphic xmlns:a="http://schemas.openxmlformats.org/drawingml/2006/main">
                        <a:graphicData uri="http://schemas.microsoft.com/office/word/2010/wordprocessingShape">
                          <wps:wsp>
                            <wps:cNvCnPr/>
                            <wps:spPr>
                              <a:xfrm flipH="1">
                                <a:off x="0" y="0"/>
                                <a:ext cx="582930" cy="8255"/>
                              </a:xfrm>
                              <a:prstGeom prst="line">
                                <a:avLst/>
                              </a:prstGeom>
                              <a:ln>
                                <a:solidFill>
                                  <a:schemeClr val="tx1"/>
                                </a:solidFill>
                                <a:headEnd type="triangle"/>
                                <a:tailEnd type="non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70.35pt;margin-top:22.1pt;height:0.65pt;width:45.9pt;z-index:251695104;mso-width-relative:page;mso-height-relative:page;" filled="f" stroked="t" coordsize="21600,21600" o:gfxdata="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H2uNcAAAAJAQAADwAAAAAAAAABACAAAAAiAAAA&#10;ZHJzL2Rvd25yZXYueG1sUEsBAhQAFAAAAAgAh07iQBu4uuYIAgAA9AMAAA4AAAAAAAAAAQAgAAAA&#10;JgEAAGRycy9lMm9Eb2MueG1sUEsFBgAAAAAGAAYAWQEAAKAFAAAAAA==&#10;">
                      <v:fill on="f" focussize="0,0"/>
                      <v:stroke weight="1pt" color="#000000 [3213]" miterlimit="8" joinstyle="miter" startarrow="block"/>
                      <v:imagedata o:title=""/>
                      <o:lock v:ext="edit" aspectratio="f"/>
                    </v:lin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1761490</wp:posOffset>
                      </wp:positionH>
                      <wp:positionV relativeFrom="paragraph">
                        <wp:posOffset>151130</wp:posOffset>
                      </wp:positionV>
                      <wp:extent cx="0" cy="391160"/>
                      <wp:effectExtent l="38100" t="0" r="38100" b="8890"/>
                      <wp:wrapNone/>
                      <wp:docPr id="80" name="直接连接符 80"/>
                      <wp:cNvGraphicFramePr/>
                      <a:graphic xmlns:a="http://schemas.openxmlformats.org/drawingml/2006/main">
                        <a:graphicData uri="http://schemas.microsoft.com/office/word/2010/wordprocessingShape">
                          <wps:wsp>
                            <wps:cNvCnPr/>
                            <wps:spPr>
                              <a:xfrm>
                                <a:off x="0" y="0"/>
                                <a:ext cx="0" cy="3911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38.7pt;margin-top:11.9pt;height:30.8pt;width:0pt;z-index:251692032;mso-width-relative:page;mso-height-relative:page;" filled="f" stroked="t" coordsize="21600,21600" o:gfxdata="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mdDT2QAAAAkBAAAPAAAAAAAAAAEAIAAAACIAAABkcnMvZG93bnJl&#10;di54bWxQSwECFAAUAAAACACHTuJAETAxGfwBAADpAwAADgAAAAAAAAABACAAAAAoAQAAZHJzL2Uy&#10;b0RvYy54bWxQSwUGAAAAAAYABgBZAQAAlgUAAAAA&#10;">
                      <v:fill on="f" focussize="0,0"/>
                      <v:stroke color="#000000" joinstyle="round" endarrow="block"/>
                      <v:imagedata o:title=""/>
                      <o:lock v:ext="edit" aspectratio="f"/>
                    </v:lin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730885</wp:posOffset>
                      </wp:positionH>
                      <wp:positionV relativeFrom="paragraph">
                        <wp:posOffset>2540</wp:posOffset>
                      </wp:positionV>
                      <wp:extent cx="325755" cy="635"/>
                      <wp:effectExtent l="0" t="37465" r="17145" b="38100"/>
                      <wp:wrapNone/>
                      <wp:docPr id="148" name="直接连接符 148"/>
                      <wp:cNvGraphicFramePr/>
                      <a:graphic xmlns:a="http://schemas.openxmlformats.org/drawingml/2006/main">
                        <a:graphicData uri="http://schemas.microsoft.com/office/word/2010/wordprocessingShape">
                          <wps:wsp>
                            <wps:cNvCnPr/>
                            <wps:spPr>
                              <a:xfrm>
                                <a:off x="0" y="0"/>
                                <a:ext cx="32575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7.55pt;margin-top:0.2pt;height:0.05pt;width:25.65pt;z-index:251691008;mso-width-relative:page;mso-height-relative:page;" filled="f" stroked="t" coordsize="21600,21600" o:gfxdata="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YqGT81QAAAAUBAAAPAAAAAAAAAAEAIAAAACIAAABkcnMvZG93bnJldi54&#10;bWxQSwECFAAUAAAACACHTuJAR0N0VP0BAADtAwAADgAAAAAAAAABACAAAAAkAQAAZHJzL2Uyb0Rv&#10;Yy54bWxQSwUGAAAAAAYABgBZAQAAkwUAAAAA&#10;">
                      <v:fill on="f" focussize="0,0"/>
                      <v:stroke color="#000000" joinstyle="round" endarrow="block"/>
                      <v:imagedata o:title=""/>
                      <o:lock v:ext="edit" aspectratio="f"/>
                    </v:line>
                  </w:pict>
                </mc:Fallback>
              </mc:AlternateContent>
            </w:r>
          </w:p>
          <w:p w14:paraId="67FA920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25824" behindDoc="0" locked="0" layoutInCell="1" allowOverlap="1">
                      <wp:simplePos x="0" y="0"/>
                      <wp:positionH relativeFrom="column">
                        <wp:posOffset>2731135</wp:posOffset>
                      </wp:positionH>
                      <wp:positionV relativeFrom="paragraph">
                        <wp:posOffset>149860</wp:posOffset>
                      </wp:positionV>
                      <wp:extent cx="586105" cy="2794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586105" cy="279400"/>
                              </a:xfrm>
                              <a:prstGeom prst="rect">
                                <a:avLst/>
                              </a:prstGeom>
                              <a:noFill/>
                              <a:ln>
                                <a:noFill/>
                              </a:ln>
                            </wps:spPr>
                            <wps:txbx>
                              <w:txbxContent>
                                <w:p w14:paraId="39E7076B">
                                  <w:pPr>
                                    <w:rPr>
                                      <w:rFonts w:hint="default" w:eastAsia="宋体"/>
                                      <w:lang w:val="en-US" w:eastAsia="zh-CN"/>
                                    </w:rPr>
                                  </w:pPr>
                                  <w:r>
                                    <w:rPr>
                                      <w:rFonts w:hint="eastAsia"/>
                                      <w:lang w:val="en-US" w:eastAsia="zh-CN"/>
                                    </w:rPr>
                                    <w:t>0.54</w:t>
                                  </w:r>
                                </w:p>
                              </w:txbxContent>
                            </wps:txbx>
                            <wps:bodyPr upright="1"/>
                          </wps:wsp>
                        </a:graphicData>
                      </a:graphic>
                    </wp:anchor>
                  </w:drawing>
                </mc:Choice>
                <mc:Fallback>
                  <w:pict>
                    <v:shape id="_x0000_s1026" o:spid="_x0000_s1026" o:spt="202" type="#_x0000_t202" style="position:absolute;left:0pt;margin-left:215.05pt;margin-top:11.8pt;height:22pt;width:46.15pt;z-index:251725824;mso-width-relative:page;mso-height-relative:page;" filled="f" stroked="f" coordsize="21600,21600" o:gfxdata="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rzWsTX&#10;AAAACQEAAA8AAAAAAAAAAQAgAAAAIgAAAGRycy9kb3ducmV2LnhtbFBLAQIUABQAAAAIAIdO4kDL&#10;tgsArwEAAE8DAAAOAAAAAAAAAAEAIAAAACYBAABkcnMvZTJvRG9jLnhtbFBLBQYAAAAABgAGAFkB&#10;AABHBQAAAAA=&#10;">
                      <v:fill on="f" focussize="0,0"/>
                      <v:stroke on="f"/>
                      <v:imagedata o:title=""/>
                      <o:lock v:ext="edit" aspectratio="f"/>
                      <v:textbox>
                        <w:txbxContent>
                          <w:p w14:paraId="39E7076B">
                            <w:pPr>
                              <w:rPr>
                                <w:rFonts w:hint="default" w:eastAsia="宋体"/>
                                <w:lang w:val="en-US" w:eastAsia="zh-CN"/>
                              </w:rPr>
                            </w:pPr>
                            <w:r>
                              <w:rPr>
                                <w:rFonts w:hint="eastAsia"/>
                                <w:lang w:val="en-US" w:eastAsia="zh-CN"/>
                              </w:rPr>
                              <w:t>0.54</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12512" behindDoc="0" locked="0" layoutInCell="1" allowOverlap="1">
                      <wp:simplePos x="0" y="0"/>
                      <wp:positionH relativeFrom="column">
                        <wp:posOffset>1076960</wp:posOffset>
                      </wp:positionH>
                      <wp:positionV relativeFrom="paragraph">
                        <wp:posOffset>213360</wp:posOffset>
                      </wp:positionV>
                      <wp:extent cx="1626870" cy="285750"/>
                      <wp:effectExtent l="4445" t="5080" r="6985" b="13970"/>
                      <wp:wrapNone/>
                      <wp:docPr id="123" name="文本框 123"/>
                      <wp:cNvGraphicFramePr/>
                      <a:graphic xmlns:a="http://schemas.openxmlformats.org/drawingml/2006/main">
                        <a:graphicData uri="http://schemas.microsoft.com/office/word/2010/wordprocessingShape">
                          <wps:wsp>
                            <wps:cNvSpPr txBox="1"/>
                            <wps:spPr>
                              <a:xfrm>
                                <a:off x="0" y="0"/>
                                <a:ext cx="1626870" cy="285750"/>
                              </a:xfrm>
                              <a:prstGeom prst="rect">
                                <a:avLst/>
                              </a:prstGeom>
                              <a:noFill/>
                              <a:ln w="9525" cap="flat" cmpd="sng">
                                <a:solidFill>
                                  <a:srgbClr val="000000"/>
                                </a:solidFill>
                                <a:prstDash val="solid"/>
                                <a:miter/>
                                <a:headEnd type="none" w="med" len="med"/>
                                <a:tailEnd type="none" w="med" len="med"/>
                              </a:ln>
                            </wps:spPr>
                            <wps:txbx>
                              <w:txbxContent>
                                <w:p w14:paraId="198AB3DB">
                                  <w:pPr>
                                    <w:jc w:val="center"/>
                                    <w:rPr>
                                      <w:rFonts w:hint="default" w:eastAsia="宋体"/>
                                      <w:lang w:val="en-US" w:eastAsia="zh-CN"/>
                                    </w:rPr>
                                  </w:pPr>
                                  <w:r>
                                    <w:rPr>
                                      <w:rFonts w:hint="eastAsia"/>
                                      <w:lang w:val="en-US" w:eastAsia="zh-CN"/>
                                    </w:rPr>
                                    <w:t>甩干、压滤（-0.06）</w:t>
                                  </w:r>
                                </w:p>
                              </w:txbxContent>
                            </wps:txbx>
                            <wps:bodyPr upright="1"/>
                          </wps:wsp>
                        </a:graphicData>
                      </a:graphic>
                    </wp:anchor>
                  </w:drawing>
                </mc:Choice>
                <mc:Fallback>
                  <w:pict>
                    <v:shape id="_x0000_s1026" o:spid="_x0000_s1026" o:spt="202" type="#_x0000_t202" style="position:absolute;left:0pt;margin-left:84.8pt;margin-top:16.8pt;height:22.5pt;width:128.1pt;z-index:251712512;mso-width-relative:page;mso-height-relative:page;" filled="f" stroked="t" coordsize="21600,21600" o:gfxdata="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&#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o9BsLWAAAACQEAAA8AAAAAAAAAAQAgAAAAIgAAAGRy&#10;cy9kb3ducmV2LnhtbFBLAQIUABQAAAAIAIdO4kDEpyuUBwIAABEEAAAOAAAAAAAAAAEAIAAAACUB&#10;AABkcnMvZTJvRG9jLnhtbFBLBQYAAAAABgAGAFkBAACeBQAAAAA=&#10;">
                      <v:fill on="f" focussize="0,0"/>
                      <v:stroke color="#000000" joinstyle="miter"/>
                      <v:imagedata o:title=""/>
                      <o:lock v:ext="edit" aspectratio="f"/>
                      <v:textbox>
                        <w:txbxContent>
                          <w:p w14:paraId="198AB3DB">
                            <w:pPr>
                              <w:jc w:val="center"/>
                              <w:rPr>
                                <w:rFonts w:hint="default" w:eastAsia="宋体"/>
                                <w:lang w:val="en-US" w:eastAsia="zh-CN"/>
                              </w:rPr>
                            </w:pPr>
                            <w:r>
                              <w:rPr>
                                <w:rFonts w:hint="eastAsia"/>
                                <w:lang w:val="en-US" w:eastAsia="zh-CN"/>
                              </w:rPr>
                              <w:t>甩干、压滤（-0.06）</w:t>
                            </w:r>
                          </w:p>
                        </w:txbxContent>
                      </v:textbox>
                    </v:shape>
                  </w:pict>
                </mc:Fallback>
              </mc:AlternateContent>
            </w:r>
          </w:p>
          <w:p w14:paraId="686F948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31968" behindDoc="0" locked="0" layoutInCell="1" allowOverlap="1">
                      <wp:simplePos x="0" y="0"/>
                      <wp:positionH relativeFrom="column">
                        <wp:posOffset>2226310</wp:posOffset>
                      </wp:positionH>
                      <wp:positionV relativeFrom="paragraph">
                        <wp:posOffset>182880</wp:posOffset>
                      </wp:positionV>
                      <wp:extent cx="613410" cy="2794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613410" cy="279400"/>
                              </a:xfrm>
                              <a:prstGeom prst="rect">
                                <a:avLst/>
                              </a:prstGeom>
                              <a:noFill/>
                              <a:ln>
                                <a:noFill/>
                              </a:ln>
                            </wps:spPr>
                            <wps:txbx>
                              <w:txbxContent>
                                <w:p w14:paraId="39C25C6A">
                                  <w:pPr>
                                    <w:rPr>
                                      <w:rFonts w:hint="default" w:eastAsia="宋体"/>
                                      <w:lang w:val="en-US" w:eastAsia="zh-CN"/>
                                    </w:rPr>
                                  </w:pPr>
                                  <w:r>
                                    <w:rPr>
                                      <w:rFonts w:hint="eastAsia"/>
                                      <w:lang w:val="en-US" w:eastAsia="zh-CN"/>
                                    </w:rPr>
                                    <w:t>40</w:t>
                                  </w:r>
                                </w:p>
                              </w:txbxContent>
                            </wps:txbx>
                            <wps:bodyPr upright="1"/>
                          </wps:wsp>
                        </a:graphicData>
                      </a:graphic>
                    </wp:anchor>
                  </w:drawing>
                </mc:Choice>
                <mc:Fallback>
                  <w:pict>
                    <v:shape id="_x0000_s1026" o:spid="_x0000_s1026" o:spt="202" type="#_x0000_t202" style="position:absolute;left:0pt;margin-left:175.3pt;margin-top:14.4pt;height:22pt;width:48.3pt;z-index:251731968;mso-width-relative:page;mso-height-relative:page;" filled="f" stroked="f" coordsize="21600,21600" o:gfxdata="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hxegF1wAA&#10;AAkBAAAPAAAAAAAAAAEAIAAAACIAAABkcnMvZG93bnJldi54bWxQSwECFAAUAAAACACHTuJAOEg1&#10;Z60BAABPAwAADgAAAAAAAAABACAAAAAmAQAAZHJzL2Uyb0RvYy54bWxQSwUGAAAAAAYABgBZAQAA&#10;RQUAAAAA&#10;">
                      <v:fill on="f" focussize="0,0"/>
                      <v:stroke on="f"/>
                      <v:imagedata o:title=""/>
                      <o:lock v:ext="edit" aspectratio="f"/>
                      <v:textbox>
                        <w:txbxContent>
                          <w:p w14:paraId="39C25C6A">
                            <w:pPr>
                              <w:rPr>
                                <w:rFonts w:hint="default" w:eastAsia="宋体"/>
                                <w:lang w:val="en-US" w:eastAsia="zh-CN"/>
                              </w:rPr>
                            </w:pPr>
                            <w:r>
                              <w:rPr>
                                <w:rFonts w:hint="eastAsia"/>
                                <w:lang w:val="en-US" w:eastAsia="zh-CN"/>
                              </w:rPr>
                              <w:t>40</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19680" behindDoc="0" locked="0" layoutInCell="1" allowOverlap="1">
                      <wp:simplePos x="0" y="0"/>
                      <wp:positionH relativeFrom="column">
                        <wp:posOffset>2728595</wp:posOffset>
                      </wp:positionH>
                      <wp:positionV relativeFrom="paragraph">
                        <wp:posOffset>22860</wp:posOffset>
                      </wp:positionV>
                      <wp:extent cx="697230" cy="6985"/>
                      <wp:effectExtent l="0" t="31750" r="7620" b="37465"/>
                      <wp:wrapNone/>
                      <wp:docPr id="4" name="直接连接符 4"/>
                      <wp:cNvGraphicFramePr/>
                      <a:graphic xmlns:a="http://schemas.openxmlformats.org/drawingml/2006/main">
                        <a:graphicData uri="http://schemas.microsoft.com/office/word/2010/wordprocessingShape">
                          <wps:wsp>
                            <wps:cNvCnPr/>
                            <wps:spPr>
                              <a:xfrm>
                                <a:off x="0" y="0"/>
                                <a:ext cx="697230" cy="6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4.85pt;margin-top:1.8pt;height:0.55pt;width:54.9pt;z-index:251719680;mso-width-relative:page;mso-height-relative:page;" filled="f" stroked="t" coordsize="21600,21600" o:gfxdata="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IelItgAAAAHAQAADwAAAAAAAAABACAAAAAiAAAAZHJzL2Rvd25y&#10;ZXYueG1sUEsBAhQAFAAAAAgAh07iQA8fNwH+AQAA6gMAAA4AAAAAAAAAAQAgAAAAJwEAAGRycy9l&#10;Mm9Eb2MueG1sUEsFBgAAAAAGAAYAWQEAAJcFAAAAAA==&#10;">
                      <v:fill on="f" focussize="0,0"/>
                      <v:stroke color="#000000" joinstyle="round" endarrow="block"/>
                      <v:imagedata o:title=""/>
                      <o:lock v:ext="edit" aspectratio="f"/>
                    </v:line>
                  </w:pict>
                </mc:Fallback>
              </mc:AlternateContent>
            </w:r>
          </w:p>
          <w:p w14:paraId="563B3BF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-71120</wp:posOffset>
                      </wp:positionH>
                      <wp:positionV relativeFrom="paragraph">
                        <wp:posOffset>165100</wp:posOffset>
                      </wp:positionV>
                      <wp:extent cx="805180" cy="536575"/>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805180" cy="536575"/>
                              </a:xfrm>
                              <a:prstGeom prst="rect">
                                <a:avLst/>
                              </a:prstGeom>
                              <a:noFill/>
                              <a:ln>
                                <a:noFill/>
                              </a:ln>
                            </wps:spPr>
                            <wps:txbx>
                              <w:txbxContent>
                                <w:p w14:paraId="3846469D">
                                  <w:pPr>
                                    <w:rPr>
                                      <w:rFonts w:hint="default" w:eastAsia="宋体"/>
                                      <w:lang w:val="en-US" w:eastAsia="zh-CN"/>
                                    </w:rPr>
                                  </w:pPr>
                                  <w:r>
                                    <w:rPr>
                                      <w:rFonts w:hint="eastAsia"/>
                                      <w:lang w:val="en-US" w:eastAsia="zh-CN"/>
                                    </w:rPr>
                                    <w:t>1.9新鲜水</w:t>
                                  </w:r>
                                </w:p>
                              </w:txbxContent>
                            </wps:txbx>
                            <wps:bodyPr upright="1"/>
                          </wps:wsp>
                        </a:graphicData>
                      </a:graphic>
                    </wp:anchor>
                  </w:drawing>
                </mc:Choice>
                <mc:Fallback>
                  <w:pict>
                    <v:shape id="_x0000_s1026" o:spid="_x0000_s1026" o:spt="202" type="#_x0000_t202" style="position:absolute;left:0pt;margin-left:-5.6pt;margin-top:13pt;height:42.25pt;width:63.4pt;z-index:251683840;mso-width-relative:page;mso-height-relative:page;" filled="f" stroked="f" coordsize="21600,21600" o:gfxdata="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vvUO/WAAAA&#10;CgEAAA8AAAAAAAAAAQAgAAAAIgAAAGRycy9kb3ducmV2LnhtbFBLAQIUABQAAAAIAIdO4kAk8S9f&#10;rQEAAE8DAAAOAAAAAAAAAAEAIAAAACUBAABkcnMvZTJvRG9jLnhtbFBLBQYAAAAABgAGAFkBAABE&#10;BQAAAAA=&#10;">
                      <v:fill on="f" focussize="0,0"/>
                      <v:stroke on="f"/>
                      <v:imagedata o:title=""/>
                      <o:lock v:ext="edit" aspectratio="f"/>
                      <v:textbox>
                        <w:txbxContent>
                          <w:p w14:paraId="3846469D">
                            <w:pPr>
                              <w:rPr>
                                <w:rFonts w:hint="default" w:eastAsia="宋体"/>
                                <w:lang w:val="en-US" w:eastAsia="zh-CN"/>
                              </w:rPr>
                            </w:pPr>
                            <w:r>
                              <w:rPr>
                                <w:rFonts w:hint="eastAsia"/>
                                <w:lang w:val="en-US" w:eastAsia="zh-CN"/>
                              </w:rPr>
                              <w:t>1.9新鲜水</w:t>
                            </w:r>
                          </w:p>
                        </w:txbxContent>
                      </v:textbox>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729920" behindDoc="0" locked="0" layoutInCell="1" allowOverlap="1">
                      <wp:simplePos x="0" y="0"/>
                      <wp:positionH relativeFrom="column">
                        <wp:posOffset>2670810</wp:posOffset>
                      </wp:positionH>
                      <wp:positionV relativeFrom="paragraph">
                        <wp:posOffset>321310</wp:posOffset>
                      </wp:positionV>
                      <wp:extent cx="107315" cy="1270"/>
                      <wp:effectExtent l="0" t="0" r="0" b="0"/>
                      <wp:wrapNone/>
                      <wp:docPr id="38" name="直接连接符 38"/>
                      <wp:cNvGraphicFramePr/>
                      <a:graphic xmlns:a="http://schemas.openxmlformats.org/drawingml/2006/main">
                        <a:graphicData uri="http://schemas.microsoft.com/office/word/2010/wordprocessingShape">
                          <wps:wsp>
                            <wps:cNvCnPr/>
                            <wps:spPr>
                              <a:xfrm flipH="1" flipV="1">
                                <a:off x="0" y="0"/>
                                <a:ext cx="107315" cy="127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 y;margin-left:210.3pt;margin-top:25.3pt;height:0.1pt;width:8.45pt;z-index:251729920;mso-width-relative:page;mso-height-relative:page;" filled="f" stroked="t" coordsize="21600,21600" o:gfxdata="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3FqY7aAAAACQEAAA8AAAAAAAAAAQAgAAAAIgAAAGRycy9kb3ducmV2LnhtbFBLAQIU&#10;ABQAAAAIAIdO4kB59NGM8QEAAMoDAAAOAAAAAAAAAAEAIAAAACkBAABkcnMvZTJvRG9jLnhtbFBL&#10;BQYAAAAABgAGAFkBAACMBQAAAAA=&#10;">
                      <v:fill on="f" focussize="0,0"/>
                      <v:stroke weight="1pt" color="#000000 [3213]" miterlimit="8" joinstyle="miter"/>
                      <v:imagedata o:title=""/>
                      <o:lock v:ext="edit" aspectratio="f"/>
                    </v:lin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730944" behindDoc="0" locked="0" layoutInCell="1" allowOverlap="1">
                      <wp:simplePos x="0" y="0"/>
                      <wp:positionH relativeFrom="column">
                        <wp:posOffset>2775585</wp:posOffset>
                      </wp:positionH>
                      <wp:positionV relativeFrom="paragraph">
                        <wp:posOffset>52070</wp:posOffset>
                      </wp:positionV>
                      <wp:extent cx="2540" cy="269240"/>
                      <wp:effectExtent l="6350" t="0" r="10160" b="16510"/>
                      <wp:wrapNone/>
                      <wp:docPr id="40" name="直接连接符 40"/>
                      <wp:cNvGraphicFramePr/>
                      <a:graphic xmlns:a="http://schemas.openxmlformats.org/drawingml/2006/main">
                        <a:graphicData uri="http://schemas.microsoft.com/office/word/2010/wordprocessingShape">
                          <wps:wsp>
                            <wps:cNvCnPr/>
                            <wps:spPr>
                              <a:xfrm flipH="1">
                                <a:off x="0" y="0"/>
                                <a:ext cx="2540" cy="26924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18.55pt;margin-top:4.1pt;height:21.2pt;width:0.2pt;z-index:251730944;mso-width-relative:page;mso-height-relative:page;" filled="f" stroked="t" coordsize="21600,21600" o:gfxdata="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d3&#10;vaHVAAAACAEAAA8AAAAAAAAAAQAgAAAAIgAAAGRycy9kb3ducmV2LnhtbFBLAQIUABQAAAAIAIdO&#10;4kAYxo0o7QEAAMADAAAOAAAAAAAAAAEAIAAAACQBAABkcnMvZTJvRG9jLnhtbFBLBQYAAAAABgAG&#10;AFkBAACDBQAAAAA=&#10;">
                      <v:fill on="f" focussize="0,0"/>
                      <v:stroke weight="1pt" color="#000000 [3213]" miterlimit="8" joinstyle="miter"/>
                      <v:imagedata o:title=""/>
                      <o:lock v:ext="edit" aspectratio="f"/>
                    </v:lin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27872" behindDoc="0" locked="0" layoutInCell="1" allowOverlap="1">
                      <wp:simplePos x="0" y="0"/>
                      <wp:positionH relativeFrom="column">
                        <wp:posOffset>2232660</wp:posOffset>
                      </wp:positionH>
                      <wp:positionV relativeFrom="paragraph">
                        <wp:posOffset>62230</wp:posOffset>
                      </wp:positionV>
                      <wp:extent cx="0" cy="190500"/>
                      <wp:effectExtent l="38100" t="0" r="38100" b="0"/>
                      <wp:wrapNone/>
                      <wp:docPr id="36" name="直接连接符 36"/>
                      <wp:cNvGraphicFramePr/>
                      <a:graphic xmlns:a="http://schemas.openxmlformats.org/drawingml/2006/main">
                        <a:graphicData uri="http://schemas.microsoft.com/office/word/2010/wordprocessingShape">
                          <wps:wsp>
                            <wps:cNvCnPr/>
                            <wps:spPr>
                              <a:xfrm>
                                <a:off x="0" y="0"/>
                                <a:ext cx="0" cy="1905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5.8pt;margin-top:4.9pt;height:15pt;width:0pt;z-index:251727872;mso-width-relative:page;mso-height-relative:page;" filled="f" stroked="t" coordsize="21600,21600" o:gfxdata="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27AOtYAAAAIAQAADwAAAAAAAAABACAAAAAiAAAAZHJzL2Rvd25yZXYu&#10;eG1sUEsBAhQAFAAAAAgAh07iQOwYc0z9AQAA6QMAAA4AAAAAAAAAAQAgAAAAJQEAAGRycy9lMm9E&#10;b2MueG1sUEsFBgAAAAAGAAYAWQEAAJQFAAAAAA==&#10;">
                      <v:fill on="f" focussize="0,0"/>
                      <v:stroke color="#000000" joinstyle="round" endarrow="block"/>
                      <v:imagedata o:title=""/>
                      <o:lock v:ext="edit" aspectratio="f"/>
                    </v:lin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728896" behindDoc="0" locked="0" layoutInCell="1" allowOverlap="1">
                      <wp:simplePos x="0" y="0"/>
                      <wp:positionH relativeFrom="column">
                        <wp:posOffset>2232660</wp:posOffset>
                      </wp:positionH>
                      <wp:positionV relativeFrom="paragraph">
                        <wp:posOffset>52705</wp:posOffset>
                      </wp:positionV>
                      <wp:extent cx="548005" cy="3810"/>
                      <wp:effectExtent l="0" t="0" r="0" b="0"/>
                      <wp:wrapNone/>
                      <wp:docPr id="37" name="直接连接符 37"/>
                      <wp:cNvGraphicFramePr/>
                      <a:graphic xmlns:a="http://schemas.openxmlformats.org/drawingml/2006/main">
                        <a:graphicData uri="http://schemas.microsoft.com/office/word/2010/wordprocessingShape">
                          <wps:wsp>
                            <wps:cNvCnPr/>
                            <wps:spPr>
                              <a:xfrm flipH="1" flipV="1">
                                <a:off x="0" y="0"/>
                                <a:ext cx="548005" cy="381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 y;margin-left:175.8pt;margin-top:4.15pt;height:0.3pt;width:43.15pt;z-index:251728896;mso-width-relative:page;mso-height-relative:page;" filled="f" stroked="t" coordsize="21600,21600" o:gfxdata="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rd0/LYAAAABwEAAA8AAAAAAAAAAQAgAAAAIgAAAGRycy9kb3ducmV2LnhtbFBL&#10;AQIUABQAAAAIAIdO4kBxPRk19gEAAMoDAAAOAAAAAAAAAAEAIAAAACcBAABkcnMvZTJvRG9jLnht&#10;bFBLBQYAAAAABgAGAFkBAACPBQAAAAA=&#10;">
                      <v:fill on="f" focussize="0,0"/>
                      <v:stroke weight="1pt" color="#000000 [3213]" miterlimit="8" joinstyle="miter"/>
                      <v:imagedata o:title=""/>
                      <o:lock v:ext="edit" aspectratio="f"/>
                    </v:lin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2790825</wp:posOffset>
                      </wp:positionH>
                      <wp:positionV relativeFrom="paragraph">
                        <wp:posOffset>176530</wp:posOffset>
                      </wp:positionV>
                      <wp:extent cx="509905" cy="2794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509905" cy="279400"/>
                              </a:xfrm>
                              <a:prstGeom prst="rect">
                                <a:avLst/>
                              </a:prstGeom>
                              <a:noFill/>
                              <a:ln>
                                <a:noFill/>
                              </a:ln>
                            </wps:spPr>
                            <wps:txbx>
                              <w:txbxContent>
                                <w:p w14:paraId="450FBD99">
                                  <w:pPr>
                                    <w:rPr>
                                      <w:rFonts w:hint="default" w:eastAsia="宋体"/>
                                      <w:lang w:val="en-US" w:eastAsia="zh-CN"/>
                                    </w:rPr>
                                  </w:pPr>
                                  <w:r>
                                    <w:rPr>
                                      <w:rFonts w:hint="eastAsia"/>
                                      <w:lang w:val="en-US" w:eastAsia="zh-CN"/>
                                    </w:rPr>
                                    <w:t>0.36</w:t>
                                  </w:r>
                                </w:p>
                              </w:txbxContent>
                            </wps:txbx>
                            <wps:bodyPr upright="1"/>
                          </wps:wsp>
                        </a:graphicData>
                      </a:graphic>
                    </wp:anchor>
                  </w:drawing>
                </mc:Choice>
                <mc:Fallback>
                  <w:pict>
                    <v:shape id="_x0000_s1026" o:spid="_x0000_s1026" o:spt="202" type="#_x0000_t202" style="position:absolute;left:0pt;margin-left:219.75pt;margin-top:13.9pt;height:22pt;width:40.15pt;z-index:251684864;mso-width-relative:page;mso-height-relative:page;" filled="f" stroked="f" coordsize="21600,21600" o:gfxdata="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FSoeC1wAA&#10;AAkBAAAPAAAAAAAAAAEAIAAAACIAAABkcnMvZG93bnJldi54bWxQSwECFAAUAAAACACHTuJAlx5v&#10;H60BAABPAwAADgAAAAAAAAABACAAAAAmAQAAZHJzL2Uyb0RvYy54bWxQSwUGAAAAAAYABgBZAQAA&#10;RQUAAAAA&#10;">
                      <v:fill on="f" focussize="0,0"/>
                      <v:stroke on="f"/>
                      <v:imagedata o:title=""/>
                      <o:lock v:ext="edit" aspectratio="f"/>
                      <v:textbox>
                        <w:txbxContent>
                          <w:p w14:paraId="450FBD99">
                            <w:pPr>
                              <w:rPr>
                                <w:rFonts w:hint="default" w:eastAsia="宋体"/>
                                <w:lang w:val="en-US" w:eastAsia="zh-CN"/>
                              </w:rPr>
                            </w:pPr>
                            <w:r>
                              <w:rPr>
                                <w:rFonts w:hint="eastAsia"/>
                                <w:lang w:val="en-US" w:eastAsia="zh-CN"/>
                              </w:rPr>
                              <w:t>0.36</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741680</wp:posOffset>
                      </wp:positionH>
                      <wp:positionV relativeFrom="paragraph">
                        <wp:posOffset>180340</wp:posOffset>
                      </wp:positionV>
                      <wp:extent cx="528955" cy="2794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528955" cy="279400"/>
                              </a:xfrm>
                              <a:prstGeom prst="rect">
                                <a:avLst/>
                              </a:prstGeom>
                              <a:noFill/>
                              <a:ln>
                                <a:noFill/>
                              </a:ln>
                            </wps:spPr>
                            <wps:txbx>
                              <w:txbxContent>
                                <w:p w14:paraId="33316DD6">
                                  <w:pPr>
                                    <w:rPr>
                                      <w:rFonts w:hint="default" w:eastAsia="宋体"/>
                                      <w:lang w:val="en-US" w:eastAsia="zh-CN"/>
                                    </w:rPr>
                                  </w:pPr>
                                  <w:r>
                                    <w:rPr>
                                      <w:rFonts w:hint="eastAsia"/>
                                      <w:lang w:val="en-US" w:eastAsia="zh-CN"/>
                                    </w:rPr>
                                    <w:t>0.4</w:t>
                                  </w:r>
                                </w:p>
                              </w:txbxContent>
                            </wps:txbx>
                            <wps:bodyPr upright="1"/>
                          </wps:wsp>
                        </a:graphicData>
                      </a:graphic>
                    </wp:anchor>
                  </w:drawing>
                </mc:Choice>
                <mc:Fallback>
                  <w:pict>
                    <v:shape id="_x0000_s1026" o:spid="_x0000_s1026" o:spt="202" type="#_x0000_t202" style="position:absolute;left:0pt;margin-left:58.4pt;margin-top:14.2pt;height:22pt;width:41.65pt;z-index:251686912;mso-width-relative:page;mso-height-relative:page;" filled="f" stroked="f" coordsize="21600,21600" o:gfxdata="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HZM71QAA&#10;AAkBAAAPAAAAAAAAAAEAIAAAACIAAABkcnMvZG93bnJldi54bWxQSwECFAAUAAAACACHTuJAELHp&#10;na8BAABPAwAADgAAAAAAAAABACAAAAAkAQAAZHJzL2Uyb0RvYy54bWxQSwUGAAAAAAYABgBZAQAA&#10;RQUAAAAA&#10;">
                      <v:fill on="f" focussize="0,0"/>
                      <v:stroke on="f"/>
                      <v:imagedata o:title=""/>
                      <o:lock v:ext="edit" aspectratio="f"/>
                      <v:textbox>
                        <w:txbxContent>
                          <w:p w14:paraId="33316DD6">
                            <w:pPr>
                              <w:rPr>
                                <w:rFonts w:hint="default" w:eastAsia="宋体"/>
                                <w:lang w:val="en-US" w:eastAsia="zh-CN"/>
                              </w:rPr>
                            </w:pPr>
                            <w:r>
                              <w:rPr>
                                <w:rFonts w:hint="eastAsia"/>
                                <w:lang w:val="en-US" w:eastAsia="zh-CN"/>
                              </w:rPr>
                              <w:t>0.4</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02272" behindDoc="0" locked="0" layoutInCell="1" allowOverlap="1">
                      <wp:simplePos x="0" y="0"/>
                      <wp:positionH relativeFrom="column">
                        <wp:posOffset>1312545</wp:posOffset>
                      </wp:positionH>
                      <wp:positionV relativeFrom="paragraph">
                        <wp:posOffset>243205</wp:posOffset>
                      </wp:positionV>
                      <wp:extent cx="1343660" cy="285750"/>
                      <wp:effectExtent l="4445" t="4445" r="23495" b="14605"/>
                      <wp:wrapNone/>
                      <wp:docPr id="114" name="文本框 114"/>
                      <wp:cNvGraphicFramePr/>
                      <a:graphic xmlns:a="http://schemas.openxmlformats.org/drawingml/2006/main">
                        <a:graphicData uri="http://schemas.microsoft.com/office/word/2010/wordprocessingShape">
                          <wps:wsp>
                            <wps:cNvSpPr txBox="1"/>
                            <wps:spPr>
                              <a:xfrm>
                                <a:off x="0" y="0"/>
                                <a:ext cx="1343660" cy="285750"/>
                              </a:xfrm>
                              <a:prstGeom prst="rect">
                                <a:avLst/>
                              </a:prstGeom>
                              <a:noFill/>
                              <a:ln w="9525" cap="flat" cmpd="sng">
                                <a:solidFill>
                                  <a:srgbClr val="000000"/>
                                </a:solidFill>
                                <a:prstDash val="solid"/>
                                <a:miter/>
                                <a:headEnd type="none" w="med" len="med"/>
                                <a:tailEnd type="none" w="med" len="med"/>
                              </a:ln>
                            </wps:spPr>
                            <wps:txbx>
                              <w:txbxContent>
                                <w:p w14:paraId="770BF126">
                                  <w:pPr>
                                    <w:jc w:val="center"/>
                                    <w:rPr>
                                      <w:rFonts w:hint="default" w:eastAsia="宋体"/>
                                      <w:lang w:val="en-US" w:eastAsia="zh-CN"/>
                                    </w:rPr>
                                  </w:pPr>
                                  <w:r>
                                    <w:rPr>
                                      <w:rFonts w:hint="eastAsia"/>
                                      <w:lang w:val="en-US" w:eastAsia="zh-CN"/>
                                    </w:rPr>
                                    <w:t>冷却用水（-0.04）</w:t>
                                  </w:r>
                                </w:p>
                              </w:txbxContent>
                            </wps:txbx>
                            <wps:bodyPr upright="1"/>
                          </wps:wsp>
                        </a:graphicData>
                      </a:graphic>
                    </wp:anchor>
                  </w:drawing>
                </mc:Choice>
                <mc:Fallback>
                  <w:pict>
                    <v:shape id="_x0000_s1026" o:spid="_x0000_s1026" o:spt="202" type="#_x0000_t202" style="position:absolute;left:0pt;margin-left:103.35pt;margin-top:19.15pt;height:22.5pt;width:105.8pt;z-index:251702272;mso-width-relative:page;mso-height-relative:page;" filled="f" stroked="t" coordsize="21600,21600" o:gfxdata="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&#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JNV791gAAAAkBAAAPAAAAAAAAAAEAIAAAACIAAABk&#10;cnMvZG93bnJldi54bWxQSwECFAAUAAAACACHTuJAXISGQQgCAAARBAAADgAAAAAAAAABACAAAAAl&#10;AQAAZHJzL2Uyb0RvYy54bWxQSwUGAAAAAAYABgBZAQAAnwUAAAAA&#10;">
                      <v:fill on="f" focussize="0,0"/>
                      <v:stroke color="#000000" joinstyle="miter"/>
                      <v:imagedata o:title=""/>
                      <o:lock v:ext="edit" aspectratio="f"/>
                      <v:textbox>
                        <w:txbxContent>
                          <w:p w14:paraId="770BF126">
                            <w:pPr>
                              <w:jc w:val="center"/>
                              <w:rPr>
                                <w:rFonts w:hint="default" w:eastAsia="宋体"/>
                                <w:lang w:val="en-US" w:eastAsia="zh-CN"/>
                              </w:rPr>
                            </w:pPr>
                            <w:r>
                              <w:rPr>
                                <w:rFonts w:hint="eastAsia"/>
                                <w:lang w:val="en-US" w:eastAsia="zh-CN"/>
                              </w:rPr>
                              <w:t>冷却用水（-0.04）</w:t>
                            </w:r>
                          </w:p>
                        </w:txbxContent>
                      </v:textbox>
                    </v:shape>
                  </w:pict>
                </mc:Fallback>
              </mc:AlternateContent>
            </w:r>
          </w:p>
          <w:p w14:paraId="6C33318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18656" behindDoc="0" locked="0" layoutInCell="1" allowOverlap="1">
                      <wp:simplePos x="0" y="0"/>
                      <wp:positionH relativeFrom="column">
                        <wp:posOffset>2671445</wp:posOffset>
                      </wp:positionH>
                      <wp:positionV relativeFrom="paragraph">
                        <wp:posOffset>38735</wp:posOffset>
                      </wp:positionV>
                      <wp:extent cx="744855" cy="6985"/>
                      <wp:effectExtent l="0" t="31750" r="17145" b="37465"/>
                      <wp:wrapNone/>
                      <wp:docPr id="3" name="直接连接符 3"/>
                      <wp:cNvGraphicFramePr/>
                      <a:graphic xmlns:a="http://schemas.openxmlformats.org/drawingml/2006/main">
                        <a:graphicData uri="http://schemas.microsoft.com/office/word/2010/wordprocessingShape">
                          <wps:wsp>
                            <wps:cNvCnPr/>
                            <wps:spPr>
                              <a:xfrm>
                                <a:off x="0" y="0"/>
                                <a:ext cx="744855" cy="6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0.35pt;margin-top:3.05pt;height:0.55pt;width:58.65pt;z-index:251718656;mso-width-relative:page;mso-height-relative:page;" filled="f" stroked="t" coordsize="21600,21600" o:gfxdata="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cb1rNgAAAAHAQAADwAAAAAAAAABACAAAAAiAAAAZHJzL2Rvd25y&#10;ZXYueG1sUEsBAhQAFAAAAAgAh07iQJT++cn+AQAA6gMAAA4AAAAAAAAAAQAgAAAAJwEAAGRycy9l&#10;Mm9Eb2MueG1sUEsFBgAAAAAGAAYAWQEAAJcFAAAAAA==&#10;">
                      <v:fill on="f" focussize="0,0"/>
                      <v:stroke color="#000000" joinstyle="round" endarrow="block"/>
                      <v:imagedata o:title=""/>
                      <o:lock v:ext="edit" aspectratio="f"/>
                    </v:lin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-78740</wp:posOffset>
                      </wp:positionH>
                      <wp:positionV relativeFrom="paragraph">
                        <wp:posOffset>59055</wp:posOffset>
                      </wp:positionV>
                      <wp:extent cx="794385" cy="635"/>
                      <wp:effectExtent l="0" t="37465" r="5715" b="38100"/>
                      <wp:wrapNone/>
                      <wp:docPr id="79" name="直接连接符 79"/>
                      <wp:cNvGraphicFramePr/>
                      <a:graphic xmlns:a="http://schemas.openxmlformats.org/drawingml/2006/main">
                        <a:graphicData uri="http://schemas.microsoft.com/office/word/2010/wordprocessingShape">
                          <wps:wsp>
                            <wps:cNvCnPr/>
                            <wps:spPr>
                              <a:xfrm>
                                <a:off x="0" y="0"/>
                                <a:ext cx="79438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2pt;margin-top:4.65pt;height:0.05pt;width:62.55pt;z-index:251680768;mso-width-relative:page;mso-height-relative:page;" filled="f" stroked="t" coordsize="21600,21600" o:gfxdata="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Uygid1wAAAAcBAAAPAAAAAAAAAAEAIAAAACIAAABkcnMvZG93bnJl&#10;di54bWxQSwECFAAUAAAACACHTuJAQ4ijnf4BAADrAwAADgAAAAAAAAABACAAAAAmAQAAZHJzL2Uy&#10;b0RvYy54bWxQSwUGAAAAAAYABgBZAQAAlgUAAAAA&#10;">
                      <v:fill on="f" focussize="0,0"/>
                      <v:stroke color="#000000" joinstyle="round" endarrow="block"/>
                      <v:imagedata o:title=""/>
                      <o:lock v:ext="edit" aspectratio="f"/>
                    </v:lin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98176" behindDoc="0" locked="0" layoutInCell="1" allowOverlap="1">
                      <wp:simplePos x="0" y="0"/>
                      <wp:positionH relativeFrom="column">
                        <wp:posOffset>747395</wp:posOffset>
                      </wp:positionH>
                      <wp:positionV relativeFrom="paragraph">
                        <wp:posOffset>57785</wp:posOffset>
                      </wp:positionV>
                      <wp:extent cx="556895" cy="6350"/>
                      <wp:effectExtent l="0" t="32385" r="14605" b="37465"/>
                      <wp:wrapNone/>
                      <wp:docPr id="118" name="直接连接符 118"/>
                      <wp:cNvGraphicFramePr/>
                      <a:graphic xmlns:a="http://schemas.openxmlformats.org/drawingml/2006/main">
                        <a:graphicData uri="http://schemas.microsoft.com/office/word/2010/wordprocessingShape">
                          <wps:wsp>
                            <wps:cNvCnPr/>
                            <wps:spPr>
                              <a:xfrm>
                                <a:off x="0" y="0"/>
                                <a:ext cx="556895" cy="63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8.85pt;margin-top:4.55pt;height:0.5pt;width:43.85pt;z-index:251698176;mso-width-relative:page;mso-height-relative:page;" filled="f" stroked="t" coordsize="21600,21600" o:gfxdata="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BG1Zp1wAAAAgBAAAPAAAAAAAAAAEAIAAAACIAAABkcnMvZG93&#10;bnJldi54bWxQSwECFAAUAAAACACHTuJA5p0JKwECAADuAwAADgAAAAAAAAABACAAAAAmAQAAZHJz&#10;L2Uyb0RvYy54bWxQSwUGAAAAAAYABgBZAQAAmQUAAAAA&#10;">
                      <v:fill on="f" focussize="0,0"/>
                      <v:stroke color="#000000" joinstyle="round" endarrow="block"/>
                      <v:imagedata o:title=""/>
                      <o:lock v:ext="edit" aspectratio="f"/>
                    </v:line>
                  </w:pict>
                </mc:Fallback>
              </mc:AlternateContent>
            </w:r>
          </w:p>
          <w:p w14:paraId="746272B4">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2483485</wp:posOffset>
                      </wp:positionH>
                      <wp:positionV relativeFrom="paragraph">
                        <wp:posOffset>325755</wp:posOffset>
                      </wp:positionV>
                      <wp:extent cx="613410" cy="2794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613410" cy="279400"/>
                              </a:xfrm>
                              <a:prstGeom prst="rect">
                                <a:avLst/>
                              </a:prstGeom>
                              <a:noFill/>
                              <a:ln>
                                <a:noFill/>
                              </a:ln>
                            </wps:spPr>
                            <wps:txbx>
                              <w:txbxContent>
                                <w:p w14:paraId="4A9E5369">
                                  <w:pPr>
                                    <w:rPr>
                                      <w:rFonts w:hint="default" w:eastAsia="宋体"/>
                                      <w:lang w:val="en-US" w:eastAsia="zh-CN"/>
                                    </w:rPr>
                                  </w:pPr>
                                  <w:r>
                                    <w:rPr>
                                      <w:rFonts w:hint="eastAsia"/>
                                      <w:lang w:val="en-US" w:eastAsia="zh-CN"/>
                                    </w:rPr>
                                    <w:t>30</w:t>
                                  </w:r>
                                </w:p>
                              </w:txbxContent>
                            </wps:txbx>
                            <wps:bodyPr upright="1"/>
                          </wps:wsp>
                        </a:graphicData>
                      </a:graphic>
                    </wp:anchor>
                  </w:drawing>
                </mc:Choice>
                <mc:Fallback>
                  <w:pict>
                    <v:shape id="_x0000_s1026" o:spid="_x0000_s1026" o:spt="202" type="#_x0000_t202" style="position:absolute;left:0pt;margin-left:195.55pt;margin-top:25.65pt;height:22pt;width:48.3pt;z-index:251685888;mso-width-relative:page;mso-height-relative:page;" filled="f" stroked="f" coordsize="21600,21600" o:gfxdata="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xlxIs1wAA&#10;AAkBAAAPAAAAAAAAAAEAIAAAACIAAABkcnMvZG93bnJldi54bWxQSwECFAAUAAAACACHTuJA/SD+&#10;PK0BAABPAwAADgAAAAAAAAABACAAAAAmAQAAZHJzL2Uyb0RvYy54bWxQSwUGAAAAAAYABgBZAQAA&#10;RQUAAAAA&#10;">
                      <v:fill on="f" focussize="0,0"/>
                      <v:stroke on="f"/>
                      <v:imagedata o:title=""/>
                      <o:lock v:ext="edit" aspectratio="f"/>
                      <v:textbox>
                        <w:txbxContent>
                          <w:p w14:paraId="4A9E5369">
                            <w:pPr>
                              <w:rPr>
                                <w:rFonts w:hint="default" w:eastAsia="宋体"/>
                                <w:lang w:val="en-US" w:eastAsia="zh-CN"/>
                              </w:rPr>
                            </w:pPr>
                            <w:r>
                              <w:rPr>
                                <w:rFonts w:hint="eastAsia"/>
                                <w:lang w:val="en-US" w:eastAsia="zh-CN"/>
                              </w:rPr>
                              <w:t>30</w:t>
                            </w:r>
                          </w:p>
                        </w:txbxContent>
                      </v:textbox>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707392" behindDoc="0" locked="0" layoutInCell="1" allowOverlap="1">
                      <wp:simplePos x="0" y="0"/>
                      <wp:positionH relativeFrom="column">
                        <wp:posOffset>2013585</wp:posOffset>
                      </wp:positionH>
                      <wp:positionV relativeFrom="paragraph">
                        <wp:posOffset>316230</wp:posOffset>
                      </wp:positionV>
                      <wp:extent cx="548005" cy="3810"/>
                      <wp:effectExtent l="0" t="0" r="0" b="0"/>
                      <wp:wrapNone/>
                      <wp:docPr id="104" name="直接连接符 104"/>
                      <wp:cNvGraphicFramePr/>
                      <a:graphic xmlns:a="http://schemas.openxmlformats.org/drawingml/2006/main">
                        <a:graphicData uri="http://schemas.microsoft.com/office/word/2010/wordprocessingShape">
                          <wps:wsp>
                            <wps:cNvCnPr/>
                            <wps:spPr>
                              <a:xfrm flipH="1" flipV="1">
                                <a:off x="0" y="0"/>
                                <a:ext cx="548005" cy="381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 y;margin-left:158.55pt;margin-top:24.9pt;height:0.3pt;width:43.15pt;z-index:251707392;mso-width-relative:page;mso-height-relative:page;" filled="f" stroked="t" coordsize="21600,21600" o:gfxdata="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bYRhNoAAAAJAQAADwAAAAAAAAABACAAAAAiAAAAZHJzL2Rvd25yZXYueG1s&#10;UEsBAhQAFAAAAAgAh07iQC+sQjr2AQAAzAMAAA4AAAAAAAAAAQAgAAAAKQEAAGRycy9lMm9Eb2Mu&#10;eG1sUEsFBgAAAAAGAAYAWQEAAJEFAAAAAA==&#10;">
                      <v:fill on="f" focussize="0,0"/>
                      <v:stroke weight="1pt" color="#000000 [3213]" miterlimit="8" joinstyle="miter"/>
                      <v:imagedata o:title=""/>
                      <o:lock v:ext="edit" aspectratio="f"/>
                    </v:lin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08416" behindDoc="0" locked="0" layoutInCell="1" allowOverlap="1">
                      <wp:simplePos x="0" y="0"/>
                      <wp:positionH relativeFrom="column">
                        <wp:posOffset>2023110</wp:posOffset>
                      </wp:positionH>
                      <wp:positionV relativeFrom="paragraph">
                        <wp:posOffset>325755</wp:posOffset>
                      </wp:positionV>
                      <wp:extent cx="0" cy="190500"/>
                      <wp:effectExtent l="38100" t="0" r="38100" b="0"/>
                      <wp:wrapNone/>
                      <wp:docPr id="106" name="直接连接符 106"/>
                      <wp:cNvGraphicFramePr/>
                      <a:graphic xmlns:a="http://schemas.openxmlformats.org/drawingml/2006/main">
                        <a:graphicData uri="http://schemas.microsoft.com/office/word/2010/wordprocessingShape">
                          <wps:wsp>
                            <wps:cNvCnPr/>
                            <wps:spPr>
                              <a:xfrm>
                                <a:off x="0" y="0"/>
                                <a:ext cx="0" cy="1905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9.3pt;margin-top:25.65pt;height:15pt;width:0pt;z-index:251708416;mso-width-relative:page;mso-height-relative:page;" filled="f" stroked="t" coordsize="21600,21600" o:gfxdata="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dYPlDXAAAACQEAAA8AAAAAAAAAAQAgAAAAIgAAAGRycy9kb3ducmV2&#10;LnhtbFBLAQIUABQAAAAIAIdO4kCS2IR9/QEAAOsDAAAOAAAAAAAAAAEAIAAAACYBAABkcnMvZTJv&#10;RG9jLnhtbFBLBQYAAAAABgAGAFkBAACVBQAAAAA=&#10;">
                      <v:fill on="f" focussize="0,0"/>
                      <v:stroke color="#000000" joinstyle="round" endarrow="block"/>
                      <v:imagedata o:title=""/>
                      <o:lock v:ext="edit" aspectratio="f"/>
                    </v:line>
                  </w:pict>
                </mc:Fallback>
              </mc:AlternateContent>
            </w:r>
          </w:p>
          <w:p w14:paraId="0529478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00224" behindDoc="0" locked="0" layoutInCell="1" allowOverlap="1">
                      <wp:simplePos x="0" y="0"/>
                      <wp:positionH relativeFrom="column">
                        <wp:posOffset>702310</wp:posOffset>
                      </wp:positionH>
                      <wp:positionV relativeFrom="paragraph">
                        <wp:posOffset>70485</wp:posOffset>
                      </wp:positionV>
                      <wp:extent cx="519430" cy="2794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519430" cy="279400"/>
                              </a:xfrm>
                              <a:prstGeom prst="rect">
                                <a:avLst/>
                              </a:prstGeom>
                              <a:noFill/>
                              <a:ln>
                                <a:noFill/>
                              </a:ln>
                            </wps:spPr>
                            <wps:txbx>
                              <w:txbxContent>
                                <w:p w14:paraId="0014671C">
                                  <w:pPr>
                                    <w:rPr>
                                      <w:rFonts w:hint="default" w:eastAsia="宋体"/>
                                      <w:lang w:val="en-US" w:eastAsia="zh-CN"/>
                                    </w:rPr>
                                  </w:pPr>
                                  <w:r>
                                    <w:rPr>
                                      <w:rFonts w:hint="eastAsia"/>
                                      <w:lang w:val="en-US" w:eastAsia="zh-CN"/>
                                    </w:rPr>
                                    <w:t>0.3</w:t>
                                  </w:r>
                                </w:p>
                              </w:txbxContent>
                            </wps:txbx>
                            <wps:bodyPr upright="1"/>
                          </wps:wsp>
                        </a:graphicData>
                      </a:graphic>
                    </wp:anchor>
                  </w:drawing>
                </mc:Choice>
                <mc:Fallback>
                  <w:pict>
                    <v:shape id="_x0000_s1026" o:spid="_x0000_s1026" o:spt="202" type="#_x0000_t202" style="position:absolute;left:0pt;margin-left:55.3pt;margin-top:5.55pt;height:22pt;width:40.9pt;z-index:251700224;mso-width-relative:page;mso-height-relative:page;" filled="f" stroked="f" coordsize="21600,21600" o:gfxdata="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ORuNMNUAAAAJ&#10;AQAADwAAAAAAAAABACAAAAAiAAAAZHJzL2Rvd25yZXYueG1sUEsBAhQAFAAAAAgAh07iQCMne9Gt&#10;AQAAUQMAAA4AAAAAAAAAAQAgAAAAJAEAAGRycy9lMm9Eb2MueG1sUEsFBgAAAAAGAAYAWQEAAEMF&#10;AAAAAA==&#10;">
                      <v:fill on="f" focussize="0,0"/>
                      <v:stroke on="f"/>
                      <v:imagedata o:title=""/>
                      <o:lock v:ext="edit" aspectratio="f"/>
                      <v:textbox>
                        <w:txbxContent>
                          <w:p w14:paraId="0014671C">
                            <w:pPr>
                              <w:rPr>
                                <w:rFonts w:hint="default" w:eastAsia="宋体"/>
                                <w:lang w:val="en-US" w:eastAsia="zh-CN"/>
                              </w:rPr>
                            </w:pPr>
                            <w:r>
                              <w:rPr>
                                <w:rFonts w:hint="eastAsia"/>
                                <w:lang w:val="en-US" w:eastAsia="zh-CN"/>
                              </w:rPr>
                              <w:t>0.3</w:t>
                            </w:r>
                          </w:p>
                        </w:txbxContent>
                      </v:textbox>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706368" behindDoc="0" locked="0" layoutInCell="1" allowOverlap="1">
                      <wp:simplePos x="0" y="0"/>
                      <wp:positionH relativeFrom="column">
                        <wp:posOffset>2546985</wp:posOffset>
                      </wp:positionH>
                      <wp:positionV relativeFrom="paragraph">
                        <wp:posOffset>4445</wp:posOffset>
                      </wp:positionV>
                      <wp:extent cx="2540" cy="269240"/>
                      <wp:effectExtent l="6350" t="0" r="10160" b="16510"/>
                      <wp:wrapNone/>
                      <wp:docPr id="103" name="直接连接符 103"/>
                      <wp:cNvGraphicFramePr/>
                      <a:graphic xmlns:a="http://schemas.openxmlformats.org/drawingml/2006/main">
                        <a:graphicData uri="http://schemas.microsoft.com/office/word/2010/wordprocessingShape">
                          <wps:wsp>
                            <wps:cNvCnPr/>
                            <wps:spPr>
                              <a:xfrm flipH="1">
                                <a:off x="0" y="0"/>
                                <a:ext cx="2540" cy="26924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00.55pt;margin-top:0.35pt;height:21.2pt;width:0.2pt;z-index:251706368;mso-width-relative:page;mso-height-relative:page;" filled="f" stroked="t" coordsize="21600,21600" o:gfxdata="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KJD7p&#10;0wAAAAcBAAAPAAAAAAAAAAEAIAAAACIAAABkcnMvZG93bnJldi54bWxQSwECFAAUAAAACACHTuJA&#10;Bfp2P+0BAADCAwAADgAAAAAAAAABACAAAAAiAQAAZHJzL2Uyb0RvYy54bWxQSwUGAAAAAAYABgBZ&#10;AQAAgQUAAAAA&#10;">
                      <v:fill on="f" focussize="0,0"/>
                      <v:stroke weight="1pt" color="#000000 [3213]" miterlimit="8" joinstyle="miter"/>
                      <v:imagedata o:title=""/>
                      <o:lock v:ext="edit" aspectratio="f"/>
                    </v:lin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705344" behindDoc="0" locked="0" layoutInCell="1" allowOverlap="1">
                      <wp:simplePos x="0" y="0"/>
                      <wp:positionH relativeFrom="column">
                        <wp:posOffset>2375535</wp:posOffset>
                      </wp:positionH>
                      <wp:positionV relativeFrom="paragraph">
                        <wp:posOffset>271145</wp:posOffset>
                      </wp:positionV>
                      <wp:extent cx="164465" cy="2540"/>
                      <wp:effectExtent l="0" t="0" r="0" b="0"/>
                      <wp:wrapNone/>
                      <wp:docPr id="102" name="直接连接符 102"/>
                      <wp:cNvGraphicFramePr/>
                      <a:graphic xmlns:a="http://schemas.openxmlformats.org/drawingml/2006/main">
                        <a:graphicData uri="http://schemas.microsoft.com/office/word/2010/wordprocessingShape">
                          <wps:wsp>
                            <wps:cNvCnPr/>
                            <wps:spPr>
                              <a:xfrm flipH="1">
                                <a:off x="0" y="0"/>
                                <a:ext cx="164465" cy="254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187.05pt;margin-top:21.35pt;height:0.2pt;width:12.95pt;z-index:251705344;mso-width-relative:page;mso-height-relative:page;" filled="f" stroked="t" coordsize="21600,21600" o:gfxdata="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5EKvn1gAAAAkBAAAPAAAAAAAAAAEAIAAAACIAAABkcnMvZG93bnJldi54bWxQSwECFAAUAAAA&#10;CACHTuJAKo+2EPABAADCAwAADgAAAAAAAAABACAAAAAlAQAAZHJzL2Uyb0RvYy54bWxQSwUGAAAA&#10;AAYABgBZAQAAhwUAAAAA&#10;">
                      <v:fill on="f" focussize="0,0"/>
                      <v:stroke weight="1pt" color="#000000 [3213]" miterlimit="8" joinstyle="miter"/>
                      <v:imagedata o:title=""/>
                      <o:lock v:ext="edit" aspectratio="f"/>
                    </v:lin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03296" behindDoc="0" locked="0" layoutInCell="1" allowOverlap="1">
                      <wp:simplePos x="0" y="0"/>
                      <wp:positionH relativeFrom="column">
                        <wp:posOffset>1094105</wp:posOffset>
                      </wp:positionH>
                      <wp:positionV relativeFrom="paragraph">
                        <wp:posOffset>176530</wp:posOffset>
                      </wp:positionV>
                      <wp:extent cx="1275715" cy="285750"/>
                      <wp:effectExtent l="4445" t="4445" r="15240" b="14605"/>
                      <wp:wrapNone/>
                      <wp:docPr id="109" name="文本框 109"/>
                      <wp:cNvGraphicFramePr/>
                      <a:graphic xmlns:a="http://schemas.openxmlformats.org/drawingml/2006/main">
                        <a:graphicData uri="http://schemas.microsoft.com/office/word/2010/wordprocessingShape">
                          <wps:wsp>
                            <wps:cNvSpPr txBox="1"/>
                            <wps:spPr>
                              <a:xfrm>
                                <a:off x="0" y="0"/>
                                <a:ext cx="1275715" cy="285750"/>
                              </a:xfrm>
                              <a:prstGeom prst="rect">
                                <a:avLst/>
                              </a:prstGeom>
                              <a:noFill/>
                              <a:ln w="9525" cap="flat" cmpd="sng">
                                <a:solidFill>
                                  <a:srgbClr val="000000"/>
                                </a:solidFill>
                                <a:prstDash val="solid"/>
                                <a:miter/>
                                <a:headEnd type="none" w="med" len="med"/>
                                <a:tailEnd type="none" w="med" len="med"/>
                              </a:ln>
                            </wps:spPr>
                            <wps:txbx>
                              <w:txbxContent>
                                <w:p w14:paraId="4737F119">
                                  <w:pPr>
                                    <w:jc w:val="center"/>
                                    <w:rPr>
                                      <w:rFonts w:hint="default" w:eastAsia="宋体"/>
                                      <w:lang w:val="en-US" w:eastAsia="zh-CN"/>
                                    </w:rPr>
                                  </w:pPr>
                                  <w:r>
                                    <w:rPr>
                                      <w:rFonts w:hint="eastAsia"/>
                                      <w:lang w:val="en-US" w:eastAsia="zh-CN"/>
                                    </w:rPr>
                                    <w:t>喷淋塔（-0.3）</w:t>
                                  </w:r>
                                </w:p>
                              </w:txbxContent>
                            </wps:txbx>
                            <wps:bodyPr upright="1"/>
                          </wps:wsp>
                        </a:graphicData>
                      </a:graphic>
                    </wp:anchor>
                  </w:drawing>
                </mc:Choice>
                <mc:Fallback>
                  <w:pict>
                    <v:shape id="_x0000_s1026" o:spid="_x0000_s1026" o:spt="202" type="#_x0000_t202" style="position:absolute;left:0pt;margin-left:86.15pt;margin-top:13.9pt;height:22.5pt;width:100.45pt;z-index:251703296;mso-width-relative:page;mso-height-relative:page;" filled="f" stroked="t" coordsize="21600,21600" o:gfxdata="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331B7VAAAACQEAAA8AAAAAAAAAAQAgAAAAIgAAAGRy&#10;cy9kb3ducmV2LnhtbFBLAQIUABQAAAAIAIdO4kC6c8CMCAIAABEEAAAOAAAAAAAAAAEAIAAAACQB&#10;AABkcnMvZTJvRG9jLnhtbFBLBQYAAAAABgAGAFkBAACeBQAAAAA=&#10;">
                      <v:fill on="f" focussize="0,0"/>
                      <v:stroke color="#000000" joinstyle="miter"/>
                      <v:imagedata o:title=""/>
                      <o:lock v:ext="edit" aspectratio="f"/>
                      <v:textbox>
                        <w:txbxContent>
                          <w:p w14:paraId="4737F119">
                            <w:pPr>
                              <w:jc w:val="center"/>
                              <w:rPr>
                                <w:rFonts w:hint="default" w:eastAsia="宋体"/>
                                <w:lang w:val="en-US" w:eastAsia="zh-CN"/>
                              </w:rPr>
                            </w:pPr>
                            <w:r>
                              <w:rPr>
                                <w:rFonts w:hint="eastAsia"/>
                                <w:lang w:val="en-US" w:eastAsia="zh-CN"/>
                              </w:rPr>
                              <w:t>喷淋塔（-0.3）</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04320" behindDoc="0" locked="0" layoutInCell="1" allowOverlap="1">
                      <wp:simplePos x="0" y="0"/>
                      <wp:positionH relativeFrom="column">
                        <wp:posOffset>737870</wp:posOffset>
                      </wp:positionH>
                      <wp:positionV relativeFrom="paragraph">
                        <wp:posOffset>313690</wp:posOffset>
                      </wp:positionV>
                      <wp:extent cx="342265" cy="7620"/>
                      <wp:effectExtent l="0" t="36195" r="635" b="32385"/>
                      <wp:wrapNone/>
                      <wp:docPr id="117" name="直接连接符 117"/>
                      <wp:cNvGraphicFramePr/>
                      <a:graphic xmlns:a="http://schemas.openxmlformats.org/drawingml/2006/main">
                        <a:graphicData uri="http://schemas.microsoft.com/office/word/2010/wordprocessingShape">
                          <wps:wsp>
                            <wps:cNvCnPr/>
                            <wps:spPr>
                              <a:xfrm flipV="1">
                                <a:off x="0" y="0"/>
                                <a:ext cx="342265" cy="76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58.1pt;margin-top:24.7pt;height:0.6pt;width:26.95pt;z-index:251704320;mso-width-relative:page;mso-height-relative:page;" filled="f" stroked="t" coordsize="21600,21600" o:gfxdata="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dINitkAAAAJAQAADwAAAAAAAAABACAAAAAi&#10;AAAAZHJzL2Rvd25yZXYueG1sUEsBAhQAFAAAAAgAh07iQFAH2osJAgAA+AMAAA4AAAAAAAAAAQAg&#10;AAAAKAEAAGRycy9lMm9Eb2MueG1sUEsFBgAAAAAGAAYAWQEAAKMFAAAAAA==&#10;">
                      <v:fill on="f" focussize="0,0"/>
                      <v:stroke color="#000000" joinstyle="round" endarrow="block"/>
                      <v:imagedata o:title=""/>
                      <o:lock v:ext="edit" aspectratio="f"/>
                    </v:line>
                  </w:pict>
                </mc:Fallback>
              </mc:AlternateContent>
            </w:r>
          </w:p>
          <w:p w14:paraId="4555F61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p>
          <w:p w14:paraId="21E05CB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p>
          <w:p w14:paraId="2B75C28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99200" behindDoc="0" locked="0" layoutInCell="1" allowOverlap="1">
                      <wp:simplePos x="0" y="0"/>
                      <wp:positionH relativeFrom="column">
                        <wp:posOffset>2302510</wp:posOffset>
                      </wp:positionH>
                      <wp:positionV relativeFrom="paragraph">
                        <wp:posOffset>158115</wp:posOffset>
                      </wp:positionV>
                      <wp:extent cx="539115" cy="2794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539115" cy="279400"/>
                              </a:xfrm>
                              <a:prstGeom prst="rect">
                                <a:avLst/>
                              </a:prstGeom>
                              <a:noFill/>
                              <a:ln>
                                <a:noFill/>
                              </a:ln>
                            </wps:spPr>
                            <wps:txbx>
                              <w:txbxContent>
                                <w:p w14:paraId="262778A8">
                                  <w:pPr>
                                    <w:rPr>
                                      <w:rFonts w:hint="default" w:eastAsia="宋体"/>
                                      <w:lang w:val="en-US" w:eastAsia="zh-CN"/>
                                    </w:rPr>
                                  </w:pPr>
                                  <w:r>
                                    <w:rPr>
                                      <w:rFonts w:hint="eastAsia"/>
                                      <w:lang w:val="en-US" w:eastAsia="zh-CN"/>
                                    </w:rPr>
                                    <w:t>0.32</w:t>
                                  </w:r>
                                </w:p>
                              </w:txbxContent>
                            </wps:txbx>
                            <wps:bodyPr upright="1"/>
                          </wps:wsp>
                        </a:graphicData>
                      </a:graphic>
                    </wp:anchor>
                  </w:drawing>
                </mc:Choice>
                <mc:Fallback>
                  <w:pict>
                    <v:shape id="_x0000_s1026" o:spid="_x0000_s1026" o:spt="202" type="#_x0000_t202" style="position:absolute;left:0pt;margin-left:181.3pt;margin-top:12.45pt;height:22pt;width:42.45pt;z-index:251699200;mso-width-relative:page;mso-height-relative:page;" filled="f" stroked="f" coordsize="21600,21600" o:gfxdata="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f1kvPX&#10;AAAACQEAAA8AAAAAAAAAAQAgAAAAIgAAAGRycy9kb3ducmV2LnhtbFBLAQIUABQAAAAIAIdO4kCB&#10;ryIbrwEAAE8DAAAOAAAAAAAAAAEAIAAAACYBAABkcnMvZTJvRG9jLnhtbFBLBQYAAAAABgAGAFkB&#10;AABHBQAAAAA=&#10;">
                      <v:fill on="f" focussize="0,0"/>
                      <v:stroke on="f"/>
                      <v:imagedata o:title=""/>
                      <o:lock v:ext="edit" aspectratio="f"/>
                      <v:textbox>
                        <w:txbxContent>
                          <w:p w14:paraId="262778A8">
                            <w:pPr>
                              <w:rPr>
                                <w:rFonts w:hint="default" w:eastAsia="宋体"/>
                                <w:lang w:val="en-US" w:eastAsia="zh-CN"/>
                              </w:rPr>
                            </w:pPr>
                            <w:r>
                              <w:rPr>
                                <w:rFonts w:hint="eastAsia"/>
                                <w:lang w:val="en-US" w:eastAsia="zh-CN"/>
                              </w:rPr>
                              <w:t>0.32</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14560" behindDoc="0" locked="0" layoutInCell="1" allowOverlap="1">
                      <wp:simplePos x="0" y="0"/>
                      <wp:positionH relativeFrom="column">
                        <wp:posOffset>2654935</wp:posOffset>
                      </wp:positionH>
                      <wp:positionV relativeFrom="paragraph">
                        <wp:posOffset>241935</wp:posOffset>
                      </wp:positionV>
                      <wp:extent cx="833755" cy="2794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833755" cy="279400"/>
                              </a:xfrm>
                              <a:prstGeom prst="rect">
                                <a:avLst/>
                              </a:prstGeom>
                              <a:noFill/>
                              <a:ln>
                                <a:noFill/>
                              </a:ln>
                            </wps:spPr>
                            <wps:txbx>
                              <w:txbxContent>
                                <w:p w14:paraId="7730F10E">
                                  <w:pPr>
                                    <w:rPr>
                                      <w:rFonts w:hint="default" w:eastAsia="宋体"/>
                                      <w:lang w:val="en-US" w:eastAsia="zh-CN"/>
                                    </w:rPr>
                                  </w:pPr>
                                  <w:r>
                                    <w:rPr>
                                      <w:rFonts w:hint="eastAsia"/>
                                      <w:lang w:val="en-US" w:eastAsia="zh-CN"/>
                                    </w:rPr>
                                    <w:t>泼洒抑尘</w:t>
                                  </w:r>
                                </w:p>
                              </w:txbxContent>
                            </wps:txbx>
                            <wps:bodyPr upright="1"/>
                          </wps:wsp>
                        </a:graphicData>
                      </a:graphic>
                    </wp:anchor>
                  </w:drawing>
                </mc:Choice>
                <mc:Fallback>
                  <w:pict>
                    <v:shape id="_x0000_s1026" o:spid="_x0000_s1026" o:spt="202" type="#_x0000_t202" style="position:absolute;left:0pt;margin-left:209.05pt;margin-top:19.05pt;height:22pt;width:65.65pt;z-index:251714560;mso-width-relative:page;mso-height-relative:page;" filled="f" stroked="f" coordsize="21600,21600" o:gfxdata="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csbtc&#10;1wAAAAkBAAAPAAAAAAAAAAEAIAAAACIAAABkcnMvZG93bnJldi54bWxQSwECFAAUAAAACACHTuJA&#10;ybKDM7ABAABRAwAADgAAAAAAAAABACAAAAAmAQAAZHJzL2Uyb0RvYy54bWxQSwUGAAAAAAYABgBZ&#10;AQAASAUAAAAA&#10;">
                      <v:fill on="f" focussize="0,0"/>
                      <v:stroke on="f"/>
                      <v:imagedata o:title=""/>
                      <o:lock v:ext="edit" aspectratio="f"/>
                      <v:textbox>
                        <w:txbxContent>
                          <w:p w14:paraId="7730F10E">
                            <w:pPr>
                              <w:rPr>
                                <w:rFonts w:hint="default" w:eastAsia="宋体"/>
                                <w:lang w:val="en-US" w:eastAsia="zh-CN"/>
                              </w:rPr>
                            </w:pPr>
                            <w:r>
                              <w:rPr>
                                <w:rFonts w:hint="eastAsia"/>
                                <w:lang w:val="en-US" w:eastAsia="zh-CN"/>
                              </w:rPr>
                              <w:t>泼洒抑尘</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94080" behindDoc="0" locked="0" layoutInCell="1" allowOverlap="1">
                      <wp:simplePos x="0" y="0"/>
                      <wp:positionH relativeFrom="column">
                        <wp:posOffset>734060</wp:posOffset>
                      </wp:positionH>
                      <wp:positionV relativeFrom="paragraph">
                        <wp:posOffset>158750</wp:posOffset>
                      </wp:positionV>
                      <wp:extent cx="450850" cy="279400"/>
                      <wp:effectExtent l="0" t="0" r="0" b="0"/>
                      <wp:wrapNone/>
                      <wp:docPr id="171" name="文本框 171"/>
                      <wp:cNvGraphicFramePr/>
                      <a:graphic xmlns:a="http://schemas.openxmlformats.org/drawingml/2006/main">
                        <a:graphicData uri="http://schemas.microsoft.com/office/word/2010/wordprocessingShape">
                          <wps:wsp>
                            <wps:cNvSpPr txBox="1"/>
                            <wps:spPr>
                              <a:xfrm>
                                <a:off x="0" y="0"/>
                                <a:ext cx="450850" cy="279400"/>
                              </a:xfrm>
                              <a:prstGeom prst="rect">
                                <a:avLst/>
                              </a:prstGeom>
                              <a:noFill/>
                              <a:ln>
                                <a:noFill/>
                              </a:ln>
                            </wps:spPr>
                            <wps:txbx>
                              <w:txbxContent>
                                <w:p w14:paraId="5052E3A5">
                                  <w:pPr>
                                    <w:rPr>
                                      <w:rFonts w:hint="default" w:eastAsia="宋体"/>
                                      <w:lang w:val="en-US" w:eastAsia="zh-CN"/>
                                    </w:rPr>
                                  </w:pPr>
                                  <w:r>
                                    <w:rPr>
                                      <w:rFonts w:hint="eastAsia"/>
                                      <w:lang w:val="en-US" w:eastAsia="zh-CN"/>
                                    </w:rPr>
                                    <w:t>0.4</w:t>
                                  </w:r>
                                </w:p>
                              </w:txbxContent>
                            </wps:txbx>
                            <wps:bodyPr upright="1"/>
                          </wps:wsp>
                        </a:graphicData>
                      </a:graphic>
                    </wp:anchor>
                  </w:drawing>
                </mc:Choice>
                <mc:Fallback>
                  <w:pict>
                    <v:shape id="_x0000_s1026" o:spid="_x0000_s1026" o:spt="202" type="#_x0000_t202" style="position:absolute;left:0pt;margin-left:57.8pt;margin-top:12.5pt;height:22pt;width:35.5pt;z-index:251694080;mso-width-relative:page;mso-height-relative:page;" filled="f" stroked="f" coordsize="21600,21600" o:gfxdata="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k+GQHVAAAA&#10;CQEAAA8AAAAAAAAAAQAgAAAAIgAAAGRycy9kb3ducmV2LnhtbFBLAQIUABQAAAAIAIdO4kAduYUZ&#10;rgEAAFEDAAAOAAAAAAAAAAEAIAAAACQBAABkcnMvZTJvRG9jLnhtbFBLBQYAAAAABgAGAFkBAABE&#10;BQAAAAA=&#10;">
                      <v:fill on="f" focussize="0,0"/>
                      <v:stroke on="f"/>
                      <v:imagedata o:title=""/>
                      <o:lock v:ext="edit" aspectratio="f"/>
                      <v:textbox>
                        <w:txbxContent>
                          <w:p w14:paraId="5052E3A5">
                            <w:pPr>
                              <w:rPr>
                                <w:rFonts w:hint="default" w:eastAsia="宋体"/>
                                <w:lang w:val="en-US" w:eastAsia="zh-CN"/>
                              </w:rPr>
                            </w:pPr>
                            <w:r>
                              <w:rPr>
                                <w:rFonts w:hint="eastAsia"/>
                                <w:lang w:val="en-US" w:eastAsia="zh-CN"/>
                              </w:rPr>
                              <w:t>0.4</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96128" behindDoc="0" locked="0" layoutInCell="1" allowOverlap="1">
                      <wp:simplePos x="0" y="0"/>
                      <wp:positionH relativeFrom="column">
                        <wp:posOffset>1099185</wp:posOffset>
                      </wp:positionH>
                      <wp:positionV relativeFrom="paragraph">
                        <wp:posOffset>237490</wp:posOffset>
                      </wp:positionV>
                      <wp:extent cx="1257935" cy="285750"/>
                      <wp:effectExtent l="4445" t="4445" r="13970" b="14605"/>
                      <wp:wrapNone/>
                      <wp:docPr id="88" name="文本框 88"/>
                      <wp:cNvGraphicFramePr/>
                      <a:graphic xmlns:a="http://schemas.openxmlformats.org/drawingml/2006/main">
                        <a:graphicData uri="http://schemas.microsoft.com/office/word/2010/wordprocessingShape">
                          <wps:wsp>
                            <wps:cNvSpPr txBox="1"/>
                            <wps:spPr>
                              <a:xfrm>
                                <a:off x="0" y="0"/>
                                <a:ext cx="1257935" cy="285750"/>
                              </a:xfrm>
                              <a:prstGeom prst="rect">
                                <a:avLst/>
                              </a:prstGeom>
                              <a:noFill/>
                              <a:ln w="9525" cap="flat" cmpd="sng">
                                <a:solidFill>
                                  <a:srgbClr val="000000"/>
                                </a:solidFill>
                                <a:prstDash val="solid"/>
                                <a:miter/>
                                <a:headEnd type="none" w="med" len="med"/>
                                <a:tailEnd type="none" w="med" len="med"/>
                              </a:ln>
                            </wps:spPr>
                            <wps:txbx>
                              <w:txbxContent>
                                <w:p w14:paraId="2EB6AA40">
                                  <w:pPr>
                                    <w:jc w:val="center"/>
                                    <w:rPr>
                                      <w:rFonts w:hint="default" w:eastAsia="宋体"/>
                                      <w:lang w:val="en-US" w:eastAsia="zh-CN"/>
                                    </w:rPr>
                                  </w:pPr>
                                  <w:r>
                                    <w:rPr>
                                      <w:rFonts w:hint="eastAsia"/>
                                      <w:lang w:val="en-US" w:eastAsia="zh-CN"/>
                                    </w:rPr>
                                    <w:t>生活用水（-0.08）</w:t>
                                  </w:r>
                                </w:p>
                              </w:txbxContent>
                            </wps:txbx>
                            <wps:bodyPr upright="1"/>
                          </wps:wsp>
                        </a:graphicData>
                      </a:graphic>
                    </wp:anchor>
                  </w:drawing>
                </mc:Choice>
                <mc:Fallback>
                  <w:pict>
                    <v:shape id="_x0000_s1026" o:spid="_x0000_s1026" o:spt="202" type="#_x0000_t202" style="position:absolute;left:0pt;margin-left:86.55pt;margin-top:18.7pt;height:22.5pt;width:99.05pt;z-index:251696128;mso-width-relative:page;mso-height-relative:page;" filled="f" stroked="t" coordsize="21600,21600" o:gfxdata="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&#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3e3YPWAAAACQEAAA8AAAAAAAAAAQAgAAAAIgAAAGRy&#10;cy9kb3ducmV2LnhtbFBLAQIUABQAAAAIAIdO4kBhN1D3BwIAAA8EAAAOAAAAAAAAAAEAIAAAACUB&#10;AABkcnMvZTJvRG9jLnhtbFBLBQYAAAAABgAGAFkBAACeBQAAAAA=&#10;">
                      <v:fill on="f" focussize="0,0"/>
                      <v:stroke color="#000000" joinstyle="miter"/>
                      <v:imagedata o:title=""/>
                      <o:lock v:ext="edit" aspectratio="f"/>
                      <v:textbox>
                        <w:txbxContent>
                          <w:p w14:paraId="2EB6AA40">
                            <w:pPr>
                              <w:jc w:val="center"/>
                              <w:rPr>
                                <w:rFonts w:hint="default" w:eastAsia="宋体"/>
                                <w:lang w:val="en-US" w:eastAsia="zh-CN"/>
                              </w:rPr>
                            </w:pPr>
                            <w:r>
                              <w:rPr>
                                <w:rFonts w:hint="eastAsia"/>
                                <w:lang w:val="en-US" w:eastAsia="zh-CN"/>
                              </w:rPr>
                              <w:t>生活用水（-0.08）</w:t>
                            </w:r>
                          </w:p>
                        </w:txbxContent>
                      </v:textbox>
                    </v:shape>
                  </w:pict>
                </mc:Fallback>
              </mc:AlternateContent>
            </w:r>
          </w:p>
          <w:p w14:paraId="466718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13536" behindDoc="0" locked="0" layoutInCell="1" allowOverlap="1">
                      <wp:simplePos x="0" y="0"/>
                      <wp:positionH relativeFrom="column">
                        <wp:posOffset>2380615</wp:posOffset>
                      </wp:positionH>
                      <wp:positionV relativeFrom="paragraph">
                        <wp:posOffset>31750</wp:posOffset>
                      </wp:positionV>
                      <wp:extent cx="311785" cy="2540"/>
                      <wp:effectExtent l="0" t="36195" r="12065" b="37465"/>
                      <wp:wrapNone/>
                      <wp:docPr id="124" name="直接连接符 124"/>
                      <wp:cNvGraphicFramePr/>
                      <a:graphic xmlns:a="http://schemas.openxmlformats.org/drawingml/2006/main">
                        <a:graphicData uri="http://schemas.microsoft.com/office/word/2010/wordprocessingShape">
                          <wps:wsp>
                            <wps:cNvCnPr/>
                            <wps:spPr>
                              <a:xfrm>
                                <a:off x="0" y="0"/>
                                <a:ext cx="311785" cy="2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7.45pt;margin-top:2.5pt;height:0.2pt;width:24.55pt;z-index:251713536;mso-width-relative:page;mso-height-relative:page;" filled="f" stroked="t" coordsize="21600,21600" o:gfxdata="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r2ycdgAAAAHAQAADwAAAAAAAAABACAAAAAiAAAAZHJzL2Rv&#10;d25yZXYueG1sUEsBAhQAFAAAAAgAh07iQCK+T+sBAgAA7gMAAA4AAAAAAAAAAQAgAAAAJwEAAGRy&#10;cy9lMm9Eb2MueG1sUEsFBgAAAAAGAAYAWQEAAJoFAAAAAA==&#10;">
                      <v:fill on="f" focussize="0,0"/>
                      <v:stroke color="#000000" joinstyle="round" endarrow="block"/>
                      <v:imagedata o:title=""/>
                      <o:lock v:ext="edit" aspectratio="f"/>
                    </v:lin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747395</wp:posOffset>
                      </wp:positionH>
                      <wp:positionV relativeFrom="paragraph">
                        <wp:posOffset>52070</wp:posOffset>
                      </wp:positionV>
                      <wp:extent cx="342265" cy="7620"/>
                      <wp:effectExtent l="0" t="36195" r="635" b="32385"/>
                      <wp:wrapNone/>
                      <wp:docPr id="90" name="直接连接符 90"/>
                      <wp:cNvGraphicFramePr/>
                      <a:graphic xmlns:a="http://schemas.openxmlformats.org/drawingml/2006/main">
                        <a:graphicData uri="http://schemas.microsoft.com/office/word/2010/wordprocessingShape">
                          <wps:wsp>
                            <wps:cNvCnPr/>
                            <wps:spPr>
                              <a:xfrm flipV="1">
                                <a:off x="0" y="0"/>
                                <a:ext cx="342265" cy="76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58.85pt;margin-top:4.1pt;height:0.6pt;width:26.95pt;z-index:251681792;mso-width-relative:page;mso-height-relative:page;" filled="f" stroked="t" coordsize="21600,21600" o:gfxdata="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WSbqjWAAAABwEAAA8AAAAAAAAAAQAgAAAAIgAAAGRy&#10;cy9kb3ducmV2LnhtbFBLAQIUABQAAAAIAIdO4kDMMBUGBwIAAPYDAAAOAAAAAAAAAAEAIAAAACUB&#10;AABkcnMvZTJvRG9jLnhtbFBLBQYAAAAABgAGAFkBAACeBQAAAAA=&#10;">
                      <v:fill on="f" focussize="0,0"/>
                      <v:stroke color="#000000" joinstyle="round" endarrow="block"/>
                      <v:imagedata o:title=""/>
                      <o:lock v:ext="edit" aspectratio="f"/>
                    </v:line>
                  </w:pict>
                </mc:Fallback>
              </mc:AlternateContent>
            </w:r>
          </w:p>
          <w:p w14:paraId="45431620">
            <w:pPr>
              <w:jc w:val="center"/>
              <w:rPr>
                <w:rFonts w:hint="default" w:ascii="Times New Roman" w:hAnsi="Times New Roman" w:cs="Times New Roman" w:eastAsiaTheme="minorEastAsia"/>
                <w:b/>
                <w:bCs/>
                <w:color w:val="000000" w:themeColor="text1"/>
                <w:sz w:val="24"/>
                <w14:textFill>
                  <w14:solidFill>
                    <w14:schemeClr w14:val="tx1"/>
                  </w14:solidFill>
                </w14:textFill>
              </w:rPr>
            </w:pPr>
          </w:p>
          <w:p w14:paraId="214EBFA4">
            <w:pPr>
              <w:jc w:val="center"/>
              <w:rPr>
                <w:rFonts w:hint="default" w:ascii="Times New Roman" w:hAnsi="Times New Roman" w:cs="Times New Roman" w:eastAsiaTheme="minorEastAsia"/>
                <w:b/>
                <w:color w:val="000000" w:themeColor="text1"/>
                <w:sz w:val="24"/>
                <w14:textFill>
                  <w14:solidFill>
                    <w14:schemeClr w14:val="tx1"/>
                  </w14:solidFill>
                </w14:textFill>
              </w:rPr>
            </w:pPr>
            <w:r>
              <w:rPr>
                <w:rFonts w:hint="default" w:ascii="Times New Roman" w:hAnsi="Times New Roman" w:cs="Times New Roman" w:eastAsiaTheme="minorEastAsia"/>
                <w:b/>
                <w:bCs/>
                <w:color w:val="000000" w:themeColor="text1"/>
                <w:sz w:val="24"/>
                <w14:textFill>
                  <w14:solidFill>
                    <w14:schemeClr w14:val="tx1"/>
                  </w14:solidFill>
                </w14:textFill>
              </w:rPr>
              <w:t>图</w:t>
            </w:r>
            <w:r>
              <w:rPr>
                <w:rFonts w:hint="eastAsia" w:cs="Times New Roman" w:eastAsiaTheme="minorEastAsia"/>
                <w:b/>
                <w:bCs/>
                <w:color w:val="000000" w:themeColor="text1"/>
                <w:sz w:val="24"/>
                <w:lang w:val="en-US" w:eastAsia="zh-CN"/>
                <w14:textFill>
                  <w14:solidFill>
                    <w14:schemeClr w14:val="tx1"/>
                  </w14:solidFill>
                </w14:textFill>
              </w:rPr>
              <w:t>1</w:t>
            </w:r>
            <w:r>
              <w:rPr>
                <w:rFonts w:hint="default" w:ascii="Times New Roman" w:hAnsi="Times New Roman" w:cs="Times New Roman" w:eastAsiaTheme="minorEastAsia"/>
                <w:b/>
                <w:bCs/>
                <w:color w:val="000000" w:themeColor="text1"/>
                <w:sz w:val="24"/>
                <w:lang w:val="en-US" w:eastAsia="zh-CN"/>
                <w14:textFill>
                  <w14:solidFill>
                    <w14:schemeClr w14:val="tx1"/>
                  </w14:solidFill>
                </w14:textFill>
              </w:rPr>
              <w:t xml:space="preserve">   </w:t>
            </w:r>
            <w:r>
              <w:rPr>
                <w:rFonts w:hint="eastAsia" w:cs="Times New Roman" w:eastAsiaTheme="minorEastAsia"/>
                <w:b/>
                <w:bCs/>
                <w:color w:val="000000" w:themeColor="text1"/>
                <w:sz w:val="24"/>
                <w:lang w:val="en-US" w:eastAsia="zh-CN"/>
                <w14:textFill>
                  <w14:solidFill>
                    <w14:schemeClr w14:val="tx1"/>
                  </w14:solidFill>
                </w14:textFill>
              </w:rPr>
              <w:t>项目</w:t>
            </w:r>
            <w:r>
              <w:rPr>
                <w:rFonts w:hint="default" w:ascii="Times New Roman" w:hAnsi="Times New Roman" w:cs="Times New Roman" w:eastAsiaTheme="minorEastAsia"/>
                <w:b/>
                <w:bCs/>
                <w:color w:val="000000" w:themeColor="text1"/>
                <w:sz w:val="24"/>
                <w14:textFill>
                  <w14:solidFill>
                    <w14:schemeClr w14:val="tx1"/>
                  </w14:solidFill>
                </w14:textFill>
              </w:rPr>
              <w:t>水量平衡图</w:t>
            </w:r>
            <w:r>
              <w:rPr>
                <w:rFonts w:hint="default" w:ascii="Times New Roman" w:hAnsi="Times New Roman" w:cs="Times New Roman" w:eastAsiaTheme="minorEastAsia"/>
                <w:b/>
                <w:color w:val="000000" w:themeColor="text1"/>
                <w:sz w:val="24"/>
                <w14:textFill>
                  <w14:solidFill>
                    <w14:schemeClr w14:val="tx1"/>
                  </w14:solidFill>
                </w14:textFill>
              </w:rPr>
              <w:t xml:space="preserve">    m</w:t>
            </w:r>
            <w:r>
              <w:rPr>
                <w:rFonts w:hint="default" w:ascii="Times New Roman" w:hAnsi="Times New Roman" w:cs="Times New Roman" w:eastAsiaTheme="minorEastAsia"/>
                <w:b/>
                <w:color w:val="000000" w:themeColor="text1"/>
                <w:sz w:val="24"/>
                <w:vertAlign w:val="superscript"/>
                <w14:textFill>
                  <w14:solidFill>
                    <w14:schemeClr w14:val="tx1"/>
                  </w14:solidFill>
                </w14:textFill>
              </w:rPr>
              <w:t>3</w:t>
            </w:r>
            <w:r>
              <w:rPr>
                <w:rFonts w:hint="default" w:ascii="Times New Roman" w:hAnsi="Times New Roman" w:cs="Times New Roman" w:eastAsiaTheme="minorEastAsia"/>
                <w:b/>
                <w:color w:val="000000" w:themeColor="text1"/>
                <w:sz w:val="24"/>
                <w14:textFill>
                  <w14:solidFill>
                    <w14:schemeClr w14:val="tx1"/>
                  </w14:solidFill>
                </w14:textFill>
              </w:rPr>
              <w:t>/d</w:t>
            </w:r>
          </w:p>
          <w:p w14:paraId="1AE8B1F2">
            <w:pPr>
              <w:pStyle w:val="22"/>
              <w:spacing w:line="480" w:lineRule="exact"/>
              <w:ind w:left="0" w:leftChars="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供电</w:t>
            </w:r>
          </w:p>
          <w:p w14:paraId="199AE52F">
            <w:pPr>
              <w:spacing w:line="48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项目用电由园区供电管网供给，年用电量约</w:t>
            </w:r>
            <w:r>
              <w:rPr>
                <w:rFonts w:hint="eastAsia" w:cs="Times New Roman"/>
                <w:color w:val="auto"/>
                <w:sz w:val="24"/>
                <w:lang w:val="en-US" w:eastAsia="zh-CN"/>
              </w:rPr>
              <w:t>12</w:t>
            </w:r>
            <w:r>
              <w:rPr>
                <w:rFonts w:hint="default" w:ascii="Times New Roman" w:hAnsi="Times New Roman" w:cs="Times New Roman"/>
                <w:color w:val="auto"/>
                <w:sz w:val="24"/>
              </w:rPr>
              <w:t>万kWh，可以满足项目用电需求。</w:t>
            </w:r>
          </w:p>
          <w:p w14:paraId="1DAC46B2">
            <w:pPr>
              <w:spacing w:line="48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供热及制冷</w:t>
            </w:r>
          </w:p>
          <w:p w14:paraId="28910ACA">
            <w:pPr>
              <w:spacing w:line="48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项目生产用热采用</w:t>
            </w:r>
            <w:r>
              <w:rPr>
                <w:rFonts w:hint="eastAsia" w:cs="Times New Roman"/>
                <w:color w:val="auto"/>
                <w:sz w:val="24"/>
                <w:lang w:val="en-US" w:eastAsia="zh-CN"/>
              </w:rPr>
              <w:t>电加热</w:t>
            </w:r>
            <w:r>
              <w:rPr>
                <w:rFonts w:hint="default" w:ascii="Times New Roman" w:hAnsi="Times New Roman" w:cs="Times New Roman"/>
                <w:color w:val="auto"/>
                <w:sz w:val="24"/>
              </w:rPr>
              <w:t>，办公采暖及制冷均采用空调。</w:t>
            </w:r>
          </w:p>
          <w:p w14:paraId="31587F47">
            <w:pPr>
              <w:numPr>
                <w:ilvl w:val="0"/>
                <w:numId w:val="0"/>
              </w:numPr>
              <w:spacing w:line="480" w:lineRule="exact"/>
              <w:ind w:firstLine="482" w:firstLineChars="200"/>
              <w:rPr>
                <w:rFonts w:hint="default" w:ascii="Times New Roman" w:hAnsi="Times New Roman" w:cs="Times New Roman" w:eastAsiaTheme="minorEastAsia"/>
                <w:b/>
                <w:bCs/>
                <w:color w:val="auto"/>
                <w:sz w:val="24"/>
              </w:rPr>
            </w:pPr>
            <w:r>
              <w:rPr>
                <w:rFonts w:hint="eastAsia"/>
                <w:b/>
                <w:bCs/>
                <w:color w:val="auto"/>
                <w:sz w:val="24"/>
                <w:highlight w:val="none"/>
                <w:lang w:val="en-US" w:eastAsia="zh-CN"/>
              </w:rPr>
              <w:t>八、</w:t>
            </w:r>
            <w:r>
              <w:rPr>
                <w:b/>
                <w:bCs/>
                <w:color w:val="auto"/>
                <w:sz w:val="24"/>
                <w:highlight w:val="none"/>
              </w:rPr>
              <w:t>劳动定员及工作制度</w:t>
            </w:r>
          </w:p>
          <w:p w14:paraId="5986F7F7">
            <w:pPr>
              <w:numPr>
                <w:ilvl w:val="0"/>
                <w:numId w:val="0"/>
              </w:numPr>
              <w:spacing w:line="480" w:lineRule="exact"/>
              <w:ind w:firstLine="480" w:firstLineChars="200"/>
              <w:rPr>
                <w:rFonts w:hint="default" w:ascii="Times New Roman" w:hAnsi="Times New Roman" w:cs="Times New Roman" w:eastAsiaTheme="minorEastAsia"/>
                <w:snapToGrid w:val="0"/>
                <w:color w:val="auto"/>
                <w:sz w:val="24"/>
              </w:rPr>
            </w:pPr>
            <w:r>
              <w:rPr>
                <w:rFonts w:hint="default" w:ascii="Times New Roman" w:hAnsi="Times New Roman" w:cs="Times New Roman" w:eastAsiaTheme="minorEastAsia"/>
                <w:snapToGrid w:val="0"/>
                <w:color w:val="auto"/>
                <w:sz w:val="24"/>
              </w:rPr>
              <w:t>项目</w:t>
            </w:r>
            <w:r>
              <w:rPr>
                <w:rFonts w:hint="default" w:ascii="Times New Roman" w:hAnsi="Times New Roman" w:cs="Times New Roman" w:eastAsiaTheme="minorEastAsia"/>
                <w:snapToGrid w:val="0"/>
                <w:color w:val="auto"/>
                <w:sz w:val="24"/>
                <w:lang w:val="en-US" w:eastAsia="zh-CN"/>
              </w:rPr>
              <w:t>劳动定员</w:t>
            </w:r>
            <w:r>
              <w:rPr>
                <w:rFonts w:hint="eastAsia" w:cs="Times New Roman" w:eastAsiaTheme="minorEastAsia"/>
                <w:snapToGrid w:val="0"/>
                <w:color w:val="auto"/>
                <w:sz w:val="24"/>
                <w:lang w:val="en-US" w:eastAsia="zh-CN"/>
              </w:rPr>
              <w:t>10</w:t>
            </w:r>
            <w:r>
              <w:rPr>
                <w:rFonts w:hint="eastAsia" w:ascii="Times New Roman" w:hAnsi="Times New Roman" w:cs="Times New Roman" w:eastAsiaTheme="minorEastAsia"/>
                <w:snapToGrid w:val="0"/>
                <w:color w:val="auto"/>
                <w:sz w:val="24"/>
                <w:lang w:val="en-US" w:eastAsia="zh-CN"/>
              </w:rPr>
              <w:t>人</w:t>
            </w:r>
            <w:r>
              <w:rPr>
                <w:rFonts w:hint="default" w:ascii="Times New Roman" w:hAnsi="Times New Roman" w:cs="Times New Roman" w:eastAsiaTheme="minorEastAsia"/>
                <w:snapToGrid w:val="0"/>
                <w:color w:val="auto"/>
                <w:sz w:val="24"/>
                <w:lang w:val="en-US" w:eastAsia="zh-CN"/>
              </w:rPr>
              <w:t>，年工作天数300天</w:t>
            </w:r>
            <w:r>
              <w:rPr>
                <w:rFonts w:hint="eastAsia" w:ascii="Times New Roman" w:hAnsi="Times New Roman" w:cs="Times New Roman" w:eastAsiaTheme="minorEastAsia"/>
                <w:snapToGrid w:val="0"/>
                <w:color w:val="auto"/>
                <w:sz w:val="24"/>
                <w:lang w:val="en-US" w:eastAsia="zh-CN"/>
              </w:rPr>
              <w:t>，</w:t>
            </w:r>
            <w:r>
              <w:rPr>
                <w:rFonts w:hint="default" w:ascii="Times New Roman" w:hAnsi="Times New Roman" w:cs="Times New Roman" w:eastAsiaTheme="minorEastAsia"/>
                <w:snapToGrid w:val="0"/>
                <w:color w:val="auto"/>
                <w:sz w:val="24"/>
                <w:lang w:val="en-US" w:eastAsia="zh-CN"/>
              </w:rPr>
              <w:t>年生产时间</w:t>
            </w:r>
            <w:r>
              <w:rPr>
                <w:rFonts w:hint="eastAsia" w:cs="Times New Roman" w:eastAsiaTheme="minorEastAsia"/>
                <w:snapToGrid w:val="0"/>
                <w:color w:val="auto"/>
                <w:sz w:val="24"/>
                <w:lang w:val="en-US" w:eastAsia="zh-CN"/>
              </w:rPr>
              <w:t>4800</w:t>
            </w:r>
            <w:r>
              <w:rPr>
                <w:rFonts w:hint="default" w:ascii="Times New Roman" w:hAnsi="Times New Roman" w:cs="Times New Roman" w:eastAsiaTheme="minorEastAsia"/>
                <w:snapToGrid w:val="0"/>
                <w:color w:val="auto"/>
                <w:sz w:val="24"/>
                <w:lang w:val="en-US" w:eastAsia="zh-CN"/>
              </w:rPr>
              <w:t>小时</w:t>
            </w:r>
            <w:r>
              <w:rPr>
                <w:rFonts w:hint="eastAsia" w:cs="Times New Roman" w:eastAsiaTheme="minorEastAsia"/>
                <w:snapToGrid w:val="0"/>
                <w:color w:val="auto"/>
                <w:sz w:val="24"/>
                <w:lang w:val="en-US" w:eastAsia="zh-CN"/>
              </w:rPr>
              <w:t>（两班制，每班8小时）</w:t>
            </w:r>
            <w:r>
              <w:rPr>
                <w:rFonts w:hint="default" w:ascii="Times New Roman" w:hAnsi="Times New Roman" w:cs="Times New Roman" w:eastAsiaTheme="minorEastAsia"/>
                <w:snapToGrid w:val="0"/>
                <w:color w:val="auto"/>
                <w:sz w:val="24"/>
                <w:lang w:val="en-US" w:eastAsia="zh-CN"/>
              </w:rPr>
              <w:t>。</w:t>
            </w:r>
          </w:p>
          <w:p w14:paraId="6013BDCA">
            <w:pPr>
              <w:spacing w:line="480" w:lineRule="exact"/>
              <w:ind w:firstLine="482" w:firstLineChars="200"/>
              <w:rPr>
                <w:rFonts w:hint="default" w:ascii="Times New Roman" w:hAnsi="Times New Roman" w:cs="Times New Roman" w:eastAsiaTheme="minorEastAsia"/>
                <w:bCs/>
                <w:color w:val="auto"/>
                <w:sz w:val="24"/>
              </w:rPr>
            </w:pPr>
            <w:r>
              <w:rPr>
                <w:rFonts w:hint="eastAsia"/>
                <w:b/>
                <w:bCs/>
                <w:color w:val="auto"/>
                <w:sz w:val="24"/>
                <w:highlight w:val="none"/>
                <w:lang w:val="en-US" w:eastAsia="zh-CN"/>
              </w:rPr>
              <w:t>九、厂区平面布置</w:t>
            </w:r>
          </w:p>
          <w:p w14:paraId="65FCE8E4">
            <w:pPr>
              <w:spacing w:line="480" w:lineRule="exact"/>
              <w:ind w:firstLine="480" w:firstLineChars="200"/>
              <w:outlineLvl w:val="1"/>
              <w:rPr>
                <w:rFonts w:hint="default" w:ascii="Times New Roman" w:hAnsi="Times New Roman" w:cs="Times New Roman" w:eastAsiaTheme="minorEastAsia"/>
                <w:snapToGrid w:val="0"/>
                <w:color w:val="auto"/>
                <w:sz w:val="24"/>
              </w:rPr>
            </w:pPr>
            <w:r>
              <w:rPr>
                <w:rFonts w:hint="default" w:ascii="Times New Roman" w:hAnsi="Times New Roman" w:cs="Times New Roman" w:eastAsiaTheme="minorEastAsia"/>
                <w:snapToGrid w:val="0"/>
                <w:color w:val="auto"/>
                <w:sz w:val="24"/>
                <w:lang w:val="en-US" w:eastAsia="zh-CN"/>
              </w:rPr>
              <w:t>项目</w:t>
            </w:r>
            <w:r>
              <w:rPr>
                <w:rFonts w:hint="eastAsia" w:cs="Times New Roman" w:eastAsiaTheme="minorEastAsia"/>
                <w:snapToGrid w:val="0"/>
                <w:color w:val="auto"/>
                <w:sz w:val="24"/>
                <w:lang w:val="en-US" w:eastAsia="zh-CN"/>
              </w:rPr>
              <w:t>办公区位于厂区西北侧，生产车间</w:t>
            </w:r>
            <w:r>
              <w:rPr>
                <w:rFonts w:hint="default" w:ascii="Times New Roman" w:hAnsi="Times New Roman" w:cs="Times New Roman" w:eastAsiaTheme="minorEastAsia"/>
                <w:snapToGrid w:val="0"/>
                <w:color w:val="auto"/>
                <w:sz w:val="24"/>
                <w:lang w:val="en-US" w:eastAsia="zh-CN"/>
              </w:rPr>
              <w:t>位于厂区</w:t>
            </w:r>
            <w:r>
              <w:rPr>
                <w:rFonts w:hint="eastAsia" w:cs="Times New Roman" w:eastAsiaTheme="minorEastAsia"/>
                <w:snapToGrid w:val="0"/>
                <w:color w:val="auto"/>
                <w:sz w:val="24"/>
                <w:lang w:val="en-US" w:eastAsia="zh-CN"/>
              </w:rPr>
              <w:t>南侧和东侧</w:t>
            </w:r>
            <w:r>
              <w:rPr>
                <w:rFonts w:hint="default" w:ascii="Times New Roman" w:hAnsi="Times New Roman" w:cs="Times New Roman" w:eastAsiaTheme="minorEastAsia"/>
                <w:snapToGrid w:val="0"/>
                <w:color w:val="auto"/>
                <w:sz w:val="24"/>
                <w:lang w:val="en-US" w:eastAsia="zh-CN"/>
              </w:rPr>
              <w:t>，</w:t>
            </w:r>
            <w:r>
              <w:rPr>
                <w:rFonts w:hint="eastAsia" w:cs="Times New Roman" w:eastAsiaTheme="minorEastAsia"/>
                <w:snapToGrid w:val="0"/>
                <w:color w:val="auto"/>
                <w:sz w:val="24"/>
                <w:lang w:val="en-US" w:eastAsia="zh-CN"/>
              </w:rPr>
              <w:t>其中危废间位于生产车间西北角，一般固废间位于危废间南侧，原料区位于生产车间西侧、北侧，成品区位于生产车间西南角。车间</w:t>
            </w:r>
            <w:r>
              <w:rPr>
                <w:rFonts w:hint="default" w:ascii="Times New Roman" w:hAnsi="Times New Roman" w:cs="Times New Roman" w:eastAsiaTheme="minorEastAsia"/>
                <w:snapToGrid w:val="0"/>
                <w:color w:val="auto"/>
                <w:sz w:val="24"/>
              </w:rPr>
              <w:t>出入口位于</w:t>
            </w:r>
            <w:r>
              <w:rPr>
                <w:rFonts w:hint="eastAsia" w:cs="Times New Roman" w:eastAsiaTheme="minorEastAsia"/>
                <w:snapToGrid w:val="0"/>
                <w:color w:val="auto"/>
                <w:sz w:val="24"/>
                <w:lang w:val="en-US" w:eastAsia="zh-CN"/>
              </w:rPr>
              <w:t>厂区北侧</w:t>
            </w:r>
            <w:r>
              <w:rPr>
                <w:rFonts w:hint="default" w:ascii="Times New Roman" w:hAnsi="Times New Roman" w:cs="Times New Roman" w:eastAsiaTheme="minorEastAsia"/>
                <w:snapToGrid w:val="0"/>
                <w:color w:val="auto"/>
                <w:sz w:val="24"/>
              </w:rPr>
              <w:t>，紧邻道路，方便原料、成品运输及员工出入。厂区地面除绿化外全部硬化处理，运输顺畅、出入方便。项目平面布置图见附图</w:t>
            </w:r>
            <w:r>
              <w:rPr>
                <w:rFonts w:hint="default" w:ascii="Times New Roman" w:hAnsi="Times New Roman" w:cs="Times New Roman" w:eastAsiaTheme="minorEastAsia"/>
                <w:snapToGrid w:val="0"/>
                <w:color w:val="auto"/>
                <w:sz w:val="24"/>
                <w:lang w:val="en-US" w:eastAsia="zh-CN"/>
              </w:rPr>
              <w:t>3</w:t>
            </w:r>
            <w:r>
              <w:rPr>
                <w:rFonts w:hint="default" w:ascii="Times New Roman" w:hAnsi="Times New Roman" w:cs="Times New Roman" w:eastAsiaTheme="minorEastAsia"/>
                <w:snapToGrid w:val="0"/>
                <w:color w:val="auto"/>
                <w:sz w:val="24"/>
              </w:rPr>
              <w:t>。</w:t>
            </w:r>
          </w:p>
          <w:p w14:paraId="5212571F">
            <w:pPr>
              <w:pStyle w:val="2"/>
              <w:rPr>
                <w:rFonts w:hint="default" w:ascii="Times New Roman" w:hAnsi="Times New Roman" w:cs="Times New Roman" w:eastAsiaTheme="minorEastAsia"/>
                <w:snapToGrid w:val="0"/>
                <w:color w:val="auto"/>
                <w:sz w:val="24"/>
              </w:rPr>
            </w:pPr>
          </w:p>
          <w:p w14:paraId="6595A34D">
            <w:pPr>
              <w:rPr>
                <w:rFonts w:hint="default" w:ascii="Times New Roman" w:hAnsi="Times New Roman" w:cs="Times New Roman" w:eastAsiaTheme="minorEastAsia"/>
                <w:snapToGrid w:val="0"/>
                <w:color w:val="auto"/>
                <w:sz w:val="24"/>
              </w:rPr>
            </w:pPr>
          </w:p>
          <w:p w14:paraId="55BE8AE3">
            <w:pPr>
              <w:pStyle w:val="2"/>
              <w:rPr>
                <w:rFonts w:hint="default" w:ascii="Times New Roman" w:hAnsi="Times New Roman" w:cs="Times New Roman" w:eastAsiaTheme="minorEastAsia"/>
                <w:snapToGrid w:val="0"/>
                <w:color w:val="auto"/>
                <w:sz w:val="24"/>
              </w:rPr>
            </w:pPr>
          </w:p>
          <w:p w14:paraId="7FD0CC3C">
            <w:pPr>
              <w:rPr>
                <w:rFonts w:hint="default" w:ascii="Times New Roman" w:hAnsi="Times New Roman" w:cs="Times New Roman" w:eastAsiaTheme="minorEastAsia"/>
                <w:snapToGrid w:val="0"/>
                <w:color w:val="auto"/>
                <w:sz w:val="24"/>
              </w:rPr>
            </w:pPr>
          </w:p>
          <w:p w14:paraId="1CDBB068">
            <w:pPr>
              <w:pStyle w:val="2"/>
              <w:rPr>
                <w:rFonts w:hint="default" w:ascii="Times New Roman" w:hAnsi="Times New Roman" w:cs="Times New Roman" w:eastAsiaTheme="minorEastAsia"/>
                <w:snapToGrid w:val="0"/>
                <w:color w:val="auto"/>
                <w:sz w:val="24"/>
              </w:rPr>
            </w:pPr>
          </w:p>
          <w:p w14:paraId="50D0FD31">
            <w:pPr>
              <w:rPr>
                <w:rFonts w:hint="default" w:ascii="Times New Roman" w:hAnsi="Times New Roman" w:cs="Times New Roman" w:eastAsiaTheme="minorEastAsia"/>
                <w:snapToGrid w:val="0"/>
                <w:color w:val="auto"/>
                <w:sz w:val="24"/>
              </w:rPr>
            </w:pPr>
          </w:p>
          <w:p w14:paraId="06E671A7">
            <w:pPr>
              <w:pStyle w:val="2"/>
              <w:rPr>
                <w:rFonts w:hint="default" w:ascii="Times New Roman" w:hAnsi="Times New Roman" w:cs="Times New Roman" w:eastAsiaTheme="minorEastAsia"/>
                <w:snapToGrid w:val="0"/>
                <w:color w:val="auto"/>
                <w:sz w:val="24"/>
              </w:rPr>
            </w:pPr>
          </w:p>
          <w:p w14:paraId="2B1B9D21">
            <w:pPr>
              <w:rPr>
                <w:rFonts w:hint="default" w:ascii="Times New Roman" w:hAnsi="Times New Roman" w:cs="Times New Roman" w:eastAsiaTheme="minorEastAsia"/>
                <w:snapToGrid w:val="0"/>
                <w:color w:val="auto"/>
                <w:sz w:val="24"/>
              </w:rPr>
            </w:pPr>
          </w:p>
          <w:p w14:paraId="09590A26">
            <w:pPr>
              <w:pStyle w:val="2"/>
              <w:rPr>
                <w:rFonts w:hint="default" w:ascii="Times New Roman" w:hAnsi="Times New Roman" w:cs="Times New Roman" w:eastAsiaTheme="minorEastAsia"/>
                <w:snapToGrid w:val="0"/>
                <w:color w:val="auto"/>
                <w:sz w:val="24"/>
              </w:rPr>
            </w:pPr>
          </w:p>
          <w:p w14:paraId="762F50A3">
            <w:pPr>
              <w:rPr>
                <w:rFonts w:hint="default" w:ascii="Times New Roman" w:hAnsi="Times New Roman" w:cs="Times New Roman" w:eastAsiaTheme="minorEastAsia"/>
                <w:snapToGrid w:val="0"/>
                <w:color w:val="auto"/>
                <w:sz w:val="24"/>
              </w:rPr>
            </w:pPr>
          </w:p>
          <w:p w14:paraId="71DB3775">
            <w:pPr>
              <w:pStyle w:val="2"/>
              <w:rPr>
                <w:rFonts w:hint="default" w:ascii="Times New Roman" w:hAnsi="Times New Roman" w:cs="Times New Roman" w:eastAsiaTheme="minorEastAsia"/>
                <w:snapToGrid w:val="0"/>
                <w:color w:val="auto"/>
                <w:sz w:val="24"/>
              </w:rPr>
            </w:pPr>
          </w:p>
          <w:p w14:paraId="6B776745">
            <w:pPr>
              <w:rPr>
                <w:rFonts w:hint="default" w:ascii="Times New Roman" w:hAnsi="Times New Roman" w:cs="Times New Roman" w:eastAsiaTheme="minorEastAsia"/>
                <w:snapToGrid w:val="0"/>
                <w:color w:val="auto"/>
                <w:sz w:val="24"/>
              </w:rPr>
            </w:pPr>
          </w:p>
          <w:p w14:paraId="024426D4">
            <w:pPr>
              <w:pStyle w:val="2"/>
              <w:rPr>
                <w:rFonts w:hint="default" w:ascii="Times New Roman" w:hAnsi="Times New Roman" w:cs="Times New Roman" w:eastAsiaTheme="minorEastAsia"/>
                <w:snapToGrid w:val="0"/>
                <w:color w:val="auto"/>
                <w:sz w:val="24"/>
              </w:rPr>
            </w:pPr>
          </w:p>
          <w:p w14:paraId="14E72A28">
            <w:pPr>
              <w:rPr>
                <w:rFonts w:hint="default" w:ascii="Times New Roman" w:hAnsi="Times New Roman" w:cs="Times New Roman" w:eastAsiaTheme="minorEastAsia"/>
                <w:snapToGrid w:val="0"/>
                <w:color w:val="auto"/>
                <w:sz w:val="24"/>
              </w:rPr>
            </w:pPr>
          </w:p>
          <w:p w14:paraId="24932772">
            <w:pPr>
              <w:pStyle w:val="2"/>
              <w:rPr>
                <w:rFonts w:hint="default" w:ascii="Times New Roman" w:hAnsi="Times New Roman" w:cs="Times New Roman" w:eastAsiaTheme="minorEastAsia"/>
                <w:snapToGrid w:val="0"/>
                <w:color w:val="auto"/>
                <w:sz w:val="24"/>
              </w:rPr>
            </w:pPr>
          </w:p>
          <w:p w14:paraId="3339B7AE">
            <w:pPr>
              <w:rPr>
                <w:rFonts w:hint="default" w:ascii="Times New Roman" w:hAnsi="Times New Roman" w:cs="Times New Roman" w:eastAsiaTheme="minorEastAsia"/>
                <w:snapToGrid w:val="0"/>
                <w:color w:val="auto"/>
                <w:sz w:val="24"/>
              </w:rPr>
            </w:pPr>
          </w:p>
          <w:p w14:paraId="7D81FA33">
            <w:pPr>
              <w:pStyle w:val="2"/>
              <w:rPr>
                <w:rFonts w:hint="default" w:ascii="Times New Roman" w:hAnsi="Times New Roman" w:cs="Times New Roman" w:eastAsiaTheme="minorEastAsia"/>
                <w:snapToGrid w:val="0"/>
                <w:color w:val="auto"/>
                <w:sz w:val="24"/>
              </w:rPr>
            </w:pPr>
          </w:p>
          <w:p w14:paraId="224BE356">
            <w:pPr>
              <w:rPr>
                <w:rFonts w:hint="default" w:ascii="Times New Roman" w:hAnsi="Times New Roman" w:cs="Times New Roman" w:eastAsiaTheme="minorEastAsia"/>
                <w:snapToGrid w:val="0"/>
                <w:color w:val="auto"/>
                <w:sz w:val="24"/>
              </w:rPr>
            </w:pPr>
          </w:p>
          <w:p w14:paraId="653024C7">
            <w:pPr>
              <w:pStyle w:val="2"/>
              <w:rPr>
                <w:rFonts w:hint="default" w:ascii="Times New Roman" w:hAnsi="Times New Roman" w:cs="Times New Roman" w:eastAsiaTheme="minorEastAsia"/>
                <w:snapToGrid w:val="0"/>
                <w:color w:val="auto"/>
                <w:sz w:val="24"/>
              </w:rPr>
            </w:pPr>
          </w:p>
          <w:p w14:paraId="3C2D30A2">
            <w:pPr>
              <w:rPr>
                <w:rFonts w:hint="default" w:ascii="Times New Roman" w:hAnsi="Times New Roman" w:cs="Times New Roman" w:eastAsiaTheme="minorEastAsia"/>
                <w:snapToGrid w:val="0"/>
                <w:color w:val="auto"/>
                <w:sz w:val="24"/>
              </w:rPr>
            </w:pPr>
          </w:p>
          <w:p w14:paraId="442FFD22">
            <w:pPr>
              <w:pStyle w:val="2"/>
              <w:rPr>
                <w:rFonts w:hint="default" w:ascii="Times New Roman" w:hAnsi="Times New Roman" w:cs="Times New Roman" w:eastAsiaTheme="minorEastAsia"/>
                <w:snapToGrid w:val="0"/>
                <w:color w:val="auto"/>
                <w:sz w:val="24"/>
              </w:rPr>
            </w:pPr>
          </w:p>
          <w:p w14:paraId="068227B6">
            <w:pPr>
              <w:rPr>
                <w:rFonts w:hint="default" w:ascii="Times New Roman" w:hAnsi="Times New Roman" w:cs="Times New Roman" w:eastAsiaTheme="minorEastAsia"/>
                <w:snapToGrid w:val="0"/>
                <w:color w:val="auto"/>
                <w:sz w:val="24"/>
              </w:rPr>
            </w:pPr>
          </w:p>
          <w:p w14:paraId="659F960D">
            <w:pPr>
              <w:pStyle w:val="2"/>
              <w:rPr>
                <w:rFonts w:hint="default" w:ascii="Times New Roman" w:hAnsi="Times New Roman" w:cs="Times New Roman" w:eastAsiaTheme="minorEastAsia"/>
                <w:snapToGrid w:val="0"/>
                <w:color w:val="auto"/>
                <w:sz w:val="24"/>
              </w:rPr>
            </w:pPr>
          </w:p>
          <w:p w14:paraId="751A7603">
            <w:pPr>
              <w:rPr>
                <w:rFonts w:hint="default" w:ascii="Times New Roman" w:hAnsi="Times New Roman" w:cs="Times New Roman" w:eastAsiaTheme="minorEastAsia"/>
                <w:snapToGrid w:val="0"/>
                <w:color w:val="auto"/>
                <w:sz w:val="24"/>
              </w:rPr>
            </w:pPr>
          </w:p>
          <w:p w14:paraId="65BED42B">
            <w:pPr>
              <w:pStyle w:val="2"/>
              <w:rPr>
                <w:rFonts w:hint="default" w:ascii="Times New Roman" w:hAnsi="Times New Roman" w:cs="Times New Roman" w:eastAsiaTheme="minorEastAsia"/>
                <w:snapToGrid w:val="0"/>
                <w:color w:val="auto"/>
                <w:sz w:val="24"/>
              </w:rPr>
            </w:pPr>
          </w:p>
          <w:p w14:paraId="60DB3A81">
            <w:pPr>
              <w:rPr>
                <w:rFonts w:hint="default" w:ascii="Times New Roman" w:hAnsi="Times New Roman" w:cs="Times New Roman" w:eastAsiaTheme="minorEastAsia"/>
                <w:snapToGrid w:val="0"/>
                <w:color w:val="auto"/>
                <w:sz w:val="24"/>
              </w:rPr>
            </w:pPr>
          </w:p>
          <w:p w14:paraId="42499C3C">
            <w:pPr>
              <w:pStyle w:val="2"/>
              <w:rPr>
                <w:rFonts w:hint="default" w:ascii="Times New Roman" w:hAnsi="Times New Roman" w:cs="Times New Roman" w:eastAsiaTheme="minorEastAsia"/>
                <w:snapToGrid w:val="0"/>
                <w:color w:val="auto"/>
                <w:sz w:val="24"/>
              </w:rPr>
            </w:pPr>
          </w:p>
          <w:p w14:paraId="77CA16CF">
            <w:pPr>
              <w:rPr>
                <w:rFonts w:hint="default" w:ascii="Times New Roman" w:hAnsi="Times New Roman" w:cs="Times New Roman" w:eastAsiaTheme="minorEastAsia"/>
                <w:snapToGrid w:val="0"/>
                <w:color w:val="auto"/>
                <w:sz w:val="24"/>
              </w:rPr>
            </w:pPr>
          </w:p>
          <w:p w14:paraId="6BA4ECA5">
            <w:pPr>
              <w:pStyle w:val="2"/>
              <w:rPr>
                <w:rFonts w:hint="default" w:ascii="Times New Roman" w:hAnsi="Times New Roman" w:cs="Times New Roman" w:eastAsiaTheme="minorEastAsia"/>
                <w:snapToGrid w:val="0"/>
                <w:color w:val="auto"/>
                <w:sz w:val="24"/>
              </w:rPr>
            </w:pPr>
          </w:p>
          <w:p w14:paraId="2CCC82B5">
            <w:pPr>
              <w:pStyle w:val="2"/>
              <w:ind w:left="0" w:leftChars="0" w:firstLine="0" w:firstLineChars="0"/>
              <w:rPr>
                <w:rFonts w:hint="default"/>
              </w:rPr>
            </w:pPr>
          </w:p>
        </w:tc>
      </w:tr>
      <w:tr w14:paraId="7CCE9C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75" w:hRule="atLeast"/>
          <w:jc w:val="center"/>
        </w:trPr>
        <w:tc>
          <w:tcPr>
            <w:tcW w:w="456" w:type="dxa"/>
            <w:vAlign w:val="center"/>
          </w:tcPr>
          <w:p w14:paraId="2E87534F">
            <w:pPr>
              <w:pStyle w:val="23"/>
              <w:adjustRightInd w:val="0"/>
              <w:snapToGrid w:val="0"/>
              <w:spacing w:before="0" w:beforeAutospacing="0" w:after="0" w:afterAutospacing="0"/>
              <w:jc w:val="center"/>
              <w:rPr>
                <w:rFonts w:hint="default" w:ascii="Times New Roman" w:hAnsi="Times New Roman" w:cs="Times New Roman" w:eastAsiaTheme="minorEastAsia"/>
                <w:color w:val="auto"/>
                <w:szCs w:val="24"/>
              </w:rPr>
            </w:pPr>
            <w:r>
              <w:rPr>
                <w:rFonts w:hint="default" w:ascii="Times New Roman" w:hAnsi="Times New Roman" w:cs="Times New Roman" w:eastAsiaTheme="minorEastAsia"/>
                <w:color w:val="auto"/>
                <w:szCs w:val="24"/>
              </w:rPr>
              <w:t>工艺流程和产排污环节</w:t>
            </w:r>
          </w:p>
        </w:tc>
        <w:tc>
          <w:tcPr>
            <w:tcW w:w="8604" w:type="dxa"/>
            <w:vAlign w:val="center"/>
          </w:tcPr>
          <w:p w14:paraId="4F7E4232">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default" w:ascii="Times New Roman" w:hAnsi="Times New Roman" w:cs="Times New Roman"/>
                <w:bCs/>
                <w:color w:val="auto"/>
                <w:sz w:val="24"/>
              </w:rPr>
            </w:pPr>
            <w:r>
              <w:rPr>
                <w:rFonts w:hint="default" w:ascii="Times New Roman" w:hAnsi="Times New Roman" w:cs="Times New Roman"/>
                <w:bCs/>
                <w:color w:val="auto"/>
                <w:sz w:val="24"/>
              </w:rPr>
              <w:t>工艺流程简述（图示）：</w:t>
            </w:r>
          </w:p>
          <w:p w14:paraId="069018D9">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default" w:ascii="Times New Roman" w:hAnsi="Times New Roman" w:cs="Times New Roman"/>
                <w:b/>
                <w:color w:val="auto"/>
                <w:sz w:val="22"/>
              </w:rPr>
            </w:pPr>
            <w:r>
              <w:rPr>
                <w:rFonts w:hint="default" w:ascii="Times New Roman" w:hAnsi="Times New Roman" w:cs="Times New Roman"/>
                <w:b/>
                <w:color w:val="auto"/>
                <w:sz w:val="22"/>
              </w:rPr>
              <mc:AlternateContent>
                <mc:Choice Requires="wps">
                  <w:drawing>
                    <wp:anchor distT="0" distB="0" distL="114300" distR="114300" simplePos="0" relativeHeight="251742208" behindDoc="0" locked="0" layoutInCell="1" allowOverlap="1">
                      <wp:simplePos x="0" y="0"/>
                      <wp:positionH relativeFrom="column">
                        <wp:posOffset>4671695</wp:posOffset>
                      </wp:positionH>
                      <wp:positionV relativeFrom="paragraph">
                        <wp:posOffset>205740</wp:posOffset>
                      </wp:positionV>
                      <wp:extent cx="506730" cy="285750"/>
                      <wp:effectExtent l="4445" t="4445" r="22225" b="14605"/>
                      <wp:wrapNone/>
                      <wp:docPr id="52" name="矩形 52"/>
                      <wp:cNvGraphicFramePr/>
                      <a:graphic xmlns:a="http://schemas.openxmlformats.org/drawingml/2006/main">
                        <a:graphicData uri="http://schemas.microsoft.com/office/word/2010/wordprocessingShape">
                          <wps:wsp>
                            <wps:cNvSpPr/>
                            <wps:spPr>
                              <a:xfrm>
                                <a:off x="0" y="0"/>
                                <a:ext cx="506730" cy="285750"/>
                              </a:xfrm>
                              <a:prstGeom prst="rect">
                                <a:avLst/>
                              </a:prstGeom>
                              <a:gradFill rotWithShape="0">
                                <a:gsLst>
                                  <a:gs pos="0">
                                    <a:srgbClr val="FFFFFF"/>
                                  </a:gs>
                                  <a:gs pos="100000">
                                    <a:srgbClr val="FFFFFF"/>
                                  </a:gs>
                                </a:gsLst>
                                <a:lin ang="0"/>
                                <a:tileRect/>
                              </a:gradFill>
                              <a:ln w="6350" cap="flat" cmpd="sng">
                                <a:solidFill>
                                  <a:schemeClr val="tx1"/>
                                </a:solidFill>
                                <a:prstDash val="solid"/>
                                <a:miter/>
                                <a:headEnd type="none" w="med" len="med"/>
                                <a:tailEnd type="none" w="med" len="med"/>
                              </a:ln>
                            </wps:spPr>
                            <wps:txbx>
                              <w:txbxContent>
                                <w:p w14:paraId="2EF6813D">
                                  <w:pPr>
                                    <w:jc w:val="center"/>
                                    <w:rPr>
                                      <w:rFonts w:hint="default" w:eastAsia="宋体"/>
                                      <w:color w:val="auto"/>
                                      <w:lang w:val="en-US" w:eastAsia="zh-CN"/>
                                    </w:rPr>
                                  </w:pPr>
                                  <w:r>
                                    <w:rPr>
                                      <w:rFonts w:hint="eastAsia"/>
                                      <w:color w:val="auto"/>
                                      <w:lang w:val="en-US" w:eastAsia="zh-CN"/>
                                    </w:rPr>
                                    <w:t>甩干</w:t>
                                  </w:r>
                                </w:p>
                              </w:txbxContent>
                            </wps:txbx>
                            <wps:bodyPr upright="1"/>
                          </wps:wsp>
                        </a:graphicData>
                      </a:graphic>
                    </wp:anchor>
                  </w:drawing>
                </mc:Choice>
                <mc:Fallback>
                  <w:pict>
                    <v:rect id="_x0000_s1026" o:spid="_x0000_s1026" o:spt="1" style="position:absolute;left:0pt;margin-left:367.85pt;margin-top:16.2pt;height:22.5pt;width:39.9pt;z-index:251742208;mso-width-relative:page;mso-height-relative:page;" fillcolor="#FFFFFF" filled="t" stroked="t" coordsize="21600,21600" o:gfxdata="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cL+BTZAAAACQEAAA8AAAAAAAAAAQAgAAAAIgAAAGRycy9k&#10;b3ducmV2LnhtbFBLAQIUABQAAAAIAIdO4kB5RgqQOgIAALEEAAAOAAAAAAAAAAEAIAAAACgBAABk&#10;cnMvZTJvRG9jLnhtbFBLBQYAAAAABgAGAFkBAADUBQAAAAA=&#10;">
                      <v:fill type="gradient" on="t" color2="#FFFFFF" angle="90" focus="100%" focussize="0,0">
                        <o:fill type="gradientUnscaled" v:ext="backwardCompatible"/>
                      </v:fill>
                      <v:stroke weight="0.5pt" color="#000000 [3213]" joinstyle="miter"/>
                      <v:imagedata o:title=""/>
                      <o:lock v:ext="edit" aspectratio="f"/>
                      <v:textbox>
                        <w:txbxContent>
                          <w:p w14:paraId="2EF6813D">
                            <w:pPr>
                              <w:jc w:val="center"/>
                              <w:rPr>
                                <w:rFonts w:hint="default" w:eastAsia="宋体"/>
                                <w:color w:val="auto"/>
                                <w:lang w:val="en-US" w:eastAsia="zh-CN"/>
                              </w:rPr>
                            </w:pPr>
                            <w:r>
                              <w:rPr>
                                <w:rFonts w:hint="eastAsia"/>
                                <w:color w:val="auto"/>
                                <w:lang w:val="en-US" w:eastAsia="zh-CN"/>
                              </w:rPr>
                              <w:t>甩干</w:t>
                            </w:r>
                          </w:p>
                        </w:txbxContent>
                      </v:textbox>
                    </v:rect>
                  </w:pict>
                </mc:Fallback>
              </mc:AlternateContent>
            </w:r>
            <w:r>
              <w:rPr>
                <w:rFonts w:hint="default" w:ascii="Times New Roman" w:hAnsi="Times New Roman" w:cs="Times New Roman"/>
                <w:b/>
                <w:color w:val="auto"/>
                <w:sz w:val="22"/>
              </w:rPr>
              <mc:AlternateContent>
                <mc:Choice Requires="wps">
                  <w:drawing>
                    <wp:anchor distT="0" distB="0" distL="114300" distR="114300" simplePos="0" relativeHeight="251743232" behindDoc="0" locked="0" layoutInCell="1" allowOverlap="1">
                      <wp:simplePos x="0" y="0"/>
                      <wp:positionH relativeFrom="column">
                        <wp:posOffset>3833495</wp:posOffset>
                      </wp:positionH>
                      <wp:positionV relativeFrom="paragraph">
                        <wp:posOffset>205740</wp:posOffset>
                      </wp:positionV>
                      <wp:extent cx="506730" cy="285750"/>
                      <wp:effectExtent l="4445" t="4445" r="22225" b="14605"/>
                      <wp:wrapNone/>
                      <wp:docPr id="53" name="矩形 53"/>
                      <wp:cNvGraphicFramePr/>
                      <a:graphic xmlns:a="http://schemas.openxmlformats.org/drawingml/2006/main">
                        <a:graphicData uri="http://schemas.microsoft.com/office/word/2010/wordprocessingShape">
                          <wps:wsp>
                            <wps:cNvSpPr/>
                            <wps:spPr>
                              <a:xfrm>
                                <a:off x="0" y="0"/>
                                <a:ext cx="506730" cy="285750"/>
                              </a:xfrm>
                              <a:prstGeom prst="rect">
                                <a:avLst/>
                              </a:prstGeom>
                              <a:gradFill rotWithShape="0">
                                <a:gsLst>
                                  <a:gs pos="0">
                                    <a:srgbClr val="FFFFFF"/>
                                  </a:gs>
                                  <a:gs pos="100000">
                                    <a:srgbClr val="FFFFFF"/>
                                  </a:gs>
                                </a:gsLst>
                                <a:lin ang="0"/>
                                <a:tileRect/>
                              </a:gradFill>
                              <a:ln w="6350" cap="flat" cmpd="sng">
                                <a:solidFill>
                                  <a:schemeClr val="tx1"/>
                                </a:solidFill>
                                <a:prstDash val="solid"/>
                                <a:miter/>
                                <a:headEnd type="none" w="med" len="med"/>
                                <a:tailEnd type="none" w="med" len="med"/>
                              </a:ln>
                            </wps:spPr>
                            <wps:txbx>
                              <w:txbxContent>
                                <w:p w14:paraId="2CD682EF">
                                  <w:pPr>
                                    <w:jc w:val="center"/>
                                    <w:rPr>
                                      <w:rFonts w:hint="default" w:eastAsia="宋体"/>
                                      <w:color w:val="auto"/>
                                      <w:lang w:val="en-US" w:eastAsia="zh-CN"/>
                                    </w:rPr>
                                  </w:pPr>
                                  <w:r>
                                    <w:rPr>
                                      <w:rFonts w:hint="eastAsia"/>
                                      <w:color w:val="auto"/>
                                      <w:lang w:val="en-US" w:eastAsia="zh-CN"/>
                                    </w:rPr>
                                    <w:t>提料</w:t>
                                  </w:r>
                                </w:p>
                              </w:txbxContent>
                            </wps:txbx>
                            <wps:bodyPr upright="1"/>
                          </wps:wsp>
                        </a:graphicData>
                      </a:graphic>
                    </wp:anchor>
                  </w:drawing>
                </mc:Choice>
                <mc:Fallback>
                  <w:pict>
                    <v:rect id="_x0000_s1026" o:spid="_x0000_s1026" o:spt="1" style="position:absolute;left:0pt;margin-left:301.85pt;margin-top:16.2pt;height:22.5pt;width:39.9pt;z-index:251743232;mso-width-relative:page;mso-height-relative:page;" fillcolor="#FFFFFF" filled="t" stroked="t" coordsize="21600,21600" o:gfxdata="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UFx772gAAAAkBAAAPAAAAAAAAAAEAIAAAACIAAABkcnMv&#10;ZG93bnJldi54bWxQSwECFAAUAAAACACHTuJAghS9sToCAACxBAAADgAAAAAAAAABACAAAAApAQAA&#10;ZHJzL2Uyb0RvYy54bWxQSwUGAAAAAAYABgBZAQAA1QUAAAAA&#10;">
                      <v:fill type="gradient" on="t" color2="#FFFFFF" angle="90" focus="100%" focussize="0,0">
                        <o:fill type="gradientUnscaled" v:ext="backwardCompatible"/>
                      </v:fill>
                      <v:stroke weight="0.5pt" color="#000000 [3213]" joinstyle="miter"/>
                      <v:imagedata o:title=""/>
                      <o:lock v:ext="edit" aspectratio="f"/>
                      <v:textbox>
                        <w:txbxContent>
                          <w:p w14:paraId="2CD682EF">
                            <w:pPr>
                              <w:jc w:val="center"/>
                              <w:rPr>
                                <w:rFonts w:hint="default" w:eastAsia="宋体"/>
                                <w:color w:val="auto"/>
                                <w:lang w:val="en-US" w:eastAsia="zh-CN"/>
                              </w:rPr>
                            </w:pPr>
                            <w:r>
                              <w:rPr>
                                <w:rFonts w:hint="eastAsia"/>
                                <w:color w:val="auto"/>
                                <w:lang w:val="en-US" w:eastAsia="zh-CN"/>
                              </w:rPr>
                              <w:t>提料</w:t>
                            </w:r>
                          </w:p>
                        </w:txbxContent>
                      </v:textbox>
                    </v:rect>
                  </w:pict>
                </mc:Fallback>
              </mc:AlternateContent>
            </w:r>
            <w:r>
              <w:rPr>
                <w:rFonts w:hint="default" w:ascii="Times New Roman" w:hAnsi="Times New Roman" w:cs="Times New Roman"/>
                <w:b/>
                <w:color w:val="auto"/>
                <w:sz w:val="22"/>
              </w:rPr>
              <mc:AlternateContent>
                <mc:Choice Requires="wps">
                  <w:drawing>
                    <wp:anchor distT="0" distB="0" distL="114300" distR="114300" simplePos="0" relativeHeight="251744256" behindDoc="0" locked="0" layoutInCell="1" allowOverlap="1">
                      <wp:simplePos x="0" y="0"/>
                      <wp:positionH relativeFrom="column">
                        <wp:posOffset>2995295</wp:posOffset>
                      </wp:positionH>
                      <wp:positionV relativeFrom="paragraph">
                        <wp:posOffset>196215</wp:posOffset>
                      </wp:positionV>
                      <wp:extent cx="506730" cy="285750"/>
                      <wp:effectExtent l="4445" t="4445" r="22225" b="14605"/>
                      <wp:wrapNone/>
                      <wp:docPr id="54" name="矩形 54"/>
                      <wp:cNvGraphicFramePr/>
                      <a:graphic xmlns:a="http://schemas.openxmlformats.org/drawingml/2006/main">
                        <a:graphicData uri="http://schemas.microsoft.com/office/word/2010/wordprocessingShape">
                          <wps:wsp>
                            <wps:cNvSpPr/>
                            <wps:spPr>
                              <a:xfrm>
                                <a:off x="0" y="0"/>
                                <a:ext cx="506730" cy="285750"/>
                              </a:xfrm>
                              <a:prstGeom prst="rect">
                                <a:avLst/>
                              </a:prstGeom>
                              <a:gradFill rotWithShape="0">
                                <a:gsLst>
                                  <a:gs pos="0">
                                    <a:srgbClr val="FFFFFF"/>
                                  </a:gs>
                                  <a:gs pos="100000">
                                    <a:srgbClr val="FFFFFF"/>
                                  </a:gs>
                                </a:gsLst>
                                <a:lin ang="0"/>
                                <a:tileRect/>
                              </a:gradFill>
                              <a:ln w="6350" cap="flat" cmpd="sng">
                                <a:solidFill>
                                  <a:schemeClr val="tx1"/>
                                </a:solidFill>
                                <a:prstDash val="solid"/>
                                <a:miter/>
                                <a:headEnd type="none" w="med" len="med"/>
                                <a:tailEnd type="none" w="med" len="med"/>
                              </a:ln>
                            </wps:spPr>
                            <wps:txbx>
                              <w:txbxContent>
                                <w:p w14:paraId="3DA38137">
                                  <w:pPr>
                                    <w:jc w:val="center"/>
                                    <w:rPr>
                                      <w:rFonts w:hint="default" w:eastAsia="宋体"/>
                                      <w:color w:val="auto"/>
                                      <w:lang w:val="en-US" w:eastAsia="zh-CN"/>
                                    </w:rPr>
                                  </w:pPr>
                                  <w:r>
                                    <w:rPr>
                                      <w:rFonts w:hint="eastAsia"/>
                                      <w:color w:val="auto"/>
                                      <w:lang w:val="en-US" w:eastAsia="zh-CN"/>
                                    </w:rPr>
                                    <w:t>清洗</w:t>
                                  </w:r>
                                </w:p>
                              </w:txbxContent>
                            </wps:txbx>
                            <wps:bodyPr upright="1"/>
                          </wps:wsp>
                        </a:graphicData>
                      </a:graphic>
                    </wp:anchor>
                  </w:drawing>
                </mc:Choice>
                <mc:Fallback>
                  <w:pict>
                    <v:rect id="_x0000_s1026" o:spid="_x0000_s1026" o:spt="1" style="position:absolute;left:0pt;margin-left:235.85pt;margin-top:15.45pt;height:22.5pt;width:39.9pt;z-index:251744256;mso-width-relative:page;mso-height-relative:page;" fillcolor="#FFFFFF" filled="t" stroked="t" coordsize="21600,21600" o:gfxdata="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rBNzbYAAAACQEAAA8AAAAAAAAAAQAgAAAAIgAAAGRycy9k&#10;b3ducmV2LnhtbFBLAQIUABQAAAAIAIdO4kBjqLlVOwIAALEEAAAOAAAAAAAAAAEAIAAAACcBAABk&#10;cnMvZTJvRG9jLnhtbFBLBQYAAAAABgAGAFkBAADUBQAAAAA=&#10;">
                      <v:fill type="gradient" on="t" color2="#FFFFFF" angle="90" focus="100%" focussize="0,0">
                        <o:fill type="gradientUnscaled" v:ext="backwardCompatible"/>
                      </v:fill>
                      <v:stroke weight="0.5pt" color="#000000 [3213]" joinstyle="miter"/>
                      <v:imagedata o:title=""/>
                      <o:lock v:ext="edit" aspectratio="f"/>
                      <v:textbox>
                        <w:txbxContent>
                          <w:p w14:paraId="3DA38137">
                            <w:pPr>
                              <w:jc w:val="center"/>
                              <w:rPr>
                                <w:rFonts w:hint="default" w:eastAsia="宋体"/>
                                <w:color w:val="auto"/>
                                <w:lang w:val="en-US" w:eastAsia="zh-CN"/>
                              </w:rPr>
                            </w:pPr>
                            <w:r>
                              <w:rPr>
                                <w:rFonts w:hint="eastAsia"/>
                                <w:color w:val="auto"/>
                                <w:lang w:val="en-US" w:eastAsia="zh-CN"/>
                              </w:rPr>
                              <w:t>清洗</w:t>
                            </w:r>
                          </w:p>
                        </w:txbxContent>
                      </v:textbox>
                    </v:rect>
                  </w:pict>
                </mc:Fallback>
              </mc:AlternateContent>
            </w:r>
            <w:r>
              <w:rPr>
                <w:rFonts w:hint="default" w:ascii="Times New Roman" w:hAnsi="Times New Roman" w:cs="Times New Roman"/>
                <w:b/>
                <w:color w:val="auto"/>
                <w:sz w:val="22"/>
              </w:rPr>
              <mc:AlternateContent>
                <mc:Choice Requires="wps">
                  <w:drawing>
                    <wp:anchor distT="0" distB="0" distL="114300" distR="114300" simplePos="0" relativeHeight="251661312" behindDoc="0" locked="0" layoutInCell="1" allowOverlap="1">
                      <wp:simplePos x="0" y="0"/>
                      <wp:positionH relativeFrom="column">
                        <wp:posOffset>1770380</wp:posOffset>
                      </wp:positionH>
                      <wp:positionV relativeFrom="paragraph">
                        <wp:posOffset>182880</wp:posOffset>
                      </wp:positionV>
                      <wp:extent cx="902335" cy="285750"/>
                      <wp:effectExtent l="4445" t="4445" r="7620" b="14605"/>
                      <wp:wrapNone/>
                      <wp:docPr id="8" name="矩形 8"/>
                      <wp:cNvGraphicFramePr/>
                      <a:graphic xmlns:a="http://schemas.openxmlformats.org/drawingml/2006/main">
                        <a:graphicData uri="http://schemas.microsoft.com/office/word/2010/wordprocessingShape">
                          <wps:wsp>
                            <wps:cNvSpPr/>
                            <wps:spPr>
                              <a:xfrm>
                                <a:off x="0" y="0"/>
                                <a:ext cx="902335" cy="285750"/>
                              </a:xfrm>
                              <a:prstGeom prst="rect">
                                <a:avLst/>
                              </a:prstGeom>
                              <a:gradFill rotWithShape="0">
                                <a:gsLst>
                                  <a:gs pos="0">
                                    <a:srgbClr val="FFFFFF"/>
                                  </a:gs>
                                  <a:gs pos="100000">
                                    <a:srgbClr val="FFFFFF"/>
                                  </a:gs>
                                </a:gsLst>
                                <a:lin ang="0"/>
                                <a:tileRect/>
                              </a:gradFill>
                              <a:ln w="6350" cap="flat" cmpd="sng">
                                <a:solidFill>
                                  <a:schemeClr val="tx1"/>
                                </a:solidFill>
                                <a:prstDash val="solid"/>
                                <a:miter/>
                                <a:headEnd type="none" w="med" len="med"/>
                                <a:tailEnd type="none" w="med" len="med"/>
                              </a:ln>
                            </wps:spPr>
                            <wps:txbx>
                              <w:txbxContent>
                                <w:p w14:paraId="3E6D5C90">
                                  <w:pPr>
                                    <w:jc w:val="center"/>
                                    <w:rPr>
                                      <w:rFonts w:hint="default" w:eastAsia="宋体"/>
                                      <w:color w:val="auto"/>
                                      <w:lang w:val="en-US" w:eastAsia="zh-CN"/>
                                    </w:rPr>
                                  </w:pPr>
                                  <w:r>
                                    <w:rPr>
                                      <w:rFonts w:hint="eastAsia"/>
                                      <w:color w:val="auto"/>
                                      <w:lang w:val="en-US" w:eastAsia="zh-CN"/>
                                    </w:rPr>
                                    <w:t>粉碎（湿式）</w:t>
                                  </w:r>
                                </w:p>
                              </w:txbxContent>
                            </wps:txbx>
                            <wps:bodyPr upright="1"/>
                          </wps:wsp>
                        </a:graphicData>
                      </a:graphic>
                    </wp:anchor>
                  </w:drawing>
                </mc:Choice>
                <mc:Fallback>
                  <w:pict>
                    <v:rect id="_x0000_s1026" o:spid="_x0000_s1026" o:spt="1" style="position:absolute;left:0pt;margin-left:139.4pt;margin-top:14.4pt;height:22.5pt;width:71.05pt;z-index:251661312;mso-width-relative:page;mso-height-relative:page;" fillcolor="#FFFFFF" filled="t" stroked="t" coordsize="21600,21600" o:gfxdata="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QtongtkAAAAJAQAADwAAAAAAAAABACAAAAAiAAAAZHJzL2Rv&#10;d25yZXYueG1sUEsBAhQAFAAAAAgAh07iQGzq0iQ5AgAArwQAAA4AAAAAAAAAAQAgAAAAKAEAAGRy&#10;cy9lMm9Eb2MueG1sUEsFBgAAAAAGAAYAWQEAANMFAAAAAA==&#10;">
                      <v:fill type="gradient" on="t" color2="#FFFFFF" angle="90" focus="100%" focussize="0,0">
                        <o:fill type="gradientUnscaled" v:ext="backwardCompatible"/>
                      </v:fill>
                      <v:stroke weight="0.5pt" color="#000000 [3213]" joinstyle="miter"/>
                      <v:imagedata o:title=""/>
                      <o:lock v:ext="edit" aspectratio="f"/>
                      <v:textbox>
                        <w:txbxContent>
                          <w:p w14:paraId="3E6D5C90">
                            <w:pPr>
                              <w:jc w:val="center"/>
                              <w:rPr>
                                <w:rFonts w:hint="default" w:eastAsia="宋体"/>
                                <w:color w:val="auto"/>
                                <w:lang w:val="en-US" w:eastAsia="zh-CN"/>
                              </w:rPr>
                            </w:pPr>
                            <w:r>
                              <w:rPr>
                                <w:rFonts w:hint="eastAsia"/>
                                <w:color w:val="auto"/>
                                <w:lang w:val="en-US" w:eastAsia="zh-CN"/>
                              </w:rPr>
                              <w:t>粉碎（湿式）</w:t>
                            </w:r>
                          </w:p>
                        </w:txbxContent>
                      </v:textbox>
                    </v:rect>
                  </w:pict>
                </mc:Fallback>
              </mc:AlternateContent>
            </w:r>
            <w:r>
              <w:rPr>
                <w:rFonts w:hint="default" w:ascii="Times New Roman" w:hAnsi="Times New Roman" w:cs="Times New Roman"/>
                <w:b/>
                <w:color w:val="auto"/>
                <w:sz w:val="22"/>
              </w:rPr>
              <mc:AlternateContent>
                <mc:Choice Requires="wps">
                  <w:drawing>
                    <wp:anchor distT="0" distB="0" distL="114300" distR="114300" simplePos="0" relativeHeight="251677696" behindDoc="0" locked="0" layoutInCell="1" allowOverlap="1">
                      <wp:simplePos x="0" y="0"/>
                      <wp:positionH relativeFrom="column">
                        <wp:posOffset>937895</wp:posOffset>
                      </wp:positionH>
                      <wp:positionV relativeFrom="paragraph">
                        <wp:posOffset>186690</wp:posOffset>
                      </wp:positionV>
                      <wp:extent cx="506730" cy="285750"/>
                      <wp:effectExtent l="4445" t="4445" r="6985" b="14605"/>
                      <wp:wrapNone/>
                      <wp:docPr id="28" name="矩形 28"/>
                      <wp:cNvGraphicFramePr/>
                      <a:graphic xmlns:a="http://schemas.openxmlformats.org/drawingml/2006/main">
                        <a:graphicData uri="http://schemas.microsoft.com/office/word/2010/wordprocessingShape">
                          <wps:wsp>
                            <wps:cNvSpPr/>
                            <wps:spPr>
                              <a:xfrm>
                                <a:off x="0" y="0"/>
                                <a:ext cx="506730" cy="285750"/>
                              </a:xfrm>
                              <a:prstGeom prst="rect">
                                <a:avLst/>
                              </a:prstGeom>
                              <a:gradFill rotWithShape="0">
                                <a:gsLst>
                                  <a:gs pos="0">
                                    <a:srgbClr val="FFFFFF"/>
                                  </a:gs>
                                  <a:gs pos="100000">
                                    <a:srgbClr val="FFFFFF"/>
                                  </a:gs>
                                </a:gsLst>
                                <a:lin ang="0"/>
                                <a:tileRect/>
                              </a:gradFill>
                              <a:ln w="6350" cap="flat" cmpd="sng">
                                <a:solidFill>
                                  <a:schemeClr val="tx1"/>
                                </a:solidFill>
                                <a:prstDash val="solid"/>
                                <a:miter/>
                                <a:headEnd type="none" w="med" len="med"/>
                                <a:tailEnd type="none" w="med" len="med"/>
                              </a:ln>
                            </wps:spPr>
                            <wps:txbx>
                              <w:txbxContent>
                                <w:p w14:paraId="7383B7E7">
                                  <w:pPr>
                                    <w:jc w:val="center"/>
                                    <w:rPr>
                                      <w:rFonts w:hint="default" w:eastAsia="宋体"/>
                                      <w:color w:val="auto"/>
                                      <w:lang w:val="en-US" w:eastAsia="zh-CN"/>
                                    </w:rPr>
                                  </w:pPr>
                                  <w:r>
                                    <w:rPr>
                                      <w:rFonts w:hint="eastAsia"/>
                                      <w:color w:val="auto"/>
                                      <w:lang w:val="en-US" w:eastAsia="zh-CN"/>
                                    </w:rPr>
                                    <w:t>上料</w:t>
                                  </w:r>
                                </w:p>
                              </w:txbxContent>
                            </wps:txbx>
                            <wps:bodyPr upright="1"/>
                          </wps:wsp>
                        </a:graphicData>
                      </a:graphic>
                    </wp:anchor>
                  </w:drawing>
                </mc:Choice>
                <mc:Fallback>
                  <w:pict>
                    <v:rect id="_x0000_s1026" o:spid="_x0000_s1026" o:spt="1" style="position:absolute;left:0pt;margin-left:73.85pt;margin-top:14.7pt;height:22.5pt;width:39.9pt;z-index:251677696;mso-width-relative:page;mso-height-relative:page;" fillcolor="#FFFFFF" filled="t" stroked="t" coordsize="21600,21600" o:gfxdata="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M/9wtgAAAAJAQAADwAAAAAAAAABACAAAAAiAAAAZHJzL2Rv&#10;d25yZXYueG1sUEsBAhQAFAAAAAgAh07iQESkRtI6AgAAsQQAAA4AAAAAAAAAAQAgAAAAJwEAAGRy&#10;cy9lMm9Eb2MueG1sUEsFBgAAAAAGAAYAWQEAANMFAAAAAA==&#10;">
                      <v:fill type="gradient" on="t" color2="#FFFFFF" angle="90" focus="100%" focussize="0,0">
                        <o:fill type="gradientUnscaled" v:ext="backwardCompatible"/>
                      </v:fill>
                      <v:stroke weight="0.5pt" color="#000000 [3213]" joinstyle="miter"/>
                      <v:imagedata o:title=""/>
                      <o:lock v:ext="edit" aspectratio="f"/>
                      <v:textbox>
                        <w:txbxContent>
                          <w:p w14:paraId="7383B7E7">
                            <w:pPr>
                              <w:jc w:val="center"/>
                              <w:rPr>
                                <w:rFonts w:hint="default" w:eastAsia="宋体"/>
                                <w:color w:val="auto"/>
                                <w:lang w:val="en-US" w:eastAsia="zh-CN"/>
                              </w:rPr>
                            </w:pPr>
                            <w:r>
                              <w:rPr>
                                <w:rFonts w:hint="eastAsia"/>
                                <w:color w:val="auto"/>
                                <w:lang w:val="en-US" w:eastAsia="zh-CN"/>
                              </w:rPr>
                              <w:t>上料</w:t>
                            </w:r>
                          </w:p>
                        </w:txbxContent>
                      </v:textbox>
                    </v:rect>
                  </w:pict>
                </mc:Fallback>
              </mc:AlternateContent>
            </w:r>
            <w:r>
              <w:rPr>
                <w:rFonts w:hint="default" w:ascii="Times New Roman" w:hAnsi="Times New Roman" w:cs="Times New Roman"/>
                <w:b/>
                <w:color w:val="auto"/>
                <w:sz w:val="22"/>
              </w:rPr>
              <mc:AlternateContent>
                <mc:Choice Requires="wps">
                  <w:drawing>
                    <wp:anchor distT="0" distB="0" distL="114300" distR="114300" simplePos="0" relativeHeight="251660288" behindDoc="0" locked="0" layoutInCell="1" allowOverlap="1">
                      <wp:simplePos x="0" y="0"/>
                      <wp:positionH relativeFrom="column">
                        <wp:posOffset>92075</wp:posOffset>
                      </wp:positionH>
                      <wp:positionV relativeFrom="paragraph">
                        <wp:posOffset>179705</wp:posOffset>
                      </wp:positionV>
                      <wp:extent cx="607695" cy="427990"/>
                      <wp:effectExtent l="0" t="0" r="1905" b="10160"/>
                      <wp:wrapNone/>
                      <wp:docPr id="2" name="矩形 2"/>
                      <wp:cNvGraphicFramePr/>
                      <a:graphic xmlns:a="http://schemas.openxmlformats.org/drawingml/2006/main">
                        <a:graphicData uri="http://schemas.microsoft.com/office/word/2010/wordprocessingShape">
                          <wps:wsp>
                            <wps:cNvSpPr/>
                            <wps:spPr>
                              <a:xfrm>
                                <a:off x="0" y="0"/>
                                <a:ext cx="607695" cy="427990"/>
                              </a:xfrm>
                              <a:prstGeom prst="rect">
                                <a:avLst/>
                              </a:prstGeom>
                              <a:gradFill rotWithShape="0">
                                <a:gsLst>
                                  <a:gs pos="0">
                                    <a:srgbClr val="FFFFFF"/>
                                  </a:gs>
                                  <a:gs pos="100000">
                                    <a:srgbClr val="FFFFFF"/>
                                  </a:gs>
                                </a:gsLst>
                                <a:lin ang="0"/>
                                <a:tileRect/>
                              </a:gradFill>
                              <a:ln w="6350" cap="flat" cmpd="sng">
                                <a:noFill/>
                                <a:prstDash val="solid"/>
                                <a:miter/>
                                <a:headEnd type="none" w="med" len="med"/>
                                <a:tailEnd type="none" w="med" len="med"/>
                              </a:ln>
                            </wps:spPr>
                            <wps:txbx>
                              <w:txbxContent>
                                <w:p w14:paraId="05396187">
                                  <w:pPr>
                                    <w:jc w:val="center"/>
                                    <w:rPr>
                                      <w:rFonts w:hint="default" w:ascii="Times New Roman" w:hAnsi="Times New Roman" w:eastAsia="宋体" w:cs="Times New Roman"/>
                                      <w:lang w:val="en-US" w:eastAsia="zh-CN"/>
                                    </w:rPr>
                                  </w:pPr>
                                  <w:r>
                                    <w:rPr>
                                      <w:rFonts w:hint="eastAsia" w:cs="Times New Roman"/>
                                      <w:color w:val="auto"/>
                                      <w:sz w:val="21"/>
                                      <w:szCs w:val="21"/>
                                      <w:lang w:val="en-US" w:eastAsia="zh-CN"/>
                                    </w:rPr>
                                    <w:t>废吨包</w:t>
                                  </w:r>
                                </w:p>
                              </w:txbxContent>
                            </wps:txbx>
                            <wps:bodyPr upright="1"/>
                          </wps:wsp>
                        </a:graphicData>
                      </a:graphic>
                    </wp:anchor>
                  </w:drawing>
                </mc:Choice>
                <mc:Fallback>
                  <w:pict>
                    <v:rect id="_x0000_s1026" o:spid="_x0000_s1026" o:spt="1" style="position:absolute;left:0pt;margin-left:7.25pt;margin-top:14.15pt;height:33.7pt;width:47.85pt;z-index:251660288;mso-width-relative:page;mso-height-relative:page;" fillcolor="#FFFFFF" filled="t" stroked="f" coordsize="21600,21600" o:gfxdata="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zCvPPYAAAACAEAAA8AAAAAAAAAAQAgAAAAIgAAAGRycy9kb3ducmV2Lnht&#10;bFBLAQIUABQAAAAIAIdO4kC86fElMgIAAIYEAAAOAAAAAAAAAAEAIAAAACcBAABkcnMvZTJvRG9j&#10;LnhtbFBLBQYAAAAABgAGAFkBAADLBQAAAAA=&#10;">
                      <v:fill type="gradient" on="t" color2="#FFFFFF" angle="90" focus="100%" focussize="0,0">
                        <o:fill type="gradientUnscaled" v:ext="backwardCompatible"/>
                      </v:fill>
                      <v:stroke on="f" weight="0.5pt" joinstyle="miter"/>
                      <v:imagedata o:title=""/>
                      <o:lock v:ext="edit" aspectratio="f"/>
                      <v:textbox>
                        <w:txbxContent>
                          <w:p w14:paraId="05396187">
                            <w:pPr>
                              <w:jc w:val="center"/>
                              <w:rPr>
                                <w:rFonts w:hint="default" w:ascii="Times New Roman" w:hAnsi="Times New Roman" w:eastAsia="宋体" w:cs="Times New Roman"/>
                                <w:lang w:val="en-US" w:eastAsia="zh-CN"/>
                              </w:rPr>
                            </w:pPr>
                            <w:r>
                              <w:rPr>
                                <w:rFonts w:hint="eastAsia" w:cs="Times New Roman"/>
                                <w:color w:val="auto"/>
                                <w:sz w:val="21"/>
                                <w:szCs w:val="21"/>
                                <w:lang w:val="en-US" w:eastAsia="zh-CN"/>
                              </w:rPr>
                              <w:t>废吨包</w:t>
                            </w:r>
                          </w:p>
                        </w:txbxContent>
                      </v:textbox>
                    </v:rect>
                  </w:pict>
                </mc:Fallback>
              </mc:AlternateContent>
            </w:r>
          </w:p>
          <w:p w14:paraId="7B91F314">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default" w:ascii="Times New Roman" w:hAnsi="Times New Roman" w:cs="Times New Roman"/>
                <w:bCs/>
                <w:color w:val="auto"/>
                <w:sz w:val="24"/>
              </w:rPr>
            </w:pPr>
            <w:r>
              <w:rPr>
                <w:rFonts w:hint="default" w:ascii="Times New Roman" w:hAnsi="Times New Roman" w:cs="Times New Roman"/>
                <w:b/>
                <w:color w:val="auto"/>
                <w:sz w:val="22"/>
              </w:rPr>
              <mc:AlternateContent>
                <mc:Choice Requires="wps">
                  <w:drawing>
                    <wp:anchor distT="0" distB="0" distL="114300" distR="114300" simplePos="0" relativeHeight="251813888" behindDoc="0" locked="0" layoutInCell="1" allowOverlap="1">
                      <wp:simplePos x="0" y="0"/>
                      <wp:positionH relativeFrom="column">
                        <wp:posOffset>4911725</wp:posOffset>
                      </wp:positionH>
                      <wp:positionV relativeFrom="paragraph">
                        <wp:posOffset>122555</wp:posOffset>
                      </wp:positionV>
                      <wp:extent cx="589915" cy="560705"/>
                      <wp:effectExtent l="0" t="0" r="0" b="0"/>
                      <wp:wrapNone/>
                      <wp:docPr id="12" name="矩形 12"/>
                      <wp:cNvGraphicFramePr/>
                      <a:graphic xmlns:a="http://schemas.openxmlformats.org/drawingml/2006/main">
                        <a:graphicData uri="http://schemas.microsoft.com/office/word/2010/wordprocessingShape">
                          <wps:wsp>
                            <wps:cNvSpPr/>
                            <wps:spPr>
                              <a:xfrm>
                                <a:off x="0" y="0"/>
                                <a:ext cx="589915" cy="560705"/>
                              </a:xfrm>
                              <a:prstGeom prst="rect">
                                <a:avLst/>
                              </a:prstGeom>
                              <a:noFill/>
                              <a:ln w="6350" cap="flat" cmpd="sng">
                                <a:noFill/>
                                <a:prstDash val="solid"/>
                                <a:miter/>
                                <a:headEnd type="none" w="med" len="med"/>
                                <a:tailEnd type="none" w="med" len="med"/>
                              </a:ln>
                            </wps:spPr>
                            <wps:txbx>
                              <w:txbxContent>
                                <w:p w14:paraId="02D338BD">
                                  <w:pPr>
                                    <w:rPr>
                                      <w:rFonts w:hint="default"/>
                                      <w:sz w:val="21"/>
                                      <w:szCs w:val="21"/>
                                      <w:lang w:val="en-US" w:eastAsia="zh-CN"/>
                                    </w:rPr>
                                  </w:pPr>
                                  <w:r>
                                    <w:rPr>
                                      <w:rFonts w:hint="eastAsia" w:cs="Times New Roman" w:eastAsiaTheme="minorEastAsia"/>
                                      <w:b w:val="0"/>
                                      <w:bCs w:val="0"/>
                                      <w:color w:val="auto"/>
                                      <w:sz w:val="21"/>
                                      <w:szCs w:val="21"/>
                                      <w:lang w:val="en-US" w:eastAsia="zh-CN"/>
                                    </w:rPr>
                                    <w:t>PP、PE新料</w:t>
                                  </w:r>
                                </w:p>
                              </w:txbxContent>
                            </wps:txbx>
                            <wps:bodyPr upright="1"/>
                          </wps:wsp>
                        </a:graphicData>
                      </a:graphic>
                    </wp:anchor>
                  </w:drawing>
                </mc:Choice>
                <mc:Fallback>
                  <w:pict>
                    <v:rect id="_x0000_s1026" o:spid="_x0000_s1026" o:spt="1" style="position:absolute;left:0pt;margin-left:386.75pt;margin-top:9.65pt;height:44.15pt;width:46.45pt;z-index:251813888;mso-width-relative:page;mso-height-relative:page;" filled="f" stroked="f" coordsize="21600,21600" o:gfxdata="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cV+JfbAAAACgEAAA8AAAAAAAAAAQAgAAAAIgAAAGRycy9kb3ducmV2LnhtbFBLAQIUABQAAAAI&#10;AIdO4kA0Fflw6gEAANgDAAAOAAAAAAAAAAEAIAAAACoBAABkcnMvZTJvRG9jLnhtbFBLBQYAAAAA&#10;BgAGAFkBAACGBQAAAAA=&#10;">
                      <v:fill on="f" focussize="0,0"/>
                      <v:stroke on="f" weight="0.5pt" joinstyle="miter"/>
                      <v:imagedata o:title=""/>
                      <o:lock v:ext="edit" aspectratio="f"/>
                      <v:textbox>
                        <w:txbxContent>
                          <w:p w14:paraId="02D338BD">
                            <w:pPr>
                              <w:rPr>
                                <w:rFonts w:hint="default"/>
                                <w:sz w:val="21"/>
                                <w:szCs w:val="21"/>
                                <w:lang w:val="en-US" w:eastAsia="zh-CN"/>
                              </w:rPr>
                            </w:pPr>
                            <w:r>
                              <w:rPr>
                                <w:rFonts w:hint="eastAsia" w:cs="Times New Roman" w:eastAsiaTheme="minorEastAsia"/>
                                <w:b w:val="0"/>
                                <w:bCs w:val="0"/>
                                <w:color w:val="auto"/>
                                <w:sz w:val="21"/>
                                <w:szCs w:val="21"/>
                                <w:lang w:val="en-US" w:eastAsia="zh-CN"/>
                              </w:rPr>
                              <w:t>PP、PE新料</w:t>
                            </w:r>
                          </w:p>
                        </w:txbxContent>
                      </v:textbox>
                    </v:rect>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812864" behindDoc="0" locked="0" layoutInCell="1" allowOverlap="1">
                      <wp:simplePos x="0" y="0"/>
                      <wp:positionH relativeFrom="column">
                        <wp:posOffset>5134610</wp:posOffset>
                      </wp:positionH>
                      <wp:positionV relativeFrom="paragraph">
                        <wp:posOffset>480695</wp:posOffset>
                      </wp:positionV>
                      <wp:extent cx="8255" cy="299720"/>
                      <wp:effectExtent l="36195" t="0" r="31750" b="5080"/>
                      <wp:wrapNone/>
                      <wp:docPr id="1" name="直接连接符 1"/>
                      <wp:cNvGraphicFramePr/>
                      <a:graphic xmlns:a="http://schemas.openxmlformats.org/drawingml/2006/main">
                        <a:graphicData uri="http://schemas.microsoft.com/office/word/2010/wordprocessingShape">
                          <wps:wsp>
                            <wps:cNvCnPr/>
                            <wps:spPr>
                              <a:xfrm flipH="1">
                                <a:off x="0" y="0"/>
                                <a:ext cx="8255" cy="299720"/>
                              </a:xfrm>
                              <a:prstGeom prst="line">
                                <a:avLst/>
                              </a:prstGeom>
                              <a:ln w="9525" cap="flat" cmpd="sng">
                                <a:solidFill>
                                  <a:schemeClr val="tx1"/>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404.3pt;margin-top:37.85pt;height:23.6pt;width:0.65pt;z-index:251812864;mso-width-relative:page;mso-height-relative:page;" filled="f" stroked="t" coordsize="21600,21600" o:gfxdata="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VkioNoAAAAKAQAADwAAAAAAAAABACAAAAAiAAAA&#10;ZHJzL2Rvd25yZXYueG1sUEsBAhQAFAAAAAgAh07iQO6FMSwFAgAA9AMAAA4AAAAAAAAAAQAgAAAA&#10;KQEAAGRycy9lMm9Eb2MueG1sUEsFBgAAAAAGAAYAWQEAAKAFAAAAAA==&#10;">
                      <v:fill on="f" focussize="0,0"/>
                      <v:stroke color="#000000 [3213]" joinstyle="round" endarrow="block"/>
                      <v:imagedata o:title=""/>
                      <o:lock v:ext="edit" aspectratio="f"/>
                    </v:lin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755520" behindDoc="0" locked="0" layoutInCell="1" allowOverlap="1">
                      <wp:simplePos x="0" y="0"/>
                      <wp:positionH relativeFrom="column">
                        <wp:posOffset>4810760</wp:posOffset>
                      </wp:positionH>
                      <wp:positionV relativeFrom="paragraph">
                        <wp:posOffset>200025</wp:posOffset>
                      </wp:positionV>
                      <wp:extent cx="6985" cy="309245"/>
                      <wp:effectExtent l="36195" t="0" r="33020" b="14605"/>
                      <wp:wrapNone/>
                      <wp:docPr id="65" name="直接连接符 65"/>
                      <wp:cNvGraphicFramePr/>
                      <a:graphic xmlns:a="http://schemas.openxmlformats.org/drawingml/2006/main">
                        <a:graphicData uri="http://schemas.microsoft.com/office/word/2010/wordprocessingShape">
                          <wps:wsp>
                            <wps:cNvCnPr/>
                            <wps:spPr>
                              <a:xfrm flipH="1">
                                <a:off x="0" y="0"/>
                                <a:ext cx="6985" cy="309245"/>
                              </a:xfrm>
                              <a:prstGeom prst="line">
                                <a:avLst/>
                              </a:prstGeom>
                              <a:ln w="9525" cap="flat" cmpd="sng">
                                <a:solidFill>
                                  <a:srgbClr val="3333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378.8pt;margin-top:15.75pt;height:24.35pt;width:0.55pt;z-index:251755520;mso-width-relative:page;mso-height-relative:page;" filled="f" stroked="t" coordsize="21600,21600" o:gfxdata="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oH0mt2AAAAAkBAAAPAAAAAAAAAAEAIAAAACIA&#10;AABkcnMvZG93bnJldi54bWxQSwECFAAUAAAACACHTuJAkpqkZQkCAAD1AwAADgAAAAAAAAABACAA&#10;AAAnAQAAZHJzL2Uyb0RvYy54bWxQSwUGAAAAAAYABgBZAQAAogUAAAAA&#10;">
                      <v:fill on="f" focussize="0,0"/>
                      <v:stroke color="#333300" joinstyle="round" dashstyle="dash" endarrow="block"/>
                      <v:imagedata o:title=""/>
                      <o:lock v:ext="edit" aspectratio="f"/>
                    </v:lin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754496" behindDoc="0" locked="0" layoutInCell="1" allowOverlap="1">
                      <wp:simplePos x="0" y="0"/>
                      <wp:positionH relativeFrom="column">
                        <wp:posOffset>4115435</wp:posOffset>
                      </wp:positionH>
                      <wp:positionV relativeFrom="paragraph">
                        <wp:posOffset>200025</wp:posOffset>
                      </wp:positionV>
                      <wp:extent cx="6985" cy="309245"/>
                      <wp:effectExtent l="36195" t="0" r="33020" b="14605"/>
                      <wp:wrapNone/>
                      <wp:docPr id="64" name="直接连接符 64"/>
                      <wp:cNvGraphicFramePr/>
                      <a:graphic xmlns:a="http://schemas.openxmlformats.org/drawingml/2006/main">
                        <a:graphicData uri="http://schemas.microsoft.com/office/word/2010/wordprocessingShape">
                          <wps:wsp>
                            <wps:cNvCnPr/>
                            <wps:spPr>
                              <a:xfrm flipH="1">
                                <a:off x="0" y="0"/>
                                <a:ext cx="6985" cy="309245"/>
                              </a:xfrm>
                              <a:prstGeom prst="line">
                                <a:avLst/>
                              </a:prstGeom>
                              <a:ln w="9525" cap="flat" cmpd="sng">
                                <a:solidFill>
                                  <a:srgbClr val="3333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324.05pt;margin-top:15.75pt;height:24.35pt;width:0.55pt;z-index:251754496;mso-width-relative:page;mso-height-relative:page;" filled="f" stroked="t" coordsize="21600,21600" o:gfxdata="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EFdj82AAAAAkBAAAPAAAAAAAAAAEAIAAA&#10;ACIAAABkcnMvZG93bnJldi54bWxQSwECFAAUAAAACACHTuJAbisCMgwCAAD1AwAADgAAAAAAAAAB&#10;ACAAAAAnAQAAZHJzL2Uyb0RvYy54bWxQSwUGAAAAAAYABgBZAQAApQUAAAAA&#10;">
                      <v:fill on="f" focussize="0,0"/>
                      <v:stroke color="#333300" joinstyle="round" dashstyle="dash" endarrow="block"/>
                      <v:imagedata o:title=""/>
                      <o:lock v:ext="edit" aspectratio="f"/>
                    </v:lin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752448" behindDoc="0" locked="0" layoutInCell="1" allowOverlap="1">
                      <wp:simplePos x="0" y="0"/>
                      <wp:positionH relativeFrom="column">
                        <wp:posOffset>3286760</wp:posOffset>
                      </wp:positionH>
                      <wp:positionV relativeFrom="paragraph">
                        <wp:posOffset>190500</wp:posOffset>
                      </wp:positionV>
                      <wp:extent cx="6985" cy="309245"/>
                      <wp:effectExtent l="36195" t="0" r="33020" b="14605"/>
                      <wp:wrapNone/>
                      <wp:docPr id="62" name="直接连接符 62"/>
                      <wp:cNvGraphicFramePr/>
                      <a:graphic xmlns:a="http://schemas.openxmlformats.org/drawingml/2006/main">
                        <a:graphicData uri="http://schemas.microsoft.com/office/word/2010/wordprocessingShape">
                          <wps:wsp>
                            <wps:cNvCnPr/>
                            <wps:spPr>
                              <a:xfrm flipH="1">
                                <a:off x="0" y="0"/>
                                <a:ext cx="6985" cy="309245"/>
                              </a:xfrm>
                              <a:prstGeom prst="line">
                                <a:avLst/>
                              </a:prstGeom>
                              <a:ln w="9525" cap="flat" cmpd="sng">
                                <a:solidFill>
                                  <a:srgbClr val="3333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258.8pt;margin-top:15pt;height:24.35pt;width:0.55pt;z-index:251752448;mso-width-relative:page;mso-height-relative:page;" filled="f" stroked="t" coordsize="21600,21600" o:gfxdata="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WK17bYAAAACQEAAA8AAAAAAAAAAQAgAAAA&#10;IgAAAGRycy9kb3ducmV2LnhtbFBLAQIUABQAAAAIAIdO4kAniaQYCwIAAPUDAAAOAAAAAAAAAAEA&#10;IAAAACcBAABkcnMvZTJvRG9jLnhtbFBLBQYAAAAABgAGAFkBAACkBQAAAAA=&#10;">
                      <v:fill on="f" focussize="0,0"/>
                      <v:stroke color="#333300" joinstyle="round" dashstyle="dash" endarrow="block"/>
                      <v:imagedata o:title=""/>
                      <o:lock v:ext="edit" aspectratio="f"/>
                    </v:lin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672576" behindDoc="0" locked="0" layoutInCell="1" allowOverlap="1">
                      <wp:simplePos x="0" y="0"/>
                      <wp:positionH relativeFrom="column">
                        <wp:posOffset>2239010</wp:posOffset>
                      </wp:positionH>
                      <wp:positionV relativeFrom="paragraph">
                        <wp:posOffset>171450</wp:posOffset>
                      </wp:positionV>
                      <wp:extent cx="6985" cy="309245"/>
                      <wp:effectExtent l="36195" t="0" r="33020" b="10795"/>
                      <wp:wrapNone/>
                      <wp:docPr id="5" name="直接连接符 5"/>
                      <wp:cNvGraphicFramePr/>
                      <a:graphic xmlns:a="http://schemas.openxmlformats.org/drawingml/2006/main">
                        <a:graphicData uri="http://schemas.microsoft.com/office/word/2010/wordprocessingShape">
                          <wps:wsp>
                            <wps:cNvCnPr/>
                            <wps:spPr>
                              <a:xfrm flipH="1">
                                <a:off x="0" y="0"/>
                                <a:ext cx="6985" cy="309245"/>
                              </a:xfrm>
                              <a:prstGeom prst="line">
                                <a:avLst/>
                              </a:prstGeom>
                              <a:ln w="9525" cap="flat" cmpd="sng">
                                <a:solidFill>
                                  <a:srgbClr val="3333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176.3pt;margin-top:13.5pt;height:24.35pt;width:0.55pt;z-index:251672576;mso-width-relative:page;mso-height-relative:page;" filled="f" stroked="t" coordsize="21600,21600" o:gfxdata="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YJDKDZAAAACQEAAA8AAAAAAAAAAQAgAAAAIgAA&#10;AGRycy9kb3ducmV2LnhtbFBLAQIUABQAAAAIAIdO4kDDcYqgBwIAAPMDAAAOAAAAAAAAAAEAIAAA&#10;ACgBAABkcnMvZTJvRG9jLnhtbFBLBQYAAAAABgAGAFkBAAChBQAAAAA=&#10;">
                      <v:fill on="f" focussize="0,0"/>
                      <v:stroke color="#333300" joinstyle="round" dashstyle="dash" endarrow="block"/>
                      <v:imagedata o:title=""/>
                      <o:lock v:ext="edit" aspectratio="f"/>
                    </v:lin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716608" behindDoc="0" locked="0" layoutInCell="1" allowOverlap="1">
                      <wp:simplePos x="0" y="0"/>
                      <wp:positionH relativeFrom="column">
                        <wp:posOffset>1202690</wp:posOffset>
                      </wp:positionH>
                      <wp:positionV relativeFrom="paragraph">
                        <wp:posOffset>177165</wp:posOffset>
                      </wp:positionV>
                      <wp:extent cx="6985" cy="309245"/>
                      <wp:effectExtent l="36195" t="0" r="33020" b="14605"/>
                      <wp:wrapNone/>
                      <wp:docPr id="23" name="直接连接符 23"/>
                      <wp:cNvGraphicFramePr/>
                      <a:graphic xmlns:a="http://schemas.openxmlformats.org/drawingml/2006/main">
                        <a:graphicData uri="http://schemas.microsoft.com/office/word/2010/wordprocessingShape">
                          <wps:wsp>
                            <wps:cNvCnPr/>
                            <wps:spPr>
                              <a:xfrm flipH="1">
                                <a:off x="0" y="0"/>
                                <a:ext cx="6985" cy="309245"/>
                              </a:xfrm>
                              <a:prstGeom prst="line">
                                <a:avLst/>
                              </a:prstGeom>
                              <a:ln w="9525" cap="flat" cmpd="sng">
                                <a:solidFill>
                                  <a:srgbClr val="3333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94.7pt;margin-top:13.95pt;height:24.35pt;width:0.55pt;z-index:251716608;mso-width-relative:page;mso-height-relative:page;" filled="f" stroked="t" coordsize="21600,21600" o:gfxdata="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GbndXYAAAACQEAAA8AAAAAAAAAAQAgAAAA&#10;IgAAAGRycy9kb3ducmV2LnhtbFBLAQIUABQAAAAIAIdO4kAAUOHzCwIAAPUDAAAOAAAAAAAAAAEA&#10;IAAAACcBAABkcnMvZTJvRG9jLnhtbFBLBQYAAAAABgAGAFkBAACkBQAAAAA=&#10;">
                      <v:fill on="f" focussize="0,0"/>
                      <v:stroke color="#333300" joinstyle="round" dashstyle="dash" endarrow="block"/>
                      <v:imagedata o:title=""/>
                      <o:lock v:ext="edit" aspectratio="f"/>
                    </v:lin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4963160</wp:posOffset>
                      </wp:positionH>
                      <wp:positionV relativeFrom="paragraph">
                        <wp:posOffset>182245</wp:posOffset>
                      </wp:positionV>
                      <wp:extent cx="8255" cy="588645"/>
                      <wp:effectExtent l="36830" t="0" r="31115" b="1905"/>
                      <wp:wrapNone/>
                      <wp:docPr id="29" name="直接连接符 29"/>
                      <wp:cNvGraphicFramePr/>
                      <a:graphic xmlns:a="http://schemas.openxmlformats.org/drawingml/2006/main">
                        <a:graphicData uri="http://schemas.microsoft.com/office/word/2010/wordprocessingShape">
                          <wps:wsp>
                            <wps:cNvCnPr>
                              <a:endCxn id="51" idx="0"/>
                            </wps:cNvCnPr>
                            <wps:spPr>
                              <a:xfrm flipH="1">
                                <a:off x="0" y="0"/>
                                <a:ext cx="8255" cy="588645"/>
                              </a:xfrm>
                              <a:prstGeom prst="line">
                                <a:avLst/>
                              </a:prstGeom>
                              <a:ln w="9525" cap="flat" cmpd="sng">
                                <a:solidFill>
                                  <a:schemeClr val="tx1"/>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90.8pt;margin-top:14.35pt;height:46.35pt;width:0.65pt;z-index:251664384;mso-width-relative:page;mso-height-relative:page;" filled="f" stroked="t" coordsize="21600,21600" o:gfxdata="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ly6nW2gAAAAoBAAAP&#10;AAAAAAAAAAEAIAAAACIAAABkcnMvZG93bnJldi54bWxQSwECFAAUAAAACACHTuJARceRTRYCAAAe&#10;BAAADgAAAAAAAAABACAAAAApAQAAZHJzL2Uyb0RvYy54bWxQSwUGAAAAAAYABgBZAQAAsQUAAAAA&#10;">
                      <v:fill on="f" focussize="0,0"/>
                      <v:stroke color="#000000 [3213]" joinstyle="round" endarrow="block"/>
                      <v:imagedata o:title=""/>
                      <o:lock v:ext="edit" aspectratio="f"/>
                    </v:lin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737088" behindDoc="0" locked="0" layoutInCell="1" allowOverlap="1">
                      <wp:simplePos x="0" y="0"/>
                      <wp:positionH relativeFrom="column">
                        <wp:posOffset>4358005</wp:posOffset>
                      </wp:positionH>
                      <wp:positionV relativeFrom="paragraph">
                        <wp:posOffset>38100</wp:posOffset>
                      </wp:positionV>
                      <wp:extent cx="323850" cy="0"/>
                      <wp:effectExtent l="0" t="38100" r="0" b="38100"/>
                      <wp:wrapNone/>
                      <wp:docPr id="46" name="直接连接符 46"/>
                      <wp:cNvGraphicFramePr/>
                      <a:graphic xmlns:a="http://schemas.openxmlformats.org/drawingml/2006/main">
                        <a:graphicData uri="http://schemas.microsoft.com/office/word/2010/wordprocessingShape">
                          <wps:wsp>
                            <wps:cNvCnPr/>
                            <wps:spPr>
                              <a:xfrm>
                                <a:off x="0" y="0"/>
                                <a:ext cx="323850" cy="0"/>
                              </a:xfrm>
                              <a:prstGeom prst="line">
                                <a:avLst/>
                              </a:prstGeom>
                              <a:ln w="9525" cap="flat" cmpd="sng">
                                <a:solidFill>
                                  <a:schemeClr val="tx1"/>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43.15pt;margin-top:3pt;height:0pt;width:25.5pt;z-index:251737088;mso-width-relative:page;mso-height-relative:page;" filled="f" stroked="t" coordsize="21600,21600" o:gfxdata="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rp5rTWAAAABwEAAA8AAAAAAAAAAQAgAAAAIgAAAGRycy9kb3ducmV2&#10;LnhtbFBLAQIUABQAAAAIAIdO4kBV8sBC/gEAAOkDAAAOAAAAAAAAAAEAIAAAACUBAABkcnMvZTJv&#10;RG9jLnhtbFBLBQYAAAAABgAGAFkBAACVBQAAAAA=&#10;">
                      <v:fill on="f" focussize="0,0"/>
                      <v:stroke color="#000000 [3213]" joinstyle="round" endarrow="block"/>
                      <v:imagedata o:title=""/>
                      <o:lock v:ext="edit" aspectratio="f"/>
                    </v:lin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736064" behindDoc="0" locked="0" layoutInCell="1" allowOverlap="1">
                      <wp:simplePos x="0" y="0"/>
                      <wp:positionH relativeFrom="column">
                        <wp:posOffset>3519805</wp:posOffset>
                      </wp:positionH>
                      <wp:positionV relativeFrom="paragraph">
                        <wp:posOffset>28575</wp:posOffset>
                      </wp:positionV>
                      <wp:extent cx="323850" cy="0"/>
                      <wp:effectExtent l="0" t="38100" r="0" b="38100"/>
                      <wp:wrapNone/>
                      <wp:docPr id="45" name="直接连接符 45"/>
                      <wp:cNvGraphicFramePr/>
                      <a:graphic xmlns:a="http://schemas.openxmlformats.org/drawingml/2006/main">
                        <a:graphicData uri="http://schemas.microsoft.com/office/word/2010/wordprocessingShape">
                          <wps:wsp>
                            <wps:cNvCnPr/>
                            <wps:spPr>
                              <a:xfrm>
                                <a:off x="0" y="0"/>
                                <a:ext cx="323850" cy="0"/>
                              </a:xfrm>
                              <a:prstGeom prst="line">
                                <a:avLst/>
                              </a:prstGeom>
                              <a:ln w="9525" cap="flat" cmpd="sng">
                                <a:solidFill>
                                  <a:schemeClr val="tx1"/>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7.15pt;margin-top:2.25pt;height:0pt;width:25.5pt;z-index:251736064;mso-width-relative:page;mso-height-relative:page;" filled="f" stroked="t" coordsize="21600,21600" o:gfxdata="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0nqPz1gAAAAcBAAAPAAAAAAAAAAEAIAAAACIAAABkcnMvZG93bnJldi54&#10;bWxQSwECFAAUAAAACACHTuJAw7s5u/wBAADpAwAADgAAAAAAAAABACAAAAAlAQAAZHJzL2Uyb0Rv&#10;Yy54bWxQSwUGAAAAAAYABgBZAQAAkwUAAAAA&#10;">
                      <v:fill on="f" focussize="0,0"/>
                      <v:stroke color="#000000 [3213]" joinstyle="round" endarrow="block"/>
                      <v:imagedata o:title=""/>
                      <o:lock v:ext="edit" aspectratio="f"/>
                    </v:lin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735040" behindDoc="0" locked="0" layoutInCell="1" allowOverlap="1">
                      <wp:simplePos x="0" y="0"/>
                      <wp:positionH relativeFrom="column">
                        <wp:posOffset>2681605</wp:posOffset>
                      </wp:positionH>
                      <wp:positionV relativeFrom="paragraph">
                        <wp:posOffset>28575</wp:posOffset>
                      </wp:positionV>
                      <wp:extent cx="323850" cy="0"/>
                      <wp:effectExtent l="0" t="38100" r="0" b="38100"/>
                      <wp:wrapNone/>
                      <wp:docPr id="44" name="直接连接符 44"/>
                      <wp:cNvGraphicFramePr/>
                      <a:graphic xmlns:a="http://schemas.openxmlformats.org/drawingml/2006/main">
                        <a:graphicData uri="http://schemas.microsoft.com/office/word/2010/wordprocessingShape">
                          <wps:wsp>
                            <wps:cNvCnPr/>
                            <wps:spPr>
                              <a:xfrm>
                                <a:off x="0" y="0"/>
                                <a:ext cx="323850" cy="0"/>
                              </a:xfrm>
                              <a:prstGeom prst="line">
                                <a:avLst/>
                              </a:prstGeom>
                              <a:ln w="9525" cap="flat" cmpd="sng">
                                <a:solidFill>
                                  <a:schemeClr val="tx1"/>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1.15pt;margin-top:2.25pt;height:0pt;width:25.5pt;z-index:251735040;mso-width-relative:page;mso-height-relative:page;" filled="f" stroked="t" coordsize="21600,21600" o:gfxdata="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Ezq7HWAAAABwEAAA8AAAAAAAAAAQAgAAAAIgAAAGRycy9kb3ducmV2&#10;LnhtbFBLAQIUABQAAAAIAIdO4kCOfr5a/gEAAOkDAAAOAAAAAAAAAAEAIAAAACUBAABkcnMvZTJv&#10;RG9jLnhtbFBLBQYAAAAABgAGAFkBAACVBQAAAAA=&#10;">
                      <v:fill on="f" focussize="0,0"/>
                      <v:stroke color="#000000 [3213]" joinstyle="round" endarrow="block"/>
                      <v:imagedata o:title=""/>
                      <o:lock v:ext="edit" aspectratio="f"/>
                    </v:lin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666432" behindDoc="0" locked="0" layoutInCell="1" allowOverlap="1">
                      <wp:simplePos x="0" y="0"/>
                      <wp:positionH relativeFrom="column">
                        <wp:posOffset>1462405</wp:posOffset>
                      </wp:positionH>
                      <wp:positionV relativeFrom="paragraph">
                        <wp:posOffset>38100</wp:posOffset>
                      </wp:positionV>
                      <wp:extent cx="323850" cy="0"/>
                      <wp:effectExtent l="0" t="38100" r="0" b="38100"/>
                      <wp:wrapNone/>
                      <wp:docPr id="95" name="直接连接符 95"/>
                      <wp:cNvGraphicFramePr/>
                      <a:graphic xmlns:a="http://schemas.openxmlformats.org/drawingml/2006/main">
                        <a:graphicData uri="http://schemas.microsoft.com/office/word/2010/wordprocessingShape">
                          <wps:wsp>
                            <wps:cNvCnPr/>
                            <wps:spPr>
                              <a:xfrm>
                                <a:off x="0" y="0"/>
                                <a:ext cx="323850" cy="0"/>
                              </a:xfrm>
                              <a:prstGeom prst="line">
                                <a:avLst/>
                              </a:prstGeom>
                              <a:ln w="9525" cap="flat" cmpd="sng">
                                <a:solidFill>
                                  <a:schemeClr val="tx1"/>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5.15pt;margin-top:3pt;height:0pt;width:25.5pt;z-index:251666432;mso-width-relative:page;mso-height-relative:page;" filled="f" stroked="t" coordsize="21600,21600" o:gfxdata="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j2PW3WAAAABwEAAA8AAAAAAAAAAQAgAAAAIgAAAGRycy9kb3ducmV2Lnht&#10;bFBLAQIUABQAAAAIAIdO4kDLPeLV+wEAAOkDAAAOAAAAAAAAAAEAIAAAACUBAABkcnMvZTJvRG9j&#10;LnhtbFBLBQYAAAAABgAGAFkBAACSBQAAAAA=&#10;">
                      <v:fill on="f" focussize="0,0"/>
                      <v:stroke color="#000000 [3213]" joinstyle="round" endarrow="block"/>
                      <v:imagedata o:title=""/>
                      <o:lock v:ext="edit" aspectratio="f"/>
                    </v:lin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676672" behindDoc="0" locked="0" layoutInCell="1" allowOverlap="1">
                      <wp:simplePos x="0" y="0"/>
                      <wp:positionH relativeFrom="column">
                        <wp:posOffset>626110</wp:posOffset>
                      </wp:positionH>
                      <wp:positionV relativeFrom="paragraph">
                        <wp:posOffset>26670</wp:posOffset>
                      </wp:positionV>
                      <wp:extent cx="323850" cy="0"/>
                      <wp:effectExtent l="0" t="38100" r="11430" b="38100"/>
                      <wp:wrapNone/>
                      <wp:docPr id="27" name="直接连接符 27"/>
                      <wp:cNvGraphicFramePr/>
                      <a:graphic xmlns:a="http://schemas.openxmlformats.org/drawingml/2006/main">
                        <a:graphicData uri="http://schemas.microsoft.com/office/word/2010/wordprocessingShape">
                          <wps:wsp>
                            <wps:cNvCnPr/>
                            <wps:spPr>
                              <a:xfrm>
                                <a:off x="0" y="0"/>
                                <a:ext cx="323850" cy="0"/>
                              </a:xfrm>
                              <a:prstGeom prst="line">
                                <a:avLst/>
                              </a:prstGeom>
                              <a:ln w="9525" cap="flat" cmpd="sng">
                                <a:solidFill>
                                  <a:schemeClr val="tx1"/>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9.3pt;margin-top:2.1pt;height:0pt;width:25.5pt;z-index:251676672;mso-width-relative:page;mso-height-relative:page;" filled="f" stroked="t" coordsize="21600,21600" o:gfxdata="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Sd5QF1QAAAAYBAAAPAAAAAAAAAAEAIAAAACIAAABkcnMvZG93bnJldi54&#10;bWxQSwECFAAUAAAACACHTuJAaKlskP0BAADpAwAADgAAAAAAAAABACAAAAAkAQAAZHJzL2Uyb0Rv&#10;Yy54bWxQSwUGAAAAAAYABgBZAQAAkwUAAAAA&#10;">
                      <v:fill on="f" focussize="0,0"/>
                      <v:stroke color="#000000 [3213]" joinstyle="round" endarrow="block"/>
                      <v:imagedata o:title=""/>
                      <o:lock v:ext="edit" aspectratio="f"/>
                    </v:line>
                  </w:pict>
                </mc:Fallback>
              </mc:AlternateContent>
            </w:r>
          </w:p>
          <w:p w14:paraId="3F40BD52">
            <w:pPr>
              <w:tabs>
                <w:tab w:val="left" w:pos="2838"/>
              </w:tabs>
              <w:spacing w:line="500" w:lineRule="exact"/>
              <w:ind w:firstLine="562" w:firstLineChars="200"/>
              <w:rPr>
                <w:rFonts w:hint="default" w:ascii="Times New Roman" w:hAnsi="Times New Roman" w:cs="Times New Roman"/>
                <w:b/>
                <w:color w:val="auto"/>
                <w:sz w:val="22"/>
              </w:rPr>
            </w:pPr>
            <w:r>
              <w:rPr>
                <w:rFonts w:hint="default" w:ascii="Times New Roman" w:hAnsi="Times New Roman" w:cs="Times New Roman"/>
                <w:b/>
                <w:color w:val="auto"/>
                <w:sz w:val="28"/>
                <w:szCs w:val="28"/>
              </w:rPr>
              <mc:AlternateContent>
                <mc:Choice Requires="wps">
                  <w:drawing>
                    <wp:anchor distT="0" distB="0" distL="114300" distR="114300" simplePos="0" relativeHeight="251759616" behindDoc="0" locked="0" layoutInCell="1" allowOverlap="1">
                      <wp:simplePos x="0" y="0"/>
                      <wp:positionH relativeFrom="column">
                        <wp:posOffset>4461510</wp:posOffset>
                      </wp:positionH>
                      <wp:positionV relativeFrom="paragraph">
                        <wp:posOffset>127000</wp:posOffset>
                      </wp:positionV>
                      <wp:extent cx="582930" cy="29718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582930" cy="297180"/>
                              </a:xfrm>
                              <a:prstGeom prst="rect">
                                <a:avLst/>
                              </a:prstGeom>
                              <a:noFill/>
                              <a:ln>
                                <a:noFill/>
                              </a:ln>
                            </wps:spPr>
                            <wps:txbx>
                              <w:txbxContent>
                                <w:p w14:paraId="2C37ED35">
                                  <w:pPr>
                                    <w:rPr>
                                      <w:rFonts w:hint="default"/>
                                      <w:lang w:val="en-US"/>
                                    </w:rPr>
                                  </w:pPr>
                                  <w:r>
                                    <w:rPr>
                                      <w:rFonts w:hint="eastAsia"/>
                                      <w:lang w:val="en-US" w:eastAsia="zh-CN"/>
                                    </w:rPr>
                                    <w:t xml:space="preserve"> W</w:t>
                                  </w:r>
                                  <w:r>
                                    <w:rPr>
                                      <w:rFonts w:hint="eastAsia"/>
                                      <w:vertAlign w:val="subscript"/>
                                      <w:lang w:val="en-US" w:eastAsia="zh-CN"/>
                                    </w:rPr>
                                    <w:t xml:space="preserve">3 </w:t>
                                  </w:r>
                                  <w:r>
                                    <w:rPr>
                                      <w:rFonts w:hint="eastAsia"/>
                                      <w:lang w:val="en-US" w:eastAsia="zh-CN"/>
                                    </w:rPr>
                                    <w:t>N</w:t>
                                  </w:r>
                                  <w:r>
                                    <w:rPr>
                                      <w:rFonts w:hint="eastAsia"/>
                                      <w:vertAlign w:val="subscript"/>
                                      <w:lang w:val="en-US" w:eastAsia="zh-CN"/>
                                    </w:rPr>
                                    <w:t>4</w:t>
                                  </w:r>
                                  <w:r>
                                    <w:rPr>
                                      <w:rFonts w:hint="eastAsia"/>
                                      <w:lang w:val="en-US" w:eastAsia="zh-CN"/>
                                    </w:rPr>
                                    <w:t xml:space="preserve">  </w:t>
                                  </w:r>
                                </w:p>
                              </w:txbxContent>
                            </wps:txbx>
                            <wps:bodyPr upright="1"/>
                          </wps:wsp>
                        </a:graphicData>
                      </a:graphic>
                    </wp:anchor>
                  </w:drawing>
                </mc:Choice>
                <mc:Fallback>
                  <w:pict>
                    <v:shape id="_x0000_s1026" o:spid="_x0000_s1026" o:spt="202" type="#_x0000_t202" style="position:absolute;left:0pt;margin-left:351.3pt;margin-top:10pt;height:23.4pt;width:45.9pt;z-index:251759616;mso-width-relative:page;mso-height-relative:page;" filled="f" stroked="f" coordsize="21600,21600" o:gfxdata="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s+HKHWAAAA&#10;CQEAAA8AAAAAAAAAAQAgAAAAIgAAAGRycy9kb3ducmV2LnhtbFBLAQIUABQAAAAIAIdO4kDbNB/7&#10;rQEAAE8DAAAOAAAAAAAAAAEAIAAAACUBAABkcnMvZTJvRG9jLnhtbFBLBQYAAAAABgAGAFkBAABE&#10;BQAAAAA=&#10;">
                      <v:fill on="f" focussize="0,0"/>
                      <v:stroke on="f"/>
                      <v:imagedata o:title=""/>
                      <o:lock v:ext="edit" aspectratio="f"/>
                      <v:textbox>
                        <w:txbxContent>
                          <w:p w14:paraId="2C37ED35">
                            <w:pPr>
                              <w:rPr>
                                <w:rFonts w:hint="default"/>
                                <w:lang w:val="en-US"/>
                              </w:rPr>
                            </w:pPr>
                            <w:r>
                              <w:rPr>
                                <w:rFonts w:hint="eastAsia"/>
                                <w:lang w:val="en-US" w:eastAsia="zh-CN"/>
                              </w:rPr>
                              <w:t xml:space="preserve"> W</w:t>
                            </w:r>
                            <w:r>
                              <w:rPr>
                                <w:rFonts w:hint="eastAsia"/>
                                <w:vertAlign w:val="subscript"/>
                                <w:lang w:val="en-US" w:eastAsia="zh-CN"/>
                              </w:rPr>
                              <w:t xml:space="preserve">3 </w:t>
                            </w:r>
                            <w:r>
                              <w:rPr>
                                <w:rFonts w:hint="eastAsia"/>
                                <w:lang w:val="en-US" w:eastAsia="zh-CN"/>
                              </w:rPr>
                              <w:t>N</w:t>
                            </w:r>
                            <w:r>
                              <w:rPr>
                                <w:rFonts w:hint="eastAsia"/>
                                <w:vertAlign w:val="subscript"/>
                                <w:lang w:val="en-US" w:eastAsia="zh-CN"/>
                              </w:rPr>
                              <w:t>4</w:t>
                            </w:r>
                            <w:r>
                              <w:rPr>
                                <w:rFonts w:hint="eastAsia"/>
                                <w:lang w:val="en-US" w:eastAsia="zh-CN"/>
                              </w:rPr>
                              <w:t xml:space="preserve">  </w:t>
                            </w:r>
                          </w:p>
                        </w:txbxContent>
                      </v:textbox>
                    </v:shap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760640" behindDoc="0" locked="0" layoutInCell="1" allowOverlap="1">
                      <wp:simplePos x="0" y="0"/>
                      <wp:positionH relativeFrom="column">
                        <wp:posOffset>3889375</wp:posOffset>
                      </wp:positionH>
                      <wp:positionV relativeFrom="paragraph">
                        <wp:posOffset>117475</wp:posOffset>
                      </wp:positionV>
                      <wp:extent cx="450215" cy="29718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450215" cy="297180"/>
                              </a:xfrm>
                              <a:prstGeom prst="rect">
                                <a:avLst/>
                              </a:prstGeom>
                              <a:noFill/>
                              <a:ln>
                                <a:noFill/>
                              </a:ln>
                            </wps:spPr>
                            <wps:txbx>
                              <w:txbxContent>
                                <w:p w14:paraId="4851946B">
                                  <w:pPr>
                                    <w:rPr>
                                      <w:rFonts w:hint="default"/>
                                      <w:lang w:val="en-US"/>
                                    </w:rPr>
                                  </w:pPr>
                                  <w:r>
                                    <w:rPr>
                                      <w:rFonts w:hint="eastAsia"/>
                                      <w:lang w:val="en-US" w:eastAsia="zh-CN"/>
                                    </w:rPr>
                                    <w:t xml:space="preserve"> N</w:t>
                                  </w:r>
                                  <w:r>
                                    <w:rPr>
                                      <w:rFonts w:hint="eastAsia"/>
                                      <w:vertAlign w:val="subscript"/>
                                      <w:lang w:val="en-US" w:eastAsia="zh-CN"/>
                                    </w:rPr>
                                    <w:t>3</w:t>
                                  </w:r>
                                  <w:r>
                                    <w:rPr>
                                      <w:rFonts w:hint="eastAsia"/>
                                      <w:lang w:val="en-US" w:eastAsia="zh-CN"/>
                                    </w:rPr>
                                    <w:t xml:space="preserve">  </w:t>
                                  </w:r>
                                </w:p>
                              </w:txbxContent>
                            </wps:txbx>
                            <wps:bodyPr upright="1"/>
                          </wps:wsp>
                        </a:graphicData>
                      </a:graphic>
                    </wp:anchor>
                  </w:drawing>
                </mc:Choice>
                <mc:Fallback>
                  <w:pict>
                    <v:shape id="_x0000_s1026" o:spid="_x0000_s1026" o:spt="202" type="#_x0000_t202" style="position:absolute;left:0pt;margin-left:306.25pt;margin-top:9.25pt;height:23.4pt;width:35.45pt;z-index:251760640;mso-width-relative:page;mso-height-relative:page;" filled="f" stroked="f" coordsize="21600,21600" o:gfxdata="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nYiqvX&#10;AAAACQEAAA8AAAAAAAAAAQAgAAAAIgAAAGRycy9kb3ducmV2LnhtbFBLAQIUABQAAAAIAIdO4kDN&#10;gjy/rwEAAE8DAAAOAAAAAAAAAAEAIAAAACYBAABkcnMvZTJvRG9jLnhtbFBLBQYAAAAABgAGAFkB&#10;AABHBQAAAAA=&#10;">
                      <v:fill on="f" focussize="0,0"/>
                      <v:stroke on="f"/>
                      <v:imagedata o:title=""/>
                      <o:lock v:ext="edit" aspectratio="f"/>
                      <v:textbox>
                        <w:txbxContent>
                          <w:p w14:paraId="4851946B">
                            <w:pPr>
                              <w:rPr>
                                <w:rFonts w:hint="default"/>
                                <w:lang w:val="en-US"/>
                              </w:rPr>
                            </w:pPr>
                            <w:r>
                              <w:rPr>
                                <w:rFonts w:hint="eastAsia"/>
                                <w:lang w:val="en-US" w:eastAsia="zh-CN"/>
                              </w:rPr>
                              <w:t xml:space="preserve"> N</w:t>
                            </w:r>
                            <w:r>
                              <w:rPr>
                                <w:rFonts w:hint="eastAsia"/>
                                <w:vertAlign w:val="subscript"/>
                                <w:lang w:val="en-US" w:eastAsia="zh-CN"/>
                              </w:rPr>
                              <w:t>3</w:t>
                            </w:r>
                            <w:r>
                              <w:rPr>
                                <w:rFonts w:hint="eastAsia"/>
                                <w:lang w:val="en-US" w:eastAsia="zh-CN"/>
                              </w:rPr>
                              <w:t xml:space="preserve">  </w:t>
                            </w:r>
                          </w:p>
                        </w:txbxContent>
                      </v:textbox>
                    </v:shap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758592" behindDoc="0" locked="0" layoutInCell="1" allowOverlap="1">
                      <wp:simplePos x="0" y="0"/>
                      <wp:positionH relativeFrom="column">
                        <wp:posOffset>3007360</wp:posOffset>
                      </wp:positionH>
                      <wp:positionV relativeFrom="paragraph">
                        <wp:posOffset>119380</wp:posOffset>
                      </wp:positionV>
                      <wp:extent cx="603885" cy="29718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603885" cy="297180"/>
                              </a:xfrm>
                              <a:prstGeom prst="rect">
                                <a:avLst/>
                              </a:prstGeom>
                              <a:noFill/>
                              <a:ln>
                                <a:noFill/>
                              </a:ln>
                            </wps:spPr>
                            <wps:txbx>
                              <w:txbxContent>
                                <w:p w14:paraId="1572BE89">
                                  <w:pPr>
                                    <w:rPr>
                                      <w:rFonts w:hint="default"/>
                                      <w:lang w:val="en-US"/>
                                    </w:rPr>
                                  </w:pPr>
                                  <w:r>
                                    <w:rPr>
                                      <w:rFonts w:hint="eastAsia"/>
                                      <w:lang w:val="en-US" w:eastAsia="zh-CN"/>
                                    </w:rPr>
                                    <w:t xml:space="preserve"> W</w:t>
                                  </w:r>
                                  <w:r>
                                    <w:rPr>
                                      <w:rFonts w:hint="eastAsia"/>
                                      <w:vertAlign w:val="subscript"/>
                                      <w:lang w:val="en-US" w:eastAsia="zh-CN"/>
                                    </w:rPr>
                                    <w:t xml:space="preserve">2 </w:t>
                                  </w:r>
                                  <w:r>
                                    <w:rPr>
                                      <w:rFonts w:hint="eastAsia"/>
                                      <w:lang w:val="en-US" w:eastAsia="zh-CN"/>
                                    </w:rPr>
                                    <w:t>S</w:t>
                                  </w:r>
                                  <w:r>
                                    <w:rPr>
                                      <w:rFonts w:hint="eastAsia"/>
                                      <w:vertAlign w:val="subscript"/>
                                      <w:lang w:val="en-US" w:eastAsia="zh-CN"/>
                                    </w:rPr>
                                    <w:t xml:space="preserve">1 </w:t>
                                  </w:r>
                                  <w:r>
                                    <w:rPr>
                                      <w:rFonts w:hint="eastAsia"/>
                                      <w:lang w:val="en-US" w:eastAsia="zh-CN"/>
                                    </w:rPr>
                                    <w:t xml:space="preserve"> </w:t>
                                  </w:r>
                                </w:p>
                              </w:txbxContent>
                            </wps:txbx>
                            <wps:bodyPr upright="1"/>
                          </wps:wsp>
                        </a:graphicData>
                      </a:graphic>
                    </wp:anchor>
                  </w:drawing>
                </mc:Choice>
                <mc:Fallback>
                  <w:pict>
                    <v:shape id="_x0000_s1026" o:spid="_x0000_s1026" o:spt="202" type="#_x0000_t202" style="position:absolute;left:0pt;margin-left:236.8pt;margin-top:9.4pt;height:23.4pt;width:47.55pt;z-index:251758592;mso-width-relative:page;mso-height-relative:page;" filled="f" stroked="f" coordsize="21600,21600" o:gfxdata="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rs6Fb1gAA&#10;AAkBAAAPAAAAAAAAAAEAIAAAACIAAABkcnMvZG93bnJldi54bWxQSwECFAAUAAAACACHTuJAh0vd&#10;ya4BAABPAwAADgAAAAAAAAABACAAAAAlAQAAZHJzL2Uyb0RvYy54bWxQSwUGAAAAAAYABgBZAQAA&#10;RQUAAAAA&#10;">
                      <v:fill on="f" focussize="0,0"/>
                      <v:stroke on="f"/>
                      <v:imagedata o:title=""/>
                      <o:lock v:ext="edit" aspectratio="f"/>
                      <v:textbox>
                        <w:txbxContent>
                          <w:p w14:paraId="1572BE89">
                            <w:pPr>
                              <w:rPr>
                                <w:rFonts w:hint="default"/>
                                <w:lang w:val="en-US"/>
                              </w:rPr>
                            </w:pPr>
                            <w:r>
                              <w:rPr>
                                <w:rFonts w:hint="eastAsia"/>
                                <w:lang w:val="en-US" w:eastAsia="zh-CN"/>
                              </w:rPr>
                              <w:t xml:space="preserve"> W</w:t>
                            </w:r>
                            <w:r>
                              <w:rPr>
                                <w:rFonts w:hint="eastAsia"/>
                                <w:vertAlign w:val="subscript"/>
                                <w:lang w:val="en-US" w:eastAsia="zh-CN"/>
                              </w:rPr>
                              <w:t xml:space="preserve">2 </w:t>
                            </w:r>
                            <w:r>
                              <w:rPr>
                                <w:rFonts w:hint="eastAsia"/>
                                <w:lang w:val="en-US" w:eastAsia="zh-CN"/>
                              </w:rPr>
                              <w:t>S</w:t>
                            </w:r>
                            <w:r>
                              <w:rPr>
                                <w:rFonts w:hint="eastAsia"/>
                                <w:vertAlign w:val="subscript"/>
                                <w:lang w:val="en-US" w:eastAsia="zh-CN"/>
                              </w:rPr>
                              <w:t xml:space="preserve">1 </w:t>
                            </w:r>
                            <w:r>
                              <w:rPr>
                                <w:rFonts w:hint="eastAsia"/>
                                <w:lang w:val="en-US" w:eastAsia="zh-CN"/>
                              </w:rPr>
                              <w:t xml:space="preserve"> </w:t>
                            </w:r>
                          </w:p>
                        </w:txbxContent>
                      </v:textbox>
                    </v:shap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1921510</wp:posOffset>
                      </wp:positionH>
                      <wp:positionV relativeFrom="paragraph">
                        <wp:posOffset>119380</wp:posOffset>
                      </wp:positionV>
                      <wp:extent cx="603885" cy="297180"/>
                      <wp:effectExtent l="0" t="0" r="0" b="0"/>
                      <wp:wrapNone/>
                      <wp:docPr id="181" name="文本框 181"/>
                      <wp:cNvGraphicFramePr/>
                      <a:graphic xmlns:a="http://schemas.openxmlformats.org/drawingml/2006/main">
                        <a:graphicData uri="http://schemas.microsoft.com/office/word/2010/wordprocessingShape">
                          <wps:wsp>
                            <wps:cNvSpPr txBox="1"/>
                            <wps:spPr>
                              <a:xfrm>
                                <a:off x="0" y="0"/>
                                <a:ext cx="603885" cy="297180"/>
                              </a:xfrm>
                              <a:prstGeom prst="rect">
                                <a:avLst/>
                              </a:prstGeom>
                              <a:noFill/>
                              <a:ln>
                                <a:noFill/>
                              </a:ln>
                            </wps:spPr>
                            <wps:txbx>
                              <w:txbxContent>
                                <w:p w14:paraId="6465DF78">
                                  <w:pPr>
                                    <w:rPr>
                                      <w:rFonts w:hint="default"/>
                                      <w:lang w:val="en-US"/>
                                    </w:rPr>
                                  </w:pPr>
                                  <w:r>
                                    <w:rPr>
                                      <w:rFonts w:hint="eastAsia"/>
                                      <w:lang w:val="en-US" w:eastAsia="zh-CN"/>
                                    </w:rPr>
                                    <w:t xml:space="preserve"> W</w:t>
                                  </w:r>
                                  <w:r>
                                    <w:rPr>
                                      <w:rFonts w:hint="eastAsia"/>
                                      <w:vertAlign w:val="subscript"/>
                                      <w:lang w:val="en-US" w:eastAsia="zh-CN"/>
                                    </w:rPr>
                                    <w:t xml:space="preserve">1 </w:t>
                                  </w:r>
                                  <w:r>
                                    <w:rPr>
                                      <w:rFonts w:hint="eastAsia"/>
                                      <w:lang w:val="en-US" w:eastAsia="zh-CN"/>
                                    </w:rPr>
                                    <w:t>N</w:t>
                                  </w:r>
                                  <w:r>
                                    <w:rPr>
                                      <w:rFonts w:hint="eastAsia"/>
                                      <w:vertAlign w:val="subscript"/>
                                      <w:lang w:val="en-US" w:eastAsia="zh-CN"/>
                                    </w:rPr>
                                    <w:t xml:space="preserve">2 </w:t>
                                  </w:r>
                                  <w:r>
                                    <w:rPr>
                                      <w:rFonts w:hint="eastAsia"/>
                                      <w:lang w:val="en-US" w:eastAsia="zh-CN"/>
                                    </w:rPr>
                                    <w:t xml:space="preserve"> </w:t>
                                  </w:r>
                                </w:p>
                              </w:txbxContent>
                            </wps:txbx>
                            <wps:bodyPr upright="1"/>
                          </wps:wsp>
                        </a:graphicData>
                      </a:graphic>
                    </wp:anchor>
                  </w:drawing>
                </mc:Choice>
                <mc:Fallback>
                  <w:pict>
                    <v:shape id="_x0000_s1026" o:spid="_x0000_s1026" o:spt="202" type="#_x0000_t202" style="position:absolute;left:0pt;margin-left:151.3pt;margin-top:9.4pt;height:23.4pt;width:47.55pt;z-index:251663360;mso-width-relative:page;mso-height-relative:page;" filled="f" stroked="f" coordsize="21600,21600" o:gfxdata="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H0ekXX&#10;AAAACQEAAA8AAAAAAAAAAQAgAAAAIgAAAGRycy9kb3ducmV2LnhtbFBLAQIUABQAAAAIAIdO4kCc&#10;UK1RrwEAAFEDAAAOAAAAAAAAAAEAIAAAACYBAABkcnMvZTJvRG9jLnhtbFBLBQYAAAAABgAGAFkB&#10;AABHBQAAAAA=&#10;">
                      <v:fill on="f" focussize="0,0"/>
                      <v:stroke on="f"/>
                      <v:imagedata o:title=""/>
                      <o:lock v:ext="edit" aspectratio="f"/>
                      <v:textbox>
                        <w:txbxContent>
                          <w:p w14:paraId="6465DF78">
                            <w:pPr>
                              <w:rPr>
                                <w:rFonts w:hint="default"/>
                                <w:lang w:val="en-US"/>
                              </w:rPr>
                            </w:pPr>
                            <w:r>
                              <w:rPr>
                                <w:rFonts w:hint="eastAsia"/>
                                <w:lang w:val="en-US" w:eastAsia="zh-CN"/>
                              </w:rPr>
                              <w:t xml:space="preserve"> W</w:t>
                            </w:r>
                            <w:r>
                              <w:rPr>
                                <w:rFonts w:hint="eastAsia"/>
                                <w:vertAlign w:val="subscript"/>
                                <w:lang w:val="en-US" w:eastAsia="zh-CN"/>
                              </w:rPr>
                              <w:t xml:space="preserve">1 </w:t>
                            </w:r>
                            <w:r>
                              <w:rPr>
                                <w:rFonts w:hint="eastAsia"/>
                                <w:lang w:val="en-US" w:eastAsia="zh-CN"/>
                              </w:rPr>
                              <w:t>N</w:t>
                            </w:r>
                            <w:r>
                              <w:rPr>
                                <w:rFonts w:hint="eastAsia"/>
                                <w:vertAlign w:val="subscript"/>
                                <w:lang w:val="en-US" w:eastAsia="zh-CN"/>
                              </w:rPr>
                              <w:t xml:space="preserve">2 </w:t>
                            </w:r>
                            <w:r>
                              <w:rPr>
                                <w:rFonts w:hint="eastAsia"/>
                                <w:lang w:val="en-US" w:eastAsia="zh-CN"/>
                              </w:rPr>
                              <w:t xml:space="preserve"> </w:t>
                            </w:r>
                          </w:p>
                        </w:txbxContent>
                      </v:textbox>
                    </v:shap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717632" behindDoc="0" locked="0" layoutInCell="1" allowOverlap="1">
                      <wp:simplePos x="0" y="0"/>
                      <wp:positionH relativeFrom="column">
                        <wp:posOffset>1003300</wp:posOffset>
                      </wp:positionH>
                      <wp:positionV relativeFrom="paragraph">
                        <wp:posOffset>136525</wp:posOffset>
                      </wp:positionV>
                      <wp:extent cx="450215" cy="29718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450215" cy="297180"/>
                              </a:xfrm>
                              <a:prstGeom prst="rect">
                                <a:avLst/>
                              </a:prstGeom>
                              <a:noFill/>
                              <a:ln>
                                <a:noFill/>
                              </a:ln>
                            </wps:spPr>
                            <wps:txbx>
                              <w:txbxContent>
                                <w:p w14:paraId="4EC6AFC5">
                                  <w:pPr>
                                    <w:rPr>
                                      <w:rFonts w:hint="default"/>
                                      <w:lang w:val="en-US"/>
                                    </w:rPr>
                                  </w:pPr>
                                  <w:r>
                                    <w:rPr>
                                      <w:rFonts w:hint="eastAsia"/>
                                      <w:lang w:val="en-US" w:eastAsia="zh-CN"/>
                                    </w:rPr>
                                    <w:t xml:space="preserve"> N</w:t>
                                  </w:r>
                                  <w:r>
                                    <w:rPr>
                                      <w:rFonts w:hint="eastAsia"/>
                                      <w:vertAlign w:val="subscript"/>
                                      <w:lang w:val="en-US" w:eastAsia="zh-CN"/>
                                    </w:rPr>
                                    <w:t>1</w:t>
                                  </w:r>
                                  <w:r>
                                    <w:rPr>
                                      <w:rFonts w:hint="eastAsia"/>
                                      <w:lang w:val="en-US" w:eastAsia="zh-CN"/>
                                    </w:rPr>
                                    <w:t xml:space="preserve">  </w:t>
                                  </w:r>
                                </w:p>
                              </w:txbxContent>
                            </wps:txbx>
                            <wps:bodyPr upright="1"/>
                          </wps:wsp>
                        </a:graphicData>
                      </a:graphic>
                    </wp:anchor>
                  </w:drawing>
                </mc:Choice>
                <mc:Fallback>
                  <w:pict>
                    <v:shape id="_x0000_s1026" o:spid="_x0000_s1026" o:spt="202" type="#_x0000_t202" style="position:absolute;left:0pt;margin-left:79pt;margin-top:10.75pt;height:23.4pt;width:35.45pt;z-index:251717632;mso-width-relative:page;mso-height-relative:page;" filled="f" stroked="f" coordsize="21600,21600" o:gfxdata="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lZxtNYA&#10;AAAJAQAADwAAAAAAAAABACAAAAAiAAAAZHJzL2Rvd25yZXYueG1sUEsBAhQAFAAAAAgAh07iQHMU&#10;9XKvAQAATwMAAA4AAAAAAAAAAQAgAAAAJQEAAGRycy9lMm9Eb2MueG1sUEsFBgAAAAAGAAYAWQEA&#10;AEYFAAAAAA==&#10;">
                      <v:fill on="f" focussize="0,0"/>
                      <v:stroke on="f"/>
                      <v:imagedata o:title=""/>
                      <o:lock v:ext="edit" aspectratio="f"/>
                      <v:textbox>
                        <w:txbxContent>
                          <w:p w14:paraId="4EC6AFC5">
                            <w:pPr>
                              <w:rPr>
                                <w:rFonts w:hint="default"/>
                                <w:lang w:val="en-US"/>
                              </w:rPr>
                            </w:pPr>
                            <w:r>
                              <w:rPr>
                                <w:rFonts w:hint="eastAsia"/>
                                <w:lang w:val="en-US" w:eastAsia="zh-CN"/>
                              </w:rPr>
                              <w:t xml:space="preserve"> N</w:t>
                            </w:r>
                            <w:r>
                              <w:rPr>
                                <w:rFonts w:hint="eastAsia"/>
                                <w:vertAlign w:val="subscript"/>
                                <w:lang w:val="en-US" w:eastAsia="zh-CN"/>
                              </w:rPr>
                              <w:t>1</w:t>
                            </w:r>
                            <w:r>
                              <w:rPr>
                                <w:rFonts w:hint="eastAsia"/>
                                <w:lang w:val="en-US" w:eastAsia="zh-CN"/>
                              </w:rPr>
                              <w:t xml:space="preserve">  </w:t>
                            </w:r>
                          </w:p>
                        </w:txbxContent>
                      </v:textbox>
                    </v:shape>
                  </w:pict>
                </mc:Fallback>
              </mc:AlternateContent>
            </w:r>
          </w:p>
          <w:p w14:paraId="318E70FA">
            <w:pPr>
              <w:tabs>
                <w:tab w:val="left" w:pos="2838"/>
              </w:tabs>
              <w:spacing w:line="500" w:lineRule="exact"/>
              <w:ind w:firstLine="442" w:firstLineChars="200"/>
              <w:rPr>
                <w:rFonts w:hint="default" w:ascii="Times New Roman" w:hAnsi="Times New Roman" w:cs="Times New Roman"/>
                <w:b/>
                <w:color w:val="auto"/>
                <w:sz w:val="22"/>
              </w:rPr>
            </w:pPr>
            <w:r>
              <w:rPr>
                <w:rFonts w:hint="default" w:ascii="Times New Roman" w:hAnsi="Times New Roman" w:cs="Times New Roman"/>
                <w:b/>
                <w:color w:val="auto"/>
                <w:sz w:val="22"/>
              </w:rPr>
              <mc:AlternateContent>
                <mc:Choice Requires="wps">
                  <w:drawing>
                    <wp:anchor distT="0" distB="0" distL="114300" distR="114300" simplePos="0" relativeHeight="251739136" behindDoc="0" locked="0" layoutInCell="1" allowOverlap="1">
                      <wp:simplePos x="0" y="0"/>
                      <wp:positionH relativeFrom="column">
                        <wp:posOffset>423545</wp:posOffset>
                      </wp:positionH>
                      <wp:positionV relativeFrom="paragraph">
                        <wp:posOffset>154940</wp:posOffset>
                      </wp:positionV>
                      <wp:extent cx="506730" cy="285750"/>
                      <wp:effectExtent l="4445" t="4445" r="22225" b="14605"/>
                      <wp:wrapNone/>
                      <wp:docPr id="49" name="矩形 49"/>
                      <wp:cNvGraphicFramePr/>
                      <a:graphic xmlns:a="http://schemas.openxmlformats.org/drawingml/2006/main">
                        <a:graphicData uri="http://schemas.microsoft.com/office/word/2010/wordprocessingShape">
                          <wps:wsp>
                            <wps:cNvSpPr/>
                            <wps:spPr>
                              <a:xfrm>
                                <a:off x="0" y="0"/>
                                <a:ext cx="506730" cy="285750"/>
                              </a:xfrm>
                              <a:prstGeom prst="rect">
                                <a:avLst/>
                              </a:prstGeom>
                              <a:gradFill rotWithShape="0">
                                <a:gsLst>
                                  <a:gs pos="0">
                                    <a:srgbClr val="FFFFFF"/>
                                  </a:gs>
                                  <a:gs pos="100000">
                                    <a:srgbClr val="FFFFFF"/>
                                  </a:gs>
                                </a:gsLst>
                                <a:lin ang="0"/>
                                <a:tileRect/>
                              </a:gradFill>
                              <a:ln w="6350" cap="flat" cmpd="sng">
                                <a:solidFill>
                                  <a:schemeClr val="tx1"/>
                                </a:solidFill>
                                <a:prstDash val="solid"/>
                                <a:miter/>
                                <a:headEnd type="none" w="med" len="med"/>
                                <a:tailEnd type="none" w="med" len="med"/>
                              </a:ln>
                            </wps:spPr>
                            <wps:txbx>
                              <w:txbxContent>
                                <w:p w14:paraId="465D8A20">
                                  <w:pPr>
                                    <w:jc w:val="center"/>
                                    <w:rPr>
                                      <w:rFonts w:hint="default" w:eastAsia="宋体"/>
                                      <w:color w:val="auto"/>
                                      <w:lang w:val="en-US" w:eastAsia="zh-CN"/>
                                    </w:rPr>
                                  </w:pPr>
                                  <w:r>
                                    <w:rPr>
                                      <w:rFonts w:hint="eastAsia"/>
                                      <w:color w:val="auto"/>
                                      <w:lang w:val="en-US" w:eastAsia="zh-CN"/>
                                    </w:rPr>
                                    <w:t>包装</w:t>
                                  </w:r>
                                </w:p>
                              </w:txbxContent>
                            </wps:txbx>
                            <wps:bodyPr upright="1"/>
                          </wps:wsp>
                        </a:graphicData>
                      </a:graphic>
                    </wp:anchor>
                  </w:drawing>
                </mc:Choice>
                <mc:Fallback>
                  <w:pict>
                    <v:rect id="_x0000_s1026" o:spid="_x0000_s1026" o:spt="1" style="position:absolute;left:0pt;margin-left:33.35pt;margin-top:12.2pt;height:22.5pt;width:39.9pt;z-index:251739136;mso-width-relative:page;mso-height-relative:page;" fillcolor="#FFFFFF" filled="t" stroked="t" coordsize="21600,21600" o:gfxdata="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etsd7YAAAACAEAAA8AAAAAAAAAAQAgAAAAIgAAAGRycy9k&#10;b3ducmV2LnhtbFBLAQIUABQAAAAIAIdO4kArvFYOOwIAALEEAAAOAAAAAAAAAAEAIAAAACcBAABk&#10;cnMvZTJvRG9jLnhtbFBLBQYAAAAABgAGAFkBAADUBQAAAAA=&#10;">
                      <v:fill type="gradient" on="t" color2="#FFFFFF" angle="90" focus="100%" focussize="0,0">
                        <o:fill type="gradientUnscaled" v:ext="backwardCompatible"/>
                      </v:fill>
                      <v:stroke weight="0.5pt" color="#000000 [3213]" joinstyle="miter"/>
                      <v:imagedata o:title=""/>
                      <o:lock v:ext="edit" aspectratio="f"/>
                      <v:textbox>
                        <w:txbxContent>
                          <w:p w14:paraId="465D8A20">
                            <w:pPr>
                              <w:jc w:val="center"/>
                              <w:rPr>
                                <w:rFonts w:hint="default" w:eastAsia="宋体"/>
                                <w:color w:val="auto"/>
                                <w:lang w:val="en-US" w:eastAsia="zh-CN"/>
                              </w:rPr>
                            </w:pPr>
                            <w:r>
                              <w:rPr>
                                <w:rFonts w:hint="eastAsia"/>
                                <w:color w:val="auto"/>
                                <w:lang w:val="en-US" w:eastAsia="zh-CN"/>
                              </w:rPr>
                              <w:t>包装</w:t>
                            </w:r>
                          </w:p>
                        </w:txbxContent>
                      </v:textbox>
                    </v:rect>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748352" behindDoc="0" locked="0" layoutInCell="1" allowOverlap="1">
                      <wp:simplePos x="0" y="0"/>
                      <wp:positionH relativeFrom="column">
                        <wp:posOffset>938530</wp:posOffset>
                      </wp:positionH>
                      <wp:positionV relativeFrom="paragraph">
                        <wp:posOffset>311150</wp:posOffset>
                      </wp:positionV>
                      <wp:extent cx="318135" cy="3175"/>
                      <wp:effectExtent l="0" t="35560" r="5715" b="37465"/>
                      <wp:wrapNone/>
                      <wp:docPr id="58" name="直接连接符 58"/>
                      <wp:cNvGraphicFramePr/>
                      <a:graphic xmlns:a="http://schemas.openxmlformats.org/drawingml/2006/main">
                        <a:graphicData uri="http://schemas.microsoft.com/office/word/2010/wordprocessingShape">
                          <wps:wsp>
                            <wps:cNvCnPr/>
                            <wps:spPr>
                              <a:xfrm flipH="1">
                                <a:off x="0" y="0"/>
                                <a:ext cx="318135" cy="3175"/>
                              </a:xfrm>
                              <a:prstGeom prst="line">
                                <a:avLst/>
                              </a:prstGeom>
                              <a:ln w="9525" cap="flat" cmpd="sng">
                                <a:solidFill>
                                  <a:schemeClr val="tx1"/>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73.9pt;margin-top:24.5pt;height:0.25pt;width:25.05pt;z-index:251748352;mso-width-relative:page;mso-height-relative:page;" filled="f" stroked="t" coordsize="21600,21600" o:gfxdata="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&#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Q8M6nYAAAACQEAAA8AAAAAAAAAAQAgAAAAIgAAAGRy&#10;cy9kb3ducmV2LnhtbFBLAQIUABQAAAAIAIdO4kCHzBzDBQIAAPYDAAAOAAAAAAAAAAEAIAAAACcB&#10;AABkcnMvZTJvRG9jLnhtbFBLBQYAAAAABgAGAFkBAACeBQAAAAA=&#10;">
                      <v:fill on="f" focussize="0,0"/>
                      <v:stroke color="#000000 [3213]" joinstyle="round" endarrow="block"/>
                      <v:imagedata o:title=""/>
                      <o:lock v:ext="edit" aspectratio="f"/>
                    </v:line>
                  </w:pict>
                </mc:Fallback>
              </mc:AlternateContent>
            </w:r>
            <w:r>
              <w:rPr>
                <w:rFonts w:hint="default" w:ascii="Times New Roman" w:hAnsi="Times New Roman" w:cs="Times New Roman"/>
                <w:b/>
                <w:color w:val="auto"/>
                <w:sz w:val="22"/>
              </w:rPr>
              <mc:AlternateContent>
                <mc:Choice Requires="wps">
                  <w:drawing>
                    <wp:anchor distT="0" distB="0" distL="114300" distR="114300" simplePos="0" relativeHeight="251745280" behindDoc="0" locked="0" layoutInCell="1" allowOverlap="1">
                      <wp:simplePos x="0" y="0"/>
                      <wp:positionH relativeFrom="column">
                        <wp:posOffset>1261745</wp:posOffset>
                      </wp:positionH>
                      <wp:positionV relativeFrom="paragraph">
                        <wp:posOffset>158115</wp:posOffset>
                      </wp:positionV>
                      <wp:extent cx="640080" cy="285750"/>
                      <wp:effectExtent l="5080" t="4445" r="21590" b="14605"/>
                      <wp:wrapNone/>
                      <wp:docPr id="55" name="矩形 55"/>
                      <wp:cNvGraphicFramePr/>
                      <a:graphic xmlns:a="http://schemas.openxmlformats.org/drawingml/2006/main">
                        <a:graphicData uri="http://schemas.microsoft.com/office/word/2010/wordprocessingShape">
                          <wps:wsp>
                            <wps:cNvSpPr/>
                            <wps:spPr>
                              <a:xfrm>
                                <a:off x="0" y="0"/>
                                <a:ext cx="640080" cy="285750"/>
                              </a:xfrm>
                              <a:prstGeom prst="rect">
                                <a:avLst/>
                              </a:prstGeom>
                              <a:gradFill rotWithShape="0">
                                <a:gsLst>
                                  <a:gs pos="0">
                                    <a:srgbClr val="FFFFFF"/>
                                  </a:gs>
                                  <a:gs pos="100000">
                                    <a:srgbClr val="FFFFFF"/>
                                  </a:gs>
                                </a:gsLst>
                                <a:lin ang="0"/>
                                <a:tileRect/>
                              </a:gradFill>
                              <a:ln w="6350" cap="flat" cmpd="sng">
                                <a:solidFill>
                                  <a:schemeClr val="tx1"/>
                                </a:solidFill>
                                <a:prstDash val="solid"/>
                                <a:miter/>
                                <a:headEnd type="none" w="med" len="med"/>
                                <a:tailEnd type="none" w="med" len="med"/>
                              </a:ln>
                            </wps:spPr>
                            <wps:txbx>
                              <w:txbxContent>
                                <w:p w14:paraId="50A75A96">
                                  <w:pPr>
                                    <w:jc w:val="center"/>
                                    <w:rPr>
                                      <w:rFonts w:hint="default" w:eastAsia="宋体"/>
                                      <w:color w:val="auto"/>
                                      <w:lang w:val="en-US" w:eastAsia="zh-CN"/>
                                    </w:rPr>
                                  </w:pPr>
                                  <w:r>
                                    <w:rPr>
                                      <w:rFonts w:hint="eastAsia"/>
                                      <w:color w:val="auto"/>
                                      <w:lang w:val="en-US" w:eastAsia="zh-CN"/>
                                    </w:rPr>
                                    <w:t>储料罐</w:t>
                                  </w:r>
                                </w:p>
                              </w:txbxContent>
                            </wps:txbx>
                            <wps:bodyPr upright="1"/>
                          </wps:wsp>
                        </a:graphicData>
                      </a:graphic>
                    </wp:anchor>
                  </w:drawing>
                </mc:Choice>
                <mc:Fallback>
                  <w:pict>
                    <v:rect id="_x0000_s1026" o:spid="_x0000_s1026" o:spt="1" style="position:absolute;left:0pt;margin-left:99.35pt;margin-top:12.45pt;height:22.5pt;width:50.4pt;z-index:251745280;mso-width-relative:page;mso-height-relative:page;" fillcolor="#FFFFFF" filled="t" stroked="t" coordsize="21600,21600" o:gfxdata="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L5Mnj2AAAAAkBAAAPAAAAAAAAAAEAIAAAACIAAABkcnMvZG93&#10;bnJldi54bWxQSwECFAAUAAAACACHTuJABD0QsjkCAACxBAAADgAAAAAAAAABACAAAAAnAQAAZHJz&#10;L2Uyb0RvYy54bWxQSwUGAAAAAAYABgBZAQAA0gUAAAAA&#10;">
                      <v:fill type="gradient" on="t" color2="#FFFFFF" angle="90" focus="100%" focussize="0,0">
                        <o:fill type="gradientUnscaled" v:ext="backwardCompatible"/>
                      </v:fill>
                      <v:stroke weight="0.5pt" color="#000000 [3213]" joinstyle="miter"/>
                      <v:imagedata o:title=""/>
                      <o:lock v:ext="edit" aspectratio="f"/>
                      <v:textbox>
                        <w:txbxContent>
                          <w:p w14:paraId="50A75A96">
                            <w:pPr>
                              <w:jc w:val="center"/>
                              <w:rPr>
                                <w:rFonts w:hint="default" w:eastAsia="宋体"/>
                                <w:color w:val="auto"/>
                                <w:lang w:val="en-US" w:eastAsia="zh-CN"/>
                              </w:rPr>
                            </w:pPr>
                            <w:r>
                              <w:rPr>
                                <w:rFonts w:hint="eastAsia"/>
                                <w:color w:val="auto"/>
                                <w:lang w:val="en-US" w:eastAsia="zh-CN"/>
                              </w:rPr>
                              <w:t>储料罐</w:t>
                            </w:r>
                          </w:p>
                        </w:txbxContent>
                      </v:textbox>
                    </v:rect>
                  </w:pict>
                </mc:Fallback>
              </mc:AlternateContent>
            </w:r>
            <w:r>
              <w:rPr>
                <w:rFonts w:hint="default" w:ascii="Times New Roman" w:hAnsi="Times New Roman" w:cs="Times New Roman"/>
                <w:b/>
                <w:color w:val="auto"/>
                <w:sz w:val="22"/>
              </w:rPr>
              <mc:AlternateContent>
                <mc:Choice Requires="wps">
                  <w:drawing>
                    <wp:anchor distT="0" distB="0" distL="114300" distR="114300" simplePos="0" relativeHeight="251746304" behindDoc="0" locked="0" layoutInCell="1" allowOverlap="1">
                      <wp:simplePos x="0" y="0"/>
                      <wp:positionH relativeFrom="column">
                        <wp:posOffset>2214245</wp:posOffset>
                      </wp:positionH>
                      <wp:positionV relativeFrom="paragraph">
                        <wp:posOffset>167640</wp:posOffset>
                      </wp:positionV>
                      <wp:extent cx="506730" cy="285750"/>
                      <wp:effectExtent l="4445" t="4445" r="22225" b="14605"/>
                      <wp:wrapNone/>
                      <wp:docPr id="56" name="矩形 56"/>
                      <wp:cNvGraphicFramePr/>
                      <a:graphic xmlns:a="http://schemas.openxmlformats.org/drawingml/2006/main">
                        <a:graphicData uri="http://schemas.microsoft.com/office/word/2010/wordprocessingShape">
                          <wps:wsp>
                            <wps:cNvSpPr/>
                            <wps:spPr>
                              <a:xfrm>
                                <a:off x="0" y="0"/>
                                <a:ext cx="506730" cy="285750"/>
                              </a:xfrm>
                              <a:prstGeom prst="rect">
                                <a:avLst/>
                              </a:prstGeom>
                              <a:gradFill rotWithShape="0">
                                <a:gsLst>
                                  <a:gs pos="0">
                                    <a:srgbClr val="FFFFFF"/>
                                  </a:gs>
                                  <a:gs pos="100000">
                                    <a:srgbClr val="FFFFFF"/>
                                  </a:gs>
                                </a:gsLst>
                                <a:lin ang="0"/>
                                <a:tileRect/>
                              </a:gradFill>
                              <a:ln w="6350" cap="flat" cmpd="sng">
                                <a:solidFill>
                                  <a:schemeClr val="tx1"/>
                                </a:solidFill>
                                <a:prstDash val="solid"/>
                                <a:miter/>
                                <a:headEnd type="none" w="med" len="med"/>
                                <a:tailEnd type="none" w="med" len="med"/>
                              </a:ln>
                            </wps:spPr>
                            <wps:txbx>
                              <w:txbxContent>
                                <w:p w14:paraId="46897155">
                                  <w:pPr>
                                    <w:jc w:val="center"/>
                                    <w:rPr>
                                      <w:rFonts w:hint="default" w:eastAsia="宋体"/>
                                      <w:color w:val="auto"/>
                                      <w:lang w:val="en-US" w:eastAsia="zh-CN"/>
                                    </w:rPr>
                                  </w:pPr>
                                  <w:r>
                                    <w:rPr>
                                      <w:rFonts w:hint="eastAsia"/>
                                      <w:color w:val="auto"/>
                                      <w:lang w:val="en-US" w:eastAsia="zh-CN"/>
                                    </w:rPr>
                                    <w:t>切料</w:t>
                                  </w:r>
                                </w:p>
                              </w:txbxContent>
                            </wps:txbx>
                            <wps:bodyPr upright="1"/>
                          </wps:wsp>
                        </a:graphicData>
                      </a:graphic>
                    </wp:anchor>
                  </w:drawing>
                </mc:Choice>
                <mc:Fallback>
                  <w:pict>
                    <v:rect id="_x0000_s1026" o:spid="_x0000_s1026" o:spt="1" style="position:absolute;left:0pt;margin-left:174.35pt;margin-top:13.2pt;height:22.5pt;width:39.9pt;z-index:251746304;mso-width-relative:page;mso-height-relative:page;" fillcolor="#FFFFFF" filled="t" stroked="t" coordsize="21600,21600" o:gfxdata="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mGBOT2gAAAAkBAAAPAAAAAAAAAAEAIAAAACIAAABkcnMv&#10;ZG93bnJldi54bWxQSwECFAAUAAAACACHTuJAlQ3XFjoCAACxBAAADgAAAAAAAAABACAAAAApAQAA&#10;ZHJzL2Uyb0RvYy54bWxQSwUGAAAAAAYABgBZAQAA1QUAAAAA&#10;">
                      <v:fill type="gradient" on="t" color2="#FFFFFF" angle="90" focus="100%" focussize="0,0">
                        <o:fill type="gradientUnscaled" v:ext="backwardCompatible"/>
                      </v:fill>
                      <v:stroke weight="0.5pt" color="#000000 [3213]" joinstyle="miter"/>
                      <v:imagedata o:title=""/>
                      <o:lock v:ext="edit" aspectratio="f"/>
                      <v:textbox>
                        <w:txbxContent>
                          <w:p w14:paraId="46897155">
                            <w:pPr>
                              <w:jc w:val="center"/>
                              <w:rPr>
                                <w:rFonts w:hint="default" w:eastAsia="宋体"/>
                                <w:color w:val="auto"/>
                                <w:lang w:val="en-US" w:eastAsia="zh-CN"/>
                              </w:rPr>
                            </w:pPr>
                            <w:r>
                              <w:rPr>
                                <w:rFonts w:hint="eastAsia"/>
                                <w:color w:val="auto"/>
                                <w:lang w:val="en-US" w:eastAsia="zh-CN"/>
                              </w:rPr>
                              <w:t>切料</w:t>
                            </w:r>
                          </w:p>
                        </w:txbxContent>
                      </v:textbox>
                    </v:rect>
                  </w:pict>
                </mc:Fallback>
              </mc:AlternateContent>
            </w:r>
            <w:r>
              <w:rPr>
                <w:rFonts w:hint="default" w:ascii="Times New Roman" w:hAnsi="Times New Roman" w:cs="Times New Roman"/>
                <w:b/>
                <w:color w:val="auto"/>
                <w:sz w:val="22"/>
              </w:rPr>
              <mc:AlternateContent>
                <mc:Choice Requires="wps">
                  <w:drawing>
                    <wp:anchor distT="0" distB="0" distL="114300" distR="114300" simplePos="0" relativeHeight="251747328" behindDoc="0" locked="0" layoutInCell="1" allowOverlap="1">
                      <wp:simplePos x="0" y="0"/>
                      <wp:positionH relativeFrom="column">
                        <wp:posOffset>3052445</wp:posOffset>
                      </wp:positionH>
                      <wp:positionV relativeFrom="paragraph">
                        <wp:posOffset>158115</wp:posOffset>
                      </wp:positionV>
                      <wp:extent cx="506730" cy="285750"/>
                      <wp:effectExtent l="4445" t="4445" r="22225" b="14605"/>
                      <wp:wrapNone/>
                      <wp:docPr id="57" name="矩形 57"/>
                      <wp:cNvGraphicFramePr/>
                      <a:graphic xmlns:a="http://schemas.openxmlformats.org/drawingml/2006/main">
                        <a:graphicData uri="http://schemas.microsoft.com/office/word/2010/wordprocessingShape">
                          <wps:wsp>
                            <wps:cNvSpPr/>
                            <wps:spPr>
                              <a:xfrm>
                                <a:off x="0" y="0"/>
                                <a:ext cx="506730" cy="285750"/>
                              </a:xfrm>
                              <a:prstGeom prst="rect">
                                <a:avLst/>
                              </a:prstGeom>
                              <a:gradFill rotWithShape="0">
                                <a:gsLst>
                                  <a:gs pos="0">
                                    <a:srgbClr val="FFFFFF"/>
                                  </a:gs>
                                  <a:gs pos="100000">
                                    <a:srgbClr val="FFFFFF"/>
                                  </a:gs>
                                </a:gsLst>
                                <a:lin ang="0"/>
                                <a:tileRect/>
                              </a:gradFill>
                              <a:ln w="6350" cap="flat" cmpd="sng">
                                <a:solidFill>
                                  <a:schemeClr val="tx1"/>
                                </a:solidFill>
                                <a:prstDash val="solid"/>
                                <a:miter/>
                                <a:headEnd type="none" w="med" len="med"/>
                                <a:tailEnd type="none" w="med" len="med"/>
                              </a:ln>
                            </wps:spPr>
                            <wps:txbx>
                              <w:txbxContent>
                                <w:p w14:paraId="7AB53186">
                                  <w:pPr>
                                    <w:jc w:val="center"/>
                                    <w:rPr>
                                      <w:rFonts w:hint="default" w:eastAsia="宋体"/>
                                      <w:color w:val="auto"/>
                                      <w:lang w:val="en-US" w:eastAsia="zh-CN"/>
                                    </w:rPr>
                                  </w:pPr>
                                  <w:r>
                                    <w:rPr>
                                      <w:rFonts w:hint="eastAsia"/>
                                      <w:color w:val="auto"/>
                                      <w:lang w:val="en-US" w:eastAsia="zh-CN"/>
                                    </w:rPr>
                                    <w:t>冷却</w:t>
                                  </w:r>
                                </w:p>
                              </w:txbxContent>
                            </wps:txbx>
                            <wps:bodyPr upright="1"/>
                          </wps:wsp>
                        </a:graphicData>
                      </a:graphic>
                    </wp:anchor>
                  </w:drawing>
                </mc:Choice>
                <mc:Fallback>
                  <w:pict>
                    <v:rect id="_x0000_s1026" o:spid="_x0000_s1026" o:spt="1" style="position:absolute;left:0pt;margin-left:240.35pt;margin-top:12.45pt;height:22.5pt;width:39.9pt;z-index:251747328;mso-width-relative:page;mso-height-relative:page;" fillcolor="#FFFFFF" filled="t" stroked="t" coordsize="21600,21600" o:gfxdata="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1+iHLZAAAACQEAAA8AAAAAAAAAAQAgAAAAIgAAAGRycy9k&#10;b3ducmV2LnhtbFBLAQIUABQAAAAIAIdO4kBuX2A3OgIAALEEAAAOAAAAAAAAAAEAIAAAACgBAABk&#10;cnMvZTJvRG9jLnhtbFBLBQYAAAAABgAGAFkBAADUBQAAAAA=&#10;">
                      <v:fill type="gradient" on="t" color2="#FFFFFF" angle="90" focus="100%" focussize="0,0">
                        <o:fill type="gradientUnscaled" v:ext="backwardCompatible"/>
                      </v:fill>
                      <v:stroke weight="0.5pt" color="#000000 [3213]" joinstyle="miter"/>
                      <v:imagedata o:title=""/>
                      <o:lock v:ext="edit" aspectratio="f"/>
                      <v:textbox>
                        <w:txbxContent>
                          <w:p w14:paraId="7AB53186">
                            <w:pPr>
                              <w:jc w:val="center"/>
                              <w:rPr>
                                <w:rFonts w:hint="default" w:eastAsia="宋体"/>
                                <w:color w:val="auto"/>
                                <w:lang w:val="en-US" w:eastAsia="zh-CN"/>
                              </w:rPr>
                            </w:pPr>
                            <w:r>
                              <w:rPr>
                                <w:rFonts w:hint="eastAsia"/>
                                <w:color w:val="auto"/>
                                <w:lang w:val="en-US" w:eastAsia="zh-CN"/>
                              </w:rPr>
                              <w:t>冷却</w:t>
                            </w:r>
                          </w:p>
                        </w:txbxContent>
                      </v:textbox>
                    </v:rect>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751424" behindDoc="0" locked="0" layoutInCell="1" allowOverlap="1">
                      <wp:simplePos x="0" y="0"/>
                      <wp:positionH relativeFrom="column">
                        <wp:posOffset>3586480</wp:posOffset>
                      </wp:positionH>
                      <wp:positionV relativeFrom="paragraph">
                        <wp:posOffset>311150</wp:posOffset>
                      </wp:positionV>
                      <wp:extent cx="318135" cy="3175"/>
                      <wp:effectExtent l="0" t="35560" r="5715" b="37465"/>
                      <wp:wrapNone/>
                      <wp:docPr id="61" name="直接连接符 61"/>
                      <wp:cNvGraphicFramePr/>
                      <a:graphic xmlns:a="http://schemas.openxmlformats.org/drawingml/2006/main">
                        <a:graphicData uri="http://schemas.microsoft.com/office/word/2010/wordprocessingShape">
                          <wps:wsp>
                            <wps:cNvCnPr/>
                            <wps:spPr>
                              <a:xfrm flipH="1">
                                <a:off x="0" y="0"/>
                                <a:ext cx="318135" cy="3175"/>
                              </a:xfrm>
                              <a:prstGeom prst="line">
                                <a:avLst/>
                              </a:prstGeom>
                              <a:ln w="9525" cap="flat" cmpd="sng">
                                <a:solidFill>
                                  <a:schemeClr val="tx1"/>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82.4pt;margin-top:24.5pt;height:0.25pt;width:25.05pt;z-index:251751424;mso-width-relative:page;mso-height-relative:page;" filled="f" stroked="t" coordsize="21600,21600" o:gfxdata="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vNd4O2QAAAAkBAAAPAAAAAAAAAAEAIAAAACIAAABk&#10;cnMvZG93bnJldi54bWxQSwECFAAUAAAACACHTuJA4Y1G2QUCAAD2AwAADgAAAAAAAAABACAAAAAo&#10;AQAAZHJzL2Uyb0RvYy54bWxQSwUGAAAAAAYABgBZAQAAnwUAAAAA&#10;">
                      <v:fill on="f" focussize="0,0"/>
                      <v:stroke color="#000000 [3213]" joinstyle="round" endarrow="block"/>
                      <v:imagedata o:title=""/>
                      <o:lock v:ext="edit" aspectratio="f"/>
                    </v:line>
                  </w:pict>
                </mc:Fallback>
              </mc:AlternateContent>
            </w:r>
            <w:r>
              <w:rPr>
                <w:rFonts w:hint="default" w:ascii="Times New Roman" w:hAnsi="Times New Roman" w:cs="Times New Roman"/>
                <w:b/>
                <w:color w:val="auto"/>
                <w:sz w:val="22"/>
              </w:rPr>
              <mc:AlternateContent>
                <mc:Choice Requires="wps">
                  <w:drawing>
                    <wp:anchor distT="0" distB="0" distL="114300" distR="114300" simplePos="0" relativeHeight="251740160" behindDoc="0" locked="0" layoutInCell="1" allowOverlap="1">
                      <wp:simplePos x="0" y="0"/>
                      <wp:positionH relativeFrom="column">
                        <wp:posOffset>3900170</wp:posOffset>
                      </wp:positionH>
                      <wp:positionV relativeFrom="paragraph">
                        <wp:posOffset>148590</wp:posOffset>
                      </wp:positionV>
                      <wp:extent cx="506730" cy="285750"/>
                      <wp:effectExtent l="4445" t="4445" r="22225" b="14605"/>
                      <wp:wrapNone/>
                      <wp:docPr id="50" name="矩形 50"/>
                      <wp:cNvGraphicFramePr/>
                      <a:graphic xmlns:a="http://schemas.openxmlformats.org/drawingml/2006/main">
                        <a:graphicData uri="http://schemas.microsoft.com/office/word/2010/wordprocessingShape">
                          <wps:wsp>
                            <wps:cNvSpPr/>
                            <wps:spPr>
                              <a:xfrm>
                                <a:off x="0" y="0"/>
                                <a:ext cx="506730" cy="285750"/>
                              </a:xfrm>
                              <a:prstGeom prst="rect">
                                <a:avLst/>
                              </a:prstGeom>
                              <a:gradFill rotWithShape="0">
                                <a:gsLst>
                                  <a:gs pos="0">
                                    <a:srgbClr val="FFFFFF"/>
                                  </a:gs>
                                  <a:gs pos="100000">
                                    <a:srgbClr val="FFFFFF"/>
                                  </a:gs>
                                </a:gsLst>
                                <a:lin ang="0"/>
                                <a:tileRect/>
                              </a:gradFill>
                              <a:ln w="6350" cap="flat" cmpd="sng">
                                <a:solidFill>
                                  <a:schemeClr val="tx1"/>
                                </a:solidFill>
                                <a:prstDash val="solid"/>
                                <a:miter/>
                                <a:headEnd type="none" w="med" len="med"/>
                                <a:tailEnd type="none" w="med" len="med"/>
                              </a:ln>
                            </wps:spPr>
                            <wps:txbx>
                              <w:txbxContent>
                                <w:p w14:paraId="2207B33F">
                                  <w:pPr>
                                    <w:jc w:val="center"/>
                                    <w:rPr>
                                      <w:rFonts w:hint="default" w:eastAsia="宋体"/>
                                      <w:color w:val="auto"/>
                                      <w:lang w:val="en-US" w:eastAsia="zh-CN"/>
                                    </w:rPr>
                                  </w:pPr>
                                  <w:r>
                                    <w:rPr>
                                      <w:rFonts w:hint="eastAsia"/>
                                      <w:color w:val="auto"/>
                                      <w:lang w:val="en-US" w:eastAsia="zh-CN"/>
                                    </w:rPr>
                                    <w:t>挤出</w:t>
                                  </w:r>
                                </w:p>
                              </w:txbxContent>
                            </wps:txbx>
                            <wps:bodyPr upright="1"/>
                          </wps:wsp>
                        </a:graphicData>
                      </a:graphic>
                    </wp:anchor>
                  </w:drawing>
                </mc:Choice>
                <mc:Fallback>
                  <w:pict>
                    <v:rect id="_x0000_s1026" o:spid="_x0000_s1026" o:spt="1" style="position:absolute;left:0pt;margin-left:307.1pt;margin-top:11.7pt;height:22.5pt;width:39.9pt;z-index:251740160;mso-width-relative:page;mso-height-relative:page;" fillcolor="#FFFFFF" filled="t" stroked="t" coordsize="21600,21600" o:gfxdata="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sOhXNkAAAAJAQAADwAAAAAAAAABACAAAAAiAAAAZHJzL2Rv&#10;d25yZXYueG1sUEsBAhQAFAAAAAgAh07iQI/jZNM5AgAAsQQAAA4AAAAAAAAAAQAgAAAAKAEAAGRy&#10;cy9lMm9Eb2MueG1sUEsFBgAAAAAGAAYAWQEAANMFAAAAAA==&#10;">
                      <v:fill type="gradient" on="t" color2="#FFFFFF" angle="90" focus="100%" focussize="0,0">
                        <o:fill type="gradientUnscaled" v:ext="backwardCompatible"/>
                      </v:fill>
                      <v:stroke weight="0.5pt" color="#000000 [3213]" joinstyle="miter"/>
                      <v:imagedata o:title=""/>
                      <o:lock v:ext="edit" aspectratio="f"/>
                      <v:textbox>
                        <w:txbxContent>
                          <w:p w14:paraId="2207B33F">
                            <w:pPr>
                              <w:jc w:val="center"/>
                              <w:rPr>
                                <w:rFonts w:hint="default" w:eastAsia="宋体"/>
                                <w:color w:val="auto"/>
                                <w:lang w:val="en-US" w:eastAsia="zh-CN"/>
                              </w:rPr>
                            </w:pPr>
                            <w:r>
                              <w:rPr>
                                <w:rFonts w:hint="eastAsia"/>
                                <w:color w:val="auto"/>
                                <w:lang w:val="en-US" w:eastAsia="zh-CN"/>
                              </w:rPr>
                              <w:t>挤出</w:t>
                            </w:r>
                          </w:p>
                        </w:txbxContent>
                      </v:textbox>
                    </v:rect>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738112" behindDoc="0" locked="0" layoutInCell="1" allowOverlap="1">
                      <wp:simplePos x="0" y="0"/>
                      <wp:positionH relativeFrom="column">
                        <wp:posOffset>4405630</wp:posOffset>
                      </wp:positionH>
                      <wp:positionV relativeFrom="paragraph">
                        <wp:posOffset>311150</wp:posOffset>
                      </wp:positionV>
                      <wp:extent cx="318135" cy="3175"/>
                      <wp:effectExtent l="0" t="35560" r="5715" b="37465"/>
                      <wp:wrapNone/>
                      <wp:docPr id="47" name="直接连接符 47"/>
                      <wp:cNvGraphicFramePr/>
                      <a:graphic xmlns:a="http://schemas.openxmlformats.org/drawingml/2006/main">
                        <a:graphicData uri="http://schemas.microsoft.com/office/word/2010/wordprocessingShape">
                          <wps:wsp>
                            <wps:cNvCnPr/>
                            <wps:spPr>
                              <a:xfrm flipH="1">
                                <a:off x="0" y="0"/>
                                <a:ext cx="318135" cy="3175"/>
                              </a:xfrm>
                              <a:prstGeom prst="line">
                                <a:avLst/>
                              </a:prstGeom>
                              <a:ln w="9525" cap="flat" cmpd="sng">
                                <a:solidFill>
                                  <a:schemeClr val="tx1"/>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46.9pt;margin-top:24.5pt;height:0.25pt;width:25.05pt;z-index:251738112;mso-width-relative:page;mso-height-relative:page;" filled="f" stroked="t" coordsize="21600,21600" o:gfxdata="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kL2idkAAAAJAQAADwAAAAAAAAABACAAAAAiAAAA&#10;ZHJzL2Rvd25yZXYueG1sUEsBAhQAFAAAAAgAh07iQG0mst4GAgAA9gMAAA4AAAAAAAAAAQAgAAAA&#10;KAEAAGRycy9lMm9Eb2MueG1sUEsFBgAAAAAGAAYAWQEAAKAFAAAAAA==&#10;">
                      <v:fill on="f" focussize="0,0"/>
                      <v:stroke color="#000000 [3213]" joinstyle="round" endarrow="block"/>
                      <v:imagedata o:title=""/>
                      <o:lock v:ext="edit" aspectratio="f"/>
                    </v:line>
                  </w:pict>
                </mc:Fallback>
              </mc:AlternateContent>
            </w:r>
            <w:r>
              <w:rPr>
                <w:rFonts w:hint="default" w:ascii="Times New Roman" w:hAnsi="Times New Roman" w:cs="Times New Roman"/>
                <w:b/>
                <w:color w:val="auto"/>
                <w:sz w:val="22"/>
              </w:rPr>
              <mc:AlternateContent>
                <mc:Choice Requires="wps">
                  <w:drawing>
                    <wp:anchor distT="0" distB="0" distL="114300" distR="114300" simplePos="0" relativeHeight="251741184" behindDoc="0" locked="0" layoutInCell="1" allowOverlap="1">
                      <wp:simplePos x="0" y="0"/>
                      <wp:positionH relativeFrom="column">
                        <wp:posOffset>4709795</wp:posOffset>
                      </wp:positionH>
                      <wp:positionV relativeFrom="paragraph">
                        <wp:posOffset>148590</wp:posOffset>
                      </wp:positionV>
                      <wp:extent cx="506730" cy="285750"/>
                      <wp:effectExtent l="4445" t="4445" r="22225" b="14605"/>
                      <wp:wrapNone/>
                      <wp:docPr id="51" name="矩形 51"/>
                      <wp:cNvGraphicFramePr/>
                      <a:graphic xmlns:a="http://schemas.openxmlformats.org/drawingml/2006/main">
                        <a:graphicData uri="http://schemas.microsoft.com/office/word/2010/wordprocessingShape">
                          <wps:wsp>
                            <wps:cNvSpPr/>
                            <wps:spPr>
                              <a:xfrm>
                                <a:off x="0" y="0"/>
                                <a:ext cx="506730" cy="285750"/>
                              </a:xfrm>
                              <a:prstGeom prst="rect">
                                <a:avLst/>
                              </a:prstGeom>
                              <a:gradFill rotWithShape="0">
                                <a:gsLst>
                                  <a:gs pos="0">
                                    <a:srgbClr val="FFFFFF"/>
                                  </a:gs>
                                  <a:gs pos="100000">
                                    <a:srgbClr val="FFFFFF"/>
                                  </a:gs>
                                </a:gsLst>
                                <a:lin ang="0"/>
                                <a:tileRect/>
                              </a:gradFill>
                              <a:ln w="6350" cap="flat" cmpd="sng">
                                <a:solidFill>
                                  <a:schemeClr val="tx1"/>
                                </a:solidFill>
                                <a:prstDash val="solid"/>
                                <a:miter/>
                                <a:headEnd type="none" w="med" len="med"/>
                                <a:tailEnd type="none" w="med" len="med"/>
                              </a:ln>
                            </wps:spPr>
                            <wps:txbx>
                              <w:txbxContent>
                                <w:p w14:paraId="1A1D85D8">
                                  <w:pPr>
                                    <w:jc w:val="center"/>
                                    <w:rPr>
                                      <w:rFonts w:hint="default" w:eastAsia="宋体"/>
                                      <w:color w:val="auto"/>
                                      <w:lang w:val="en-US" w:eastAsia="zh-CN"/>
                                    </w:rPr>
                                  </w:pPr>
                                  <w:r>
                                    <w:rPr>
                                      <w:rFonts w:hint="eastAsia"/>
                                      <w:color w:val="auto"/>
                                      <w:lang w:val="en-US" w:eastAsia="zh-CN"/>
                                    </w:rPr>
                                    <w:t>上料</w:t>
                                  </w:r>
                                </w:p>
                              </w:txbxContent>
                            </wps:txbx>
                            <wps:bodyPr upright="1"/>
                          </wps:wsp>
                        </a:graphicData>
                      </a:graphic>
                    </wp:anchor>
                  </w:drawing>
                </mc:Choice>
                <mc:Fallback>
                  <w:pict>
                    <v:rect id="_x0000_s1026" o:spid="_x0000_s1026" o:spt="1" style="position:absolute;left:0pt;margin-left:370.85pt;margin-top:11.7pt;height:22.5pt;width:39.9pt;z-index:251741184;mso-width-relative:page;mso-height-relative:page;" fillcolor="#FFFFFF" filled="t" stroked="t" coordsize="21600,21600" o:gfxdata="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G4twe2gAAAAkBAAAPAAAAAAAAAAEAIAAAACIAAABkcnMv&#10;ZG93bnJldi54bWxQSwECFAAUAAAACACHTuJAdLHT8joCAACxBAAADgAAAAAAAAABACAAAAApAQAA&#10;ZHJzL2Uyb0RvYy54bWxQSwUGAAAAAAYABgBZAQAA1QUAAAAA&#10;">
                      <v:fill type="gradient" on="t" color2="#FFFFFF" angle="90" focus="100%" focussize="0,0">
                        <o:fill type="gradientUnscaled" v:ext="backwardCompatible"/>
                      </v:fill>
                      <v:stroke weight="0.5pt" color="#000000 [3213]" joinstyle="miter"/>
                      <v:imagedata o:title=""/>
                      <o:lock v:ext="edit" aspectratio="f"/>
                      <v:textbox>
                        <w:txbxContent>
                          <w:p w14:paraId="1A1D85D8">
                            <w:pPr>
                              <w:jc w:val="center"/>
                              <w:rPr>
                                <w:rFonts w:hint="default" w:eastAsia="宋体"/>
                                <w:color w:val="auto"/>
                                <w:lang w:val="en-US" w:eastAsia="zh-CN"/>
                              </w:rPr>
                            </w:pPr>
                            <w:r>
                              <w:rPr>
                                <w:rFonts w:hint="eastAsia"/>
                                <w:color w:val="auto"/>
                                <w:lang w:val="en-US" w:eastAsia="zh-CN"/>
                              </w:rPr>
                              <w:t>上料</w:t>
                            </w:r>
                          </w:p>
                        </w:txbxContent>
                      </v:textbox>
                    </v:rect>
                  </w:pict>
                </mc:Fallback>
              </mc:AlternateContent>
            </w:r>
          </w:p>
          <w:p w14:paraId="44309902">
            <w:pPr>
              <w:tabs>
                <w:tab w:val="left" w:pos="2838"/>
              </w:tabs>
              <w:spacing w:line="500" w:lineRule="exact"/>
              <w:ind w:firstLine="480" w:firstLineChars="200"/>
              <w:rPr>
                <w:rFonts w:hint="default" w:ascii="Times New Roman" w:hAnsi="Times New Roman" w:cs="Times New Roman" w:eastAsiaTheme="minorEastAsia"/>
                <w:color w:val="auto"/>
                <w:spacing w:val="4"/>
                <w:sz w:val="24"/>
                <w:szCs w:val="24"/>
              </w:rPr>
            </w:pPr>
            <w:r>
              <w:rPr>
                <w:rFonts w:hint="default" w:ascii="Times New Roman" w:hAnsi="Times New Roman" w:cs="Times New Roman"/>
                <w:color w:val="auto"/>
                <w:sz w:val="24"/>
              </w:rPr>
              <mc:AlternateContent>
                <mc:Choice Requires="wps">
                  <w:drawing>
                    <wp:anchor distT="0" distB="0" distL="114300" distR="114300" simplePos="0" relativeHeight="251757568" behindDoc="0" locked="0" layoutInCell="1" allowOverlap="1">
                      <wp:simplePos x="0" y="0"/>
                      <wp:positionH relativeFrom="column">
                        <wp:posOffset>1612265</wp:posOffset>
                      </wp:positionH>
                      <wp:positionV relativeFrom="paragraph">
                        <wp:posOffset>134620</wp:posOffset>
                      </wp:positionV>
                      <wp:extent cx="6985" cy="309245"/>
                      <wp:effectExtent l="36195" t="0" r="33020" b="14605"/>
                      <wp:wrapNone/>
                      <wp:docPr id="69" name="直接连接符 69"/>
                      <wp:cNvGraphicFramePr/>
                      <a:graphic xmlns:a="http://schemas.openxmlformats.org/drawingml/2006/main">
                        <a:graphicData uri="http://schemas.microsoft.com/office/word/2010/wordprocessingShape">
                          <wps:wsp>
                            <wps:cNvCnPr/>
                            <wps:spPr>
                              <a:xfrm flipH="1">
                                <a:off x="0" y="0"/>
                                <a:ext cx="6985" cy="309245"/>
                              </a:xfrm>
                              <a:prstGeom prst="line">
                                <a:avLst/>
                              </a:prstGeom>
                              <a:ln w="9525" cap="flat" cmpd="sng">
                                <a:solidFill>
                                  <a:srgbClr val="3333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126.95pt;margin-top:10.6pt;height:24.35pt;width:0.55pt;z-index:251757568;mso-width-relative:page;mso-height-relative:page;" filled="f" stroked="t" coordsize="21600,21600" o:gfxdata="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JTBQNgAAAAJAQAADwAAAAAAAAABACAAAAAi&#10;AAAAZHJzL2Rvd25yZXYueG1sUEsBAhQAFAAAAAgAh07iQADe6TAKAgAA9QMAAA4AAAAAAAAAAQAg&#10;AAAAJwEAAGRycy9lMm9Eb2MueG1sUEsFBgAAAAAGAAYAWQEAAKMFAAAAAA==&#10;">
                      <v:fill on="f" focussize="0,0"/>
                      <v:stroke color="#333300" joinstyle="round" dashstyle="dash" endarrow="block"/>
                      <v:imagedata o:title=""/>
                      <o:lock v:ext="edit" aspectratio="f"/>
                    </v:lin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673600" behindDoc="0" locked="0" layoutInCell="1" allowOverlap="1">
                      <wp:simplePos x="0" y="0"/>
                      <wp:positionH relativeFrom="column">
                        <wp:posOffset>2479040</wp:posOffset>
                      </wp:positionH>
                      <wp:positionV relativeFrom="paragraph">
                        <wp:posOffset>115570</wp:posOffset>
                      </wp:positionV>
                      <wp:extent cx="6985" cy="309245"/>
                      <wp:effectExtent l="36195" t="0" r="33020" b="10795"/>
                      <wp:wrapNone/>
                      <wp:docPr id="9" name="直接连接符 9"/>
                      <wp:cNvGraphicFramePr/>
                      <a:graphic xmlns:a="http://schemas.openxmlformats.org/drawingml/2006/main">
                        <a:graphicData uri="http://schemas.microsoft.com/office/word/2010/wordprocessingShape">
                          <wps:wsp>
                            <wps:cNvCnPr/>
                            <wps:spPr>
                              <a:xfrm flipH="1">
                                <a:off x="0" y="0"/>
                                <a:ext cx="6985" cy="309245"/>
                              </a:xfrm>
                              <a:prstGeom prst="line">
                                <a:avLst/>
                              </a:prstGeom>
                              <a:ln w="9525" cap="flat" cmpd="sng">
                                <a:solidFill>
                                  <a:srgbClr val="3333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195.2pt;margin-top:9.1pt;height:24.35pt;width:0.55pt;z-index:251673600;mso-width-relative:page;mso-height-relative:page;" filled="f" stroked="t" coordsize="21600,21600" o:gfxdata="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E/b09kAAAAJAQAADwAAAAAAAAABACAAAAAi&#10;AAAAZHJzL2Rvd25yZXYueG1sUEsBAhQAFAAAAAgAh07iQB2iHTsJAgAA8wMAAA4AAAAAAAAAAQAg&#10;AAAAKAEAAGRycy9lMm9Eb2MueG1sUEsFBgAAAAAGAAYAWQEAAKMFAAAAAA==&#10;">
                      <v:fill on="f" focussize="0,0"/>
                      <v:stroke color="#333300" joinstyle="round" dashstyle="dash" endarrow="block"/>
                      <v:imagedata o:title=""/>
                      <o:lock v:ext="edit" aspectratio="f"/>
                    </v:lin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753472" behindDoc="0" locked="0" layoutInCell="1" allowOverlap="1">
                      <wp:simplePos x="0" y="0"/>
                      <wp:positionH relativeFrom="column">
                        <wp:posOffset>3334385</wp:posOffset>
                      </wp:positionH>
                      <wp:positionV relativeFrom="paragraph">
                        <wp:posOffset>136525</wp:posOffset>
                      </wp:positionV>
                      <wp:extent cx="6985" cy="309245"/>
                      <wp:effectExtent l="36195" t="0" r="33020" b="14605"/>
                      <wp:wrapNone/>
                      <wp:docPr id="63" name="直接连接符 63"/>
                      <wp:cNvGraphicFramePr/>
                      <a:graphic xmlns:a="http://schemas.openxmlformats.org/drawingml/2006/main">
                        <a:graphicData uri="http://schemas.microsoft.com/office/word/2010/wordprocessingShape">
                          <wps:wsp>
                            <wps:cNvCnPr/>
                            <wps:spPr>
                              <a:xfrm flipH="1">
                                <a:off x="0" y="0"/>
                                <a:ext cx="6985" cy="309245"/>
                              </a:xfrm>
                              <a:prstGeom prst="line">
                                <a:avLst/>
                              </a:prstGeom>
                              <a:ln w="9525" cap="flat" cmpd="sng">
                                <a:solidFill>
                                  <a:srgbClr val="3333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262.55pt;margin-top:10.75pt;height:24.35pt;width:0.55pt;z-index:251753472;mso-width-relative:page;mso-height-relative:page;" filled="f" stroked="t" coordsize="21600,21600" o:gfxdata="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4Z193YAAAACQEAAA8AAAAAAAAAAQAgAAAA&#10;IgAAAGRycy9kb3ducmV2LnhtbFBLAQIUABQAAAAIAIdO4kDbOAJPCwIAAPUDAAAOAAAAAAAAAAEA&#10;IAAAACcBAABkcnMvZTJvRG9jLnhtbFBLBQYAAAAABgAGAFkBAACkBQAAAAA=&#10;">
                      <v:fill on="f" focussize="0,0"/>
                      <v:stroke color="#333300" joinstyle="round" dashstyle="dash" endarrow="block"/>
                      <v:imagedata o:title=""/>
                      <o:lock v:ext="edit" aspectratio="f"/>
                    </v:lin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756544" behindDoc="0" locked="0" layoutInCell="1" allowOverlap="1">
                      <wp:simplePos x="0" y="0"/>
                      <wp:positionH relativeFrom="column">
                        <wp:posOffset>4982210</wp:posOffset>
                      </wp:positionH>
                      <wp:positionV relativeFrom="paragraph">
                        <wp:posOffset>136525</wp:posOffset>
                      </wp:positionV>
                      <wp:extent cx="6985" cy="309245"/>
                      <wp:effectExtent l="36195" t="0" r="33020" b="14605"/>
                      <wp:wrapNone/>
                      <wp:docPr id="67" name="直接连接符 67"/>
                      <wp:cNvGraphicFramePr/>
                      <a:graphic xmlns:a="http://schemas.openxmlformats.org/drawingml/2006/main">
                        <a:graphicData uri="http://schemas.microsoft.com/office/word/2010/wordprocessingShape">
                          <wps:wsp>
                            <wps:cNvCnPr/>
                            <wps:spPr>
                              <a:xfrm flipH="1">
                                <a:off x="0" y="0"/>
                                <a:ext cx="6985" cy="309245"/>
                              </a:xfrm>
                              <a:prstGeom prst="line">
                                <a:avLst/>
                              </a:prstGeom>
                              <a:ln w="9525" cap="flat" cmpd="sng">
                                <a:solidFill>
                                  <a:srgbClr val="3333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392.3pt;margin-top:10.75pt;height:24.35pt;width:0.55pt;z-index:251756544;mso-width-relative:page;mso-height-relative:page;" filled="f" stroked="t" coordsize="21600,21600" o:gfxdata="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69X0NkAAAAJAQAADwAAAAAAAAABACAA&#10;AAAiAAAAZHJzL2Rvd25yZXYueG1sUEsBAhQAFAAAAAgAh07iQGr56coMAgAA9QMAAA4AAAAAAAAA&#10;AQAgAAAAKAEAAGRycy9lMm9Eb2MueG1sUEsFBgAAAAAGAAYAWQEAAKYFAAAAAA==&#10;">
                      <v:fill on="f" focussize="0,0"/>
                      <v:stroke color="#333300" joinstyle="round" dashstyle="dash" endarrow="block"/>
                      <v:imagedata o:title=""/>
                      <o:lock v:ext="edit" aspectratio="f"/>
                    </v:lin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662336" behindDoc="0" locked="0" layoutInCell="1" allowOverlap="1">
                      <wp:simplePos x="0" y="0"/>
                      <wp:positionH relativeFrom="column">
                        <wp:posOffset>4170680</wp:posOffset>
                      </wp:positionH>
                      <wp:positionV relativeFrom="paragraph">
                        <wp:posOffset>128905</wp:posOffset>
                      </wp:positionV>
                      <wp:extent cx="6985" cy="309245"/>
                      <wp:effectExtent l="36195" t="0" r="33020" b="10795"/>
                      <wp:wrapNone/>
                      <wp:docPr id="168" name="直接连接符 168"/>
                      <wp:cNvGraphicFramePr/>
                      <a:graphic xmlns:a="http://schemas.openxmlformats.org/drawingml/2006/main">
                        <a:graphicData uri="http://schemas.microsoft.com/office/word/2010/wordprocessingShape">
                          <wps:wsp>
                            <wps:cNvCnPr/>
                            <wps:spPr>
                              <a:xfrm flipH="1">
                                <a:off x="0" y="0"/>
                                <a:ext cx="6985" cy="309245"/>
                              </a:xfrm>
                              <a:prstGeom prst="line">
                                <a:avLst/>
                              </a:prstGeom>
                              <a:ln w="9525" cap="flat" cmpd="sng">
                                <a:solidFill>
                                  <a:srgbClr val="3333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328.4pt;margin-top:10.15pt;height:24.35pt;width:0.55pt;z-index:251662336;mso-width-relative:page;mso-height-relative:page;" filled="f" stroked="t" coordsize="21600,21600" o:gfxdata="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bhBMHZAAAACQEAAA8AAAAAAAAAAQAgAAAA&#10;IgAAAGRycy9kb3ducmV2LnhtbFBLAQIUABQAAAAIAIdO4kCnlbsCCgIAAPcDAAAOAAAAAAAAAAEA&#10;IAAAACgBAABkcnMvZTJvRG9jLnhtbFBLBQYAAAAABgAGAFkBAACkBQAAAAA=&#10;">
                      <v:fill on="f" focussize="0,0"/>
                      <v:stroke color="#333300" joinstyle="round" dashstyle="dash" endarrow="block"/>
                      <v:imagedata o:title=""/>
                      <o:lock v:ext="edit" aspectratio="f"/>
                    </v:lin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749376" behindDoc="0" locked="0" layoutInCell="1" allowOverlap="1">
                      <wp:simplePos x="0" y="0"/>
                      <wp:positionH relativeFrom="column">
                        <wp:posOffset>1910080</wp:posOffset>
                      </wp:positionH>
                      <wp:positionV relativeFrom="paragraph">
                        <wp:posOffset>3175</wp:posOffset>
                      </wp:positionV>
                      <wp:extent cx="318135" cy="3175"/>
                      <wp:effectExtent l="0" t="35560" r="5715" b="37465"/>
                      <wp:wrapNone/>
                      <wp:docPr id="59" name="直接连接符 59"/>
                      <wp:cNvGraphicFramePr/>
                      <a:graphic xmlns:a="http://schemas.openxmlformats.org/drawingml/2006/main">
                        <a:graphicData uri="http://schemas.microsoft.com/office/word/2010/wordprocessingShape">
                          <wps:wsp>
                            <wps:cNvCnPr/>
                            <wps:spPr>
                              <a:xfrm flipH="1">
                                <a:off x="0" y="0"/>
                                <a:ext cx="318135" cy="3175"/>
                              </a:xfrm>
                              <a:prstGeom prst="line">
                                <a:avLst/>
                              </a:prstGeom>
                              <a:ln w="9525" cap="flat" cmpd="sng">
                                <a:solidFill>
                                  <a:schemeClr val="tx1"/>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50.4pt;margin-top:0.25pt;height:0.25pt;width:25.05pt;z-index:251749376;mso-width-relative:page;mso-height-relative:page;" filled="f" stroked="t" coordsize="21600,21600" o:gfxdata="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NjsQX1QAAAAYBAAAPAAAAAAAAAAEAIAAAACIAAABkcnMv&#10;ZG93bnJldi54bWxQSwECFAAUAAAACACHTuJAAdRAdwYCAAD2AwAADgAAAAAAAAABACAAAAAkAQAA&#10;ZHJzL2Uyb0RvYy54bWxQSwUGAAAAAAYABgBZAQAAnAUAAAAA&#10;">
                      <v:fill on="f" focussize="0,0"/>
                      <v:stroke color="#000000 [3213]" joinstyle="round" endarrow="block"/>
                      <v:imagedata o:title=""/>
                      <o:lock v:ext="edit" aspectratio="f"/>
                    </v:lin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750400" behindDoc="0" locked="0" layoutInCell="1" allowOverlap="1">
                      <wp:simplePos x="0" y="0"/>
                      <wp:positionH relativeFrom="column">
                        <wp:posOffset>2729230</wp:posOffset>
                      </wp:positionH>
                      <wp:positionV relativeFrom="paragraph">
                        <wp:posOffset>3175</wp:posOffset>
                      </wp:positionV>
                      <wp:extent cx="318135" cy="3175"/>
                      <wp:effectExtent l="0" t="35560" r="5715" b="37465"/>
                      <wp:wrapNone/>
                      <wp:docPr id="60" name="直接连接符 60"/>
                      <wp:cNvGraphicFramePr/>
                      <a:graphic xmlns:a="http://schemas.openxmlformats.org/drawingml/2006/main">
                        <a:graphicData uri="http://schemas.microsoft.com/office/word/2010/wordprocessingShape">
                          <wps:wsp>
                            <wps:cNvCnPr/>
                            <wps:spPr>
                              <a:xfrm flipH="1">
                                <a:off x="0" y="0"/>
                                <a:ext cx="318135" cy="3175"/>
                              </a:xfrm>
                              <a:prstGeom prst="line">
                                <a:avLst/>
                              </a:prstGeom>
                              <a:ln w="9525" cap="flat" cmpd="sng">
                                <a:solidFill>
                                  <a:schemeClr val="tx1"/>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4.9pt;margin-top:0.25pt;height:0.25pt;width:25.05pt;z-index:251750400;mso-width-relative:page;mso-height-relative:page;" filled="f" stroked="t" coordsize="21600,21600" o:gfxdata="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ESautYAAAAGAQAADwAAAAAAAAABACAAAAAiAAAAZHJz&#10;L2Rvd25yZXYueG1sUEsBAhQAFAAAAAgAh07iQGeVGm0GAgAA9gMAAA4AAAAAAAAAAQAgAAAAJQEA&#10;AGRycy9lMm9Eb2MueG1sUEsFBgAAAAAGAAYAWQEAAJ0FAAAAAA==&#10;">
                      <v:fill on="f" focussize="0,0"/>
                      <v:stroke color="#000000 [3213]" joinstyle="round" endarrow="block"/>
                      <v:imagedata o:title=""/>
                      <o:lock v:ext="edit" aspectratio="f"/>
                    </v:line>
                  </w:pict>
                </mc:Fallback>
              </mc:AlternateContent>
            </w:r>
          </w:p>
          <w:p w14:paraId="2DA37C32">
            <w:pPr>
              <w:pStyle w:val="43"/>
              <w:rPr>
                <w:rFonts w:hint="default" w:ascii="Times New Roman" w:hAnsi="Times New Roman" w:cs="Times New Roman" w:eastAsiaTheme="minorEastAsia"/>
                <w:color w:val="auto"/>
                <w:spacing w:val="4"/>
                <w:sz w:val="24"/>
                <w:szCs w:val="24"/>
              </w:rPr>
            </w:pPr>
            <w:r>
              <w:rPr>
                <w:rFonts w:hint="default" w:ascii="Times New Roman" w:hAnsi="Times New Roman" w:cs="Times New Roman"/>
                <w:b/>
                <w:color w:val="auto"/>
                <w:sz w:val="28"/>
                <w:szCs w:val="28"/>
              </w:rPr>
              <mc:AlternateContent>
                <mc:Choice Requires="wps">
                  <w:drawing>
                    <wp:anchor distT="0" distB="0" distL="114300" distR="114300" simplePos="0" relativeHeight="251674624" behindDoc="0" locked="0" layoutInCell="1" allowOverlap="1">
                      <wp:simplePos x="0" y="0"/>
                      <wp:positionH relativeFrom="column">
                        <wp:posOffset>3876675</wp:posOffset>
                      </wp:positionH>
                      <wp:positionV relativeFrom="paragraph">
                        <wp:posOffset>106045</wp:posOffset>
                      </wp:positionV>
                      <wp:extent cx="708660" cy="29718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708660" cy="297180"/>
                              </a:xfrm>
                              <a:prstGeom prst="rect">
                                <a:avLst/>
                              </a:prstGeom>
                              <a:noFill/>
                              <a:ln>
                                <a:noFill/>
                              </a:ln>
                            </wps:spPr>
                            <wps:txbx>
                              <w:txbxContent>
                                <w:p w14:paraId="27EA395D">
                                  <w:pPr>
                                    <w:rPr>
                                      <w:rFonts w:hint="default"/>
                                      <w:lang w:val="en-US"/>
                                    </w:rPr>
                                  </w:pPr>
                                  <w:r>
                                    <w:rPr>
                                      <w:rFonts w:hint="eastAsia"/>
                                      <w:lang w:val="en-US" w:eastAsia="zh-CN"/>
                                    </w:rPr>
                                    <w:t xml:space="preserve"> G</w:t>
                                  </w:r>
                                  <w:r>
                                    <w:rPr>
                                      <w:rFonts w:hint="eastAsia"/>
                                      <w:vertAlign w:val="subscript"/>
                                      <w:lang w:val="en-US" w:eastAsia="zh-CN"/>
                                    </w:rPr>
                                    <w:t>1</w:t>
                                  </w:r>
                                  <w:r>
                                    <w:rPr>
                                      <w:rFonts w:hint="eastAsia"/>
                                      <w:lang w:val="en-US" w:eastAsia="zh-CN"/>
                                    </w:rPr>
                                    <w:t xml:space="preserve"> N</w:t>
                                  </w:r>
                                  <w:r>
                                    <w:rPr>
                                      <w:rFonts w:hint="eastAsia"/>
                                      <w:vertAlign w:val="subscript"/>
                                      <w:lang w:val="en-US" w:eastAsia="zh-CN"/>
                                    </w:rPr>
                                    <w:t xml:space="preserve">5 </w:t>
                                  </w:r>
                                  <w:r>
                                    <w:rPr>
                                      <w:rFonts w:hint="eastAsia"/>
                                      <w:lang w:val="en-US" w:eastAsia="zh-CN"/>
                                    </w:rPr>
                                    <w:t>S</w:t>
                                  </w:r>
                                  <w:r>
                                    <w:rPr>
                                      <w:rFonts w:hint="eastAsia"/>
                                      <w:vertAlign w:val="subscript"/>
                                      <w:lang w:val="en-US" w:eastAsia="zh-CN"/>
                                    </w:rPr>
                                    <w:t>2</w:t>
                                  </w:r>
                                </w:p>
                              </w:txbxContent>
                            </wps:txbx>
                            <wps:bodyPr upright="1"/>
                          </wps:wsp>
                        </a:graphicData>
                      </a:graphic>
                    </wp:anchor>
                  </w:drawing>
                </mc:Choice>
                <mc:Fallback>
                  <w:pict>
                    <v:shape id="_x0000_s1026" o:spid="_x0000_s1026" o:spt="202" type="#_x0000_t202" style="position:absolute;left:0pt;margin-left:305.25pt;margin-top:8.35pt;height:23.4pt;width:55.8pt;z-index:251674624;mso-width-relative:page;mso-height-relative:page;" filled="f" stroked="f" coordsize="21600,21600" o:gfxdata="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fRft1gAAAAkB&#10;AAAPAAAAAAAAAAEAIAAAACIAAABkcnMvZG93bnJldi54bWxQSwECFAAUAAAACACHTuJAWLO5lKsB&#10;AABPAwAADgAAAAAAAAABACAAAAAlAQAAZHJzL2Uyb0RvYy54bWxQSwUGAAAAAAYABgBZAQAAQgUA&#10;AAAA&#10;">
                      <v:fill on="f" focussize="0,0"/>
                      <v:stroke on="f"/>
                      <v:imagedata o:title=""/>
                      <o:lock v:ext="edit" aspectratio="f"/>
                      <v:textbox>
                        <w:txbxContent>
                          <w:p w14:paraId="27EA395D">
                            <w:pPr>
                              <w:rPr>
                                <w:rFonts w:hint="default"/>
                                <w:lang w:val="en-US"/>
                              </w:rPr>
                            </w:pPr>
                            <w:r>
                              <w:rPr>
                                <w:rFonts w:hint="eastAsia"/>
                                <w:lang w:val="en-US" w:eastAsia="zh-CN"/>
                              </w:rPr>
                              <w:t xml:space="preserve"> G</w:t>
                            </w:r>
                            <w:r>
                              <w:rPr>
                                <w:rFonts w:hint="eastAsia"/>
                                <w:vertAlign w:val="subscript"/>
                                <w:lang w:val="en-US" w:eastAsia="zh-CN"/>
                              </w:rPr>
                              <w:t>1</w:t>
                            </w:r>
                            <w:r>
                              <w:rPr>
                                <w:rFonts w:hint="eastAsia"/>
                                <w:lang w:val="en-US" w:eastAsia="zh-CN"/>
                              </w:rPr>
                              <w:t xml:space="preserve"> N</w:t>
                            </w:r>
                            <w:r>
                              <w:rPr>
                                <w:rFonts w:hint="eastAsia"/>
                                <w:vertAlign w:val="subscript"/>
                                <w:lang w:val="en-US" w:eastAsia="zh-CN"/>
                              </w:rPr>
                              <w:t xml:space="preserve">5 </w:t>
                            </w:r>
                            <w:r>
                              <w:rPr>
                                <w:rFonts w:hint="eastAsia"/>
                                <w:lang w:val="en-US" w:eastAsia="zh-CN"/>
                              </w:rPr>
                              <w:t>S</w:t>
                            </w:r>
                            <w:r>
                              <w:rPr>
                                <w:rFonts w:hint="eastAsia"/>
                                <w:vertAlign w:val="subscript"/>
                                <w:lang w:val="en-US" w:eastAsia="zh-CN"/>
                              </w:rPr>
                              <w:t>2</w:t>
                            </w:r>
                          </w:p>
                        </w:txbxContent>
                      </v:textbox>
                    </v:shap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675648" behindDoc="0" locked="0" layoutInCell="1" allowOverlap="1">
                      <wp:simplePos x="0" y="0"/>
                      <wp:positionH relativeFrom="column">
                        <wp:posOffset>4136390</wp:posOffset>
                      </wp:positionH>
                      <wp:positionV relativeFrom="paragraph">
                        <wp:posOffset>-581025</wp:posOffset>
                      </wp:positionV>
                      <wp:extent cx="346710" cy="2018665"/>
                      <wp:effectExtent l="0" t="836295" r="0" b="0"/>
                      <wp:wrapNone/>
                      <wp:docPr id="25" name="文本框 25"/>
                      <wp:cNvGraphicFramePr/>
                      <a:graphic xmlns:a="http://schemas.openxmlformats.org/drawingml/2006/main">
                        <a:graphicData uri="http://schemas.microsoft.com/office/word/2010/wordprocessingShape">
                          <wps:wsp>
                            <wps:cNvSpPr txBox="1"/>
                            <wps:spPr>
                              <a:xfrm rot="16200000">
                                <a:off x="0" y="0"/>
                                <a:ext cx="346710" cy="2018665"/>
                              </a:xfrm>
                              <a:prstGeom prst="rect">
                                <a:avLst/>
                              </a:prstGeom>
                              <a:noFill/>
                              <a:ln>
                                <a:noFill/>
                              </a:ln>
                            </wps:spPr>
                            <wps:txbx>
                              <w:txbxContent>
                                <w:p w14:paraId="70A511B0">
                                  <w:pPr>
                                    <w:rPr>
                                      <w:rFonts w:hint="default" w:eastAsia="宋体"/>
                                      <w:sz w:val="21"/>
                                      <w:szCs w:val="21"/>
                                      <w:lang w:val="en-US" w:eastAsia="zh-CN"/>
                                    </w:rPr>
                                  </w:pPr>
                                  <w:r>
                                    <w:rPr>
                                      <w:rFonts w:hint="eastAsia"/>
                                      <w:sz w:val="21"/>
                                      <w:szCs w:val="21"/>
                                    </w:rPr>
                                    <w:t>G废气</w:t>
                                  </w:r>
                                  <w:r>
                                    <w:rPr>
                                      <w:rFonts w:hint="eastAsia"/>
                                      <w:sz w:val="21"/>
                                      <w:szCs w:val="21"/>
                                      <w:lang w:val="en-US" w:eastAsia="zh-CN"/>
                                    </w:rPr>
                                    <w:t xml:space="preserve">  </w:t>
                                  </w:r>
                                  <w:r>
                                    <w:rPr>
                                      <w:rFonts w:hint="eastAsia"/>
                                      <w:sz w:val="21"/>
                                      <w:szCs w:val="21"/>
                                    </w:rPr>
                                    <w:t>N噪声</w:t>
                                  </w:r>
                                  <w:r>
                                    <w:rPr>
                                      <w:rFonts w:hint="eastAsia"/>
                                      <w:sz w:val="21"/>
                                      <w:szCs w:val="21"/>
                                      <w:lang w:val="en-US" w:eastAsia="zh-CN"/>
                                    </w:rPr>
                                    <w:t xml:space="preserve"> W废水S固废</w:t>
                                  </w:r>
                                </w:p>
                              </w:txbxContent>
                            </wps:txbx>
                            <wps:bodyPr upright="1"/>
                          </wps:wsp>
                        </a:graphicData>
                      </a:graphic>
                    </wp:anchor>
                  </w:drawing>
                </mc:Choice>
                <mc:Fallback>
                  <w:pict>
                    <v:shape id="_x0000_s1026" o:spid="_x0000_s1026" o:spt="202" type="#_x0000_t202" style="position:absolute;left:0pt;margin-left:325.7pt;margin-top:-45.75pt;height:158.95pt;width:27.3pt;rotation:-5898240f;z-index:251675648;mso-width-relative:page;mso-height-relative:page;" filled="f" stroked="f" coordsize="21600,21600" o:gfxdata="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0IoGXYAAAACwEAAA8AAAAAAAAAAQAgAAAAIgAAAGRycy9kb3ducmV2LnhtbFBLAQIUABQA&#10;AAAIAIdO4kCIVQ0GtwEAAF8DAAAOAAAAAAAAAAEAIAAAACcBAABkcnMvZTJvRG9jLnhtbFBLBQYA&#10;AAAABgAGAFkBAABQBQAAAAA=&#10;">
                      <v:fill on="f" focussize="0,0"/>
                      <v:stroke on="f"/>
                      <v:imagedata o:title=""/>
                      <o:lock v:ext="edit" aspectratio="f"/>
                      <v:textbox>
                        <w:txbxContent>
                          <w:p w14:paraId="70A511B0">
                            <w:pPr>
                              <w:rPr>
                                <w:rFonts w:hint="default" w:eastAsia="宋体"/>
                                <w:sz w:val="21"/>
                                <w:szCs w:val="21"/>
                                <w:lang w:val="en-US" w:eastAsia="zh-CN"/>
                              </w:rPr>
                            </w:pPr>
                            <w:r>
                              <w:rPr>
                                <w:rFonts w:hint="eastAsia"/>
                                <w:sz w:val="21"/>
                                <w:szCs w:val="21"/>
                              </w:rPr>
                              <w:t>G废气</w:t>
                            </w:r>
                            <w:r>
                              <w:rPr>
                                <w:rFonts w:hint="eastAsia"/>
                                <w:sz w:val="21"/>
                                <w:szCs w:val="21"/>
                                <w:lang w:val="en-US" w:eastAsia="zh-CN"/>
                              </w:rPr>
                              <w:t xml:space="preserve">  </w:t>
                            </w:r>
                            <w:r>
                              <w:rPr>
                                <w:rFonts w:hint="eastAsia"/>
                                <w:sz w:val="21"/>
                                <w:szCs w:val="21"/>
                              </w:rPr>
                              <w:t>N噪声</w:t>
                            </w:r>
                            <w:r>
                              <w:rPr>
                                <w:rFonts w:hint="eastAsia"/>
                                <w:sz w:val="21"/>
                                <w:szCs w:val="21"/>
                                <w:lang w:val="en-US" w:eastAsia="zh-CN"/>
                              </w:rPr>
                              <w:t xml:space="preserve"> W废水S固废</w:t>
                            </w:r>
                          </w:p>
                        </w:txbxContent>
                      </v:textbox>
                    </v:shap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762688" behindDoc="0" locked="0" layoutInCell="1" allowOverlap="1">
                      <wp:simplePos x="0" y="0"/>
                      <wp:positionH relativeFrom="column">
                        <wp:posOffset>1397000</wp:posOffset>
                      </wp:positionH>
                      <wp:positionV relativeFrom="paragraph">
                        <wp:posOffset>71755</wp:posOffset>
                      </wp:positionV>
                      <wp:extent cx="528320" cy="29718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528320" cy="297180"/>
                              </a:xfrm>
                              <a:prstGeom prst="rect">
                                <a:avLst/>
                              </a:prstGeom>
                              <a:noFill/>
                              <a:ln>
                                <a:noFill/>
                              </a:ln>
                            </wps:spPr>
                            <wps:txbx>
                              <w:txbxContent>
                                <w:p w14:paraId="6B3BD95B">
                                  <w:pPr>
                                    <w:rPr>
                                      <w:rFonts w:hint="default"/>
                                      <w:lang w:val="en-US"/>
                                    </w:rPr>
                                  </w:pPr>
                                  <w:r>
                                    <w:rPr>
                                      <w:rFonts w:hint="eastAsia"/>
                                      <w:lang w:val="en-US" w:eastAsia="zh-CN"/>
                                    </w:rPr>
                                    <w:t xml:space="preserve"> N</w:t>
                                  </w:r>
                                  <w:r>
                                    <w:rPr>
                                      <w:rFonts w:hint="eastAsia"/>
                                      <w:vertAlign w:val="subscript"/>
                                      <w:lang w:val="en-US" w:eastAsia="zh-CN"/>
                                    </w:rPr>
                                    <w:t xml:space="preserve">7 </w:t>
                                  </w:r>
                                  <w:r>
                                    <w:rPr>
                                      <w:rFonts w:hint="eastAsia"/>
                                      <w:lang w:val="en-US" w:eastAsia="zh-CN"/>
                                    </w:rPr>
                                    <w:t xml:space="preserve"> </w:t>
                                  </w:r>
                                </w:p>
                              </w:txbxContent>
                            </wps:txbx>
                            <wps:bodyPr upright="1"/>
                          </wps:wsp>
                        </a:graphicData>
                      </a:graphic>
                    </wp:anchor>
                  </w:drawing>
                </mc:Choice>
                <mc:Fallback>
                  <w:pict>
                    <v:shape id="_x0000_s1026" o:spid="_x0000_s1026" o:spt="202" type="#_x0000_t202" style="position:absolute;left:0pt;margin-left:110pt;margin-top:5.65pt;height:23.4pt;width:41.6pt;z-index:251762688;mso-width-relative:page;mso-height-relative:page;" filled="f" stroked="f" coordsize="21600,21600" o:gfxdata="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l6Ju41QAA&#10;AAkBAAAPAAAAAAAAAAEAIAAAACIAAABkcnMvZG93bnJldi54bWxQSwECFAAUAAAACACHTuJAXvjV&#10;zK8BAABPAwAADgAAAAAAAAABACAAAAAkAQAAZHJzL2Uyb0RvYy54bWxQSwUGAAAAAAYABgBZAQAA&#10;RQUAAAAA&#10;">
                      <v:fill on="f" focussize="0,0"/>
                      <v:stroke on="f"/>
                      <v:imagedata o:title=""/>
                      <o:lock v:ext="edit" aspectratio="f"/>
                      <v:textbox>
                        <w:txbxContent>
                          <w:p w14:paraId="6B3BD95B">
                            <w:pPr>
                              <w:rPr>
                                <w:rFonts w:hint="default"/>
                                <w:lang w:val="en-US"/>
                              </w:rPr>
                            </w:pPr>
                            <w:r>
                              <w:rPr>
                                <w:rFonts w:hint="eastAsia"/>
                                <w:lang w:val="en-US" w:eastAsia="zh-CN"/>
                              </w:rPr>
                              <w:t xml:space="preserve"> N</w:t>
                            </w:r>
                            <w:r>
                              <w:rPr>
                                <w:rFonts w:hint="eastAsia"/>
                                <w:vertAlign w:val="subscript"/>
                                <w:lang w:val="en-US" w:eastAsia="zh-CN"/>
                              </w:rPr>
                              <w:t xml:space="preserve">7 </w:t>
                            </w:r>
                            <w:r>
                              <w:rPr>
                                <w:rFonts w:hint="eastAsia"/>
                                <w:lang w:val="en-US" w:eastAsia="zh-CN"/>
                              </w:rPr>
                              <w:t xml:space="preserve"> </w:t>
                            </w:r>
                          </w:p>
                        </w:txbxContent>
                      </v:textbox>
                    </v:shap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761664" behindDoc="0" locked="0" layoutInCell="1" allowOverlap="1">
                      <wp:simplePos x="0" y="0"/>
                      <wp:positionH relativeFrom="column">
                        <wp:posOffset>2197735</wp:posOffset>
                      </wp:positionH>
                      <wp:positionV relativeFrom="paragraph">
                        <wp:posOffset>90805</wp:posOffset>
                      </wp:positionV>
                      <wp:extent cx="603885" cy="29718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603885" cy="297180"/>
                              </a:xfrm>
                              <a:prstGeom prst="rect">
                                <a:avLst/>
                              </a:prstGeom>
                              <a:noFill/>
                              <a:ln>
                                <a:noFill/>
                              </a:ln>
                            </wps:spPr>
                            <wps:txbx>
                              <w:txbxContent>
                                <w:p w14:paraId="1973F969">
                                  <w:pPr>
                                    <w:rPr>
                                      <w:rFonts w:hint="default"/>
                                      <w:lang w:val="en-US"/>
                                    </w:rPr>
                                  </w:pPr>
                                  <w:r>
                                    <w:rPr>
                                      <w:rFonts w:hint="eastAsia"/>
                                      <w:lang w:val="en-US" w:eastAsia="zh-CN"/>
                                    </w:rPr>
                                    <w:t xml:space="preserve"> N</w:t>
                                  </w:r>
                                  <w:r>
                                    <w:rPr>
                                      <w:rFonts w:hint="eastAsia"/>
                                      <w:vertAlign w:val="subscript"/>
                                      <w:lang w:val="en-US" w:eastAsia="zh-CN"/>
                                    </w:rPr>
                                    <w:t xml:space="preserve">6 </w:t>
                                  </w:r>
                                  <w:r>
                                    <w:rPr>
                                      <w:rFonts w:hint="eastAsia"/>
                                      <w:lang w:val="en-US" w:eastAsia="zh-CN"/>
                                    </w:rPr>
                                    <w:t>S</w:t>
                                  </w:r>
                                  <w:r>
                                    <w:rPr>
                                      <w:rFonts w:hint="eastAsia"/>
                                      <w:vertAlign w:val="subscript"/>
                                      <w:lang w:val="en-US" w:eastAsia="zh-CN"/>
                                    </w:rPr>
                                    <w:t xml:space="preserve">3 </w:t>
                                  </w:r>
                                  <w:r>
                                    <w:rPr>
                                      <w:rFonts w:hint="eastAsia"/>
                                      <w:lang w:val="en-US" w:eastAsia="zh-CN"/>
                                    </w:rPr>
                                    <w:t xml:space="preserve"> </w:t>
                                  </w:r>
                                </w:p>
                              </w:txbxContent>
                            </wps:txbx>
                            <wps:bodyPr upright="1"/>
                          </wps:wsp>
                        </a:graphicData>
                      </a:graphic>
                    </wp:anchor>
                  </w:drawing>
                </mc:Choice>
                <mc:Fallback>
                  <w:pict>
                    <v:shape id="_x0000_s1026" o:spid="_x0000_s1026" o:spt="202" type="#_x0000_t202" style="position:absolute;left:0pt;margin-left:173.05pt;margin-top:7.15pt;height:23.4pt;width:47.55pt;z-index:251761664;mso-width-relative:page;mso-height-relative:page;" filled="f" stroked="f" coordsize="21600,21600" o:gfxdata="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2a+09YA&#10;AAAJAQAADwAAAAAAAAABACAAAAAiAAAAZHJzL2Rvd25yZXYueG1sUEsBAhQAFAAAAAgAh07iQKk2&#10;OXevAQAATwMAAA4AAAAAAAAAAQAgAAAAJQEAAGRycy9lMm9Eb2MueG1sUEsFBgAAAAAGAAYAWQEA&#10;AEYFAAAAAA==&#10;">
                      <v:fill on="f" focussize="0,0"/>
                      <v:stroke on="f"/>
                      <v:imagedata o:title=""/>
                      <o:lock v:ext="edit" aspectratio="f"/>
                      <v:textbox>
                        <w:txbxContent>
                          <w:p w14:paraId="1973F969">
                            <w:pPr>
                              <w:rPr>
                                <w:rFonts w:hint="default"/>
                                <w:lang w:val="en-US"/>
                              </w:rPr>
                            </w:pPr>
                            <w:r>
                              <w:rPr>
                                <w:rFonts w:hint="eastAsia"/>
                                <w:lang w:val="en-US" w:eastAsia="zh-CN"/>
                              </w:rPr>
                              <w:t xml:space="preserve"> N</w:t>
                            </w:r>
                            <w:r>
                              <w:rPr>
                                <w:rFonts w:hint="eastAsia"/>
                                <w:vertAlign w:val="subscript"/>
                                <w:lang w:val="en-US" w:eastAsia="zh-CN"/>
                              </w:rPr>
                              <w:t xml:space="preserve">6 </w:t>
                            </w:r>
                            <w:r>
                              <w:rPr>
                                <w:rFonts w:hint="eastAsia"/>
                                <w:lang w:val="en-US" w:eastAsia="zh-CN"/>
                              </w:rPr>
                              <w:t>S</w:t>
                            </w:r>
                            <w:r>
                              <w:rPr>
                                <w:rFonts w:hint="eastAsia"/>
                                <w:vertAlign w:val="subscript"/>
                                <w:lang w:val="en-US" w:eastAsia="zh-CN"/>
                              </w:rPr>
                              <w:t xml:space="preserve">3 </w:t>
                            </w:r>
                            <w:r>
                              <w:rPr>
                                <w:rFonts w:hint="eastAsia"/>
                                <w:lang w:val="en-US" w:eastAsia="zh-CN"/>
                              </w:rPr>
                              <w:t xml:space="preserve"> </w:t>
                            </w:r>
                          </w:p>
                        </w:txbxContent>
                      </v:textbox>
                    </v:shap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665408" behindDoc="0" locked="0" layoutInCell="1" allowOverlap="1">
                      <wp:simplePos x="0" y="0"/>
                      <wp:positionH relativeFrom="column">
                        <wp:posOffset>3023235</wp:posOffset>
                      </wp:positionH>
                      <wp:positionV relativeFrom="paragraph">
                        <wp:posOffset>104140</wp:posOffset>
                      </wp:positionV>
                      <wp:extent cx="577850" cy="29718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577850" cy="297180"/>
                              </a:xfrm>
                              <a:prstGeom prst="rect">
                                <a:avLst/>
                              </a:prstGeom>
                              <a:noFill/>
                              <a:ln>
                                <a:noFill/>
                              </a:ln>
                            </wps:spPr>
                            <wps:txbx>
                              <w:txbxContent>
                                <w:p w14:paraId="3F130BA0">
                                  <w:pPr>
                                    <w:rPr>
                                      <w:rFonts w:hint="default"/>
                                      <w:lang w:val="en-US"/>
                                    </w:rPr>
                                  </w:pPr>
                                  <w:r>
                                    <w:rPr>
                                      <w:rFonts w:hint="eastAsia"/>
                                      <w:lang w:val="en-US" w:eastAsia="zh-CN"/>
                                    </w:rPr>
                                    <w:t xml:space="preserve">  W</w:t>
                                  </w:r>
                                  <w:r>
                                    <w:rPr>
                                      <w:rFonts w:hint="eastAsia"/>
                                      <w:vertAlign w:val="subscript"/>
                                      <w:lang w:val="en-US" w:eastAsia="zh-CN"/>
                                    </w:rPr>
                                    <w:t>4</w:t>
                                  </w:r>
                                  <w:r>
                                    <w:rPr>
                                      <w:rFonts w:hint="eastAsia"/>
                                      <w:lang w:val="en-US" w:eastAsia="zh-CN"/>
                                    </w:rPr>
                                    <w:t xml:space="preserve">  </w:t>
                                  </w:r>
                                </w:p>
                              </w:txbxContent>
                            </wps:txbx>
                            <wps:bodyPr upright="1"/>
                          </wps:wsp>
                        </a:graphicData>
                      </a:graphic>
                    </wp:anchor>
                  </w:drawing>
                </mc:Choice>
                <mc:Fallback>
                  <w:pict>
                    <v:shape id="_x0000_s1026" o:spid="_x0000_s1026" o:spt="202" type="#_x0000_t202" style="position:absolute;left:0pt;margin-left:238.05pt;margin-top:8.2pt;height:23.4pt;width:45.5pt;z-index:251665408;mso-width-relative:page;mso-height-relative:page;" filled="f" stroked="f" coordsize="21600,21600" o:gfxdata="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2dQQ11gAA&#10;AAkBAAAPAAAAAAAAAAEAIAAAACIAAABkcnMvZG93bnJldi54bWxQSwECFAAUAAAACACHTuJAs93a&#10;764BAABPAwAADgAAAAAAAAABACAAAAAlAQAAZHJzL2Uyb0RvYy54bWxQSwUGAAAAAAYABgBZAQAA&#10;RQUAAAAA&#10;">
                      <v:fill on="f" focussize="0,0"/>
                      <v:stroke on="f"/>
                      <v:imagedata o:title=""/>
                      <o:lock v:ext="edit" aspectratio="f"/>
                      <v:textbox>
                        <w:txbxContent>
                          <w:p w14:paraId="3F130BA0">
                            <w:pPr>
                              <w:rPr>
                                <w:rFonts w:hint="default"/>
                                <w:lang w:val="en-US"/>
                              </w:rPr>
                            </w:pPr>
                            <w:r>
                              <w:rPr>
                                <w:rFonts w:hint="eastAsia"/>
                                <w:lang w:val="en-US" w:eastAsia="zh-CN"/>
                              </w:rPr>
                              <w:t xml:space="preserve">  W</w:t>
                            </w:r>
                            <w:r>
                              <w:rPr>
                                <w:rFonts w:hint="eastAsia"/>
                                <w:vertAlign w:val="subscript"/>
                                <w:lang w:val="en-US" w:eastAsia="zh-CN"/>
                              </w:rPr>
                              <w:t>4</w:t>
                            </w:r>
                            <w:r>
                              <w:rPr>
                                <w:rFonts w:hint="eastAsia"/>
                                <w:lang w:val="en-US" w:eastAsia="zh-CN"/>
                              </w:rPr>
                              <w:t xml:space="preserve">  </w:t>
                            </w:r>
                          </w:p>
                        </w:txbxContent>
                      </v:textbox>
                    </v:shap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678720" behindDoc="0" locked="0" layoutInCell="1" allowOverlap="1">
                      <wp:simplePos x="0" y="0"/>
                      <wp:positionH relativeFrom="column">
                        <wp:posOffset>4766310</wp:posOffset>
                      </wp:positionH>
                      <wp:positionV relativeFrom="paragraph">
                        <wp:posOffset>63500</wp:posOffset>
                      </wp:positionV>
                      <wp:extent cx="440055" cy="29718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440055" cy="297180"/>
                              </a:xfrm>
                              <a:prstGeom prst="rect">
                                <a:avLst/>
                              </a:prstGeom>
                              <a:noFill/>
                              <a:ln>
                                <a:noFill/>
                              </a:ln>
                            </wps:spPr>
                            <wps:txbx>
                              <w:txbxContent>
                                <w:p w14:paraId="686D63A7">
                                  <w:pPr>
                                    <w:rPr>
                                      <w:rFonts w:hint="default"/>
                                      <w:lang w:val="en-US"/>
                                    </w:rPr>
                                  </w:pPr>
                                  <w:r>
                                    <w:rPr>
                                      <w:rFonts w:hint="eastAsia"/>
                                      <w:lang w:val="en-US" w:eastAsia="zh-CN"/>
                                    </w:rPr>
                                    <w:t xml:space="preserve"> N</w:t>
                                  </w:r>
                                  <w:r>
                                    <w:rPr>
                                      <w:rFonts w:hint="eastAsia"/>
                                      <w:vertAlign w:val="subscript"/>
                                      <w:lang w:val="en-US" w:eastAsia="zh-CN"/>
                                    </w:rPr>
                                    <w:t>1</w:t>
                                  </w:r>
                                  <w:r>
                                    <w:rPr>
                                      <w:rFonts w:hint="eastAsia"/>
                                      <w:lang w:val="en-US" w:eastAsia="zh-CN"/>
                                    </w:rPr>
                                    <w:t xml:space="preserve">  </w:t>
                                  </w:r>
                                </w:p>
                              </w:txbxContent>
                            </wps:txbx>
                            <wps:bodyPr upright="1"/>
                          </wps:wsp>
                        </a:graphicData>
                      </a:graphic>
                    </wp:anchor>
                  </w:drawing>
                </mc:Choice>
                <mc:Fallback>
                  <w:pict>
                    <v:shape id="_x0000_s1026" o:spid="_x0000_s1026" o:spt="202" type="#_x0000_t202" style="position:absolute;left:0pt;margin-left:375.3pt;margin-top:5pt;height:23.4pt;width:34.65pt;z-index:251678720;mso-width-relative:page;mso-height-relative:page;" filled="f" stroked="f" coordsize="21600,21600" o:gfxdata="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CwjtNYA&#10;AAAJAQAADwAAAAAAAAABACAAAAAiAAAAZHJzL2Rvd25yZXYueG1sUEsBAhQAFAAAAAgAh07iQAgJ&#10;qXKvAQAATwMAAA4AAAAAAAAAAQAgAAAAJQEAAGRycy9lMm9Eb2MueG1sUEsFBgAAAAAGAAYAWQEA&#10;AEYFAAAAAA==&#10;">
                      <v:fill on="f" focussize="0,0"/>
                      <v:stroke on="f"/>
                      <v:imagedata o:title=""/>
                      <o:lock v:ext="edit" aspectratio="f"/>
                      <v:textbox>
                        <w:txbxContent>
                          <w:p w14:paraId="686D63A7">
                            <w:pPr>
                              <w:rPr>
                                <w:rFonts w:hint="default"/>
                                <w:lang w:val="en-US"/>
                              </w:rPr>
                            </w:pPr>
                            <w:r>
                              <w:rPr>
                                <w:rFonts w:hint="eastAsia"/>
                                <w:lang w:val="en-US" w:eastAsia="zh-CN"/>
                              </w:rPr>
                              <w:t xml:space="preserve"> N</w:t>
                            </w:r>
                            <w:r>
                              <w:rPr>
                                <w:rFonts w:hint="eastAsia"/>
                                <w:vertAlign w:val="subscript"/>
                                <w:lang w:val="en-US" w:eastAsia="zh-CN"/>
                              </w:rPr>
                              <w:t>1</w:t>
                            </w:r>
                            <w:r>
                              <w:rPr>
                                <w:rFonts w:hint="eastAsia"/>
                                <w:lang w:val="en-US" w:eastAsia="zh-CN"/>
                              </w:rPr>
                              <w:t xml:space="preserve">  </w:t>
                            </w:r>
                          </w:p>
                        </w:txbxContent>
                      </v:textbox>
                    </v:shape>
                  </w:pict>
                </mc:Fallback>
              </mc:AlternateContent>
            </w:r>
          </w:p>
          <w:p w14:paraId="66397AB7">
            <w:pPr>
              <w:pStyle w:val="43"/>
              <w:keepNext w:val="0"/>
              <w:keepLines w:val="0"/>
              <w:pageBreakBefore w:val="0"/>
              <w:widowControl w:val="0"/>
              <w:kinsoku/>
              <w:wordWrap/>
              <w:overflowPunct/>
              <w:topLinePunct w:val="0"/>
              <w:autoSpaceDE/>
              <w:autoSpaceDN/>
              <w:bidi w:val="0"/>
              <w:adjustRightInd/>
              <w:snapToGrid/>
              <w:spacing w:after="0" w:afterLines="0" w:line="500" w:lineRule="exact"/>
              <w:ind w:left="0" w:leftChars="0" w:firstLine="0" w:firstLineChars="0"/>
              <w:jc w:val="center"/>
              <w:textAlignment w:val="auto"/>
              <w:rPr>
                <w:rFonts w:hint="default" w:ascii="Times New Roman" w:hAnsi="Times New Roman" w:cs="Times New Roman" w:eastAsiaTheme="minorEastAsia"/>
                <w:color w:val="auto"/>
                <w:spacing w:val="4"/>
                <w:sz w:val="24"/>
                <w:szCs w:val="24"/>
              </w:rPr>
            </w:pPr>
            <w:r>
              <w:rPr>
                <w:rFonts w:hint="default" w:ascii="Times New Roman" w:hAnsi="Times New Roman" w:cs="Times New Roman" w:eastAsiaTheme="minorEastAsia"/>
                <w:b/>
                <w:bCs/>
                <w:color w:val="auto"/>
                <w:sz w:val="24"/>
              </w:rPr>
              <w:t>图</w:t>
            </w:r>
            <w:r>
              <w:rPr>
                <w:rFonts w:hint="eastAsia" w:ascii="Times New Roman" w:hAnsi="Times New Roman" w:cs="Times New Roman" w:eastAsiaTheme="minorEastAsia"/>
                <w:b/>
                <w:bCs/>
                <w:color w:val="auto"/>
                <w:sz w:val="24"/>
                <w:lang w:val="en-US" w:eastAsia="zh-CN"/>
              </w:rPr>
              <w:t>2-1</w:t>
            </w:r>
            <w:r>
              <w:rPr>
                <w:rFonts w:hint="default" w:ascii="Times New Roman" w:hAnsi="Times New Roman" w:cs="Times New Roman" w:eastAsiaTheme="minorEastAsia"/>
                <w:b/>
                <w:bCs/>
                <w:color w:val="auto"/>
                <w:sz w:val="24"/>
                <w:lang w:val="en-US" w:eastAsia="zh-CN"/>
              </w:rPr>
              <w:t xml:space="preserve">   </w:t>
            </w:r>
            <w:r>
              <w:rPr>
                <w:rFonts w:hint="eastAsia" w:ascii="Times New Roman" w:hAnsi="Times New Roman" w:cs="Times New Roman" w:eastAsiaTheme="minorEastAsia"/>
                <w:b/>
                <w:bCs/>
                <w:color w:val="auto"/>
                <w:sz w:val="24"/>
                <w:lang w:val="en-US" w:eastAsia="zh-CN"/>
              </w:rPr>
              <w:t>废吨包处理</w:t>
            </w:r>
            <w:r>
              <w:rPr>
                <w:rFonts w:hint="default" w:ascii="Times New Roman" w:hAnsi="Times New Roman" w:cs="Times New Roman" w:eastAsiaTheme="minorEastAsia"/>
                <w:b/>
                <w:bCs/>
                <w:color w:val="auto"/>
                <w:sz w:val="24"/>
                <w:lang w:val="en-US" w:eastAsia="zh-CN"/>
              </w:rPr>
              <w:t>工艺流程及产排污节点图</w:t>
            </w:r>
          </w:p>
          <w:p w14:paraId="514E12F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工艺流程简述：</w:t>
            </w:r>
          </w:p>
          <w:p w14:paraId="74C095BE">
            <w:pPr>
              <w:keepNext w:val="0"/>
              <w:keepLines w:val="0"/>
              <w:pageBreakBefore w:val="0"/>
              <w:widowControl w:val="0"/>
              <w:tabs>
                <w:tab w:val="left" w:pos="2838"/>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lang w:eastAsia="zh-CN"/>
              </w:rPr>
              <w:t>）</w:t>
            </w:r>
            <w:r>
              <w:rPr>
                <w:rFonts w:hint="eastAsia" w:cs="Times New Roman"/>
                <w:color w:val="auto"/>
                <w:sz w:val="24"/>
                <w:lang w:val="en-US" w:eastAsia="zh-CN"/>
              </w:rPr>
              <w:t>上料、湿式粉碎</w:t>
            </w:r>
          </w:p>
          <w:p w14:paraId="0C331F35">
            <w:pPr>
              <w:keepNext w:val="0"/>
              <w:keepLines w:val="0"/>
              <w:pageBreakBefore w:val="0"/>
              <w:widowControl w:val="0"/>
              <w:tabs>
                <w:tab w:val="left" w:pos="2838"/>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废吨包经上料机送至粉碎机进行湿式粉碎，粉碎至</w:t>
            </w:r>
            <w:r>
              <w:rPr>
                <w:rFonts w:hint="eastAsia" w:cs="Times New Roman"/>
                <w:color w:val="auto"/>
                <w:sz w:val="24"/>
                <w:lang w:val="en-US" w:eastAsia="zh-CN"/>
              </w:rPr>
              <w:t>4</w:t>
            </w:r>
            <w:r>
              <w:rPr>
                <w:rFonts w:hint="eastAsia" w:ascii="Times New Roman" w:hAnsi="Times New Roman" w:cs="Times New Roman"/>
                <w:color w:val="auto"/>
                <w:sz w:val="24"/>
                <w:lang w:eastAsia="zh-CN"/>
              </w:rPr>
              <w:t>cm左右</w:t>
            </w:r>
            <w:r>
              <w:rPr>
                <w:rFonts w:hint="eastAsia" w:ascii="Times New Roman" w:hAnsi="Times New Roman" w:cs="Times New Roman"/>
                <w:color w:val="auto"/>
                <w:sz w:val="24"/>
                <w:lang w:val="en-US" w:eastAsia="zh-CN"/>
              </w:rPr>
              <w:t>的碎片。</w:t>
            </w:r>
            <w:r>
              <w:rPr>
                <w:rFonts w:hint="eastAsia" w:cs="Times New Roman"/>
                <w:color w:val="auto"/>
                <w:sz w:val="24"/>
                <w:lang w:val="en-US" w:eastAsia="zh-CN"/>
              </w:rPr>
              <w:t>废吨包运输前已进行一次清洗，表面洁净无油渍、几乎无尘且</w:t>
            </w:r>
            <w:r>
              <w:rPr>
                <w:rFonts w:hint="eastAsia" w:ascii="Times New Roman" w:hAnsi="Times New Roman" w:cs="Times New Roman"/>
                <w:color w:val="auto"/>
                <w:sz w:val="24"/>
                <w:lang w:val="en-US" w:eastAsia="zh-CN"/>
              </w:rPr>
              <w:t>由于采用湿式粉碎，此过程无颗粒物产生。</w:t>
            </w:r>
          </w:p>
          <w:p w14:paraId="37D5A06D">
            <w:pPr>
              <w:keepNext w:val="0"/>
              <w:keepLines w:val="0"/>
              <w:pageBreakBefore w:val="0"/>
              <w:widowControl w:val="0"/>
              <w:tabs>
                <w:tab w:val="left" w:pos="2838"/>
              </w:tabs>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cs="Times New Roman"/>
                <w:b/>
                <w:bCs w:val="0"/>
                <w:color w:val="auto"/>
                <w:sz w:val="24"/>
                <w:vertAlign w:val="baseline"/>
                <w:lang w:val="en-US" w:eastAsia="zh-CN"/>
              </w:rPr>
            </w:pPr>
            <w:r>
              <w:rPr>
                <w:rFonts w:hint="default" w:ascii="Times New Roman" w:hAnsi="Times New Roman" w:cs="Times New Roman"/>
                <w:b/>
                <w:bCs w:val="0"/>
                <w:color w:val="auto"/>
                <w:sz w:val="24"/>
              </w:rPr>
              <w:t>此工序</w:t>
            </w:r>
            <w:r>
              <w:rPr>
                <w:rFonts w:hint="default" w:ascii="Times New Roman" w:hAnsi="Times New Roman" w:cs="Times New Roman"/>
                <w:b/>
                <w:bCs w:val="0"/>
                <w:color w:val="000000" w:themeColor="text1"/>
                <w:sz w:val="24"/>
                <w:szCs w:val="24"/>
                <w:highlight w:val="none"/>
                <w14:textFill>
                  <w14:solidFill>
                    <w14:schemeClr w14:val="tx1"/>
                  </w14:solidFill>
                </w14:textFill>
              </w:rPr>
              <w:t>主要污染为</w:t>
            </w:r>
            <w:r>
              <w:rPr>
                <w:rFonts w:hint="eastAsia" w:cs="Times New Roman"/>
                <w:b/>
                <w:bCs w:val="0"/>
                <w:color w:val="000000" w:themeColor="text1"/>
                <w:sz w:val="24"/>
                <w:szCs w:val="24"/>
                <w:highlight w:val="none"/>
                <w:lang w:val="en-US" w:eastAsia="zh-CN"/>
                <w14:textFill>
                  <w14:solidFill>
                    <w14:schemeClr w14:val="tx1"/>
                  </w14:solidFill>
                </w14:textFill>
              </w:rPr>
              <w:t>粉碎工序废水W</w:t>
            </w:r>
            <w:r>
              <w:rPr>
                <w:rFonts w:hint="eastAsia" w:cs="Times New Roman"/>
                <w:b/>
                <w:bCs w:val="0"/>
                <w:color w:val="000000" w:themeColor="text1"/>
                <w:sz w:val="24"/>
                <w:szCs w:val="24"/>
                <w:highlight w:val="none"/>
                <w:vertAlign w:val="subscript"/>
                <w:lang w:val="en-US" w:eastAsia="zh-CN"/>
                <w14:textFill>
                  <w14:solidFill>
                    <w14:schemeClr w14:val="tx1"/>
                  </w14:solidFill>
                </w14:textFill>
              </w:rPr>
              <w:t>1</w:t>
            </w:r>
            <w:r>
              <w:rPr>
                <w:rFonts w:hint="eastAsia" w:cs="Times New Roman"/>
                <w:b/>
                <w:bCs w:val="0"/>
                <w:color w:val="000000" w:themeColor="text1"/>
                <w:sz w:val="24"/>
                <w:szCs w:val="24"/>
                <w:highlight w:val="none"/>
                <w:lang w:val="en-US" w:eastAsia="zh-CN"/>
                <w14:textFill>
                  <w14:solidFill>
                    <w14:schemeClr w14:val="tx1"/>
                  </w14:solidFill>
                </w14:textFill>
              </w:rPr>
              <w:t>和上料机、粉碎机</w:t>
            </w:r>
            <w:r>
              <w:rPr>
                <w:rFonts w:hint="default" w:ascii="Times New Roman" w:hAnsi="Times New Roman" w:cs="Times New Roman"/>
                <w:b/>
                <w:bCs w:val="0"/>
                <w:color w:val="000000" w:themeColor="text1"/>
                <w:sz w:val="24"/>
                <w:szCs w:val="24"/>
                <w:highlight w:val="none"/>
                <w14:textFill>
                  <w14:solidFill>
                    <w14:schemeClr w14:val="tx1"/>
                  </w14:solidFill>
                </w14:textFill>
              </w:rPr>
              <w:t>运行产生的噪声</w:t>
            </w:r>
            <w:r>
              <w:rPr>
                <w:rFonts w:hint="eastAsia" w:cs="Times New Roman"/>
                <w:b/>
                <w:bCs w:val="0"/>
                <w:color w:val="000000" w:themeColor="text1"/>
                <w:sz w:val="24"/>
                <w:szCs w:val="24"/>
                <w:highlight w:val="none"/>
                <w:lang w:val="en-US" w:eastAsia="zh-CN"/>
                <w14:textFill>
                  <w14:solidFill>
                    <w14:schemeClr w14:val="tx1"/>
                  </w14:solidFill>
                </w14:textFill>
              </w:rPr>
              <w:t>N</w:t>
            </w:r>
            <w:r>
              <w:rPr>
                <w:rFonts w:hint="eastAsia" w:cs="Times New Roman"/>
                <w:b/>
                <w:bCs w:val="0"/>
                <w:color w:val="000000" w:themeColor="text1"/>
                <w:sz w:val="24"/>
                <w:szCs w:val="24"/>
                <w:highlight w:val="none"/>
                <w:vertAlign w:val="subscript"/>
                <w:lang w:val="en-US" w:eastAsia="zh-CN"/>
                <w14:textFill>
                  <w14:solidFill>
                    <w14:schemeClr w14:val="tx1"/>
                  </w14:solidFill>
                </w14:textFill>
              </w:rPr>
              <w:t>1</w:t>
            </w:r>
            <w:r>
              <w:rPr>
                <w:rFonts w:hint="eastAsia" w:cs="Times New Roman"/>
                <w:b/>
                <w:bCs w:val="0"/>
                <w:color w:val="000000" w:themeColor="text1"/>
                <w:sz w:val="24"/>
                <w:szCs w:val="24"/>
                <w:highlight w:val="none"/>
                <w:lang w:eastAsia="zh-CN"/>
                <w14:textFill>
                  <w14:solidFill>
                    <w14:schemeClr w14:val="tx1"/>
                  </w14:solidFill>
                </w14:textFill>
              </w:rPr>
              <w:t>、</w:t>
            </w:r>
            <w:r>
              <w:rPr>
                <w:rFonts w:hint="eastAsia" w:cs="Times New Roman"/>
                <w:b/>
                <w:bCs w:val="0"/>
                <w:color w:val="000000" w:themeColor="text1"/>
                <w:sz w:val="24"/>
                <w:szCs w:val="24"/>
                <w:highlight w:val="none"/>
                <w:lang w:val="en-US" w:eastAsia="zh-CN"/>
                <w14:textFill>
                  <w14:solidFill>
                    <w14:schemeClr w14:val="tx1"/>
                  </w14:solidFill>
                </w14:textFill>
              </w:rPr>
              <w:t>N</w:t>
            </w:r>
            <w:r>
              <w:rPr>
                <w:rFonts w:hint="eastAsia" w:cs="Times New Roman"/>
                <w:b/>
                <w:bCs w:val="0"/>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cs="Times New Roman"/>
                <w:b/>
                <w:bCs w:val="0"/>
                <w:color w:val="auto"/>
                <w:sz w:val="24"/>
                <w:vertAlign w:val="baseline"/>
                <w:lang w:val="en-US" w:eastAsia="zh-CN"/>
              </w:rPr>
              <w:t>。</w:t>
            </w:r>
          </w:p>
          <w:p w14:paraId="5A12378E">
            <w:pPr>
              <w:keepNext w:val="0"/>
              <w:keepLines w:val="0"/>
              <w:pageBreakBefore w:val="0"/>
              <w:widowControl w:val="0"/>
              <w:tabs>
                <w:tab w:val="left" w:pos="2838"/>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eastAsia="zh-CN"/>
              </w:rPr>
              <w:t>（</w:t>
            </w:r>
            <w:r>
              <w:rPr>
                <w:rFonts w:hint="eastAsia" w:cs="Times New Roman"/>
                <w:color w:val="auto"/>
                <w:sz w:val="24"/>
                <w:lang w:val="en-US" w:eastAsia="zh-CN"/>
              </w:rPr>
              <w:t>2</w:t>
            </w:r>
            <w:r>
              <w:rPr>
                <w:rFonts w:hint="default" w:ascii="Times New Roman" w:hAnsi="Times New Roman" w:cs="Times New Roman"/>
                <w:color w:val="auto"/>
                <w:sz w:val="24"/>
                <w:lang w:eastAsia="zh-CN"/>
              </w:rPr>
              <w:t>）</w:t>
            </w:r>
            <w:r>
              <w:rPr>
                <w:rFonts w:hint="eastAsia" w:cs="Times New Roman"/>
                <w:color w:val="auto"/>
                <w:sz w:val="24"/>
                <w:lang w:val="en-US" w:eastAsia="zh-CN"/>
              </w:rPr>
              <w:t>清洗、提料、甩干</w:t>
            </w:r>
          </w:p>
          <w:p w14:paraId="7778D55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cs="Times New Roman" w:eastAsiaTheme="minorEastAsia"/>
                <w:b/>
                <w:bCs/>
                <w:color w:val="auto"/>
                <w:sz w:val="24"/>
                <w:lang w:val="en-US" w:eastAsia="zh-CN"/>
              </w:rPr>
            </w:pPr>
            <w:r>
              <w:rPr>
                <w:rFonts w:hint="eastAsia" w:cs="Times New Roman" w:eastAsiaTheme="minorEastAsia"/>
                <w:b/>
                <w:bCs/>
                <w:color w:val="auto"/>
                <w:sz w:val="24"/>
                <w:lang w:val="en-US" w:eastAsia="zh-CN"/>
              </w:rPr>
              <w:t xml:space="preserve">   </w:t>
            </w:r>
            <w:r>
              <w:rPr>
                <w:rFonts w:hint="eastAsia" w:cs="Times New Roman" w:eastAsiaTheme="minorEastAsia"/>
                <w:b w:val="0"/>
                <w:bCs w:val="0"/>
                <w:color w:val="auto"/>
                <w:sz w:val="24"/>
                <w:lang w:val="en-US" w:eastAsia="zh-CN"/>
              </w:rPr>
              <w:t xml:space="preserve"> 粉碎后的废吨包进入清洗池内清洗，清洗粉碎过程产生的塑料碎屑。该过程无需添加清洗剂，仅用清水进行清洗，清洗后的碎片再经提料机送至甩干机甩干。</w:t>
            </w:r>
          </w:p>
          <w:p w14:paraId="3574093F">
            <w:pPr>
              <w:keepNext w:val="0"/>
              <w:keepLines w:val="0"/>
              <w:pageBreakBefore w:val="0"/>
              <w:widowControl w:val="0"/>
              <w:tabs>
                <w:tab w:val="left" w:pos="2838"/>
              </w:tabs>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cs="Times New Roman"/>
                <w:b/>
                <w:bCs w:val="0"/>
                <w:color w:val="auto"/>
                <w:sz w:val="24"/>
                <w:vertAlign w:val="baseline"/>
                <w:lang w:val="en-US" w:eastAsia="zh-CN"/>
              </w:rPr>
            </w:pPr>
            <w:r>
              <w:rPr>
                <w:rFonts w:hint="default" w:ascii="Times New Roman" w:hAnsi="Times New Roman" w:cs="Times New Roman"/>
                <w:b/>
                <w:bCs w:val="0"/>
                <w:color w:val="auto"/>
                <w:sz w:val="24"/>
              </w:rPr>
              <w:t>此工序</w:t>
            </w:r>
            <w:r>
              <w:rPr>
                <w:rFonts w:hint="default" w:ascii="Times New Roman" w:hAnsi="Times New Roman" w:cs="Times New Roman"/>
                <w:b/>
                <w:bCs w:val="0"/>
                <w:color w:val="000000" w:themeColor="text1"/>
                <w:sz w:val="24"/>
                <w:szCs w:val="24"/>
                <w:highlight w:val="none"/>
                <w14:textFill>
                  <w14:solidFill>
                    <w14:schemeClr w14:val="tx1"/>
                  </w14:solidFill>
                </w14:textFill>
              </w:rPr>
              <w:t>主要污染为</w:t>
            </w:r>
            <w:r>
              <w:rPr>
                <w:rFonts w:hint="eastAsia" w:cs="Times New Roman"/>
                <w:b/>
                <w:bCs w:val="0"/>
                <w:color w:val="000000" w:themeColor="text1"/>
                <w:sz w:val="24"/>
                <w:szCs w:val="24"/>
                <w:highlight w:val="none"/>
                <w:lang w:eastAsia="zh-CN"/>
                <w14:textFill>
                  <w14:solidFill>
                    <w14:schemeClr w14:val="tx1"/>
                  </w14:solidFill>
                </w14:textFill>
              </w:rPr>
              <w:t>，</w:t>
            </w:r>
            <w:r>
              <w:rPr>
                <w:rFonts w:hint="eastAsia" w:cs="Times New Roman"/>
                <w:b/>
                <w:bCs w:val="0"/>
                <w:color w:val="000000" w:themeColor="text1"/>
                <w:sz w:val="24"/>
                <w:szCs w:val="24"/>
                <w:highlight w:val="none"/>
                <w:lang w:val="en-US" w:eastAsia="zh-CN"/>
                <w14:textFill>
                  <w14:solidFill>
                    <w14:schemeClr w14:val="tx1"/>
                  </w14:solidFill>
                </w14:textFill>
              </w:rPr>
              <w:t>清洗、甩干工序废水W</w:t>
            </w:r>
            <w:r>
              <w:rPr>
                <w:rFonts w:hint="eastAsia" w:cs="Times New Roman"/>
                <w:b/>
                <w:bCs w:val="0"/>
                <w:color w:val="000000" w:themeColor="text1"/>
                <w:sz w:val="24"/>
                <w:szCs w:val="24"/>
                <w:highlight w:val="none"/>
                <w:vertAlign w:val="subscript"/>
                <w:lang w:val="en-US" w:eastAsia="zh-CN"/>
                <w14:textFill>
                  <w14:solidFill>
                    <w14:schemeClr w14:val="tx1"/>
                  </w14:solidFill>
                </w14:textFill>
              </w:rPr>
              <w:t>2</w:t>
            </w:r>
            <w:r>
              <w:rPr>
                <w:rFonts w:hint="eastAsia" w:cs="Times New Roman"/>
                <w:b/>
                <w:bCs w:val="0"/>
                <w:color w:val="000000" w:themeColor="text1"/>
                <w:sz w:val="24"/>
                <w:szCs w:val="24"/>
                <w:highlight w:val="none"/>
                <w:lang w:val="en-US" w:eastAsia="zh-CN"/>
                <w14:textFill>
                  <w14:solidFill>
                    <w14:schemeClr w14:val="tx1"/>
                  </w14:solidFill>
                </w14:textFill>
              </w:rPr>
              <w:t>、W</w:t>
            </w:r>
            <w:r>
              <w:rPr>
                <w:rFonts w:hint="eastAsia" w:cs="Times New Roman"/>
                <w:b/>
                <w:bCs w:val="0"/>
                <w:color w:val="000000" w:themeColor="text1"/>
                <w:sz w:val="24"/>
                <w:szCs w:val="24"/>
                <w:highlight w:val="none"/>
                <w:vertAlign w:val="subscript"/>
                <w:lang w:val="en-US" w:eastAsia="zh-CN"/>
                <w14:textFill>
                  <w14:solidFill>
                    <w14:schemeClr w14:val="tx1"/>
                  </w14:solidFill>
                </w14:textFill>
              </w:rPr>
              <w:t>3</w:t>
            </w:r>
            <w:r>
              <w:rPr>
                <w:rFonts w:hint="eastAsia" w:cs="Times New Roman"/>
                <w:b/>
                <w:bCs w:val="0"/>
                <w:color w:val="000000" w:themeColor="text1"/>
                <w:sz w:val="24"/>
                <w:szCs w:val="24"/>
                <w:highlight w:val="none"/>
                <w:lang w:val="en-US" w:eastAsia="zh-CN"/>
                <w14:textFill>
                  <w14:solidFill>
                    <w14:schemeClr w14:val="tx1"/>
                  </w14:solidFill>
                </w14:textFill>
              </w:rPr>
              <w:t>，提料机、甩干机</w:t>
            </w:r>
            <w:r>
              <w:rPr>
                <w:rFonts w:hint="default" w:ascii="Times New Roman" w:hAnsi="Times New Roman" w:cs="Times New Roman"/>
                <w:b/>
                <w:bCs w:val="0"/>
                <w:color w:val="000000" w:themeColor="text1"/>
                <w:sz w:val="24"/>
                <w:szCs w:val="24"/>
                <w:highlight w:val="none"/>
                <w14:textFill>
                  <w14:solidFill>
                    <w14:schemeClr w14:val="tx1"/>
                  </w14:solidFill>
                </w14:textFill>
              </w:rPr>
              <w:t>运行产生的噪声</w:t>
            </w:r>
            <w:r>
              <w:rPr>
                <w:rFonts w:hint="eastAsia" w:cs="Times New Roman"/>
                <w:b/>
                <w:bCs w:val="0"/>
                <w:color w:val="000000" w:themeColor="text1"/>
                <w:sz w:val="24"/>
                <w:szCs w:val="24"/>
                <w:highlight w:val="none"/>
                <w:lang w:val="en-US" w:eastAsia="zh-CN"/>
                <w14:textFill>
                  <w14:solidFill>
                    <w14:schemeClr w14:val="tx1"/>
                  </w14:solidFill>
                </w14:textFill>
              </w:rPr>
              <w:t>N</w:t>
            </w:r>
            <w:r>
              <w:rPr>
                <w:rFonts w:hint="eastAsia" w:cs="Times New Roman"/>
                <w:b/>
                <w:bCs w:val="0"/>
                <w:color w:val="000000" w:themeColor="text1"/>
                <w:sz w:val="24"/>
                <w:szCs w:val="24"/>
                <w:highlight w:val="none"/>
                <w:vertAlign w:val="subscript"/>
                <w:lang w:val="en-US" w:eastAsia="zh-CN"/>
                <w14:textFill>
                  <w14:solidFill>
                    <w14:schemeClr w14:val="tx1"/>
                  </w14:solidFill>
                </w14:textFill>
              </w:rPr>
              <w:t>3</w:t>
            </w:r>
            <w:r>
              <w:rPr>
                <w:rFonts w:hint="eastAsia" w:cs="Times New Roman"/>
                <w:b/>
                <w:bCs w:val="0"/>
                <w:color w:val="000000" w:themeColor="text1"/>
                <w:sz w:val="24"/>
                <w:szCs w:val="24"/>
                <w:highlight w:val="none"/>
                <w:lang w:eastAsia="zh-CN"/>
                <w14:textFill>
                  <w14:solidFill>
                    <w14:schemeClr w14:val="tx1"/>
                  </w14:solidFill>
                </w14:textFill>
              </w:rPr>
              <w:t>、</w:t>
            </w:r>
            <w:r>
              <w:rPr>
                <w:rFonts w:hint="eastAsia" w:cs="Times New Roman"/>
                <w:b/>
                <w:bCs w:val="0"/>
                <w:color w:val="000000" w:themeColor="text1"/>
                <w:sz w:val="24"/>
                <w:szCs w:val="24"/>
                <w:highlight w:val="none"/>
                <w:lang w:val="en-US" w:eastAsia="zh-CN"/>
                <w14:textFill>
                  <w14:solidFill>
                    <w14:schemeClr w14:val="tx1"/>
                  </w14:solidFill>
                </w14:textFill>
              </w:rPr>
              <w:t>N</w:t>
            </w:r>
            <w:r>
              <w:rPr>
                <w:rFonts w:hint="eastAsia" w:cs="Times New Roman"/>
                <w:b/>
                <w:bCs w:val="0"/>
                <w:color w:val="000000" w:themeColor="text1"/>
                <w:sz w:val="24"/>
                <w:szCs w:val="24"/>
                <w:highlight w:val="none"/>
                <w:vertAlign w:val="subscript"/>
                <w:lang w:val="en-US" w:eastAsia="zh-CN"/>
                <w14:textFill>
                  <w14:solidFill>
                    <w14:schemeClr w14:val="tx1"/>
                  </w14:solidFill>
                </w14:textFill>
              </w:rPr>
              <w:t>4</w:t>
            </w:r>
            <w:r>
              <w:rPr>
                <w:rFonts w:hint="eastAsia" w:cs="Times New Roman"/>
                <w:b/>
                <w:bCs w:val="0"/>
                <w:color w:val="auto"/>
                <w:sz w:val="24"/>
                <w:vertAlign w:val="baseline"/>
                <w:lang w:val="en-US" w:eastAsia="zh-CN"/>
              </w:rPr>
              <w:t>和沉淀池底泥S</w:t>
            </w:r>
            <w:r>
              <w:rPr>
                <w:rFonts w:hint="eastAsia" w:cs="Times New Roman"/>
                <w:b/>
                <w:bCs w:val="0"/>
                <w:color w:val="auto"/>
                <w:sz w:val="24"/>
                <w:vertAlign w:val="subscript"/>
                <w:lang w:val="en-US" w:eastAsia="zh-CN"/>
              </w:rPr>
              <w:t>1</w:t>
            </w:r>
            <w:r>
              <w:rPr>
                <w:rFonts w:hint="eastAsia" w:cs="Times New Roman"/>
                <w:b/>
                <w:bCs w:val="0"/>
                <w:color w:val="auto"/>
                <w:sz w:val="24"/>
                <w:vertAlign w:val="baseline"/>
                <w:lang w:val="en-US" w:eastAsia="zh-CN"/>
              </w:rPr>
              <w:t>。</w:t>
            </w:r>
          </w:p>
          <w:p w14:paraId="26B7EC93">
            <w:pPr>
              <w:keepNext w:val="0"/>
              <w:keepLines w:val="0"/>
              <w:pageBreakBefore w:val="0"/>
              <w:widowControl w:val="0"/>
              <w:tabs>
                <w:tab w:val="left" w:pos="2838"/>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eastAsia="zh-CN"/>
              </w:rPr>
              <w:t>（</w:t>
            </w:r>
            <w:r>
              <w:rPr>
                <w:rFonts w:hint="eastAsia" w:cs="Times New Roman"/>
                <w:color w:val="auto"/>
                <w:sz w:val="24"/>
                <w:lang w:val="en-US" w:eastAsia="zh-CN"/>
              </w:rPr>
              <w:t>3</w:t>
            </w:r>
            <w:r>
              <w:rPr>
                <w:rFonts w:hint="default" w:ascii="Times New Roman" w:hAnsi="Times New Roman" w:cs="Times New Roman"/>
                <w:color w:val="auto"/>
                <w:sz w:val="24"/>
                <w:lang w:eastAsia="zh-CN"/>
              </w:rPr>
              <w:t>）</w:t>
            </w:r>
            <w:r>
              <w:rPr>
                <w:rFonts w:hint="eastAsia" w:cs="Times New Roman"/>
                <w:color w:val="auto"/>
                <w:sz w:val="24"/>
                <w:lang w:val="en-US" w:eastAsia="zh-CN"/>
              </w:rPr>
              <w:t>上料、挤出、冷却</w:t>
            </w:r>
          </w:p>
          <w:p w14:paraId="2C95262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cs="Times New Roman" w:eastAsiaTheme="minorEastAsia"/>
                <w:b/>
                <w:bCs/>
                <w:color w:val="auto"/>
                <w:sz w:val="24"/>
                <w:lang w:val="en-US" w:eastAsia="zh-CN"/>
              </w:rPr>
            </w:pPr>
            <w:r>
              <w:rPr>
                <w:rFonts w:hint="eastAsia" w:cs="Times New Roman" w:eastAsiaTheme="minorEastAsia"/>
                <w:b w:val="0"/>
                <w:bCs w:val="0"/>
                <w:color w:val="auto"/>
                <w:sz w:val="24"/>
                <w:lang w:val="en-US" w:eastAsia="zh-CN"/>
              </w:rPr>
              <w:t>甩干后的碎片经上料机（</w:t>
            </w:r>
            <w:r>
              <w:rPr>
                <w:rFonts w:hint="eastAsia" w:cs="Times New Roman" w:eastAsiaTheme="minorEastAsia"/>
                <w:b w:val="0"/>
                <w:bCs w:val="0"/>
                <w:color w:val="FF0000"/>
                <w:sz w:val="24"/>
                <w:lang w:val="en-US" w:eastAsia="zh-CN"/>
              </w:rPr>
              <w:t>甩干后的碎片表面仍较湿润且碎片粒径较大，项目根据客户需求按比例添加PP、PE新料，新料为颗粒状，因此整个上料过程无颗粒物产生</w:t>
            </w:r>
            <w:r>
              <w:rPr>
                <w:rFonts w:hint="eastAsia" w:cs="Times New Roman" w:eastAsiaTheme="minorEastAsia"/>
                <w:b w:val="0"/>
                <w:bCs w:val="0"/>
                <w:color w:val="auto"/>
                <w:sz w:val="24"/>
                <w:lang w:val="en-US" w:eastAsia="zh-CN"/>
              </w:rPr>
              <w:t>）送至挤出机，挤出机加热（电加热）温度在180</w:t>
            </w:r>
            <w:r>
              <w:rPr>
                <w:rFonts w:hint="default" w:ascii="Times New Roman" w:hAnsi="Times New Roman" w:cs="Times New Roman" w:eastAsiaTheme="minorEastAsia"/>
                <w:b w:val="0"/>
                <w:bCs w:val="0"/>
                <w:color w:val="auto"/>
                <w:sz w:val="24"/>
                <w:lang w:val="en-US" w:eastAsia="zh-CN"/>
              </w:rPr>
              <w:t>℃</w:t>
            </w:r>
            <w:r>
              <w:rPr>
                <w:rFonts w:hint="eastAsia" w:cs="Times New Roman" w:eastAsiaTheme="minorEastAsia"/>
                <w:b w:val="0"/>
                <w:bCs w:val="0"/>
                <w:color w:val="auto"/>
                <w:sz w:val="24"/>
                <w:lang w:val="en-US" w:eastAsia="zh-CN"/>
              </w:rPr>
              <w:t>左右，经高温作用使碎片融化为可塑性的粘流，然后经过模头挤出成条状，最后经过冷却水槽冷却。</w:t>
            </w:r>
          </w:p>
          <w:p w14:paraId="46EA2C0B">
            <w:pPr>
              <w:keepNext w:val="0"/>
              <w:keepLines w:val="0"/>
              <w:pageBreakBefore w:val="0"/>
              <w:widowControl w:val="0"/>
              <w:tabs>
                <w:tab w:val="left" w:pos="2838"/>
              </w:tabs>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cs="Times New Roman"/>
                <w:b/>
                <w:bCs w:val="0"/>
                <w:color w:val="auto"/>
                <w:sz w:val="24"/>
                <w:vertAlign w:val="baseline"/>
                <w:lang w:val="en-US" w:eastAsia="zh-CN"/>
              </w:rPr>
            </w:pPr>
            <w:r>
              <w:rPr>
                <w:rFonts w:hint="default" w:ascii="Times New Roman" w:hAnsi="Times New Roman" w:cs="Times New Roman"/>
                <w:b/>
                <w:bCs w:val="0"/>
                <w:color w:val="auto"/>
                <w:sz w:val="24"/>
              </w:rPr>
              <w:t>此工序</w:t>
            </w:r>
            <w:r>
              <w:rPr>
                <w:rFonts w:hint="default" w:ascii="Times New Roman" w:hAnsi="Times New Roman" w:cs="Times New Roman"/>
                <w:b/>
                <w:bCs w:val="0"/>
                <w:color w:val="000000" w:themeColor="text1"/>
                <w:sz w:val="24"/>
                <w:szCs w:val="24"/>
                <w:highlight w:val="none"/>
                <w14:textFill>
                  <w14:solidFill>
                    <w14:schemeClr w14:val="tx1"/>
                  </w14:solidFill>
                </w14:textFill>
              </w:rPr>
              <w:t>主要污染为</w:t>
            </w:r>
            <w:r>
              <w:rPr>
                <w:rFonts w:hint="eastAsia" w:cs="Times New Roman"/>
                <w:b/>
                <w:bCs w:val="0"/>
                <w:color w:val="000000" w:themeColor="text1"/>
                <w:sz w:val="24"/>
                <w:szCs w:val="24"/>
                <w:highlight w:val="none"/>
                <w:lang w:val="en-US" w:eastAsia="zh-CN"/>
                <w14:textFill>
                  <w14:solidFill>
                    <w14:schemeClr w14:val="tx1"/>
                  </w14:solidFill>
                </w14:textFill>
              </w:rPr>
              <w:t>挤出废气G</w:t>
            </w:r>
            <w:r>
              <w:rPr>
                <w:rFonts w:hint="eastAsia" w:cs="Times New Roman"/>
                <w:b/>
                <w:bCs w:val="0"/>
                <w:color w:val="000000" w:themeColor="text1"/>
                <w:sz w:val="24"/>
                <w:szCs w:val="24"/>
                <w:highlight w:val="none"/>
                <w:vertAlign w:val="subscript"/>
                <w:lang w:val="en-US" w:eastAsia="zh-CN"/>
                <w14:textFill>
                  <w14:solidFill>
                    <w14:schemeClr w14:val="tx1"/>
                  </w14:solidFill>
                </w14:textFill>
              </w:rPr>
              <w:t>1</w:t>
            </w:r>
            <w:r>
              <w:rPr>
                <w:rFonts w:hint="eastAsia" w:cs="Times New Roman"/>
                <w:b/>
                <w:bCs w:val="0"/>
                <w:color w:val="000000" w:themeColor="text1"/>
                <w:sz w:val="24"/>
                <w:szCs w:val="24"/>
                <w:highlight w:val="none"/>
                <w:lang w:eastAsia="zh-CN"/>
                <w14:textFill>
                  <w14:solidFill>
                    <w14:schemeClr w14:val="tx1"/>
                  </w14:solidFill>
                </w14:textFill>
              </w:rPr>
              <w:t>，</w:t>
            </w:r>
            <w:r>
              <w:rPr>
                <w:rFonts w:hint="eastAsia" w:cs="Times New Roman"/>
                <w:b/>
                <w:bCs w:val="0"/>
                <w:color w:val="000000" w:themeColor="text1"/>
                <w:sz w:val="24"/>
                <w:szCs w:val="24"/>
                <w:highlight w:val="none"/>
                <w:lang w:val="en-US" w:eastAsia="zh-CN"/>
                <w14:textFill>
                  <w14:solidFill>
                    <w14:schemeClr w14:val="tx1"/>
                  </w14:solidFill>
                </w14:textFill>
              </w:rPr>
              <w:t>冷却工序废水W</w:t>
            </w:r>
            <w:r>
              <w:rPr>
                <w:rFonts w:hint="eastAsia" w:cs="Times New Roman"/>
                <w:b/>
                <w:bCs w:val="0"/>
                <w:color w:val="000000" w:themeColor="text1"/>
                <w:sz w:val="24"/>
                <w:szCs w:val="24"/>
                <w:highlight w:val="none"/>
                <w:vertAlign w:val="subscript"/>
                <w:lang w:val="en-US" w:eastAsia="zh-CN"/>
                <w14:textFill>
                  <w14:solidFill>
                    <w14:schemeClr w14:val="tx1"/>
                  </w14:solidFill>
                </w14:textFill>
              </w:rPr>
              <w:t>4</w:t>
            </w:r>
            <w:r>
              <w:rPr>
                <w:rFonts w:hint="eastAsia" w:cs="Times New Roman"/>
                <w:b/>
                <w:bCs w:val="0"/>
                <w:color w:val="000000" w:themeColor="text1"/>
                <w:sz w:val="24"/>
                <w:szCs w:val="24"/>
                <w:highlight w:val="none"/>
                <w:lang w:val="en-US" w:eastAsia="zh-CN"/>
                <w14:textFill>
                  <w14:solidFill>
                    <w14:schemeClr w14:val="tx1"/>
                  </w14:solidFill>
                </w14:textFill>
              </w:rPr>
              <w:t>和上料机、挤出机</w:t>
            </w:r>
            <w:r>
              <w:rPr>
                <w:rFonts w:hint="default" w:ascii="Times New Roman" w:hAnsi="Times New Roman" w:cs="Times New Roman"/>
                <w:b/>
                <w:bCs w:val="0"/>
                <w:color w:val="000000" w:themeColor="text1"/>
                <w:sz w:val="24"/>
                <w:szCs w:val="24"/>
                <w:highlight w:val="none"/>
                <w14:textFill>
                  <w14:solidFill>
                    <w14:schemeClr w14:val="tx1"/>
                  </w14:solidFill>
                </w14:textFill>
              </w:rPr>
              <w:t>运行产生的噪声</w:t>
            </w:r>
            <w:r>
              <w:rPr>
                <w:rFonts w:hint="eastAsia" w:cs="Times New Roman"/>
                <w:b/>
                <w:bCs w:val="0"/>
                <w:color w:val="000000" w:themeColor="text1"/>
                <w:sz w:val="24"/>
                <w:szCs w:val="24"/>
                <w:highlight w:val="none"/>
                <w:lang w:val="en-US" w:eastAsia="zh-CN"/>
                <w14:textFill>
                  <w14:solidFill>
                    <w14:schemeClr w14:val="tx1"/>
                  </w14:solidFill>
                </w14:textFill>
              </w:rPr>
              <w:t>N</w:t>
            </w:r>
            <w:r>
              <w:rPr>
                <w:rFonts w:hint="eastAsia" w:cs="Times New Roman"/>
                <w:b/>
                <w:bCs w:val="0"/>
                <w:color w:val="000000" w:themeColor="text1"/>
                <w:sz w:val="24"/>
                <w:szCs w:val="24"/>
                <w:highlight w:val="none"/>
                <w:vertAlign w:val="subscript"/>
                <w:lang w:val="en-US" w:eastAsia="zh-CN"/>
                <w14:textFill>
                  <w14:solidFill>
                    <w14:schemeClr w14:val="tx1"/>
                  </w14:solidFill>
                </w14:textFill>
              </w:rPr>
              <w:t>1</w:t>
            </w:r>
            <w:r>
              <w:rPr>
                <w:rFonts w:hint="eastAsia" w:cs="Times New Roman"/>
                <w:b/>
                <w:bCs w:val="0"/>
                <w:color w:val="000000" w:themeColor="text1"/>
                <w:sz w:val="24"/>
                <w:szCs w:val="24"/>
                <w:highlight w:val="none"/>
                <w:lang w:eastAsia="zh-CN"/>
                <w14:textFill>
                  <w14:solidFill>
                    <w14:schemeClr w14:val="tx1"/>
                  </w14:solidFill>
                </w14:textFill>
              </w:rPr>
              <w:t>、</w:t>
            </w:r>
            <w:r>
              <w:rPr>
                <w:rFonts w:hint="eastAsia" w:cs="Times New Roman"/>
                <w:b/>
                <w:bCs w:val="0"/>
                <w:color w:val="000000" w:themeColor="text1"/>
                <w:sz w:val="24"/>
                <w:szCs w:val="24"/>
                <w:highlight w:val="none"/>
                <w:lang w:val="en-US" w:eastAsia="zh-CN"/>
                <w14:textFill>
                  <w14:solidFill>
                    <w14:schemeClr w14:val="tx1"/>
                  </w14:solidFill>
                </w14:textFill>
              </w:rPr>
              <w:t>N</w:t>
            </w:r>
            <w:r>
              <w:rPr>
                <w:rFonts w:hint="eastAsia" w:cs="Times New Roman"/>
                <w:b/>
                <w:bCs w:val="0"/>
                <w:color w:val="000000" w:themeColor="text1"/>
                <w:sz w:val="24"/>
                <w:szCs w:val="24"/>
                <w:highlight w:val="none"/>
                <w:vertAlign w:val="subscript"/>
                <w:lang w:val="en-US" w:eastAsia="zh-CN"/>
                <w14:textFill>
                  <w14:solidFill>
                    <w14:schemeClr w14:val="tx1"/>
                  </w14:solidFill>
                </w14:textFill>
              </w:rPr>
              <w:t>5</w:t>
            </w:r>
            <w:r>
              <w:rPr>
                <w:rFonts w:hint="eastAsia" w:cs="Times New Roman"/>
                <w:b/>
                <w:bCs w:val="0"/>
                <w:color w:val="auto"/>
                <w:sz w:val="24"/>
                <w:vertAlign w:val="baseline"/>
                <w:lang w:val="en-US" w:eastAsia="zh-CN"/>
              </w:rPr>
              <w:t>和废过滤网S</w:t>
            </w:r>
            <w:r>
              <w:rPr>
                <w:rFonts w:hint="eastAsia" w:cs="Times New Roman"/>
                <w:b/>
                <w:bCs w:val="0"/>
                <w:color w:val="auto"/>
                <w:sz w:val="24"/>
                <w:vertAlign w:val="subscript"/>
                <w:lang w:val="en-US" w:eastAsia="zh-CN"/>
              </w:rPr>
              <w:t>2</w:t>
            </w:r>
            <w:r>
              <w:rPr>
                <w:rFonts w:hint="eastAsia" w:cs="Times New Roman"/>
                <w:b/>
                <w:bCs w:val="0"/>
                <w:color w:val="auto"/>
                <w:sz w:val="24"/>
                <w:vertAlign w:val="baseline"/>
                <w:lang w:val="en-US" w:eastAsia="zh-CN"/>
              </w:rPr>
              <w:t>。</w:t>
            </w:r>
          </w:p>
          <w:p w14:paraId="67F3D855">
            <w:pPr>
              <w:keepNext w:val="0"/>
              <w:keepLines w:val="0"/>
              <w:pageBreakBefore w:val="0"/>
              <w:widowControl w:val="0"/>
              <w:tabs>
                <w:tab w:val="left" w:pos="2838"/>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eastAsia="zh-CN"/>
              </w:rPr>
              <w:t>（</w:t>
            </w:r>
            <w:r>
              <w:rPr>
                <w:rFonts w:hint="eastAsia" w:cs="Times New Roman"/>
                <w:color w:val="auto"/>
                <w:sz w:val="24"/>
                <w:lang w:val="en-US" w:eastAsia="zh-CN"/>
              </w:rPr>
              <w:t>4</w:t>
            </w:r>
            <w:r>
              <w:rPr>
                <w:rFonts w:hint="default" w:ascii="Times New Roman" w:hAnsi="Times New Roman" w:cs="Times New Roman"/>
                <w:color w:val="auto"/>
                <w:sz w:val="24"/>
                <w:lang w:eastAsia="zh-CN"/>
              </w:rPr>
              <w:t>）</w:t>
            </w:r>
            <w:r>
              <w:rPr>
                <w:rFonts w:hint="eastAsia" w:cs="Times New Roman"/>
                <w:color w:val="auto"/>
                <w:sz w:val="24"/>
                <w:lang w:val="en-US" w:eastAsia="zh-CN"/>
              </w:rPr>
              <w:t>切料、储料罐、包装</w:t>
            </w:r>
          </w:p>
          <w:p w14:paraId="3169C76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cs="Times New Roman" w:eastAsiaTheme="minorEastAsia"/>
                <w:b/>
                <w:bCs/>
                <w:color w:val="auto"/>
                <w:sz w:val="24"/>
                <w:lang w:val="en-US" w:eastAsia="zh-CN"/>
              </w:rPr>
            </w:pPr>
            <w:r>
              <w:rPr>
                <w:rFonts w:hint="eastAsia" w:ascii="Times New Roman" w:hAnsi="Times New Roman" w:cs="Times New Roman"/>
                <w:color w:val="auto"/>
                <w:sz w:val="24"/>
                <w:lang w:val="en-US" w:eastAsia="zh-CN"/>
              </w:rPr>
              <w:t>经冷却成型的条状半成品送至切粒机切成圆柱状颗粒</w:t>
            </w:r>
            <w:r>
              <w:rPr>
                <w:rFonts w:hint="eastAsia" w:cs="Times New Roman"/>
                <w:color w:val="auto"/>
                <w:sz w:val="24"/>
                <w:lang w:val="en-US" w:eastAsia="zh-CN"/>
              </w:rPr>
              <w:t>即</w:t>
            </w:r>
            <w:r>
              <w:rPr>
                <w:rFonts w:hint="eastAsia" w:ascii="Times New Roman" w:hAnsi="Times New Roman" w:cs="Times New Roman"/>
                <w:color w:val="auto"/>
                <w:sz w:val="24"/>
                <w:lang w:val="en-US" w:eastAsia="zh-CN"/>
              </w:rPr>
              <w:t>得成品。成品经气力输送至</w:t>
            </w:r>
            <w:r>
              <w:rPr>
                <w:rFonts w:hint="eastAsia" w:cs="Times New Roman"/>
                <w:color w:val="auto"/>
                <w:sz w:val="24"/>
                <w:lang w:val="en-US" w:eastAsia="zh-CN"/>
              </w:rPr>
              <w:t>储料罐</w:t>
            </w:r>
            <w:r>
              <w:rPr>
                <w:rFonts w:hint="eastAsia" w:ascii="Times New Roman" w:hAnsi="Times New Roman" w:cs="Times New Roman"/>
                <w:color w:val="auto"/>
                <w:sz w:val="24"/>
                <w:lang w:val="en-US" w:eastAsia="zh-CN"/>
              </w:rPr>
              <w:t>暂存</w:t>
            </w:r>
            <w:r>
              <w:rPr>
                <w:rFonts w:hint="eastAsia" w:cs="Times New Roman"/>
                <w:color w:val="auto"/>
                <w:sz w:val="24"/>
                <w:lang w:val="en-US" w:eastAsia="zh-CN"/>
              </w:rPr>
              <w:t>。制得的塑料颗粒成品经人工包装后暂存于成品区待售。</w:t>
            </w:r>
            <w:r>
              <w:rPr>
                <w:rFonts w:hint="eastAsia" w:ascii="Times New Roman" w:hAnsi="Times New Roman" w:cs="Times New Roman"/>
                <w:color w:val="auto"/>
                <w:sz w:val="24"/>
                <w:lang w:val="en-US" w:eastAsia="zh-CN"/>
              </w:rPr>
              <w:t>再生塑料颗粒的粒径在0.7-1.5mm范围内，粒径较大，</w:t>
            </w:r>
            <w:r>
              <w:rPr>
                <w:rFonts w:hint="eastAsia" w:cs="Times New Roman"/>
                <w:color w:val="auto"/>
                <w:sz w:val="24"/>
                <w:lang w:val="en-US" w:eastAsia="zh-CN"/>
              </w:rPr>
              <w:t>因此切料过程无颗粒物产生。</w:t>
            </w:r>
          </w:p>
          <w:p w14:paraId="180333D8">
            <w:pPr>
              <w:keepNext w:val="0"/>
              <w:keepLines w:val="0"/>
              <w:pageBreakBefore w:val="0"/>
              <w:widowControl w:val="0"/>
              <w:tabs>
                <w:tab w:val="left" w:pos="2838"/>
              </w:tabs>
              <w:kinsoku/>
              <w:wordWrap/>
              <w:overflowPunct/>
              <w:topLinePunct w:val="0"/>
              <w:autoSpaceDE/>
              <w:autoSpaceDN/>
              <w:bidi w:val="0"/>
              <w:adjustRightInd/>
              <w:snapToGrid/>
              <w:spacing w:line="500" w:lineRule="exact"/>
              <w:ind w:firstLine="482" w:firstLineChars="200"/>
              <w:textAlignment w:val="auto"/>
              <w:rPr>
                <w:rFonts w:hint="eastAsia" w:cs="Times New Roman" w:eastAsiaTheme="minorEastAsia"/>
                <w:b/>
                <w:bCs/>
                <w:color w:val="auto"/>
                <w:sz w:val="24"/>
                <w:lang w:val="en-US" w:eastAsia="zh-CN"/>
              </w:rPr>
            </w:pPr>
            <w:r>
              <w:rPr>
                <w:rFonts w:hint="default" w:ascii="Times New Roman" w:hAnsi="Times New Roman" w:cs="Times New Roman"/>
                <w:b/>
                <w:bCs w:val="0"/>
                <w:color w:val="auto"/>
                <w:sz w:val="24"/>
              </w:rPr>
              <w:t>此工序</w:t>
            </w:r>
            <w:r>
              <w:rPr>
                <w:rFonts w:hint="default" w:ascii="Times New Roman" w:hAnsi="Times New Roman" w:cs="Times New Roman"/>
                <w:b/>
                <w:bCs w:val="0"/>
                <w:color w:val="000000" w:themeColor="text1"/>
                <w:sz w:val="24"/>
                <w:szCs w:val="24"/>
                <w:highlight w:val="none"/>
                <w14:textFill>
                  <w14:solidFill>
                    <w14:schemeClr w14:val="tx1"/>
                  </w14:solidFill>
                </w14:textFill>
              </w:rPr>
              <w:t>主要污染为</w:t>
            </w:r>
            <w:r>
              <w:rPr>
                <w:rFonts w:hint="eastAsia" w:cs="Times New Roman"/>
                <w:b/>
                <w:bCs w:val="0"/>
                <w:color w:val="000000" w:themeColor="text1"/>
                <w:sz w:val="24"/>
                <w:szCs w:val="24"/>
                <w:highlight w:val="none"/>
                <w:lang w:val="en-US" w:eastAsia="zh-CN"/>
                <w14:textFill>
                  <w14:solidFill>
                    <w14:schemeClr w14:val="tx1"/>
                  </w14:solidFill>
                </w14:textFill>
              </w:rPr>
              <w:t>切粒机、吹风振动机</w:t>
            </w:r>
            <w:r>
              <w:rPr>
                <w:rFonts w:hint="default" w:ascii="Times New Roman" w:hAnsi="Times New Roman" w:cs="Times New Roman"/>
                <w:b/>
                <w:bCs w:val="0"/>
                <w:color w:val="000000" w:themeColor="text1"/>
                <w:sz w:val="24"/>
                <w:szCs w:val="24"/>
                <w:highlight w:val="none"/>
                <w14:textFill>
                  <w14:solidFill>
                    <w14:schemeClr w14:val="tx1"/>
                  </w14:solidFill>
                </w14:textFill>
              </w:rPr>
              <w:t>运行产生的噪声</w:t>
            </w:r>
            <w:r>
              <w:rPr>
                <w:rFonts w:hint="eastAsia" w:cs="Times New Roman"/>
                <w:b/>
                <w:bCs w:val="0"/>
                <w:color w:val="000000" w:themeColor="text1"/>
                <w:sz w:val="24"/>
                <w:szCs w:val="24"/>
                <w:highlight w:val="none"/>
                <w:lang w:val="en-US" w:eastAsia="zh-CN"/>
                <w14:textFill>
                  <w14:solidFill>
                    <w14:schemeClr w14:val="tx1"/>
                  </w14:solidFill>
                </w14:textFill>
              </w:rPr>
              <w:t>N</w:t>
            </w:r>
            <w:r>
              <w:rPr>
                <w:rFonts w:hint="eastAsia" w:cs="Times New Roman"/>
                <w:b/>
                <w:bCs w:val="0"/>
                <w:color w:val="000000" w:themeColor="text1"/>
                <w:sz w:val="24"/>
                <w:szCs w:val="24"/>
                <w:highlight w:val="none"/>
                <w:vertAlign w:val="subscript"/>
                <w:lang w:val="en-US" w:eastAsia="zh-CN"/>
                <w14:textFill>
                  <w14:solidFill>
                    <w14:schemeClr w14:val="tx1"/>
                  </w14:solidFill>
                </w14:textFill>
              </w:rPr>
              <w:t>6</w:t>
            </w:r>
            <w:r>
              <w:rPr>
                <w:rFonts w:hint="eastAsia" w:cs="Times New Roman"/>
                <w:b/>
                <w:bCs w:val="0"/>
                <w:color w:val="000000" w:themeColor="text1"/>
                <w:sz w:val="24"/>
                <w:szCs w:val="24"/>
                <w:highlight w:val="none"/>
                <w:lang w:eastAsia="zh-CN"/>
                <w14:textFill>
                  <w14:solidFill>
                    <w14:schemeClr w14:val="tx1"/>
                  </w14:solidFill>
                </w14:textFill>
              </w:rPr>
              <w:t>、</w:t>
            </w:r>
            <w:r>
              <w:rPr>
                <w:rFonts w:hint="eastAsia" w:cs="Times New Roman"/>
                <w:b/>
                <w:bCs w:val="0"/>
                <w:color w:val="000000" w:themeColor="text1"/>
                <w:sz w:val="24"/>
                <w:szCs w:val="24"/>
                <w:highlight w:val="none"/>
                <w:lang w:val="en-US" w:eastAsia="zh-CN"/>
                <w14:textFill>
                  <w14:solidFill>
                    <w14:schemeClr w14:val="tx1"/>
                  </w14:solidFill>
                </w14:textFill>
              </w:rPr>
              <w:t>N</w:t>
            </w:r>
            <w:r>
              <w:rPr>
                <w:rFonts w:hint="eastAsia" w:cs="Times New Roman"/>
                <w:b/>
                <w:bCs w:val="0"/>
                <w:color w:val="000000" w:themeColor="text1"/>
                <w:sz w:val="24"/>
                <w:szCs w:val="24"/>
                <w:highlight w:val="none"/>
                <w:vertAlign w:val="subscript"/>
                <w:lang w:val="en-US" w:eastAsia="zh-CN"/>
                <w14:textFill>
                  <w14:solidFill>
                    <w14:schemeClr w14:val="tx1"/>
                  </w14:solidFill>
                </w14:textFill>
              </w:rPr>
              <w:t>7</w:t>
            </w:r>
            <w:r>
              <w:rPr>
                <w:rFonts w:hint="eastAsia" w:cs="Times New Roman"/>
                <w:b/>
                <w:bCs w:val="0"/>
                <w:color w:val="auto"/>
                <w:sz w:val="24"/>
                <w:vertAlign w:val="baseline"/>
                <w:lang w:val="en-US" w:eastAsia="zh-CN"/>
              </w:rPr>
              <w:t>和废边角料S</w:t>
            </w:r>
            <w:r>
              <w:rPr>
                <w:rFonts w:hint="eastAsia" w:cs="Times New Roman"/>
                <w:b/>
                <w:bCs w:val="0"/>
                <w:color w:val="auto"/>
                <w:sz w:val="24"/>
                <w:vertAlign w:val="subscript"/>
                <w:lang w:val="en-US" w:eastAsia="zh-CN"/>
              </w:rPr>
              <w:t>3</w:t>
            </w:r>
            <w:r>
              <w:rPr>
                <w:rFonts w:hint="eastAsia" w:cs="Times New Roman"/>
                <w:b/>
                <w:bCs w:val="0"/>
                <w:color w:val="auto"/>
                <w:sz w:val="24"/>
                <w:vertAlign w:val="baseline"/>
                <w:lang w:val="en-US" w:eastAsia="zh-CN"/>
              </w:rPr>
              <w:t>。</w:t>
            </w:r>
          </w:p>
          <w:p w14:paraId="79F1865D">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2"/>
              </w:rPr>
              <mc:AlternateContent>
                <mc:Choice Requires="wps">
                  <w:drawing>
                    <wp:anchor distT="0" distB="0" distL="114300" distR="114300" simplePos="0" relativeHeight="251763712" behindDoc="0" locked="0" layoutInCell="1" allowOverlap="1">
                      <wp:simplePos x="0" y="0"/>
                      <wp:positionH relativeFrom="column">
                        <wp:posOffset>-98425</wp:posOffset>
                      </wp:positionH>
                      <wp:positionV relativeFrom="paragraph">
                        <wp:posOffset>179705</wp:posOffset>
                      </wp:positionV>
                      <wp:extent cx="854710" cy="455930"/>
                      <wp:effectExtent l="0" t="0" r="0" b="0"/>
                      <wp:wrapNone/>
                      <wp:docPr id="85" name="矩形 85"/>
                      <wp:cNvGraphicFramePr/>
                      <a:graphic xmlns:a="http://schemas.openxmlformats.org/drawingml/2006/main">
                        <a:graphicData uri="http://schemas.microsoft.com/office/word/2010/wordprocessingShape">
                          <wps:wsp>
                            <wps:cNvSpPr/>
                            <wps:spPr>
                              <a:xfrm>
                                <a:off x="0" y="0"/>
                                <a:ext cx="854710" cy="455930"/>
                              </a:xfrm>
                              <a:prstGeom prst="rect">
                                <a:avLst/>
                              </a:prstGeom>
                              <a:noFill/>
                              <a:ln w="6350" cap="flat" cmpd="sng">
                                <a:noFill/>
                                <a:prstDash val="solid"/>
                                <a:miter/>
                                <a:headEnd type="none" w="med" len="med"/>
                                <a:tailEnd type="none" w="med" len="med"/>
                              </a:ln>
                            </wps:spPr>
                            <wps:txbx>
                              <w:txbxContent>
                                <w:p w14:paraId="0C2577F4">
                                  <w:pPr>
                                    <w:rPr>
                                      <w:rFonts w:hint="default"/>
                                      <w:lang w:val="en-US" w:eastAsia="zh-CN"/>
                                    </w:rPr>
                                  </w:pPr>
                                  <w:r>
                                    <w:rPr>
                                      <w:rFonts w:hint="eastAsia" w:cs="Times New Roman"/>
                                      <w:sz w:val="21"/>
                                      <w:szCs w:val="21"/>
                                      <w:vertAlign w:val="baseline"/>
                                      <w:lang w:val="en-US" w:eastAsia="zh-CN"/>
                                    </w:rPr>
                                    <w:t>少量废</w:t>
                                  </w:r>
                                  <w:r>
                                    <w:rPr>
                                      <w:rFonts w:hint="default" w:ascii="Times New Roman" w:hAnsi="Times New Roman" w:eastAsia="宋体" w:cs="Times New Roman"/>
                                      <w:sz w:val="21"/>
                                      <w:szCs w:val="21"/>
                                      <w:vertAlign w:val="baseline"/>
                                      <w:lang w:val="en-US" w:eastAsia="zh-CN"/>
                                    </w:rPr>
                                    <w:t>PP、ABS片料</w:t>
                                  </w:r>
                                </w:p>
                              </w:txbxContent>
                            </wps:txbx>
                            <wps:bodyPr upright="1"/>
                          </wps:wsp>
                        </a:graphicData>
                      </a:graphic>
                    </wp:anchor>
                  </w:drawing>
                </mc:Choice>
                <mc:Fallback>
                  <w:pict>
                    <v:rect id="_x0000_s1026" o:spid="_x0000_s1026" o:spt="1" style="position:absolute;left:0pt;margin-left:-7.75pt;margin-top:14.15pt;height:35.9pt;width:67.3pt;z-index:251763712;mso-width-relative:page;mso-height-relative:page;" filled="f" stroked="f" coordsize="21600,21600" o:gfxdata="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eAXGi2wAAAAoBAAAPAAAAAAAAAAEAIAAAACIAAABkcnMvZG93bnJldi54bWxQSwECFAAUAAAA&#10;CACHTuJA/kkb1OsBAADYAwAADgAAAAAAAAABACAAAAAqAQAAZHJzL2Uyb0RvYy54bWxQSwUGAAAA&#10;AAYABgBZAQAAhwUAAAAA&#10;">
                      <v:fill on="f" focussize="0,0"/>
                      <v:stroke on="f" weight="0.5pt" joinstyle="miter"/>
                      <v:imagedata o:title=""/>
                      <o:lock v:ext="edit" aspectratio="f"/>
                      <v:textbox>
                        <w:txbxContent>
                          <w:p w14:paraId="0C2577F4">
                            <w:pPr>
                              <w:rPr>
                                <w:rFonts w:hint="default"/>
                                <w:lang w:val="en-US" w:eastAsia="zh-CN"/>
                              </w:rPr>
                            </w:pPr>
                            <w:r>
                              <w:rPr>
                                <w:rFonts w:hint="eastAsia" w:cs="Times New Roman"/>
                                <w:sz w:val="21"/>
                                <w:szCs w:val="21"/>
                                <w:vertAlign w:val="baseline"/>
                                <w:lang w:val="en-US" w:eastAsia="zh-CN"/>
                              </w:rPr>
                              <w:t>少量废</w:t>
                            </w:r>
                            <w:r>
                              <w:rPr>
                                <w:rFonts w:hint="default" w:ascii="Times New Roman" w:hAnsi="Times New Roman" w:eastAsia="宋体" w:cs="Times New Roman"/>
                                <w:sz w:val="21"/>
                                <w:szCs w:val="21"/>
                                <w:vertAlign w:val="baseline"/>
                                <w:lang w:val="en-US" w:eastAsia="zh-CN"/>
                              </w:rPr>
                              <w:t>PP、ABS片料</w:t>
                            </w:r>
                          </w:p>
                        </w:txbxContent>
                      </v:textbox>
                    </v:rect>
                  </w:pict>
                </mc:Fallback>
              </mc:AlternateContent>
            </w:r>
            <w:r>
              <w:rPr>
                <w:rFonts w:hint="default" w:ascii="Times New Roman" w:hAnsi="Times New Roman" w:cs="Times New Roman"/>
                <w:b/>
                <w:color w:val="auto"/>
                <w:sz w:val="22"/>
              </w:rPr>
              <mc:AlternateContent>
                <mc:Choice Requires="wps">
                  <w:drawing>
                    <wp:anchor distT="0" distB="0" distL="114300" distR="114300" simplePos="0" relativeHeight="251787264" behindDoc="0" locked="0" layoutInCell="1" allowOverlap="1">
                      <wp:simplePos x="0" y="0"/>
                      <wp:positionH relativeFrom="column">
                        <wp:posOffset>4671695</wp:posOffset>
                      </wp:positionH>
                      <wp:positionV relativeFrom="paragraph">
                        <wp:posOffset>205740</wp:posOffset>
                      </wp:positionV>
                      <wp:extent cx="506730" cy="285750"/>
                      <wp:effectExtent l="4445" t="4445" r="22225" b="14605"/>
                      <wp:wrapNone/>
                      <wp:docPr id="76" name="矩形 76"/>
                      <wp:cNvGraphicFramePr/>
                      <a:graphic xmlns:a="http://schemas.openxmlformats.org/drawingml/2006/main">
                        <a:graphicData uri="http://schemas.microsoft.com/office/word/2010/wordprocessingShape">
                          <wps:wsp>
                            <wps:cNvSpPr/>
                            <wps:spPr>
                              <a:xfrm>
                                <a:off x="0" y="0"/>
                                <a:ext cx="506730" cy="285750"/>
                              </a:xfrm>
                              <a:prstGeom prst="rect">
                                <a:avLst/>
                              </a:prstGeom>
                              <a:gradFill rotWithShape="0">
                                <a:gsLst>
                                  <a:gs pos="0">
                                    <a:srgbClr val="FFFFFF"/>
                                  </a:gs>
                                  <a:gs pos="100000">
                                    <a:srgbClr val="FFFFFF"/>
                                  </a:gs>
                                </a:gsLst>
                                <a:lin ang="0"/>
                                <a:tileRect/>
                              </a:gradFill>
                              <a:ln w="6350" cap="flat" cmpd="sng">
                                <a:solidFill>
                                  <a:schemeClr val="tx1"/>
                                </a:solidFill>
                                <a:prstDash val="solid"/>
                                <a:miter/>
                                <a:headEnd type="none" w="med" len="med"/>
                                <a:tailEnd type="none" w="med" len="med"/>
                              </a:ln>
                            </wps:spPr>
                            <wps:txbx>
                              <w:txbxContent>
                                <w:p w14:paraId="2BF3429B">
                                  <w:pPr>
                                    <w:jc w:val="center"/>
                                    <w:rPr>
                                      <w:rFonts w:hint="default" w:eastAsia="宋体"/>
                                      <w:color w:val="auto"/>
                                      <w:lang w:val="en-US" w:eastAsia="zh-CN"/>
                                    </w:rPr>
                                  </w:pPr>
                                  <w:r>
                                    <w:rPr>
                                      <w:rFonts w:hint="eastAsia"/>
                                      <w:color w:val="auto"/>
                                      <w:lang w:val="en-US" w:eastAsia="zh-CN"/>
                                    </w:rPr>
                                    <w:t>甩干</w:t>
                                  </w:r>
                                </w:p>
                              </w:txbxContent>
                            </wps:txbx>
                            <wps:bodyPr upright="1"/>
                          </wps:wsp>
                        </a:graphicData>
                      </a:graphic>
                    </wp:anchor>
                  </w:drawing>
                </mc:Choice>
                <mc:Fallback>
                  <w:pict>
                    <v:rect id="_x0000_s1026" o:spid="_x0000_s1026" o:spt="1" style="position:absolute;left:0pt;margin-left:367.85pt;margin-top:16.2pt;height:22.5pt;width:39.9pt;z-index:251787264;mso-width-relative:page;mso-height-relative:page;" fillcolor="#FFFFFF" filled="t" stroked="t" coordsize="21600,21600" o:gfxdata="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cL+BTZAAAACQEAAA8AAAAAAAAAAQAgAAAAIgAAAGRycy9k&#10;b3ducmV2LnhtbFBLAQIUABQAAAAIAIdO4kAZNEpCOgIAALEEAAAOAAAAAAAAAAEAIAAAACgBAABk&#10;cnMvZTJvRG9jLnhtbFBLBQYAAAAABgAGAFkBAADUBQAAAAA=&#10;">
                      <v:fill type="gradient" on="t" color2="#FFFFFF" angle="90" focus="100%" focussize="0,0">
                        <o:fill type="gradientUnscaled" v:ext="backwardCompatible"/>
                      </v:fill>
                      <v:stroke weight="0.5pt" color="#000000 [3213]" joinstyle="miter"/>
                      <v:imagedata o:title=""/>
                      <o:lock v:ext="edit" aspectratio="f"/>
                      <v:textbox>
                        <w:txbxContent>
                          <w:p w14:paraId="2BF3429B">
                            <w:pPr>
                              <w:jc w:val="center"/>
                              <w:rPr>
                                <w:rFonts w:hint="default" w:eastAsia="宋体"/>
                                <w:color w:val="auto"/>
                                <w:lang w:val="en-US" w:eastAsia="zh-CN"/>
                              </w:rPr>
                            </w:pPr>
                            <w:r>
                              <w:rPr>
                                <w:rFonts w:hint="eastAsia"/>
                                <w:color w:val="auto"/>
                                <w:lang w:val="en-US" w:eastAsia="zh-CN"/>
                              </w:rPr>
                              <w:t>甩干</w:t>
                            </w:r>
                          </w:p>
                        </w:txbxContent>
                      </v:textbox>
                    </v:rect>
                  </w:pict>
                </mc:Fallback>
              </mc:AlternateContent>
            </w:r>
            <w:r>
              <w:rPr>
                <w:rFonts w:hint="default" w:ascii="Times New Roman" w:hAnsi="Times New Roman" w:cs="Times New Roman"/>
                <w:b/>
                <w:color w:val="auto"/>
                <w:sz w:val="22"/>
              </w:rPr>
              <mc:AlternateContent>
                <mc:Choice Requires="wps">
                  <w:drawing>
                    <wp:anchor distT="0" distB="0" distL="114300" distR="114300" simplePos="0" relativeHeight="251788288" behindDoc="0" locked="0" layoutInCell="1" allowOverlap="1">
                      <wp:simplePos x="0" y="0"/>
                      <wp:positionH relativeFrom="column">
                        <wp:posOffset>3833495</wp:posOffset>
                      </wp:positionH>
                      <wp:positionV relativeFrom="paragraph">
                        <wp:posOffset>205740</wp:posOffset>
                      </wp:positionV>
                      <wp:extent cx="506730" cy="285750"/>
                      <wp:effectExtent l="4445" t="4445" r="22225" b="14605"/>
                      <wp:wrapNone/>
                      <wp:docPr id="77" name="矩形 77"/>
                      <wp:cNvGraphicFramePr/>
                      <a:graphic xmlns:a="http://schemas.openxmlformats.org/drawingml/2006/main">
                        <a:graphicData uri="http://schemas.microsoft.com/office/word/2010/wordprocessingShape">
                          <wps:wsp>
                            <wps:cNvSpPr/>
                            <wps:spPr>
                              <a:xfrm>
                                <a:off x="0" y="0"/>
                                <a:ext cx="506730" cy="285750"/>
                              </a:xfrm>
                              <a:prstGeom prst="rect">
                                <a:avLst/>
                              </a:prstGeom>
                              <a:gradFill rotWithShape="0">
                                <a:gsLst>
                                  <a:gs pos="0">
                                    <a:srgbClr val="FFFFFF"/>
                                  </a:gs>
                                  <a:gs pos="100000">
                                    <a:srgbClr val="FFFFFF"/>
                                  </a:gs>
                                </a:gsLst>
                                <a:lin ang="0"/>
                                <a:tileRect/>
                              </a:gradFill>
                              <a:ln w="6350" cap="flat" cmpd="sng">
                                <a:solidFill>
                                  <a:schemeClr val="tx1"/>
                                </a:solidFill>
                                <a:prstDash val="solid"/>
                                <a:miter/>
                                <a:headEnd type="none" w="med" len="med"/>
                                <a:tailEnd type="none" w="med" len="med"/>
                              </a:ln>
                            </wps:spPr>
                            <wps:txbx>
                              <w:txbxContent>
                                <w:p w14:paraId="2E7AA019">
                                  <w:pPr>
                                    <w:jc w:val="center"/>
                                    <w:rPr>
                                      <w:rFonts w:hint="default" w:eastAsia="宋体"/>
                                      <w:color w:val="auto"/>
                                      <w:lang w:val="en-US" w:eastAsia="zh-CN"/>
                                    </w:rPr>
                                  </w:pPr>
                                  <w:r>
                                    <w:rPr>
                                      <w:rFonts w:hint="eastAsia"/>
                                      <w:color w:val="auto"/>
                                      <w:lang w:val="en-US" w:eastAsia="zh-CN"/>
                                    </w:rPr>
                                    <w:t>提料</w:t>
                                  </w:r>
                                </w:p>
                              </w:txbxContent>
                            </wps:txbx>
                            <wps:bodyPr upright="1"/>
                          </wps:wsp>
                        </a:graphicData>
                      </a:graphic>
                    </wp:anchor>
                  </w:drawing>
                </mc:Choice>
                <mc:Fallback>
                  <w:pict>
                    <v:rect id="_x0000_s1026" o:spid="_x0000_s1026" o:spt="1" style="position:absolute;left:0pt;margin-left:301.85pt;margin-top:16.2pt;height:22.5pt;width:39.9pt;z-index:251788288;mso-width-relative:page;mso-height-relative:page;" fillcolor="#FFFFFF" filled="t" stroked="t" coordsize="21600,21600" o:gfxdata="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UFx772gAAAAkBAAAPAAAAAAAAAAEAIAAAACIAAABkcnMv&#10;ZG93bnJldi54bWxQSwECFAAUAAAACACHTuJA4mb9YzoCAACxBAAADgAAAAAAAAABACAAAAApAQAA&#10;ZHJzL2Uyb0RvYy54bWxQSwUGAAAAAAYABgBZAQAA1QUAAAAA&#10;">
                      <v:fill type="gradient" on="t" color2="#FFFFFF" angle="90" focus="100%" focussize="0,0">
                        <o:fill type="gradientUnscaled" v:ext="backwardCompatible"/>
                      </v:fill>
                      <v:stroke weight="0.5pt" color="#000000 [3213]" joinstyle="miter"/>
                      <v:imagedata o:title=""/>
                      <o:lock v:ext="edit" aspectratio="f"/>
                      <v:textbox>
                        <w:txbxContent>
                          <w:p w14:paraId="2E7AA019">
                            <w:pPr>
                              <w:jc w:val="center"/>
                              <w:rPr>
                                <w:rFonts w:hint="default" w:eastAsia="宋体"/>
                                <w:color w:val="auto"/>
                                <w:lang w:val="en-US" w:eastAsia="zh-CN"/>
                              </w:rPr>
                            </w:pPr>
                            <w:r>
                              <w:rPr>
                                <w:rFonts w:hint="eastAsia"/>
                                <w:color w:val="auto"/>
                                <w:lang w:val="en-US" w:eastAsia="zh-CN"/>
                              </w:rPr>
                              <w:t>提料</w:t>
                            </w:r>
                          </w:p>
                        </w:txbxContent>
                      </v:textbox>
                    </v:rect>
                  </w:pict>
                </mc:Fallback>
              </mc:AlternateContent>
            </w:r>
            <w:r>
              <w:rPr>
                <w:rFonts w:hint="default" w:ascii="Times New Roman" w:hAnsi="Times New Roman" w:cs="Times New Roman"/>
                <w:b/>
                <w:color w:val="auto"/>
                <w:sz w:val="22"/>
              </w:rPr>
              <mc:AlternateContent>
                <mc:Choice Requires="wps">
                  <w:drawing>
                    <wp:anchor distT="0" distB="0" distL="114300" distR="114300" simplePos="0" relativeHeight="251789312" behindDoc="0" locked="0" layoutInCell="1" allowOverlap="1">
                      <wp:simplePos x="0" y="0"/>
                      <wp:positionH relativeFrom="column">
                        <wp:posOffset>2995295</wp:posOffset>
                      </wp:positionH>
                      <wp:positionV relativeFrom="paragraph">
                        <wp:posOffset>196215</wp:posOffset>
                      </wp:positionV>
                      <wp:extent cx="506730" cy="285750"/>
                      <wp:effectExtent l="4445" t="4445" r="22225" b="14605"/>
                      <wp:wrapNone/>
                      <wp:docPr id="82" name="矩形 82"/>
                      <wp:cNvGraphicFramePr/>
                      <a:graphic xmlns:a="http://schemas.openxmlformats.org/drawingml/2006/main">
                        <a:graphicData uri="http://schemas.microsoft.com/office/word/2010/wordprocessingShape">
                          <wps:wsp>
                            <wps:cNvSpPr/>
                            <wps:spPr>
                              <a:xfrm>
                                <a:off x="0" y="0"/>
                                <a:ext cx="506730" cy="285750"/>
                              </a:xfrm>
                              <a:prstGeom prst="rect">
                                <a:avLst/>
                              </a:prstGeom>
                              <a:gradFill rotWithShape="0">
                                <a:gsLst>
                                  <a:gs pos="0">
                                    <a:srgbClr val="FFFFFF"/>
                                  </a:gs>
                                  <a:gs pos="100000">
                                    <a:srgbClr val="FFFFFF"/>
                                  </a:gs>
                                </a:gsLst>
                                <a:lin ang="0"/>
                                <a:tileRect/>
                              </a:gradFill>
                              <a:ln w="6350" cap="flat" cmpd="sng">
                                <a:solidFill>
                                  <a:schemeClr val="tx1"/>
                                </a:solidFill>
                                <a:prstDash val="solid"/>
                                <a:miter/>
                                <a:headEnd type="none" w="med" len="med"/>
                                <a:tailEnd type="none" w="med" len="med"/>
                              </a:ln>
                            </wps:spPr>
                            <wps:txbx>
                              <w:txbxContent>
                                <w:p w14:paraId="14249A18">
                                  <w:pPr>
                                    <w:jc w:val="center"/>
                                    <w:rPr>
                                      <w:rFonts w:hint="default" w:eastAsia="宋体"/>
                                      <w:color w:val="auto"/>
                                      <w:lang w:val="en-US" w:eastAsia="zh-CN"/>
                                    </w:rPr>
                                  </w:pPr>
                                  <w:r>
                                    <w:rPr>
                                      <w:rFonts w:hint="eastAsia"/>
                                      <w:color w:val="auto"/>
                                      <w:lang w:val="en-US" w:eastAsia="zh-CN"/>
                                    </w:rPr>
                                    <w:t>清洗</w:t>
                                  </w:r>
                                </w:p>
                              </w:txbxContent>
                            </wps:txbx>
                            <wps:bodyPr upright="1"/>
                          </wps:wsp>
                        </a:graphicData>
                      </a:graphic>
                    </wp:anchor>
                  </w:drawing>
                </mc:Choice>
                <mc:Fallback>
                  <w:pict>
                    <v:rect id="_x0000_s1026" o:spid="_x0000_s1026" o:spt="1" style="position:absolute;left:0pt;margin-left:235.85pt;margin-top:15.45pt;height:22.5pt;width:39.9pt;z-index:251789312;mso-width-relative:page;mso-height-relative:page;" fillcolor="#FFFFFF" filled="t" stroked="t" coordsize="21600,21600" o:gfxdata="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sE3NtgAAAAJAQAADwAAAAAAAAABACAAAAAiAAAAZHJzL2Rv&#10;d25yZXYueG1sUEsBAhQAFAAAAAgAh07iQNZJe5o6AgAAsQQAAA4AAAAAAAAAAQAgAAAAJwEAAGRy&#10;cy9lMm9Eb2MueG1sUEsFBgAAAAAGAAYAWQEAANMFAAAAAA==&#10;">
                      <v:fill type="gradient" on="t" color2="#FFFFFF" angle="90" focus="100%" focussize="0,0">
                        <o:fill type="gradientUnscaled" v:ext="backwardCompatible"/>
                      </v:fill>
                      <v:stroke weight="0.5pt" color="#000000 [3213]" joinstyle="miter"/>
                      <v:imagedata o:title=""/>
                      <o:lock v:ext="edit" aspectratio="f"/>
                      <v:textbox>
                        <w:txbxContent>
                          <w:p w14:paraId="14249A18">
                            <w:pPr>
                              <w:jc w:val="center"/>
                              <w:rPr>
                                <w:rFonts w:hint="default" w:eastAsia="宋体"/>
                                <w:color w:val="auto"/>
                                <w:lang w:val="en-US" w:eastAsia="zh-CN"/>
                              </w:rPr>
                            </w:pPr>
                            <w:r>
                              <w:rPr>
                                <w:rFonts w:hint="eastAsia"/>
                                <w:color w:val="auto"/>
                                <w:lang w:val="en-US" w:eastAsia="zh-CN"/>
                              </w:rPr>
                              <w:t>清洗</w:t>
                            </w:r>
                          </w:p>
                        </w:txbxContent>
                      </v:textbox>
                    </v:rect>
                  </w:pict>
                </mc:Fallback>
              </mc:AlternateContent>
            </w:r>
            <w:r>
              <w:rPr>
                <w:rFonts w:hint="default" w:ascii="Times New Roman" w:hAnsi="Times New Roman" w:cs="Times New Roman"/>
                <w:b/>
                <w:color w:val="auto"/>
                <w:sz w:val="22"/>
              </w:rPr>
              <mc:AlternateContent>
                <mc:Choice Requires="wps">
                  <w:drawing>
                    <wp:anchor distT="0" distB="0" distL="114300" distR="114300" simplePos="0" relativeHeight="251764736" behindDoc="0" locked="0" layoutInCell="1" allowOverlap="1">
                      <wp:simplePos x="0" y="0"/>
                      <wp:positionH relativeFrom="column">
                        <wp:posOffset>1770380</wp:posOffset>
                      </wp:positionH>
                      <wp:positionV relativeFrom="paragraph">
                        <wp:posOffset>182880</wp:posOffset>
                      </wp:positionV>
                      <wp:extent cx="902335" cy="285750"/>
                      <wp:effectExtent l="4445" t="4445" r="7620" b="14605"/>
                      <wp:wrapNone/>
                      <wp:docPr id="83" name="矩形 83"/>
                      <wp:cNvGraphicFramePr/>
                      <a:graphic xmlns:a="http://schemas.openxmlformats.org/drawingml/2006/main">
                        <a:graphicData uri="http://schemas.microsoft.com/office/word/2010/wordprocessingShape">
                          <wps:wsp>
                            <wps:cNvSpPr/>
                            <wps:spPr>
                              <a:xfrm>
                                <a:off x="0" y="0"/>
                                <a:ext cx="902335" cy="285750"/>
                              </a:xfrm>
                              <a:prstGeom prst="rect">
                                <a:avLst/>
                              </a:prstGeom>
                              <a:gradFill rotWithShape="0">
                                <a:gsLst>
                                  <a:gs pos="0">
                                    <a:srgbClr val="FFFFFF"/>
                                  </a:gs>
                                  <a:gs pos="100000">
                                    <a:srgbClr val="FFFFFF"/>
                                  </a:gs>
                                </a:gsLst>
                                <a:lin ang="0"/>
                                <a:tileRect/>
                              </a:gradFill>
                              <a:ln w="6350" cap="flat" cmpd="sng">
                                <a:solidFill>
                                  <a:schemeClr val="tx1"/>
                                </a:solidFill>
                                <a:prstDash val="solid"/>
                                <a:miter/>
                                <a:headEnd type="none" w="med" len="med"/>
                                <a:tailEnd type="none" w="med" len="med"/>
                              </a:ln>
                            </wps:spPr>
                            <wps:txbx>
                              <w:txbxContent>
                                <w:p w14:paraId="4C62D41B">
                                  <w:pPr>
                                    <w:jc w:val="center"/>
                                    <w:rPr>
                                      <w:rFonts w:hint="default" w:eastAsia="宋体"/>
                                      <w:color w:val="auto"/>
                                      <w:lang w:val="en-US" w:eastAsia="zh-CN"/>
                                    </w:rPr>
                                  </w:pPr>
                                  <w:r>
                                    <w:rPr>
                                      <w:rFonts w:hint="eastAsia"/>
                                      <w:color w:val="auto"/>
                                      <w:lang w:val="en-US" w:eastAsia="zh-CN"/>
                                    </w:rPr>
                                    <w:t>粉碎（干式）</w:t>
                                  </w:r>
                                </w:p>
                              </w:txbxContent>
                            </wps:txbx>
                            <wps:bodyPr upright="1"/>
                          </wps:wsp>
                        </a:graphicData>
                      </a:graphic>
                    </wp:anchor>
                  </w:drawing>
                </mc:Choice>
                <mc:Fallback>
                  <w:pict>
                    <v:rect id="_x0000_s1026" o:spid="_x0000_s1026" o:spt="1" style="position:absolute;left:0pt;margin-left:139.4pt;margin-top:14.4pt;height:22.5pt;width:71.05pt;z-index:251764736;mso-width-relative:page;mso-height-relative:page;" fillcolor="#FFFFFF" filled="t" stroked="t" coordsize="21600,21600" o:gfxdata="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LaJ4LZAAAACQEAAA8AAAAAAAAAAQAgAAAAIgAAAGRycy9k&#10;b3ducmV2LnhtbFBLAQIUABQAAAAIAIdO4kArxdlGOgIAALEEAAAOAAAAAAAAAAEAIAAAACgBAABk&#10;cnMvZTJvRG9jLnhtbFBLBQYAAAAABgAGAFkBAADUBQAAAAA=&#10;">
                      <v:fill type="gradient" on="t" color2="#FFFFFF" angle="90" focus="100%" focussize="0,0">
                        <o:fill type="gradientUnscaled" v:ext="backwardCompatible"/>
                      </v:fill>
                      <v:stroke weight="0.5pt" color="#000000 [3213]" joinstyle="miter"/>
                      <v:imagedata o:title=""/>
                      <o:lock v:ext="edit" aspectratio="f"/>
                      <v:textbox>
                        <w:txbxContent>
                          <w:p w14:paraId="4C62D41B">
                            <w:pPr>
                              <w:jc w:val="center"/>
                              <w:rPr>
                                <w:rFonts w:hint="default" w:eastAsia="宋体"/>
                                <w:color w:val="auto"/>
                                <w:lang w:val="en-US" w:eastAsia="zh-CN"/>
                              </w:rPr>
                            </w:pPr>
                            <w:r>
                              <w:rPr>
                                <w:rFonts w:hint="eastAsia"/>
                                <w:color w:val="auto"/>
                                <w:lang w:val="en-US" w:eastAsia="zh-CN"/>
                              </w:rPr>
                              <w:t>粉碎（干式）</w:t>
                            </w:r>
                          </w:p>
                        </w:txbxContent>
                      </v:textbox>
                    </v:rect>
                  </w:pict>
                </mc:Fallback>
              </mc:AlternateContent>
            </w:r>
            <w:r>
              <w:rPr>
                <w:rFonts w:hint="default" w:ascii="Times New Roman" w:hAnsi="Times New Roman" w:cs="Times New Roman"/>
                <w:b/>
                <w:color w:val="auto"/>
                <w:sz w:val="22"/>
              </w:rPr>
              <mc:AlternateContent>
                <mc:Choice Requires="wps">
                  <w:drawing>
                    <wp:anchor distT="0" distB="0" distL="114300" distR="114300" simplePos="0" relativeHeight="251776000" behindDoc="0" locked="0" layoutInCell="1" allowOverlap="1">
                      <wp:simplePos x="0" y="0"/>
                      <wp:positionH relativeFrom="column">
                        <wp:posOffset>937895</wp:posOffset>
                      </wp:positionH>
                      <wp:positionV relativeFrom="paragraph">
                        <wp:posOffset>186690</wp:posOffset>
                      </wp:positionV>
                      <wp:extent cx="506730" cy="285750"/>
                      <wp:effectExtent l="4445" t="4445" r="22225" b="14605"/>
                      <wp:wrapNone/>
                      <wp:docPr id="84" name="矩形 84"/>
                      <wp:cNvGraphicFramePr/>
                      <a:graphic xmlns:a="http://schemas.openxmlformats.org/drawingml/2006/main">
                        <a:graphicData uri="http://schemas.microsoft.com/office/word/2010/wordprocessingShape">
                          <wps:wsp>
                            <wps:cNvSpPr/>
                            <wps:spPr>
                              <a:xfrm>
                                <a:off x="0" y="0"/>
                                <a:ext cx="506730" cy="285750"/>
                              </a:xfrm>
                              <a:prstGeom prst="rect">
                                <a:avLst/>
                              </a:prstGeom>
                              <a:gradFill rotWithShape="0">
                                <a:gsLst>
                                  <a:gs pos="0">
                                    <a:srgbClr val="FFFFFF"/>
                                  </a:gs>
                                  <a:gs pos="100000">
                                    <a:srgbClr val="FFFFFF"/>
                                  </a:gs>
                                </a:gsLst>
                                <a:lin ang="0"/>
                                <a:tileRect/>
                              </a:gradFill>
                              <a:ln w="6350" cap="flat" cmpd="sng">
                                <a:solidFill>
                                  <a:schemeClr val="tx1"/>
                                </a:solidFill>
                                <a:prstDash val="solid"/>
                                <a:miter/>
                                <a:headEnd type="none" w="med" len="med"/>
                                <a:tailEnd type="none" w="med" len="med"/>
                              </a:ln>
                            </wps:spPr>
                            <wps:txbx>
                              <w:txbxContent>
                                <w:p w14:paraId="4743A9F2">
                                  <w:pPr>
                                    <w:jc w:val="center"/>
                                    <w:rPr>
                                      <w:rFonts w:hint="default" w:eastAsia="宋体"/>
                                      <w:color w:val="auto"/>
                                      <w:lang w:val="en-US" w:eastAsia="zh-CN"/>
                                    </w:rPr>
                                  </w:pPr>
                                  <w:r>
                                    <w:rPr>
                                      <w:rFonts w:hint="eastAsia"/>
                                      <w:color w:val="auto"/>
                                      <w:lang w:val="en-US" w:eastAsia="zh-CN"/>
                                    </w:rPr>
                                    <w:t>上料</w:t>
                                  </w:r>
                                </w:p>
                              </w:txbxContent>
                            </wps:txbx>
                            <wps:bodyPr upright="1"/>
                          </wps:wsp>
                        </a:graphicData>
                      </a:graphic>
                    </wp:anchor>
                  </w:drawing>
                </mc:Choice>
                <mc:Fallback>
                  <w:pict>
                    <v:rect id="_x0000_s1026" o:spid="_x0000_s1026" o:spt="1" style="position:absolute;left:0pt;margin-left:73.85pt;margin-top:14.7pt;height:22.5pt;width:39.9pt;z-index:251776000;mso-width-relative:page;mso-height-relative:page;" fillcolor="#FFFFFF" filled="t" stroked="t" coordsize="21600,21600" o:gfxdata="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jP/cLYAAAACQEAAA8AAAAAAAAAAQAgAAAAIgAAAGRycy9k&#10;b3ducmV2LnhtbFBLAQIUABQAAAAIAIdO4kDMp8hfOwIAALEEAAAOAAAAAAAAAAEAIAAAACcBAABk&#10;cnMvZTJvRG9jLnhtbFBLBQYAAAAABgAGAFkBAADUBQAAAAA=&#10;">
                      <v:fill type="gradient" on="t" color2="#FFFFFF" angle="90" focus="100%" focussize="0,0">
                        <o:fill type="gradientUnscaled" v:ext="backwardCompatible"/>
                      </v:fill>
                      <v:stroke weight="0.5pt" color="#000000 [3213]" joinstyle="miter"/>
                      <v:imagedata o:title=""/>
                      <o:lock v:ext="edit" aspectratio="f"/>
                      <v:textbox>
                        <w:txbxContent>
                          <w:p w14:paraId="4743A9F2">
                            <w:pPr>
                              <w:jc w:val="center"/>
                              <w:rPr>
                                <w:rFonts w:hint="default" w:eastAsia="宋体"/>
                                <w:color w:val="auto"/>
                                <w:lang w:val="en-US" w:eastAsia="zh-CN"/>
                              </w:rPr>
                            </w:pPr>
                            <w:r>
                              <w:rPr>
                                <w:rFonts w:hint="eastAsia"/>
                                <w:color w:val="auto"/>
                                <w:lang w:val="en-US" w:eastAsia="zh-CN"/>
                              </w:rPr>
                              <w:t>上料</w:t>
                            </w:r>
                          </w:p>
                        </w:txbxContent>
                      </v:textbox>
                    </v:rect>
                  </w:pict>
                </mc:Fallback>
              </mc:AlternateContent>
            </w:r>
          </w:p>
          <w:p w14:paraId="1FBBC559">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default" w:ascii="Times New Roman" w:hAnsi="Times New Roman" w:cs="Times New Roman"/>
                <w:bCs/>
                <w:color w:val="auto"/>
                <w:sz w:val="24"/>
              </w:rPr>
            </w:pPr>
            <w:r>
              <w:rPr>
                <w:rFonts w:hint="default" w:ascii="Times New Roman" w:hAnsi="Times New Roman" w:cs="Times New Roman"/>
                <w:b/>
                <w:color w:val="auto"/>
                <w:sz w:val="22"/>
              </w:rPr>
              <mc:AlternateContent>
                <mc:Choice Requires="wps">
                  <w:drawing>
                    <wp:anchor distT="0" distB="0" distL="114300" distR="114300" simplePos="0" relativeHeight="251814912" behindDoc="0" locked="0" layoutInCell="1" allowOverlap="1">
                      <wp:simplePos x="0" y="0"/>
                      <wp:positionH relativeFrom="column">
                        <wp:posOffset>5035550</wp:posOffset>
                      </wp:positionH>
                      <wp:positionV relativeFrom="paragraph">
                        <wp:posOffset>103505</wp:posOffset>
                      </wp:positionV>
                      <wp:extent cx="600075" cy="694055"/>
                      <wp:effectExtent l="0" t="0" r="0" b="0"/>
                      <wp:wrapNone/>
                      <wp:docPr id="15" name="矩形 15"/>
                      <wp:cNvGraphicFramePr/>
                      <a:graphic xmlns:a="http://schemas.openxmlformats.org/drawingml/2006/main">
                        <a:graphicData uri="http://schemas.microsoft.com/office/word/2010/wordprocessingShape">
                          <wps:wsp>
                            <wps:cNvSpPr/>
                            <wps:spPr>
                              <a:xfrm>
                                <a:off x="0" y="0"/>
                                <a:ext cx="600075" cy="694055"/>
                              </a:xfrm>
                              <a:prstGeom prst="rect">
                                <a:avLst/>
                              </a:prstGeom>
                              <a:noFill/>
                              <a:ln w="6350" cap="flat" cmpd="sng">
                                <a:noFill/>
                                <a:prstDash val="solid"/>
                                <a:miter/>
                                <a:headEnd type="none" w="med" len="med"/>
                                <a:tailEnd type="none" w="med" len="med"/>
                              </a:ln>
                            </wps:spPr>
                            <wps:txbx>
                              <w:txbxContent>
                                <w:p w14:paraId="076CD7B8">
                                  <w:pPr>
                                    <w:rPr>
                                      <w:rFonts w:hint="eastAsia" w:cs="Times New Roman" w:eastAsiaTheme="minorEastAsia"/>
                                      <w:b w:val="0"/>
                                      <w:bCs w:val="0"/>
                                      <w:color w:val="auto"/>
                                      <w:sz w:val="21"/>
                                      <w:szCs w:val="21"/>
                                      <w:lang w:val="en-US" w:eastAsia="zh-CN"/>
                                    </w:rPr>
                                  </w:pPr>
                                  <w:r>
                                    <w:rPr>
                                      <w:rFonts w:hint="eastAsia" w:cs="Times New Roman" w:eastAsiaTheme="minorEastAsia"/>
                                      <w:b w:val="0"/>
                                      <w:bCs w:val="0"/>
                                      <w:color w:val="auto"/>
                                      <w:sz w:val="21"/>
                                      <w:szCs w:val="21"/>
                                      <w:lang w:val="en-US" w:eastAsia="zh-CN"/>
                                    </w:rPr>
                                    <w:t>PP</w:t>
                                  </w:r>
                                </w:p>
                                <w:p w14:paraId="159B6EE8">
                                  <w:pPr>
                                    <w:rPr>
                                      <w:rFonts w:hint="default"/>
                                      <w:sz w:val="21"/>
                                      <w:szCs w:val="21"/>
                                      <w:lang w:val="en-US" w:eastAsia="zh-CN"/>
                                    </w:rPr>
                                  </w:pPr>
                                  <w:r>
                                    <w:rPr>
                                      <w:rFonts w:hint="eastAsia" w:cs="Times New Roman" w:eastAsiaTheme="minorEastAsia"/>
                                      <w:b w:val="0"/>
                                      <w:bCs w:val="0"/>
                                      <w:color w:val="auto"/>
                                      <w:sz w:val="21"/>
                                      <w:szCs w:val="21"/>
                                      <w:lang w:val="en-US" w:eastAsia="zh-CN"/>
                                    </w:rPr>
                                    <w:t>新料</w:t>
                                  </w:r>
                                </w:p>
                              </w:txbxContent>
                            </wps:txbx>
                            <wps:bodyPr upright="1"/>
                          </wps:wsp>
                        </a:graphicData>
                      </a:graphic>
                    </wp:anchor>
                  </w:drawing>
                </mc:Choice>
                <mc:Fallback>
                  <w:pict>
                    <v:rect id="_x0000_s1026" o:spid="_x0000_s1026" o:spt="1" style="position:absolute;left:0pt;margin-left:396.5pt;margin-top:8.15pt;height:54.65pt;width:47.25pt;z-index:251814912;mso-width-relative:page;mso-height-relative:page;" filled="f" stroked="f" coordsize="21600,21600" o:gfxdata="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vxd2tsAAAAKAQAADwAAAAAAAAABACAAAAAiAAAAZHJzL2Rvd25yZXYueG1sUEsBAhQAFAAAAAgA&#10;h07iQK+BQOHpAQAA2AMAAA4AAAAAAAAAAQAgAAAAKgEAAGRycy9lMm9Eb2MueG1sUEsFBgAAAAAG&#10;AAYAWQEAAIUFAAAAAA==&#10;">
                      <v:fill on="f" focussize="0,0"/>
                      <v:stroke on="f" weight="0.5pt" joinstyle="miter"/>
                      <v:imagedata o:title=""/>
                      <o:lock v:ext="edit" aspectratio="f"/>
                      <v:textbox>
                        <w:txbxContent>
                          <w:p w14:paraId="076CD7B8">
                            <w:pPr>
                              <w:rPr>
                                <w:rFonts w:hint="eastAsia" w:cs="Times New Roman" w:eastAsiaTheme="minorEastAsia"/>
                                <w:b w:val="0"/>
                                <w:bCs w:val="0"/>
                                <w:color w:val="auto"/>
                                <w:sz w:val="21"/>
                                <w:szCs w:val="21"/>
                                <w:lang w:val="en-US" w:eastAsia="zh-CN"/>
                              </w:rPr>
                            </w:pPr>
                            <w:r>
                              <w:rPr>
                                <w:rFonts w:hint="eastAsia" w:cs="Times New Roman" w:eastAsiaTheme="minorEastAsia"/>
                                <w:b w:val="0"/>
                                <w:bCs w:val="0"/>
                                <w:color w:val="auto"/>
                                <w:sz w:val="21"/>
                                <w:szCs w:val="21"/>
                                <w:lang w:val="en-US" w:eastAsia="zh-CN"/>
                              </w:rPr>
                              <w:t>PP</w:t>
                            </w:r>
                          </w:p>
                          <w:p w14:paraId="159B6EE8">
                            <w:pPr>
                              <w:rPr>
                                <w:rFonts w:hint="default"/>
                                <w:sz w:val="21"/>
                                <w:szCs w:val="21"/>
                                <w:lang w:val="en-US" w:eastAsia="zh-CN"/>
                              </w:rPr>
                            </w:pPr>
                            <w:r>
                              <w:rPr>
                                <w:rFonts w:hint="eastAsia" w:cs="Times New Roman" w:eastAsiaTheme="minorEastAsia"/>
                                <w:b w:val="0"/>
                                <w:bCs w:val="0"/>
                                <w:color w:val="auto"/>
                                <w:sz w:val="21"/>
                                <w:szCs w:val="21"/>
                                <w:lang w:val="en-US" w:eastAsia="zh-CN"/>
                              </w:rPr>
                              <w:t>新料</w:t>
                            </w:r>
                          </w:p>
                        </w:txbxContent>
                      </v:textbox>
                    </v:rect>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767808" behindDoc="0" locked="0" layoutInCell="1" allowOverlap="1">
                      <wp:simplePos x="0" y="0"/>
                      <wp:positionH relativeFrom="column">
                        <wp:posOffset>5048885</wp:posOffset>
                      </wp:positionH>
                      <wp:positionV relativeFrom="paragraph">
                        <wp:posOffset>191770</wp:posOffset>
                      </wp:positionV>
                      <wp:extent cx="8255" cy="588645"/>
                      <wp:effectExtent l="36830" t="0" r="31115" b="1905"/>
                      <wp:wrapNone/>
                      <wp:docPr id="96" name="直接连接符 96"/>
                      <wp:cNvGraphicFramePr/>
                      <a:graphic xmlns:a="http://schemas.openxmlformats.org/drawingml/2006/main">
                        <a:graphicData uri="http://schemas.microsoft.com/office/word/2010/wordprocessingShape">
                          <wps:wsp>
                            <wps:cNvCnPr/>
                            <wps:spPr>
                              <a:xfrm flipH="1">
                                <a:off x="0" y="0"/>
                                <a:ext cx="8255" cy="588645"/>
                              </a:xfrm>
                              <a:prstGeom prst="line">
                                <a:avLst/>
                              </a:prstGeom>
                              <a:ln w="9525" cap="flat" cmpd="sng">
                                <a:solidFill>
                                  <a:schemeClr val="tx1"/>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97.55pt;margin-top:15.1pt;height:46.35pt;width:0.65pt;z-index:251767808;mso-width-relative:page;mso-height-relative:page;" filled="f" stroked="t" coordsize="21600,21600" o:gfxdata="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lwjanbAAAACgEAAA8AAAAAAAAAAQAgAAAAIgAA&#10;AGRycy9kb3ducmV2LnhtbFBLAQIUABQAAAAIAIdO4kCFUfCIBQIAAPYDAAAOAAAAAAAAAAEAIAAA&#10;ACoBAABkcnMvZTJvRG9jLnhtbFBLBQYAAAAABgAGAFkBAAChBQAAAAA=&#10;">
                      <v:fill on="f" focussize="0,0"/>
                      <v:stroke color="#000000 [3213]" joinstyle="round" endarrow="block"/>
                      <v:imagedata o:title=""/>
                      <o:lock v:ext="edit" aspectratio="f"/>
                    </v:lin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800576" behindDoc="0" locked="0" layoutInCell="1" allowOverlap="1">
                      <wp:simplePos x="0" y="0"/>
                      <wp:positionH relativeFrom="column">
                        <wp:posOffset>4810760</wp:posOffset>
                      </wp:positionH>
                      <wp:positionV relativeFrom="paragraph">
                        <wp:posOffset>200025</wp:posOffset>
                      </wp:positionV>
                      <wp:extent cx="6985" cy="309245"/>
                      <wp:effectExtent l="36195" t="0" r="33020" b="14605"/>
                      <wp:wrapNone/>
                      <wp:docPr id="87" name="直接连接符 87"/>
                      <wp:cNvGraphicFramePr/>
                      <a:graphic xmlns:a="http://schemas.openxmlformats.org/drawingml/2006/main">
                        <a:graphicData uri="http://schemas.microsoft.com/office/word/2010/wordprocessingShape">
                          <wps:wsp>
                            <wps:cNvCnPr/>
                            <wps:spPr>
                              <a:xfrm flipH="1">
                                <a:off x="0" y="0"/>
                                <a:ext cx="6985" cy="309245"/>
                              </a:xfrm>
                              <a:prstGeom prst="line">
                                <a:avLst/>
                              </a:prstGeom>
                              <a:ln w="9525" cap="flat" cmpd="sng">
                                <a:solidFill>
                                  <a:srgbClr val="3333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378.8pt;margin-top:15.75pt;height:24.35pt;width:0.55pt;z-index:251800576;mso-width-relative:page;mso-height-relative:page;" filled="f" stroked="t" coordsize="21600,21600" o:gfxdata="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oH0mt2AAAAAkBAAAPAAAAAAAAAAEAIAAA&#10;ACIAAABkcnMvZG93bnJldi54bWxQSwECFAAUAAAACACHTuJAC3F0ZwwCAAD1AwAADgAAAAAAAAAB&#10;ACAAAAAnAQAAZHJzL2Uyb0RvYy54bWxQSwUGAAAAAAYABgBZAQAApQUAAAAA&#10;">
                      <v:fill on="f" focussize="0,0"/>
                      <v:stroke color="#333300" joinstyle="round" dashstyle="dash" endarrow="block"/>
                      <v:imagedata o:title=""/>
                      <o:lock v:ext="edit" aspectratio="f"/>
                    </v:lin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799552" behindDoc="0" locked="0" layoutInCell="1" allowOverlap="1">
                      <wp:simplePos x="0" y="0"/>
                      <wp:positionH relativeFrom="column">
                        <wp:posOffset>4115435</wp:posOffset>
                      </wp:positionH>
                      <wp:positionV relativeFrom="paragraph">
                        <wp:posOffset>200025</wp:posOffset>
                      </wp:positionV>
                      <wp:extent cx="6985" cy="309245"/>
                      <wp:effectExtent l="36195" t="0" r="33020" b="14605"/>
                      <wp:wrapNone/>
                      <wp:docPr id="91" name="直接连接符 91"/>
                      <wp:cNvGraphicFramePr/>
                      <a:graphic xmlns:a="http://schemas.openxmlformats.org/drawingml/2006/main">
                        <a:graphicData uri="http://schemas.microsoft.com/office/word/2010/wordprocessingShape">
                          <wps:wsp>
                            <wps:cNvCnPr/>
                            <wps:spPr>
                              <a:xfrm flipH="1">
                                <a:off x="0" y="0"/>
                                <a:ext cx="6985" cy="309245"/>
                              </a:xfrm>
                              <a:prstGeom prst="line">
                                <a:avLst/>
                              </a:prstGeom>
                              <a:ln w="9525" cap="flat" cmpd="sng">
                                <a:solidFill>
                                  <a:srgbClr val="3333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324.05pt;margin-top:15.75pt;height:24.35pt;width:0.55pt;z-index:251799552;mso-width-relative:page;mso-height-relative:page;" filled="f" stroked="t" coordsize="21600,21600" o:gfxdata="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BXY/NgAAAAJAQAADwAAAAAAAAABACAAAAAi&#10;AAAAZHJzL2Rvd25yZXYueG1sUEsBAhQAFAAAAAgAh07iQMTLjvkKAgAA9QMAAA4AAAAAAAAAAQAg&#10;AAAAJwEAAGRycy9lMm9Eb2MueG1sUEsFBgAAAAAGAAYAWQEAAKMFAAAAAA==&#10;">
                      <v:fill on="f" focussize="0,0"/>
                      <v:stroke color="#333300" joinstyle="round" dashstyle="dash" endarrow="block"/>
                      <v:imagedata o:title=""/>
                      <o:lock v:ext="edit" aspectratio="f"/>
                    </v:lin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797504" behindDoc="0" locked="0" layoutInCell="1" allowOverlap="1">
                      <wp:simplePos x="0" y="0"/>
                      <wp:positionH relativeFrom="column">
                        <wp:posOffset>3286760</wp:posOffset>
                      </wp:positionH>
                      <wp:positionV relativeFrom="paragraph">
                        <wp:posOffset>190500</wp:posOffset>
                      </wp:positionV>
                      <wp:extent cx="6985" cy="309245"/>
                      <wp:effectExtent l="36195" t="0" r="33020" b="14605"/>
                      <wp:wrapNone/>
                      <wp:docPr id="92" name="直接连接符 92"/>
                      <wp:cNvGraphicFramePr/>
                      <a:graphic xmlns:a="http://schemas.openxmlformats.org/drawingml/2006/main">
                        <a:graphicData uri="http://schemas.microsoft.com/office/word/2010/wordprocessingShape">
                          <wps:wsp>
                            <wps:cNvCnPr/>
                            <wps:spPr>
                              <a:xfrm flipH="1">
                                <a:off x="0" y="0"/>
                                <a:ext cx="6985" cy="309245"/>
                              </a:xfrm>
                              <a:prstGeom prst="line">
                                <a:avLst/>
                              </a:prstGeom>
                              <a:ln w="9525" cap="flat" cmpd="sng">
                                <a:solidFill>
                                  <a:srgbClr val="3333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258.8pt;margin-top:15pt;height:24.35pt;width:0.55pt;z-index:251797504;mso-width-relative:page;mso-height-relative:page;" filled="f" stroked="t" coordsize="21600,21600" o:gfxdata="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YrXttgAAAAJAQAADwAAAAAAAAABACAAAAAi&#10;AAAAZHJzL2Rvd25yZXYueG1sUEsBAhQAFAAAAAgAh07iQMAZZQEKAgAA9QMAAA4AAAAAAAAAAQAg&#10;AAAAJwEAAGRycy9lMm9Eb2MueG1sUEsFBgAAAAAGAAYAWQEAAKMFAAAAAA==&#10;">
                      <v:fill on="f" focussize="0,0"/>
                      <v:stroke color="#333300" joinstyle="round" dashstyle="dash" endarrow="block"/>
                      <v:imagedata o:title=""/>
                      <o:lock v:ext="edit" aspectratio="f"/>
                    </v:lin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770880" behindDoc="0" locked="0" layoutInCell="1" allowOverlap="1">
                      <wp:simplePos x="0" y="0"/>
                      <wp:positionH relativeFrom="column">
                        <wp:posOffset>2239010</wp:posOffset>
                      </wp:positionH>
                      <wp:positionV relativeFrom="paragraph">
                        <wp:posOffset>171450</wp:posOffset>
                      </wp:positionV>
                      <wp:extent cx="6985" cy="309245"/>
                      <wp:effectExtent l="36195" t="0" r="33020" b="14605"/>
                      <wp:wrapNone/>
                      <wp:docPr id="93" name="直接连接符 93"/>
                      <wp:cNvGraphicFramePr/>
                      <a:graphic xmlns:a="http://schemas.openxmlformats.org/drawingml/2006/main">
                        <a:graphicData uri="http://schemas.microsoft.com/office/word/2010/wordprocessingShape">
                          <wps:wsp>
                            <wps:cNvCnPr/>
                            <wps:spPr>
                              <a:xfrm flipH="1">
                                <a:off x="0" y="0"/>
                                <a:ext cx="6985" cy="309245"/>
                              </a:xfrm>
                              <a:prstGeom prst="line">
                                <a:avLst/>
                              </a:prstGeom>
                              <a:ln w="9525" cap="flat" cmpd="sng">
                                <a:solidFill>
                                  <a:srgbClr val="3333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176.3pt;margin-top:13.5pt;height:24.35pt;width:0.55pt;z-index:251770880;mso-width-relative:page;mso-height-relative:page;" filled="f" stroked="t" coordsize="21600,21600" o:gfxdata="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gkMoNkAAAAJAQAADwAAAAAAAAABACAAAAAi&#10;AAAAZHJzL2Rvd25yZXYueG1sUEsBAhQAFAAAAAgAh07iQDyow1YJAgAA9QMAAA4AAAAAAAAAAQAg&#10;AAAAKAEAAGRycy9lMm9Eb2MueG1sUEsFBgAAAAAGAAYAWQEAAKMFAAAAAA==&#10;">
                      <v:fill on="f" focussize="0,0"/>
                      <v:stroke color="#333300" joinstyle="round" dashstyle="dash" endarrow="block"/>
                      <v:imagedata o:title=""/>
                      <o:lock v:ext="edit" aspectratio="f"/>
                    </v:lin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778048" behindDoc="0" locked="0" layoutInCell="1" allowOverlap="1">
                      <wp:simplePos x="0" y="0"/>
                      <wp:positionH relativeFrom="column">
                        <wp:posOffset>1202690</wp:posOffset>
                      </wp:positionH>
                      <wp:positionV relativeFrom="paragraph">
                        <wp:posOffset>177165</wp:posOffset>
                      </wp:positionV>
                      <wp:extent cx="6985" cy="309245"/>
                      <wp:effectExtent l="36195" t="0" r="33020" b="14605"/>
                      <wp:wrapNone/>
                      <wp:docPr id="94" name="直接连接符 94"/>
                      <wp:cNvGraphicFramePr/>
                      <a:graphic xmlns:a="http://schemas.openxmlformats.org/drawingml/2006/main">
                        <a:graphicData uri="http://schemas.microsoft.com/office/word/2010/wordprocessingShape">
                          <wps:wsp>
                            <wps:cNvCnPr/>
                            <wps:spPr>
                              <a:xfrm flipH="1">
                                <a:off x="0" y="0"/>
                                <a:ext cx="6985" cy="309245"/>
                              </a:xfrm>
                              <a:prstGeom prst="line">
                                <a:avLst/>
                              </a:prstGeom>
                              <a:ln w="9525" cap="flat" cmpd="sng">
                                <a:solidFill>
                                  <a:srgbClr val="3333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94.7pt;margin-top:13.95pt;height:24.35pt;width:0.55pt;z-index:251778048;mso-width-relative:page;mso-height-relative:page;" filled="f" stroked="t" coordsize="21600,21600" o:gfxdata="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0Zud1dgAAAAJAQAADwAAAAAAAAABACAAAAAi&#10;AAAAZHJzL2Rvd25yZXYueG1sUEsBAhQAFAAAAAgAh07iQIm7wysKAgAA9QMAAA4AAAAAAAAAAQAg&#10;AAAAJwEAAGRycy9lMm9Eb2MueG1sUEsFBgAAAAAGAAYAWQEAAKMFAAAAAA==&#10;">
                      <v:fill on="f" focussize="0,0"/>
                      <v:stroke color="#333300" joinstyle="round" dashstyle="dash" endarrow="block"/>
                      <v:imagedata o:title=""/>
                      <o:lock v:ext="edit" aspectratio="f"/>
                    </v:lin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782144" behindDoc="0" locked="0" layoutInCell="1" allowOverlap="1">
                      <wp:simplePos x="0" y="0"/>
                      <wp:positionH relativeFrom="column">
                        <wp:posOffset>4358005</wp:posOffset>
                      </wp:positionH>
                      <wp:positionV relativeFrom="paragraph">
                        <wp:posOffset>38100</wp:posOffset>
                      </wp:positionV>
                      <wp:extent cx="323850" cy="0"/>
                      <wp:effectExtent l="0" t="38100" r="0" b="38100"/>
                      <wp:wrapNone/>
                      <wp:docPr id="97" name="直接连接符 97"/>
                      <wp:cNvGraphicFramePr/>
                      <a:graphic xmlns:a="http://schemas.openxmlformats.org/drawingml/2006/main">
                        <a:graphicData uri="http://schemas.microsoft.com/office/word/2010/wordprocessingShape">
                          <wps:wsp>
                            <wps:cNvCnPr/>
                            <wps:spPr>
                              <a:xfrm>
                                <a:off x="0" y="0"/>
                                <a:ext cx="323850" cy="0"/>
                              </a:xfrm>
                              <a:prstGeom prst="line">
                                <a:avLst/>
                              </a:prstGeom>
                              <a:ln w="9525" cap="flat" cmpd="sng">
                                <a:solidFill>
                                  <a:schemeClr val="tx1"/>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43.15pt;margin-top:3pt;height:0pt;width:25.5pt;z-index:251782144;mso-width-relative:page;mso-height-relative:page;" filled="f" stroked="t" coordsize="21600,21600" o:gfxdata="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rp5rTWAAAABwEAAA8AAAAAAAAAAQAgAAAAIgAAAGRycy9kb3ducmV2Lnht&#10;bFBLAQIUABQAAAAIAIdO4kAQsZzN+wEAAOkDAAAOAAAAAAAAAAEAIAAAACUBAABkcnMvZTJvRG9j&#10;LnhtbFBLBQYAAAAABgAGAFkBAACSBQAAAAA=&#10;">
                      <v:fill on="f" focussize="0,0"/>
                      <v:stroke color="#000000 [3213]" joinstyle="round" endarrow="block"/>
                      <v:imagedata o:title=""/>
                      <o:lock v:ext="edit" aspectratio="f"/>
                    </v:lin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781120" behindDoc="0" locked="0" layoutInCell="1" allowOverlap="1">
                      <wp:simplePos x="0" y="0"/>
                      <wp:positionH relativeFrom="column">
                        <wp:posOffset>3519805</wp:posOffset>
                      </wp:positionH>
                      <wp:positionV relativeFrom="paragraph">
                        <wp:posOffset>28575</wp:posOffset>
                      </wp:positionV>
                      <wp:extent cx="323850" cy="0"/>
                      <wp:effectExtent l="0" t="38100" r="0" b="38100"/>
                      <wp:wrapNone/>
                      <wp:docPr id="98" name="直接连接符 98"/>
                      <wp:cNvGraphicFramePr/>
                      <a:graphic xmlns:a="http://schemas.openxmlformats.org/drawingml/2006/main">
                        <a:graphicData uri="http://schemas.microsoft.com/office/word/2010/wordprocessingShape">
                          <wps:wsp>
                            <wps:cNvCnPr/>
                            <wps:spPr>
                              <a:xfrm>
                                <a:off x="0" y="0"/>
                                <a:ext cx="323850" cy="0"/>
                              </a:xfrm>
                              <a:prstGeom prst="line">
                                <a:avLst/>
                              </a:prstGeom>
                              <a:ln w="9525" cap="flat" cmpd="sng">
                                <a:solidFill>
                                  <a:schemeClr val="tx1"/>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7.15pt;margin-top:2.25pt;height:0pt;width:25.5pt;z-index:251781120;mso-width-relative:page;mso-height-relative:page;" filled="f" stroked="t" coordsize="21600,21600" o:gfxdata="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0nqPz1gAAAAcBAAAPAAAAAAAAAAEAIAAAACIAAABkcnMvZG93bnJldi54&#10;bWxQSwECFAAUAAAACACHTuJAXNJiZfwBAADpAwAADgAAAAAAAAABACAAAAAlAQAAZHJzL2Uyb0Rv&#10;Yy54bWxQSwUGAAAAAAYABgBZAQAAkwUAAAAA&#10;">
                      <v:fill on="f" focussize="0,0"/>
                      <v:stroke color="#000000 [3213]" joinstyle="round" endarrow="block"/>
                      <v:imagedata o:title=""/>
                      <o:lock v:ext="edit" aspectratio="f"/>
                    </v:lin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780096" behindDoc="0" locked="0" layoutInCell="1" allowOverlap="1">
                      <wp:simplePos x="0" y="0"/>
                      <wp:positionH relativeFrom="column">
                        <wp:posOffset>2681605</wp:posOffset>
                      </wp:positionH>
                      <wp:positionV relativeFrom="paragraph">
                        <wp:posOffset>28575</wp:posOffset>
                      </wp:positionV>
                      <wp:extent cx="323850" cy="0"/>
                      <wp:effectExtent l="0" t="38100" r="0" b="38100"/>
                      <wp:wrapNone/>
                      <wp:docPr id="99" name="直接连接符 99"/>
                      <wp:cNvGraphicFramePr/>
                      <a:graphic xmlns:a="http://schemas.openxmlformats.org/drawingml/2006/main">
                        <a:graphicData uri="http://schemas.microsoft.com/office/word/2010/wordprocessingShape">
                          <wps:wsp>
                            <wps:cNvCnPr/>
                            <wps:spPr>
                              <a:xfrm>
                                <a:off x="0" y="0"/>
                                <a:ext cx="323850" cy="0"/>
                              </a:xfrm>
                              <a:prstGeom prst="line">
                                <a:avLst/>
                              </a:prstGeom>
                              <a:ln w="9525" cap="flat" cmpd="sng">
                                <a:solidFill>
                                  <a:schemeClr val="tx1"/>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1.15pt;margin-top:2.25pt;height:0pt;width:25.5pt;z-index:251780096;mso-width-relative:page;mso-height-relative:page;" filled="f" stroked="t" coordsize="21600,21600" o:gfxdata="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RM6ux1gAAAAcBAAAPAAAAAAAAAAEAIAAAACIAAABkcnMvZG93bnJldi54&#10;bWxQSwECFAAUAAAACACHTuJAERflhPwBAADpAwAADgAAAAAAAAABACAAAAAlAQAAZHJzL2Uyb0Rv&#10;Yy54bWxQSwUGAAAAAAYABgBZAQAAkwUAAAAA&#10;">
                      <v:fill on="f" focussize="0,0"/>
                      <v:stroke color="#000000 [3213]" joinstyle="round" endarrow="block"/>
                      <v:imagedata o:title=""/>
                      <o:lock v:ext="edit" aspectratio="f"/>
                    </v:lin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769856" behindDoc="0" locked="0" layoutInCell="1" allowOverlap="1">
                      <wp:simplePos x="0" y="0"/>
                      <wp:positionH relativeFrom="column">
                        <wp:posOffset>1462405</wp:posOffset>
                      </wp:positionH>
                      <wp:positionV relativeFrom="paragraph">
                        <wp:posOffset>38100</wp:posOffset>
                      </wp:positionV>
                      <wp:extent cx="323850" cy="0"/>
                      <wp:effectExtent l="0" t="38100" r="0" b="38100"/>
                      <wp:wrapNone/>
                      <wp:docPr id="101" name="直接连接符 101"/>
                      <wp:cNvGraphicFramePr/>
                      <a:graphic xmlns:a="http://schemas.openxmlformats.org/drawingml/2006/main">
                        <a:graphicData uri="http://schemas.microsoft.com/office/word/2010/wordprocessingShape">
                          <wps:wsp>
                            <wps:cNvCnPr/>
                            <wps:spPr>
                              <a:xfrm>
                                <a:off x="0" y="0"/>
                                <a:ext cx="323850" cy="0"/>
                              </a:xfrm>
                              <a:prstGeom prst="line">
                                <a:avLst/>
                              </a:prstGeom>
                              <a:ln w="9525" cap="flat" cmpd="sng">
                                <a:solidFill>
                                  <a:schemeClr val="tx1"/>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5.15pt;margin-top:3pt;height:0pt;width:25.5pt;z-index:251769856;mso-width-relative:page;mso-height-relative:page;" filled="f" stroked="t" coordsize="21600,21600" o:gfxdata="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PY9bdYAAAAHAQAADwAAAAAAAAABACAAAAAiAAAAZHJzL2Rvd25yZXYu&#10;eG1sUEsBAhQAFAAAAAgAh07iQPoa2dX9AQAA6wMAAA4AAAAAAAAAAQAgAAAAJQEAAGRycy9lMm9E&#10;b2MueG1sUEsFBgAAAAAGAAYAWQEAAJQFAAAAAA==&#10;">
                      <v:fill on="f" focussize="0,0"/>
                      <v:stroke color="#000000 [3213]" joinstyle="round" endarrow="block"/>
                      <v:imagedata o:title=""/>
                      <o:lock v:ext="edit" aspectratio="f"/>
                    </v:lin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774976" behindDoc="0" locked="0" layoutInCell="1" allowOverlap="1">
                      <wp:simplePos x="0" y="0"/>
                      <wp:positionH relativeFrom="column">
                        <wp:posOffset>626110</wp:posOffset>
                      </wp:positionH>
                      <wp:positionV relativeFrom="paragraph">
                        <wp:posOffset>26670</wp:posOffset>
                      </wp:positionV>
                      <wp:extent cx="323850" cy="0"/>
                      <wp:effectExtent l="0" t="38100" r="0" b="38100"/>
                      <wp:wrapNone/>
                      <wp:docPr id="105" name="直接连接符 105"/>
                      <wp:cNvGraphicFramePr/>
                      <a:graphic xmlns:a="http://schemas.openxmlformats.org/drawingml/2006/main">
                        <a:graphicData uri="http://schemas.microsoft.com/office/word/2010/wordprocessingShape">
                          <wps:wsp>
                            <wps:cNvCnPr/>
                            <wps:spPr>
                              <a:xfrm>
                                <a:off x="0" y="0"/>
                                <a:ext cx="323850" cy="0"/>
                              </a:xfrm>
                              <a:prstGeom prst="line">
                                <a:avLst/>
                              </a:prstGeom>
                              <a:ln w="9525" cap="flat" cmpd="sng">
                                <a:solidFill>
                                  <a:schemeClr val="tx1"/>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9.3pt;margin-top:2.1pt;height:0pt;width:25.5pt;z-index:251774976;mso-width-relative:page;mso-height-relative:page;" filled="f" stroked="t" coordsize="21600,21600" o:gfxdata="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Sd5QF1QAAAAYBAAAPAAAAAAAAAAEAIAAAACIAAABkcnMvZG93bnJldi54&#10;bWxQSwECFAAUAAAACACHTuJA239T0P0BAADrAwAADgAAAAAAAAABACAAAAAkAQAAZHJzL2Uyb0Rv&#10;Yy54bWxQSwUGAAAAAAYABgBZAQAAkwUAAAAA&#10;">
                      <v:fill on="f" focussize="0,0"/>
                      <v:stroke color="#000000 [3213]" joinstyle="round" endarrow="block"/>
                      <v:imagedata o:title=""/>
                      <o:lock v:ext="edit" aspectratio="f"/>
                    </v:line>
                  </w:pict>
                </mc:Fallback>
              </mc:AlternateContent>
            </w:r>
          </w:p>
          <w:p w14:paraId="29C987E0">
            <w:pPr>
              <w:tabs>
                <w:tab w:val="left" w:pos="2838"/>
              </w:tabs>
              <w:spacing w:line="500" w:lineRule="exact"/>
              <w:ind w:firstLine="562" w:firstLineChars="200"/>
              <w:rPr>
                <w:rFonts w:hint="default" w:ascii="Times New Roman" w:hAnsi="Times New Roman" w:cs="Times New Roman"/>
                <w:b/>
                <w:color w:val="auto"/>
                <w:sz w:val="22"/>
              </w:rPr>
            </w:pPr>
            <w:r>
              <w:rPr>
                <w:rFonts w:hint="default" w:ascii="Times New Roman" w:hAnsi="Times New Roman" w:cs="Times New Roman"/>
                <w:b/>
                <w:color w:val="auto"/>
                <w:sz w:val="28"/>
                <w:szCs w:val="28"/>
              </w:rPr>
              <mc:AlternateContent>
                <mc:Choice Requires="wps">
                  <w:drawing>
                    <wp:anchor distT="0" distB="0" distL="114300" distR="114300" simplePos="0" relativeHeight="251815936" behindDoc="0" locked="0" layoutInCell="1" allowOverlap="1">
                      <wp:simplePos x="0" y="0"/>
                      <wp:positionH relativeFrom="column">
                        <wp:posOffset>5210810</wp:posOffset>
                      </wp:positionH>
                      <wp:positionV relativeFrom="paragraph">
                        <wp:posOffset>135890</wp:posOffset>
                      </wp:positionV>
                      <wp:extent cx="8255" cy="349250"/>
                      <wp:effectExtent l="36195" t="0" r="31750" b="12700"/>
                      <wp:wrapNone/>
                      <wp:docPr id="16" name="直接连接符 16"/>
                      <wp:cNvGraphicFramePr/>
                      <a:graphic xmlns:a="http://schemas.openxmlformats.org/drawingml/2006/main">
                        <a:graphicData uri="http://schemas.microsoft.com/office/word/2010/wordprocessingShape">
                          <wps:wsp>
                            <wps:cNvCnPr/>
                            <wps:spPr>
                              <a:xfrm flipH="1">
                                <a:off x="0" y="0"/>
                                <a:ext cx="8255" cy="349250"/>
                              </a:xfrm>
                              <a:prstGeom prst="line">
                                <a:avLst/>
                              </a:prstGeom>
                              <a:ln w="9525" cap="flat" cmpd="sng">
                                <a:solidFill>
                                  <a:schemeClr val="tx1"/>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410.3pt;margin-top:10.7pt;height:27.5pt;width:0.65pt;z-index:251815936;mso-width-relative:page;mso-height-relative:page;" filled="f" stroked="t" coordsize="21600,21600" o:gfxdata="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fZF/p2QAAAAkBAAAPAAAAAAAAAAEAIAAAACIA&#10;AABkcnMvZG93bnJldi54bWxQSwECFAAUAAAACACHTuJA0R0vbQgCAAD2AwAADgAAAAAAAAABACAA&#10;AAAoAQAAZHJzL2Uyb0RvYy54bWxQSwUGAAAAAAYABgBZAQAAogUAAAAA&#10;">
                      <v:fill on="f" focussize="0,0"/>
                      <v:stroke color="#000000 [3213]" joinstyle="round" endarrow="block"/>
                      <v:imagedata o:title=""/>
                      <o:lock v:ext="edit" aspectratio="f"/>
                    </v:lin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766784" behindDoc="0" locked="0" layoutInCell="1" allowOverlap="1">
                      <wp:simplePos x="0" y="0"/>
                      <wp:positionH relativeFrom="column">
                        <wp:posOffset>1912620</wp:posOffset>
                      </wp:positionH>
                      <wp:positionV relativeFrom="paragraph">
                        <wp:posOffset>119380</wp:posOffset>
                      </wp:positionV>
                      <wp:extent cx="678815" cy="29718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678815" cy="297180"/>
                              </a:xfrm>
                              <a:prstGeom prst="rect">
                                <a:avLst/>
                              </a:prstGeom>
                              <a:noFill/>
                              <a:ln>
                                <a:noFill/>
                              </a:ln>
                            </wps:spPr>
                            <wps:txbx>
                              <w:txbxContent>
                                <w:p w14:paraId="00281336">
                                  <w:pPr>
                                    <w:rPr>
                                      <w:rFonts w:hint="default"/>
                                      <w:lang w:val="en-US"/>
                                    </w:rPr>
                                  </w:pPr>
                                  <w:r>
                                    <w:rPr>
                                      <w:rFonts w:hint="eastAsia"/>
                                      <w:lang w:val="en-US" w:eastAsia="zh-CN"/>
                                    </w:rPr>
                                    <w:t xml:space="preserve"> G</w:t>
                                  </w:r>
                                  <w:r>
                                    <w:rPr>
                                      <w:rFonts w:hint="eastAsia"/>
                                      <w:vertAlign w:val="subscript"/>
                                      <w:lang w:val="en-US" w:eastAsia="zh-CN"/>
                                    </w:rPr>
                                    <w:t>2</w:t>
                                  </w:r>
                                  <w:r>
                                    <w:rPr>
                                      <w:rFonts w:hint="eastAsia"/>
                                      <w:lang w:val="en-US" w:eastAsia="zh-CN"/>
                                    </w:rPr>
                                    <w:t>N</w:t>
                                  </w:r>
                                  <w:r>
                                    <w:rPr>
                                      <w:rFonts w:hint="eastAsia"/>
                                      <w:vertAlign w:val="subscript"/>
                                      <w:lang w:val="en-US" w:eastAsia="zh-CN"/>
                                    </w:rPr>
                                    <w:t xml:space="preserve">2 </w:t>
                                  </w:r>
                                  <w:r>
                                    <w:rPr>
                                      <w:rFonts w:hint="eastAsia"/>
                                      <w:lang w:val="en-US" w:eastAsia="zh-CN"/>
                                    </w:rPr>
                                    <w:t xml:space="preserve"> </w:t>
                                  </w:r>
                                </w:p>
                              </w:txbxContent>
                            </wps:txbx>
                            <wps:bodyPr upright="1"/>
                          </wps:wsp>
                        </a:graphicData>
                      </a:graphic>
                    </wp:anchor>
                  </w:drawing>
                </mc:Choice>
                <mc:Fallback>
                  <w:pict>
                    <v:shape id="_x0000_s1026" o:spid="_x0000_s1026" o:spt="202" type="#_x0000_t202" style="position:absolute;left:0pt;margin-left:150.6pt;margin-top:9.4pt;height:23.4pt;width:53.45pt;z-index:251766784;mso-width-relative:page;mso-height-relative:page;" filled="f" stroked="f" coordsize="21600,21600" o:gfxdata="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pgXH9YA&#10;AAAJAQAADwAAAAAAAAABACAAAAAiAAAAZHJzL2Rvd25yZXYueG1sUEsBAhQAFAAAAAgAh07iQB9Y&#10;m7+vAQAAUQMAAA4AAAAAAAAAAQAgAAAAJQEAAGRycy9lMm9Eb2MueG1sUEsFBgAAAAAGAAYAWQEA&#10;AEYFAAAAAA==&#10;">
                      <v:fill on="f" focussize="0,0"/>
                      <v:stroke on="f"/>
                      <v:imagedata o:title=""/>
                      <o:lock v:ext="edit" aspectratio="f"/>
                      <v:textbox>
                        <w:txbxContent>
                          <w:p w14:paraId="00281336">
                            <w:pPr>
                              <w:rPr>
                                <w:rFonts w:hint="default"/>
                                <w:lang w:val="en-US"/>
                              </w:rPr>
                            </w:pPr>
                            <w:r>
                              <w:rPr>
                                <w:rFonts w:hint="eastAsia"/>
                                <w:lang w:val="en-US" w:eastAsia="zh-CN"/>
                              </w:rPr>
                              <w:t xml:space="preserve"> G</w:t>
                            </w:r>
                            <w:r>
                              <w:rPr>
                                <w:rFonts w:hint="eastAsia"/>
                                <w:vertAlign w:val="subscript"/>
                                <w:lang w:val="en-US" w:eastAsia="zh-CN"/>
                              </w:rPr>
                              <w:t>2</w:t>
                            </w:r>
                            <w:r>
                              <w:rPr>
                                <w:rFonts w:hint="eastAsia"/>
                                <w:lang w:val="en-US" w:eastAsia="zh-CN"/>
                              </w:rPr>
                              <w:t>N</w:t>
                            </w:r>
                            <w:r>
                              <w:rPr>
                                <w:rFonts w:hint="eastAsia"/>
                                <w:vertAlign w:val="subscript"/>
                                <w:lang w:val="en-US" w:eastAsia="zh-CN"/>
                              </w:rPr>
                              <w:t xml:space="preserve">2 </w:t>
                            </w:r>
                            <w:r>
                              <w:rPr>
                                <w:rFonts w:hint="eastAsia"/>
                                <w:lang w:val="en-US" w:eastAsia="zh-CN"/>
                              </w:rPr>
                              <w:t xml:space="preserve"> </w:t>
                            </w:r>
                          </w:p>
                        </w:txbxContent>
                      </v:textbox>
                    </v:shap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804672" behindDoc="0" locked="0" layoutInCell="1" allowOverlap="1">
                      <wp:simplePos x="0" y="0"/>
                      <wp:positionH relativeFrom="column">
                        <wp:posOffset>4461510</wp:posOffset>
                      </wp:positionH>
                      <wp:positionV relativeFrom="paragraph">
                        <wp:posOffset>127000</wp:posOffset>
                      </wp:positionV>
                      <wp:extent cx="582930" cy="29718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582930" cy="297180"/>
                              </a:xfrm>
                              <a:prstGeom prst="rect">
                                <a:avLst/>
                              </a:prstGeom>
                              <a:noFill/>
                              <a:ln>
                                <a:noFill/>
                              </a:ln>
                            </wps:spPr>
                            <wps:txbx>
                              <w:txbxContent>
                                <w:p w14:paraId="6E293904">
                                  <w:pPr>
                                    <w:rPr>
                                      <w:rFonts w:hint="default"/>
                                      <w:lang w:val="en-US"/>
                                    </w:rPr>
                                  </w:pPr>
                                  <w:r>
                                    <w:rPr>
                                      <w:rFonts w:hint="eastAsia"/>
                                      <w:lang w:val="en-US" w:eastAsia="zh-CN"/>
                                    </w:rPr>
                                    <w:t xml:space="preserve"> W</w:t>
                                  </w:r>
                                  <w:r>
                                    <w:rPr>
                                      <w:rFonts w:hint="eastAsia"/>
                                      <w:vertAlign w:val="subscript"/>
                                      <w:lang w:val="en-US" w:eastAsia="zh-CN"/>
                                    </w:rPr>
                                    <w:t xml:space="preserve">3 </w:t>
                                  </w:r>
                                  <w:r>
                                    <w:rPr>
                                      <w:rFonts w:hint="eastAsia"/>
                                      <w:lang w:val="en-US" w:eastAsia="zh-CN"/>
                                    </w:rPr>
                                    <w:t>N</w:t>
                                  </w:r>
                                  <w:r>
                                    <w:rPr>
                                      <w:rFonts w:hint="eastAsia"/>
                                      <w:vertAlign w:val="subscript"/>
                                      <w:lang w:val="en-US" w:eastAsia="zh-CN"/>
                                    </w:rPr>
                                    <w:t>4</w:t>
                                  </w:r>
                                  <w:r>
                                    <w:rPr>
                                      <w:rFonts w:hint="eastAsia"/>
                                      <w:lang w:val="en-US" w:eastAsia="zh-CN"/>
                                    </w:rPr>
                                    <w:t xml:space="preserve">  </w:t>
                                  </w:r>
                                </w:p>
                              </w:txbxContent>
                            </wps:txbx>
                            <wps:bodyPr upright="1"/>
                          </wps:wsp>
                        </a:graphicData>
                      </a:graphic>
                    </wp:anchor>
                  </w:drawing>
                </mc:Choice>
                <mc:Fallback>
                  <w:pict>
                    <v:shape id="_x0000_s1026" o:spid="_x0000_s1026" o:spt="202" type="#_x0000_t202" style="position:absolute;left:0pt;margin-left:351.3pt;margin-top:10pt;height:23.4pt;width:45.9pt;z-index:251804672;mso-width-relative:page;mso-height-relative:page;" filled="f" stroked="f" coordsize="21600,21600" o:gfxdata="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LPhyh1gAA&#10;AAkBAAAPAAAAAAAAAAEAIAAAACIAAABkcnMvZG93bnJldi54bWxQSwECFAAUAAAACACHTuJAuUjC&#10;9K4BAABRAwAADgAAAAAAAAABACAAAAAlAQAAZHJzL2Uyb0RvYy54bWxQSwUGAAAAAAYABgBZAQAA&#10;RQUAAAAA&#10;">
                      <v:fill on="f" focussize="0,0"/>
                      <v:stroke on="f"/>
                      <v:imagedata o:title=""/>
                      <o:lock v:ext="edit" aspectratio="f"/>
                      <v:textbox>
                        <w:txbxContent>
                          <w:p w14:paraId="6E293904">
                            <w:pPr>
                              <w:rPr>
                                <w:rFonts w:hint="default"/>
                                <w:lang w:val="en-US"/>
                              </w:rPr>
                            </w:pPr>
                            <w:r>
                              <w:rPr>
                                <w:rFonts w:hint="eastAsia"/>
                                <w:lang w:val="en-US" w:eastAsia="zh-CN"/>
                              </w:rPr>
                              <w:t xml:space="preserve"> W</w:t>
                            </w:r>
                            <w:r>
                              <w:rPr>
                                <w:rFonts w:hint="eastAsia"/>
                                <w:vertAlign w:val="subscript"/>
                                <w:lang w:val="en-US" w:eastAsia="zh-CN"/>
                              </w:rPr>
                              <w:t xml:space="preserve">3 </w:t>
                            </w:r>
                            <w:r>
                              <w:rPr>
                                <w:rFonts w:hint="eastAsia"/>
                                <w:lang w:val="en-US" w:eastAsia="zh-CN"/>
                              </w:rPr>
                              <w:t>N</w:t>
                            </w:r>
                            <w:r>
                              <w:rPr>
                                <w:rFonts w:hint="eastAsia"/>
                                <w:vertAlign w:val="subscript"/>
                                <w:lang w:val="en-US" w:eastAsia="zh-CN"/>
                              </w:rPr>
                              <w:t>4</w:t>
                            </w:r>
                            <w:r>
                              <w:rPr>
                                <w:rFonts w:hint="eastAsia"/>
                                <w:lang w:val="en-US" w:eastAsia="zh-CN"/>
                              </w:rPr>
                              <w:t xml:space="preserve">  </w:t>
                            </w:r>
                          </w:p>
                        </w:txbxContent>
                      </v:textbox>
                    </v:shap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805696" behindDoc="0" locked="0" layoutInCell="1" allowOverlap="1">
                      <wp:simplePos x="0" y="0"/>
                      <wp:positionH relativeFrom="column">
                        <wp:posOffset>3889375</wp:posOffset>
                      </wp:positionH>
                      <wp:positionV relativeFrom="paragraph">
                        <wp:posOffset>117475</wp:posOffset>
                      </wp:positionV>
                      <wp:extent cx="450215" cy="29718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450215" cy="297180"/>
                              </a:xfrm>
                              <a:prstGeom prst="rect">
                                <a:avLst/>
                              </a:prstGeom>
                              <a:noFill/>
                              <a:ln>
                                <a:noFill/>
                              </a:ln>
                            </wps:spPr>
                            <wps:txbx>
                              <w:txbxContent>
                                <w:p w14:paraId="74B327F0">
                                  <w:pPr>
                                    <w:rPr>
                                      <w:rFonts w:hint="default"/>
                                      <w:lang w:val="en-US"/>
                                    </w:rPr>
                                  </w:pPr>
                                  <w:r>
                                    <w:rPr>
                                      <w:rFonts w:hint="eastAsia"/>
                                      <w:lang w:val="en-US" w:eastAsia="zh-CN"/>
                                    </w:rPr>
                                    <w:t xml:space="preserve"> N</w:t>
                                  </w:r>
                                  <w:r>
                                    <w:rPr>
                                      <w:rFonts w:hint="eastAsia"/>
                                      <w:vertAlign w:val="subscript"/>
                                      <w:lang w:val="en-US" w:eastAsia="zh-CN"/>
                                    </w:rPr>
                                    <w:t>3</w:t>
                                  </w:r>
                                  <w:r>
                                    <w:rPr>
                                      <w:rFonts w:hint="eastAsia"/>
                                      <w:lang w:val="en-US" w:eastAsia="zh-CN"/>
                                    </w:rPr>
                                    <w:t xml:space="preserve">  </w:t>
                                  </w:r>
                                </w:p>
                              </w:txbxContent>
                            </wps:txbx>
                            <wps:bodyPr upright="1"/>
                          </wps:wsp>
                        </a:graphicData>
                      </a:graphic>
                    </wp:anchor>
                  </w:drawing>
                </mc:Choice>
                <mc:Fallback>
                  <w:pict>
                    <v:shape id="_x0000_s1026" o:spid="_x0000_s1026" o:spt="202" type="#_x0000_t202" style="position:absolute;left:0pt;margin-left:306.25pt;margin-top:9.25pt;height:23.4pt;width:35.45pt;z-index:251805696;mso-width-relative:page;mso-height-relative:page;" filled="f" stroked="f" coordsize="21600,21600" o:gfxdata="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2diKq9cA&#10;AAAJAQAADwAAAAAAAAABACAAAAAiAAAAZHJzL2Rvd25yZXYueG1sUEsBAhQAFAAAAAgAh07iQNKi&#10;5mSuAQAAUQMAAA4AAAAAAAAAAQAgAAAAJgEAAGRycy9lMm9Eb2MueG1sUEsFBgAAAAAGAAYAWQEA&#10;AEYFAAAAAA==&#10;">
                      <v:fill on="f" focussize="0,0"/>
                      <v:stroke on="f"/>
                      <v:imagedata o:title=""/>
                      <o:lock v:ext="edit" aspectratio="f"/>
                      <v:textbox>
                        <w:txbxContent>
                          <w:p w14:paraId="74B327F0">
                            <w:pPr>
                              <w:rPr>
                                <w:rFonts w:hint="default"/>
                                <w:lang w:val="en-US"/>
                              </w:rPr>
                            </w:pPr>
                            <w:r>
                              <w:rPr>
                                <w:rFonts w:hint="eastAsia"/>
                                <w:lang w:val="en-US" w:eastAsia="zh-CN"/>
                              </w:rPr>
                              <w:t xml:space="preserve"> N</w:t>
                            </w:r>
                            <w:r>
                              <w:rPr>
                                <w:rFonts w:hint="eastAsia"/>
                                <w:vertAlign w:val="subscript"/>
                                <w:lang w:val="en-US" w:eastAsia="zh-CN"/>
                              </w:rPr>
                              <w:t>3</w:t>
                            </w:r>
                            <w:r>
                              <w:rPr>
                                <w:rFonts w:hint="eastAsia"/>
                                <w:lang w:val="en-US" w:eastAsia="zh-CN"/>
                              </w:rPr>
                              <w:t xml:space="preserve">  </w:t>
                            </w:r>
                          </w:p>
                        </w:txbxContent>
                      </v:textbox>
                    </v:shap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803648" behindDoc="0" locked="0" layoutInCell="1" allowOverlap="1">
                      <wp:simplePos x="0" y="0"/>
                      <wp:positionH relativeFrom="column">
                        <wp:posOffset>3007360</wp:posOffset>
                      </wp:positionH>
                      <wp:positionV relativeFrom="paragraph">
                        <wp:posOffset>119380</wp:posOffset>
                      </wp:positionV>
                      <wp:extent cx="603885" cy="29718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603885" cy="297180"/>
                              </a:xfrm>
                              <a:prstGeom prst="rect">
                                <a:avLst/>
                              </a:prstGeom>
                              <a:noFill/>
                              <a:ln>
                                <a:noFill/>
                              </a:ln>
                            </wps:spPr>
                            <wps:txbx>
                              <w:txbxContent>
                                <w:p w14:paraId="45F9FC9C">
                                  <w:pPr>
                                    <w:rPr>
                                      <w:rFonts w:hint="default"/>
                                      <w:lang w:val="en-US"/>
                                    </w:rPr>
                                  </w:pPr>
                                  <w:r>
                                    <w:rPr>
                                      <w:rFonts w:hint="eastAsia"/>
                                      <w:lang w:val="en-US" w:eastAsia="zh-CN"/>
                                    </w:rPr>
                                    <w:t xml:space="preserve"> W</w:t>
                                  </w:r>
                                  <w:r>
                                    <w:rPr>
                                      <w:rFonts w:hint="eastAsia"/>
                                      <w:vertAlign w:val="subscript"/>
                                      <w:lang w:val="en-US" w:eastAsia="zh-CN"/>
                                    </w:rPr>
                                    <w:t xml:space="preserve">2 </w:t>
                                  </w:r>
                                  <w:r>
                                    <w:rPr>
                                      <w:rFonts w:hint="eastAsia"/>
                                      <w:lang w:val="en-US" w:eastAsia="zh-CN"/>
                                    </w:rPr>
                                    <w:t>S</w:t>
                                  </w:r>
                                  <w:r>
                                    <w:rPr>
                                      <w:rFonts w:hint="eastAsia"/>
                                      <w:vertAlign w:val="subscript"/>
                                      <w:lang w:val="en-US" w:eastAsia="zh-CN"/>
                                    </w:rPr>
                                    <w:t xml:space="preserve">1 </w:t>
                                  </w:r>
                                  <w:r>
                                    <w:rPr>
                                      <w:rFonts w:hint="eastAsia"/>
                                      <w:lang w:val="en-US" w:eastAsia="zh-CN"/>
                                    </w:rPr>
                                    <w:t xml:space="preserve"> </w:t>
                                  </w:r>
                                </w:p>
                              </w:txbxContent>
                            </wps:txbx>
                            <wps:bodyPr upright="1"/>
                          </wps:wsp>
                        </a:graphicData>
                      </a:graphic>
                    </wp:anchor>
                  </w:drawing>
                </mc:Choice>
                <mc:Fallback>
                  <w:pict>
                    <v:shape id="_x0000_s1026" o:spid="_x0000_s1026" o:spt="202" type="#_x0000_t202" style="position:absolute;left:0pt;margin-left:236.8pt;margin-top:9.4pt;height:23.4pt;width:47.55pt;z-index:251803648;mso-width-relative:page;mso-height-relative:page;" filled="f" stroked="f" coordsize="21600,21600" o:gfxdata="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7OhW9YA&#10;AAAJAQAADwAAAAAAAAABACAAAAAiAAAAZHJzL2Rvd25yZXYueG1sUEsBAhQAFAAAAAgAh07iQI/E&#10;wW6vAQAAUQMAAA4AAAAAAAAAAQAgAAAAJQEAAGRycy9lMm9Eb2MueG1sUEsFBgAAAAAGAAYAWQEA&#10;AEYFAAAAAA==&#10;">
                      <v:fill on="f" focussize="0,0"/>
                      <v:stroke on="f"/>
                      <v:imagedata o:title=""/>
                      <o:lock v:ext="edit" aspectratio="f"/>
                      <v:textbox>
                        <w:txbxContent>
                          <w:p w14:paraId="45F9FC9C">
                            <w:pPr>
                              <w:rPr>
                                <w:rFonts w:hint="default"/>
                                <w:lang w:val="en-US"/>
                              </w:rPr>
                            </w:pPr>
                            <w:r>
                              <w:rPr>
                                <w:rFonts w:hint="eastAsia"/>
                                <w:lang w:val="en-US" w:eastAsia="zh-CN"/>
                              </w:rPr>
                              <w:t xml:space="preserve"> W</w:t>
                            </w:r>
                            <w:r>
                              <w:rPr>
                                <w:rFonts w:hint="eastAsia"/>
                                <w:vertAlign w:val="subscript"/>
                                <w:lang w:val="en-US" w:eastAsia="zh-CN"/>
                              </w:rPr>
                              <w:t xml:space="preserve">2 </w:t>
                            </w:r>
                            <w:r>
                              <w:rPr>
                                <w:rFonts w:hint="eastAsia"/>
                                <w:lang w:val="en-US" w:eastAsia="zh-CN"/>
                              </w:rPr>
                              <w:t>S</w:t>
                            </w:r>
                            <w:r>
                              <w:rPr>
                                <w:rFonts w:hint="eastAsia"/>
                                <w:vertAlign w:val="subscript"/>
                                <w:lang w:val="en-US" w:eastAsia="zh-CN"/>
                              </w:rPr>
                              <w:t xml:space="preserve">1 </w:t>
                            </w:r>
                            <w:r>
                              <w:rPr>
                                <w:rFonts w:hint="eastAsia"/>
                                <w:lang w:val="en-US" w:eastAsia="zh-CN"/>
                              </w:rPr>
                              <w:t xml:space="preserve"> </w:t>
                            </w:r>
                          </w:p>
                        </w:txbxContent>
                      </v:textbox>
                    </v:shap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779072" behindDoc="0" locked="0" layoutInCell="1" allowOverlap="1">
                      <wp:simplePos x="0" y="0"/>
                      <wp:positionH relativeFrom="column">
                        <wp:posOffset>1003300</wp:posOffset>
                      </wp:positionH>
                      <wp:positionV relativeFrom="paragraph">
                        <wp:posOffset>136525</wp:posOffset>
                      </wp:positionV>
                      <wp:extent cx="450215" cy="29718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450215" cy="297180"/>
                              </a:xfrm>
                              <a:prstGeom prst="rect">
                                <a:avLst/>
                              </a:prstGeom>
                              <a:noFill/>
                              <a:ln>
                                <a:noFill/>
                              </a:ln>
                            </wps:spPr>
                            <wps:txbx>
                              <w:txbxContent>
                                <w:p w14:paraId="5B2329F5">
                                  <w:pPr>
                                    <w:rPr>
                                      <w:rFonts w:hint="default"/>
                                      <w:lang w:val="en-US"/>
                                    </w:rPr>
                                  </w:pPr>
                                  <w:r>
                                    <w:rPr>
                                      <w:rFonts w:hint="eastAsia"/>
                                      <w:lang w:val="en-US" w:eastAsia="zh-CN"/>
                                    </w:rPr>
                                    <w:t xml:space="preserve"> N</w:t>
                                  </w:r>
                                  <w:r>
                                    <w:rPr>
                                      <w:rFonts w:hint="eastAsia"/>
                                      <w:vertAlign w:val="subscript"/>
                                      <w:lang w:val="en-US" w:eastAsia="zh-CN"/>
                                    </w:rPr>
                                    <w:t>1</w:t>
                                  </w:r>
                                  <w:r>
                                    <w:rPr>
                                      <w:rFonts w:hint="eastAsia"/>
                                      <w:lang w:val="en-US" w:eastAsia="zh-CN"/>
                                    </w:rPr>
                                    <w:t xml:space="preserve">  </w:t>
                                  </w:r>
                                </w:p>
                              </w:txbxContent>
                            </wps:txbx>
                            <wps:bodyPr upright="1"/>
                          </wps:wsp>
                        </a:graphicData>
                      </a:graphic>
                    </wp:anchor>
                  </w:drawing>
                </mc:Choice>
                <mc:Fallback>
                  <w:pict>
                    <v:shape id="_x0000_s1026" o:spid="_x0000_s1026" o:spt="202" type="#_x0000_t202" style="position:absolute;left:0pt;margin-left:79pt;margin-top:10.75pt;height:23.4pt;width:35.45pt;z-index:251779072;mso-width-relative:page;mso-height-relative:page;" filled="f" stroked="f" coordsize="21600,21600" o:gfxdata="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aVnG01gAA&#10;AAkBAAAPAAAAAAAAAAEAIAAAACIAAABkcnMvZG93bnJldi54bWxQSwECFAAUAAAACACHTuJACUBK&#10;064BAABRAwAADgAAAAAAAAABACAAAAAlAQAAZHJzL2Uyb0RvYy54bWxQSwUGAAAAAAYABgBZAQAA&#10;RQUAAAAA&#10;">
                      <v:fill on="f" focussize="0,0"/>
                      <v:stroke on="f"/>
                      <v:imagedata o:title=""/>
                      <o:lock v:ext="edit" aspectratio="f"/>
                      <v:textbox>
                        <w:txbxContent>
                          <w:p w14:paraId="5B2329F5">
                            <w:pPr>
                              <w:rPr>
                                <w:rFonts w:hint="default"/>
                                <w:lang w:val="en-US"/>
                              </w:rPr>
                            </w:pPr>
                            <w:r>
                              <w:rPr>
                                <w:rFonts w:hint="eastAsia"/>
                                <w:lang w:val="en-US" w:eastAsia="zh-CN"/>
                              </w:rPr>
                              <w:t xml:space="preserve"> N</w:t>
                            </w:r>
                            <w:r>
                              <w:rPr>
                                <w:rFonts w:hint="eastAsia"/>
                                <w:vertAlign w:val="subscript"/>
                                <w:lang w:val="en-US" w:eastAsia="zh-CN"/>
                              </w:rPr>
                              <w:t>1</w:t>
                            </w:r>
                            <w:r>
                              <w:rPr>
                                <w:rFonts w:hint="eastAsia"/>
                                <w:lang w:val="en-US" w:eastAsia="zh-CN"/>
                              </w:rPr>
                              <w:t xml:space="preserve">  </w:t>
                            </w:r>
                          </w:p>
                        </w:txbxContent>
                      </v:textbox>
                    </v:shape>
                  </w:pict>
                </mc:Fallback>
              </mc:AlternateContent>
            </w:r>
          </w:p>
          <w:p w14:paraId="4E9E9A68">
            <w:pPr>
              <w:tabs>
                <w:tab w:val="left" w:pos="2838"/>
              </w:tabs>
              <w:spacing w:line="500" w:lineRule="exact"/>
              <w:ind w:firstLine="442" w:firstLineChars="200"/>
              <w:rPr>
                <w:rFonts w:hint="default" w:ascii="Times New Roman" w:hAnsi="Times New Roman" w:cs="Times New Roman"/>
                <w:b/>
                <w:color w:val="auto"/>
                <w:sz w:val="22"/>
              </w:rPr>
            </w:pPr>
            <w:r>
              <w:rPr>
                <w:rFonts w:hint="default" w:ascii="Times New Roman" w:hAnsi="Times New Roman" w:cs="Times New Roman"/>
                <w:b/>
                <w:color w:val="auto"/>
                <w:sz w:val="22"/>
              </w:rPr>
              <mc:AlternateContent>
                <mc:Choice Requires="wps">
                  <w:drawing>
                    <wp:anchor distT="0" distB="0" distL="114300" distR="114300" simplePos="0" relativeHeight="251809792" behindDoc="0" locked="0" layoutInCell="1" allowOverlap="1">
                      <wp:simplePos x="0" y="0"/>
                      <wp:positionH relativeFrom="column">
                        <wp:posOffset>4909820</wp:posOffset>
                      </wp:positionH>
                      <wp:positionV relativeFrom="paragraph">
                        <wp:posOffset>158115</wp:posOffset>
                      </wp:positionV>
                      <wp:extent cx="459740" cy="285750"/>
                      <wp:effectExtent l="4445" t="4445" r="12065" b="14605"/>
                      <wp:wrapNone/>
                      <wp:docPr id="154" name="矩形 154"/>
                      <wp:cNvGraphicFramePr/>
                      <a:graphic xmlns:a="http://schemas.openxmlformats.org/drawingml/2006/main">
                        <a:graphicData uri="http://schemas.microsoft.com/office/word/2010/wordprocessingShape">
                          <wps:wsp>
                            <wps:cNvSpPr/>
                            <wps:spPr>
                              <a:xfrm>
                                <a:off x="0" y="0"/>
                                <a:ext cx="459740" cy="285750"/>
                              </a:xfrm>
                              <a:prstGeom prst="rect">
                                <a:avLst/>
                              </a:prstGeom>
                              <a:gradFill rotWithShape="0">
                                <a:gsLst>
                                  <a:gs pos="0">
                                    <a:srgbClr val="FFFFFF"/>
                                  </a:gs>
                                  <a:gs pos="100000">
                                    <a:srgbClr val="FFFFFF"/>
                                  </a:gs>
                                </a:gsLst>
                                <a:lin ang="0"/>
                                <a:tileRect/>
                              </a:gradFill>
                              <a:ln w="6350" cap="flat" cmpd="sng">
                                <a:solidFill>
                                  <a:schemeClr val="tx1"/>
                                </a:solidFill>
                                <a:prstDash val="solid"/>
                                <a:miter/>
                                <a:headEnd type="none" w="med" len="med"/>
                                <a:tailEnd type="none" w="med" len="med"/>
                              </a:ln>
                            </wps:spPr>
                            <wps:txbx>
                              <w:txbxContent>
                                <w:p w14:paraId="4DF39722">
                                  <w:pPr>
                                    <w:jc w:val="center"/>
                                    <w:rPr>
                                      <w:rFonts w:hint="default" w:eastAsia="宋体"/>
                                      <w:color w:val="auto"/>
                                      <w:lang w:val="en-US" w:eastAsia="zh-CN"/>
                                    </w:rPr>
                                  </w:pPr>
                                  <w:r>
                                    <w:rPr>
                                      <w:rFonts w:hint="eastAsia"/>
                                      <w:color w:val="auto"/>
                                      <w:lang w:val="en-US" w:eastAsia="zh-CN"/>
                                    </w:rPr>
                                    <w:t>拌料</w:t>
                                  </w:r>
                                </w:p>
                              </w:txbxContent>
                            </wps:txbx>
                            <wps:bodyPr upright="1"/>
                          </wps:wsp>
                        </a:graphicData>
                      </a:graphic>
                    </wp:anchor>
                  </w:drawing>
                </mc:Choice>
                <mc:Fallback>
                  <w:pict>
                    <v:rect id="_x0000_s1026" o:spid="_x0000_s1026" o:spt="1" style="position:absolute;left:0pt;margin-left:386.6pt;margin-top:12.45pt;height:22.5pt;width:36.2pt;z-index:251809792;mso-width-relative:page;mso-height-relative:page;" fillcolor="#FFFFFF" filled="t" stroked="t" coordsize="21600,21600" o:gfxdata="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Q3jx/aAAAACQEAAA8AAAAAAAAAAQAgAAAAIgAAAGRy&#10;cy9kb3ducmV2LnhtbFBLAQIUABQAAAAIAIdO4kDD0zulPAIAALMEAAAOAAAAAAAAAAEAIAAAACkB&#10;AABkcnMvZTJvRG9jLnhtbFBLBQYAAAAABgAGAFkBAADXBQAAAAA=&#10;">
                      <v:fill type="gradient" on="t" color2="#FFFFFF" angle="90" focus="100%" focussize="0,0">
                        <o:fill type="gradientUnscaled" v:ext="backwardCompatible"/>
                      </v:fill>
                      <v:stroke weight="0.5pt" color="#000000 [3213]" joinstyle="miter"/>
                      <v:imagedata o:title=""/>
                      <o:lock v:ext="edit" aspectratio="f"/>
                      <v:textbox>
                        <w:txbxContent>
                          <w:p w14:paraId="4DF39722">
                            <w:pPr>
                              <w:jc w:val="center"/>
                              <w:rPr>
                                <w:rFonts w:hint="default" w:eastAsia="宋体"/>
                                <w:color w:val="auto"/>
                                <w:lang w:val="en-US" w:eastAsia="zh-CN"/>
                              </w:rPr>
                            </w:pPr>
                            <w:r>
                              <w:rPr>
                                <w:rFonts w:hint="eastAsia"/>
                                <w:color w:val="auto"/>
                                <w:lang w:val="en-US" w:eastAsia="zh-CN"/>
                              </w:rPr>
                              <w:t>拌料</w:t>
                            </w:r>
                          </w:p>
                        </w:txbxContent>
                      </v:textbox>
                    </v:rect>
                  </w:pict>
                </mc:Fallback>
              </mc:AlternateContent>
            </w:r>
            <w:r>
              <w:rPr>
                <w:rFonts w:hint="default" w:ascii="Times New Roman" w:hAnsi="Times New Roman" w:cs="Times New Roman"/>
                <w:b/>
                <w:color w:val="auto"/>
                <w:sz w:val="22"/>
              </w:rPr>
              <mc:AlternateContent>
                <mc:Choice Requires="wps">
                  <w:drawing>
                    <wp:anchor distT="0" distB="0" distL="114300" distR="114300" simplePos="0" relativeHeight="251786240" behindDoc="0" locked="0" layoutInCell="1" allowOverlap="1">
                      <wp:simplePos x="0" y="0"/>
                      <wp:positionH relativeFrom="column">
                        <wp:posOffset>4138295</wp:posOffset>
                      </wp:positionH>
                      <wp:positionV relativeFrom="paragraph">
                        <wp:posOffset>158115</wp:posOffset>
                      </wp:positionV>
                      <wp:extent cx="459740" cy="285750"/>
                      <wp:effectExtent l="4445" t="4445" r="12065" b="14605"/>
                      <wp:wrapNone/>
                      <wp:docPr id="133" name="矩形 133"/>
                      <wp:cNvGraphicFramePr/>
                      <a:graphic xmlns:a="http://schemas.openxmlformats.org/drawingml/2006/main">
                        <a:graphicData uri="http://schemas.microsoft.com/office/word/2010/wordprocessingShape">
                          <wps:wsp>
                            <wps:cNvSpPr/>
                            <wps:spPr>
                              <a:xfrm>
                                <a:off x="0" y="0"/>
                                <a:ext cx="459740" cy="285750"/>
                              </a:xfrm>
                              <a:prstGeom prst="rect">
                                <a:avLst/>
                              </a:prstGeom>
                              <a:gradFill rotWithShape="0">
                                <a:gsLst>
                                  <a:gs pos="0">
                                    <a:srgbClr val="FFFFFF"/>
                                  </a:gs>
                                  <a:gs pos="100000">
                                    <a:srgbClr val="FFFFFF"/>
                                  </a:gs>
                                </a:gsLst>
                                <a:lin ang="0"/>
                                <a:tileRect/>
                              </a:gradFill>
                              <a:ln w="6350" cap="flat" cmpd="sng">
                                <a:solidFill>
                                  <a:schemeClr val="tx1"/>
                                </a:solidFill>
                                <a:prstDash val="solid"/>
                                <a:miter/>
                                <a:headEnd type="none" w="med" len="med"/>
                                <a:tailEnd type="none" w="med" len="med"/>
                              </a:ln>
                            </wps:spPr>
                            <wps:txbx>
                              <w:txbxContent>
                                <w:p w14:paraId="3424CE21">
                                  <w:pPr>
                                    <w:jc w:val="center"/>
                                    <w:rPr>
                                      <w:rFonts w:hint="default" w:eastAsia="宋体"/>
                                      <w:color w:val="auto"/>
                                      <w:lang w:val="en-US" w:eastAsia="zh-CN"/>
                                    </w:rPr>
                                  </w:pPr>
                                  <w:r>
                                    <w:rPr>
                                      <w:rFonts w:hint="eastAsia"/>
                                      <w:color w:val="auto"/>
                                      <w:lang w:val="en-US" w:eastAsia="zh-CN"/>
                                    </w:rPr>
                                    <w:t>上料</w:t>
                                  </w:r>
                                </w:p>
                              </w:txbxContent>
                            </wps:txbx>
                            <wps:bodyPr upright="1"/>
                          </wps:wsp>
                        </a:graphicData>
                      </a:graphic>
                    </wp:anchor>
                  </w:drawing>
                </mc:Choice>
                <mc:Fallback>
                  <w:pict>
                    <v:rect id="_x0000_s1026" o:spid="_x0000_s1026" o:spt="1" style="position:absolute;left:0pt;margin-left:325.85pt;margin-top:12.45pt;height:22.5pt;width:36.2pt;z-index:251786240;mso-width-relative:page;mso-height-relative:page;" fillcolor="#FFFFFF" filled="t" stroked="t" coordsize="21600,21600" o:gfxdata="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1jlWNkAAAAJAQAADwAAAAAAAAABACAAAAAiAAAAZHJz&#10;L2Rvd25yZXYueG1sUEsBAhQAFAAAAAgAh07iQMIbqOA8AgAAswQAAA4AAAAAAAAAAQAgAAAAKAEA&#10;AGRycy9lMm9Eb2MueG1sUEsFBgAAAAAGAAYAWQEAANYFAAAAAA==&#10;">
                      <v:fill type="gradient" on="t" color2="#FFFFFF" angle="90" focus="100%" focussize="0,0">
                        <o:fill type="gradientUnscaled" v:ext="backwardCompatible"/>
                      </v:fill>
                      <v:stroke weight="0.5pt" color="#000000 [3213]" joinstyle="miter"/>
                      <v:imagedata o:title=""/>
                      <o:lock v:ext="edit" aspectratio="f"/>
                      <v:textbox>
                        <w:txbxContent>
                          <w:p w14:paraId="3424CE21">
                            <w:pPr>
                              <w:jc w:val="center"/>
                              <w:rPr>
                                <w:rFonts w:hint="default" w:eastAsia="宋体"/>
                                <w:color w:val="auto"/>
                                <w:lang w:val="en-US" w:eastAsia="zh-CN"/>
                              </w:rPr>
                            </w:pPr>
                            <w:r>
                              <w:rPr>
                                <w:rFonts w:hint="eastAsia"/>
                                <w:color w:val="auto"/>
                                <w:lang w:val="en-US" w:eastAsia="zh-CN"/>
                              </w:rPr>
                              <w:t>上料</w:t>
                            </w:r>
                          </w:p>
                        </w:txbxContent>
                      </v:textbox>
                    </v:rect>
                  </w:pict>
                </mc:Fallback>
              </mc:AlternateContent>
            </w:r>
            <w:r>
              <w:rPr>
                <w:rFonts w:hint="default" w:ascii="Times New Roman" w:hAnsi="Times New Roman" w:cs="Times New Roman"/>
                <w:b/>
                <w:color w:val="auto"/>
                <w:sz w:val="22"/>
              </w:rPr>
              <mc:AlternateContent>
                <mc:Choice Requires="wps">
                  <w:drawing>
                    <wp:anchor distT="0" distB="0" distL="114300" distR="114300" simplePos="0" relativeHeight="251785216" behindDoc="0" locked="0" layoutInCell="1" allowOverlap="1">
                      <wp:simplePos x="0" y="0"/>
                      <wp:positionH relativeFrom="column">
                        <wp:posOffset>3309620</wp:posOffset>
                      </wp:positionH>
                      <wp:positionV relativeFrom="paragraph">
                        <wp:posOffset>139065</wp:posOffset>
                      </wp:positionV>
                      <wp:extent cx="506730" cy="285750"/>
                      <wp:effectExtent l="4445" t="4445" r="22225" b="14605"/>
                      <wp:wrapNone/>
                      <wp:docPr id="131" name="矩形 131"/>
                      <wp:cNvGraphicFramePr/>
                      <a:graphic xmlns:a="http://schemas.openxmlformats.org/drawingml/2006/main">
                        <a:graphicData uri="http://schemas.microsoft.com/office/word/2010/wordprocessingShape">
                          <wps:wsp>
                            <wps:cNvSpPr/>
                            <wps:spPr>
                              <a:xfrm>
                                <a:off x="0" y="0"/>
                                <a:ext cx="506730" cy="285750"/>
                              </a:xfrm>
                              <a:prstGeom prst="rect">
                                <a:avLst/>
                              </a:prstGeom>
                              <a:gradFill rotWithShape="0">
                                <a:gsLst>
                                  <a:gs pos="0">
                                    <a:srgbClr val="FFFFFF"/>
                                  </a:gs>
                                  <a:gs pos="100000">
                                    <a:srgbClr val="FFFFFF"/>
                                  </a:gs>
                                </a:gsLst>
                                <a:lin ang="0"/>
                                <a:tileRect/>
                              </a:gradFill>
                              <a:ln w="6350" cap="flat" cmpd="sng">
                                <a:solidFill>
                                  <a:schemeClr val="tx1"/>
                                </a:solidFill>
                                <a:prstDash val="solid"/>
                                <a:miter/>
                                <a:headEnd type="none" w="med" len="med"/>
                                <a:tailEnd type="none" w="med" len="med"/>
                              </a:ln>
                            </wps:spPr>
                            <wps:txbx>
                              <w:txbxContent>
                                <w:p w14:paraId="42EA98DA">
                                  <w:pPr>
                                    <w:jc w:val="center"/>
                                    <w:rPr>
                                      <w:rFonts w:hint="default" w:eastAsia="宋体"/>
                                      <w:color w:val="auto"/>
                                      <w:lang w:val="en-US" w:eastAsia="zh-CN"/>
                                    </w:rPr>
                                  </w:pPr>
                                  <w:r>
                                    <w:rPr>
                                      <w:rFonts w:hint="eastAsia"/>
                                      <w:color w:val="auto"/>
                                      <w:lang w:val="en-US" w:eastAsia="zh-CN"/>
                                    </w:rPr>
                                    <w:t>挤出</w:t>
                                  </w:r>
                                </w:p>
                              </w:txbxContent>
                            </wps:txbx>
                            <wps:bodyPr upright="1"/>
                          </wps:wsp>
                        </a:graphicData>
                      </a:graphic>
                    </wp:anchor>
                  </w:drawing>
                </mc:Choice>
                <mc:Fallback>
                  <w:pict>
                    <v:rect id="_x0000_s1026" o:spid="_x0000_s1026" o:spt="1" style="position:absolute;left:0pt;margin-left:260.6pt;margin-top:10.95pt;height:22.5pt;width:39.9pt;z-index:251785216;mso-width-relative:page;mso-height-relative:page;" fillcolor="#FFFFFF" filled="t" stroked="t" coordsize="21600,21600" o:gfxdata="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eypWxNgAAAAJAQAADwAAAAAAAAABACAAAAAiAAAAZHJzL2Rv&#10;d25yZXYueG1sUEsBAhQAFAAAAAgAh07iQPT7kyQ6AgAAswQAAA4AAAAAAAAAAQAgAAAAJwEAAGRy&#10;cy9lMm9Eb2MueG1sUEsFBgAAAAAGAAYAWQEAANMFAAAAAA==&#10;">
                      <v:fill type="gradient" on="t" color2="#FFFFFF" angle="90" focus="100%" focussize="0,0">
                        <o:fill type="gradientUnscaled" v:ext="backwardCompatible"/>
                      </v:fill>
                      <v:stroke weight="0.5pt" color="#000000 [3213]" joinstyle="miter"/>
                      <v:imagedata o:title=""/>
                      <o:lock v:ext="edit" aspectratio="f"/>
                      <v:textbox>
                        <w:txbxContent>
                          <w:p w14:paraId="42EA98DA">
                            <w:pPr>
                              <w:jc w:val="center"/>
                              <w:rPr>
                                <w:rFonts w:hint="default" w:eastAsia="宋体"/>
                                <w:color w:val="auto"/>
                                <w:lang w:val="en-US" w:eastAsia="zh-CN"/>
                              </w:rPr>
                            </w:pPr>
                            <w:r>
                              <w:rPr>
                                <w:rFonts w:hint="eastAsia"/>
                                <w:color w:val="auto"/>
                                <w:lang w:val="en-US" w:eastAsia="zh-CN"/>
                              </w:rPr>
                              <w:t>挤出</w:t>
                            </w:r>
                          </w:p>
                        </w:txbxContent>
                      </v:textbox>
                    </v:rect>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796480" behindDoc="0" locked="0" layoutInCell="1" allowOverlap="1">
                      <wp:simplePos x="0" y="0"/>
                      <wp:positionH relativeFrom="column">
                        <wp:posOffset>3034030</wp:posOffset>
                      </wp:positionH>
                      <wp:positionV relativeFrom="paragraph">
                        <wp:posOffset>311150</wp:posOffset>
                      </wp:positionV>
                      <wp:extent cx="318135" cy="3175"/>
                      <wp:effectExtent l="0" t="35560" r="5715" b="37465"/>
                      <wp:wrapNone/>
                      <wp:docPr id="130" name="直接连接符 130"/>
                      <wp:cNvGraphicFramePr/>
                      <a:graphic xmlns:a="http://schemas.openxmlformats.org/drawingml/2006/main">
                        <a:graphicData uri="http://schemas.microsoft.com/office/word/2010/wordprocessingShape">
                          <wps:wsp>
                            <wps:cNvCnPr/>
                            <wps:spPr>
                              <a:xfrm flipH="1">
                                <a:off x="0" y="0"/>
                                <a:ext cx="318135" cy="3175"/>
                              </a:xfrm>
                              <a:prstGeom prst="line">
                                <a:avLst/>
                              </a:prstGeom>
                              <a:ln w="9525" cap="flat" cmpd="sng">
                                <a:solidFill>
                                  <a:schemeClr val="tx1"/>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38.9pt;margin-top:24.5pt;height:0.25pt;width:25.05pt;z-index:251796480;mso-width-relative:page;mso-height-relative:page;" filled="f" stroked="t" coordsize="21600,21600" o:gfxdata="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fktLE2QAAAAkBAAAPAAAAAAAAAAEAIAAAACIAAABk&#10;cnMvZG93bnJldi54bWxQSwECFAAUAAAACACHTuJA0YvoJAUCAAD4AwAADgAAAAAAAAABACAAAAAo&#10;AQAAZHJzL2Uyb0RvYy54bWxQSwUGAAAAAAYABgBZAQAAnwUAAAAA&#10;">
                      <v:fill on="f" focussize="0,0"/>
                      <v:stroke color="#000000 [3213]" joinstyle="round" endarrow="block"/>
                      <v:imagedata o:title=""/>
                      <o:lock v:ext="edit" aspectratio="f"/>
                    </v:line>
                  </w:pict>
                </mc:Fallback>
              </mc:AlternateContent>
            </w:r>
            <w:r>
              <w:rPr>
                <w:rFonts w:hint="default" w:ascii="Times New Roman" w:hAnsi="Times New Roman" w:cs="Times New Roman"/>
                <w:b/>
                <w:color w:val="auto"/>
                <w:sz w:val="22"/>
              </w:rPr>
              <mc:AlternateContent>
                <mc:Choice Requires="wps">
                  <w:drawing>
                    <wp:anchor distT="0" distB="0" distL="114300" distR="114300" simplePos="0" relativeHeight="251792384" behindDoc="0" locked="0" layoutInCell="1" allowOverlap="1">
                      <wp:simplePos x="0" y="0"/>
                      <wp:positionH relativeFrom="column">
                        <wp:posOffset>2528570</wp:posOffset>
                      </wp:positionH>
                      <wp:positionV relativeFrom="paragraph">
                        <wp:posOffset>148590</wp:posOffset>
                      </wp:positionV>
                      <wp:extent cx="506730" cy="285750"/>
                      <wp:effectExtent l="4445" t="4445" r="22225" b="14605"/>
                      <wp:wrapNone/>
                      <wp:docPr id="129" name="矩形 129"/>
                      <wp:cNvGraphicFramePr/>
                      <a:graphic xmlns:a="http://schemas.openxmlformats.org/drawingml/2006/main">
                        <a:graphicData uri="http://schemas.microsoft.com/office/word/2010/wordprocessingShape">
                          <wps:wsp>
                            <wps:cNvSpPr/>
                            <wps:spPr>
                              <a:xfrm>
                                <a:off x="0" y="0"/>
                                <a:ext cx="506730" cy="285750"/>
                              </a:xfrm>
                              <a:prstGeom prst="rect">
                                <a:avLst/>
                              </a:prstGeom>
                              <a:gradFill rotWithShape="0">
                                <a:gsLst>
                                  <a:gs pos="0">
                                    <a:srgbClr val="FFFFFF"/>
                                  </a:gs>
                                  <a:gs pos="100000">
                                    <a:srgbClr val="FFFFFF"/>
                                  </a:gs>
                                </a:gsLst>
                                <a:lin ang="0"/>
                                <a:tileRect/>
                              </a:gradFill>
                              <a:ln w="6350" cap="flat" cmpd="sng">
                                <a:solidFill>
                                  <a:schemeClr val="tx1"/>
                                </a:solidFill>
                                <a:prstDash val="solid"/>
                                <a:miter/>
                                <a:headEnd type="none" w="med" len="med"/>
                                <a:tailEnd type="none" w="med" len="med"/>
                              </a:ln>
                            </wps:spPr>
                            <wps:txbx>
                              <w:txbxContent>
                                <w:p w14:paraId="6A7532D4">
                                  <w:pPr>
                                    <w:jc w:val="center"/>
                                    <w:rPr>
                                      <w:rFonts w:hint="default" w:eastAsia="宋体"/>
                                      <w:color w:val="auto"/>
                                      <w:lang w:val="en-US" w:eastAsia="zh-CN"/>
                                    </w:rPr>
                                  </w:pPr>
                                  <w:r>
                                    <w:rPr>
                                      <w:rFonts w:hint="eastAsia"/>
                                      <w:color w:val="auto"/>
                                      <w:lang w:val="en-US" w:eastAsia="zh-CN"/>
                                    </w:rPr>
                                    <w:t>冷却</w:t>
                                  </w:r>
                                </w:p>
                              </w:txbxContent>
                            </wps:txbx>
                            <wps:bodyPr upright="1"/>
                          </wps:wsp>
                        </a:graphicData>
                      </a:graphic>
                    </wp:anchor>
                  </w:drawing>
                </mc:Choice>
                <mc:Fallback>
                  <w:pict>
                    <v:rect id="_x0000_s1026" o:spid="_x0000_s1026" o:spt="1" style="position:absolute;left:0pt;margin-left:199.1pt;margin-top:11.7pt;height:22.5pt;width:39.9pt;z-index:251792384;mso-width-relative:page;mso-height-relative:page;" fillcolor="#FFFFFF" filled="t" stroked="t" coordsize="21600,21600" o:gfxdata="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MGyrDaAAAACQEAAA8AAAAAAAAAAQAgAAAAIgAAAGRy&#10;cy9kb3ducmV2LnhtbFBLAQIUABQAAAAIAIdO4kBSF3ldPAIAALMEAAAOAAAAAAAAAAEAIAAAACkB&#10;AABkcnMvZTJvRG9jLnhtbFBLBQYAAAAABgAGAFkBAADXBQAAAAA=&#10;">
                      <v:fill type="gradient" on="t" color2="#FFFFFF" angle="90" focus="100%" focussize="0,0">
                        <o:fill type="gradientUnscaled" v:ext="backwardCompatible"/>
                      </v:fill>
                      <v:stroke weight="0.5pt" color="#000000 [3213]" joinstyle="miter"/>
                      <v:imagedata o:title=""/>
                      <o:lock v:ext="edit" aspectratio="f"/>
                      <v:textbox>
                        <w:txbxContent>
                          <w:p w14:paraId="6A7532D4">
                            <w:pPr>
                              <w:jc w:val="center"/>
                              <w:rPr>
                                <w:rFonts w:hint="default" w:eastAsia="宋体"/>
                                <w:color w:val="auto"/>
                                <w:lang w:val="en-US" w:eastAsia="zh-CN"/>
                              </w:rPr>
                            </w:pPr>
                            <w:r>
                              <w:rPr>
                                <w:rFonts w:hint="eastAsia"/>
                                <w:color w:val="auto"/>
                                <w:lang w:val="en-US" w:eastAsia="zh-CN"/>
                              </w:rPr>
                              <w:t>冷却</w:t>
                            </w:r>
                          </w:p>
                        </w:txbxContent>
                      </v:textbox>
                    </v:rect>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795456" behindDoc="0" locked="0" layoutInCell="1" allowOverlap="1">
                      <wp:simplePos x="0" y="0"/>
                      <wp:positionH relativeFrom="column">
                        <wp:posOffset>2233930</wp:posOffset>
                      </wp:positionH>
                      <wp:positionV relativeFrom="paragraph">
                        <wp:posOffset>292100</wp:posOffset>
                      </wp:positionV>
                      <wp:extent cx="318135" cy="3175"/>
                      <wp:effectExtent l="0" t="35560" r="5715" b="37465"/>
                      <wp:wrapNone/>
                      <wp:docPr id="142" name="直接连接符 142"/>
                      <wp:cNvGraphicFramePr/>
                      <a:graphic xmlns:a="http://schemas.openxmlformats.org/drawingml/2006/main">
                        <a:graphicData uri="http://schemas.microsoft.com/office/word/2010/wordprocessingShape">
                          <wps:wsp>
                            <wps:cNvCnPr/>
                            <wps:spPr>
                              <a:xfrm flipH="1">
                                <a:off x="0" y="0"/>
                                <a:ext cx="318135" cy="3175"/>
                              </a:xfrm>
                              <a:prstGeom prst="line">
                                <a:avLst/>
                              </a:prstGeom>
                              <a:ln w="9525" cap="flat" cmpd="sng">
                                <a:solidFill>
                                  <a:schemeClr val="tx1"/>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75.9pt;margin-top:23pt;height:0.25pt;width:25.05pt;z-index:251795456;mso-width-relative:page;mso-height-relative:page;" filled="f" stroked="t" coordsize="21600,21600" o:gfxdata="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4UR6tkAAAAJAQAADwAAAAAAAAABACAAAAAiAAAA&#10;ZHJzL2Rvd25yZXYueG1sUEsBAhQAFAAAAAgAh07iQBKf81UGAgAA+AMAAA4AAAAAAAAAAQAgAAAA&#10;KAEAAGRycy9lMm9Eb2MueG1sUEsFBgAAAAAGAAYAWQEAAKAFAAAAAA==&#10;">
                      <v:fill on="f" focussize="0,0"/>
                      <v:stroke color="#000000 [3213]" joinstyle="round" endarrow="block"/>
                      <v:imagedata o:title=""/>
                      <o:lock v:ext="edit" aspectratio="f"/>
                    </v:line>
                  </w:pict>
                </mc:Fallback>
              </mc:AlternateContent>
            </w:r>
            <w:r>
              <w:rPr>
                <w:rFonts w:hint="default" w:ascii="Times New Roman" w:hAnsi="Times New Roman" w:cs="Times New Roman"/>
                <w:b/>
                <w:color w:val="auto"/>
                <w:sz w:val="22"/>
              </w:rPr>
              <mc:AlternateContent>
                <mc:Choice Requires="wps">
                  <w:drawing>
                    <wp:anchor distT="0" distB="0" distL="114300" distR="114300" simplePos="0" relativeHeight="251791360" behindDoc="0" locked="0" layoutInCell="1" allowOverlap="1">
                      <wp:simplePos x="0" y="0"/>
                      <wp:positionH relativeFrom="column">
                        <wp:posOffset>1728470</wp:posOffset>
                      </wp:positionH>
                      <wp:positionV relativeFrom="paragraph">
                        <wp:posOffset>148590</wp:posOffset>
                      </wp:positionV>
                      <wp:extent cx="506730" cy="285750"/>
                      <wp:effectExtent l="4445" t="4445" r="22225" b="14605"/>
                      <wp:wrapNone/>
                      <wp:docPr id="127" name="矩形 127"/>
                      <wp:cNvGraphicFramePr/>
                      <a:graphic xmlns:a="http://schemas.openxmlformats.org/drawingml/2006/main">
                        <a:graphicData uri="http://schemas.microsoft.com/office/word/2010/wordprocessingShape">
                          <wps:wsp>
                            <wps:cNvSpPr/>
                            <wps:spPr>
                              <a:xfrm>
                                <a:off x="0" y="0"/>
                                <a:ext cx="506730" cy="285750"/>
                              </a:xfrm>
                              <a:prstGeom prst="rect">
                                <a:avLst/>
                              </a:prstGeom>
                              <a:gradFill rotWithShape="0">
                                <a:gsLst>
                                  <a:gs pos="0">
                                    <a:srgbClr val="FFFFFF"/>
                                  </a:gs>
                                  <a:gs pos="100000">
                                    <a:srgbClr val="FFFFFF"/>
                                  </a:gs>
                                </a:gsLst>
                                <a:lin ang="0"/>
                                <a:tileRect/>
                              </a:gradFill>
                              <a:ln w="6350" cap="flat" cmpd="sng">
                                <a:solidFill>
                                  <a:schemeClr val="tx1"/>
                                </a:solidFill>
                                <a:prstDash val="solid"/>
                                <a:miter/>
                                <a:headEnd type="none" w="med" len="med"/>
                                <a:tailEnd type="none" w="med" len="med"/>
                              </a:ln>
                            </wps:spPr>
                            <wps:txbx>
                              <w:txbxContent>
                                <w:p w14:paraId="3C6A94C1">
                                  <w:pPr>
                                    <w:jc w:val="center"/>
                                    <w:rPr>
                                      <w:rFonts w:hint="default" w:eastAsia="宋体"/>
                                      <w:color w:val="auto"/>
                                      <w:lang w:val="en-US" w:eastAsia="zh-CN"/>
                                    </w:rPr>
                                  </w:pPr>
                                  <w:r>
                                    <w:rPr>
                                      <w:rFonts w:hint="eastAsia"/>
                                      <w:color w:val="auto"/>
                                      <w:lang w:val="en-US" w:eastAsia="zh-CN"/>
                                    </w:rPr>
                                    <w:t>切料</w:t>
                                  </w:r>
                                </w:p>
                              </w:txbxContent>
                            </wps:txbx>
                            <wps:bodyPr upright="1"/>
                          </wps:wsp>
                        </a:graphicData>
                      </a:graphic>
                    </wp:anchor>
                  </w:drawing>
                </mc:Choice>
                <mc:Fallback>
                  <w:pict>
                    <v:rect id="_x0000_s1026" o:spid="_x0000_s1026" o:spt="1" style="position:absolute;left:0pt;margin-left:136.1pt;margin-top:11.7pt;height:22.5pt;width:39.9pt;z-index:251791360;mso-width-relative:page;mso-height-relative:page;" fillcolor="#FFFFFF" filled="t" stroked="t" coordsize="21600,21600" o:gfxdata="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7jIu32QAAAAkBAAAPAAAAAAAAAAEAIAAAACIAAABkcnMv&#10;ZG93bnJldi54bWxQSwECFAAUAAAACACHTuJASYYwLDsCAACzBAAADgAAAAAAAAABACAAAAAoAQAA&#10;ZHJzL2Uyb0RvYy54bWxQSwUGAAAAAAYABgBZAQAA1QUAAAAA&#10;">
                      <v:fill type="gradient" on="t" color2="#FFFFFF" angle="90" focus="100%" focussize="0,0">
                        <o:fill type="gradientUnscaled" v:ext="backwardCompatible"/>
                      </v:fill>
                      <v:stroke weight="0.5pt" color="#000000 [3213]" joinstyle="miter"/>
                      <v:imagedata o:title=""/>
                      <o:lock v:ext="edit" aspectratio="f"/>
                      <v:textbox>
                        <w:txbxContent>
                          <w:p w14:paraId="3C6A94C1">
                            <w:pPr>
                              <w:jc w:val="center"/>
                              <w:rPr>
                                <w:rFonts w:hint="default" w:eastAsia="宋体"/>
                                <w:color w:val="auto"/>
                                <w:lang w:val="en-US" w:eastAsia="zh-CN"/>
                              </w:rPr>
                            </w:pPr>
                            <w:r>
                              <w:rPr>
                                <w:rFonts w:hint="eastAsia"/>
                                <w:color w:val="auto"/>
                                <w:lang w:val="en-US" w:eastAsia="zh-CN"/>
                              </w:rPr>
                              <w:t>切料</w:t>
                            </w:r>
                          </w:p>
                        </w:txbxContent>
                      </v:textbox>
                    </v:rect>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794432" behindDoc="0" locked="0" layoutInCell="1" allowOverlap="1">
                      <wp:simplePos x="0" y="0"/>
                      <wp:positionH relativeFrom="column">
                        <wp:posOffset>1433830</wp:posOffset>
                      </wp:positionH>
                      <wp:positionV relativeFrom="paragraph">
                        <wp:posOffset>301625</wp:posOffset>
                      </wp:positionV>
                      <wp:extent cx="318135" cy="3175"/>
                      <wp:effectExtent l="0" t="35560" r="5715" b="37465"/>
                      <wp:wrapNone/>
                      <wp:docPr id="141" name="直接连接符 141"/>
                      <wp:cNvGraphicFramePr/>
                      <a:graphic xmlns:a="http://schemas.openxmlformats.org/drawingml/2006/main">
                        <a:graphicData uri="http://schemas.microsoft.com/office/word/2010/wordprocessingShape">
                          <wps:wsp>
                            <wps:cNvCnPr/>
                            <wps:spPr>
                              <a:xfrm flipH="1">
                                <a:off x="0" y="0"/>
                                <a:ext cx="318135" cy="3175"/>
                              </a:xfrm>
                              <a:prstGeom prst="line">
                                <a:avLst/>
                              </a:prstGeom>
                              <a:ln w="9525" cap="flat" cmpd="sng">
                                <a:solidFill>
                                  <a:schemeClr val="tx1"/>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12.9pt;margin-top:23.75pt;height:0.25pt;width:25.05pt;z-index:251794432;mso-width-relative:page;mso-height-relative:page;" filled="f" stroked="t" coordsize="21600,21600" o:gfxdata="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wC/+z2QAAAAkBAAAPAAAAAAAAAAEAIAAAACIAAABk&#10;cnMvZG93bnJldi54bWxQSwECFAAUAAAACACHTuJA1ELPXgUCAAD4AwAADgAAAAAAAAABACAAAAAo&#10;AQAAZHJzL2Uyb0RvYy54bWxQSwUGAAAAAAYABgBZAQAAnwUAAAAA&#10;">
                      <v:fill on="f" focussize="0,0"/>
                      <v:stroke color="#000000 [3213]" joinstyle="round" endarrow="block"/>
                      <v:imagedata o:title=""/>
                      <o:lock v:ext="edit" aspectratio="f"/>
                    </v:line>
                  </w:pict>
                </mc:Fallback>
              </mc:AlternateContent>
            </w:r>
            <w:r>
              <w:rPr>
                <w:rFonts w:hint="default" w:ascii="Times New Roman" w:hAnsi="Times New Roman" w:cs="Times New Roman"/>
                <w:b/>
                <w:color w:val="auto"/>
                <w:sz w:val="22"/>
              </w:rPr>
              <mc:AlternateContent>
                <mc:Choice Requires="wps">
                  <w:drawing>
                    <wp:anchor distT="0" distB="0" distL="114300" distR="114300" simplePos="0" relativeHeight="251790336" behindDoc="0" locked="0" layoutInCell="1" allowOverlap="1">
                      <wp:simplePos x="0" y="0"/>
                      <wp:positionH relativeFrom="column">
                        <wp:posOffset>804545</wp:posOffset>
                      </wp:positionH>
                      <wp:positionV relativeFrom="paragraph">
                        <wp:posOffset>167640</wp:posOffset>
                      </wp:positionV>
                      <wp:extent cx="640080" cy="285750"/>
                      <wp:effectExtent l="5080" t="4445" r="21590" b="14605"/>
                      <wp:wrapNone/>
                      <wp:docPr id="126" name="矩形 126"/>
                      <wp:cNvGraphicFramePr/>
                      <a:graphic xmlns:a="http://schemas.openxmlformats.org/drawingml/2006/main">
                        <a:graphicData uri="http://schemas.microsoft.com/office/word/2010/wordprocessingShape">
                          <wps:wsp>
                            <wps:cNvSpPr/>
                            <wps:spPr>
                              <a:xfrm>
                                <a:off x="0" y="0"/>
                                <a:ext cx="640080" cy="285750"/>
                              </a:xfrm>
                              <a:prstGeom prst="rect">
                                <a:avLst/>
                              </a:prstGeom>
                              <a:gradFill rotWithShape="0">
                                <a:gsLst>
                                  <a:gs pos="0">
                                    <a:srgbClr val="FFFFFF"/>
                                  </a:gs>
                                  <a:gs pos="100000">
                                    <a:srgbClr val="FFFFFF"/>
                                  </a:gs>
                                </a:gsLst>
                                <a:lin ang="0"/>
                                <a:tileRect/>
                              </a:gradFill>
                              <a:ln w="6350" cap="flat" cmpd="sng">
                                <a:solidFill>
                                  <a:schemeClr val="tx1"/>
                                </a:solidFill>
                                <a:prstDash val="solid"/>
                                <a:miter/>
                                <a:headEnd type="none" w="med" len="med"/>
                                <a:tailEnd type="none" w="med" len="med"/>
                              </a:ln>
                            </wps:spPr>
                            <wps:txbx>
                              <w:txbxContent>
                                <w:p w14:paraId="0D4D8AFA">
                                  <w:pPr>
                                    <w:jc w:val="center"/>
                                    <w:rPr>
                                      <w:rFonts w:hint="default" w:eastAsia="宋体"/>
                                      <w:color w:val="auto"/>
                                      <w:lang w:val="en-US" w:eastAsia="zh-CN"/>
                                    </w:rPr>
                                  </w:pPr>
                                  <w:r>
                                    <w:rPr>
                                      <w:rFonts w:hint="eastAsia"/>
                                      <w:color w:val="auto"/>
                                      <w:lang w:val="en-US" w:eastAsia="zh-CN"/>
                                    </w:rPr>
                                    <w:t>储料罐</w:t>
                                  </w:r>
                                </w:p>
                              </w:txbxContent>
                            </wps:txbx>
                            <wps:bodyPr upright="1"/>
                          </wps:wsp>
                        </a:graphicData>
                      </a:graphic>
                    </wp:anchor>
                  </w:drawing>
                </mc:Choice>
                <mc:Fallback>
                  <w:pict>
                    <v:rect id="_x0000_s1026" o:spid="_x0000_s1026" o:spt="1" style="position:absolute;left:0pt;margin-left:63.35pt;margin-top:13.2pt;height:22.5pt;width:50.4pt;z-index:251790336;mso-width-relative:page;mso-height-relative:page;" fillcolor="#FFFFFF" filled="t" stroked="t" coordsize="21600,21600" o:gfxdata="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wayxedgAAAAJAQAADwAAAAAAAAABACAAAAAiAAAAZHJzL2Rv&#10;d25yZXYueG1sUEsBAhQAFAAAAAgAh07iQHc3rA86AgAAswQAAA4AAAAAAAAAAQAgAAAAJwEAAGRy&#10;cy9lMm9Eb2MueG1sUEsFBgAAAAAGAAYAWQEAANMFAAAAAA==&#10;">
                      <v:fill type="gradient" on="t" color2="#FFFFFF" angle="90" focus="100%" focussize="0,0">
                        <o:fill type="gradientUnscaled" v:ext="backwardCompatible"/>
                      </v:fill>
                      <v:stroke weight="0.5pt" color="#000000 [3213]" joinstyle="miter"/>
                      <v:imagedata o:title=""/>
                      <o:lock v:ext="edit" aspectratio="f"/>
                      <v:textbox>
                        <w:txbxContent>
                          <w:p w14:paraId="0D4D8AFA">
                            <w:pPr>
                              <w:jc w:val="center"/>
                              <w:rPr>
                                <w:rFonts w:hint="default" w:eastAsia="宋体"/>
                                <w:color w:val="auto"/>
                                <w:lang w:val="en-US" w:eastAsia="zh-CN"/>
                              </w:rPr>
                            </w:pPr>
                            <w:r>
                              <w:rPr>
                                <w:rFonts w:hint="eastAsia"/>
                                <w:color w:val="auto"/>
                                <w:lang w:val="en-US" w:eastAsia="zh-CN"/>
                              </w:rPr>
                              <w:t>储料罐</w:t>
                            </w:r>
                          </w:p>
                        </w:txbxContent>
                      </v:textbox>
                    </v:rect>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793408" behindDoc="0" locked="0" layoutInCell="1" allowOverlap="1">
                      <wp:simplePos x="0" y="0"/>
                      <wp:positionH relativeFrom="column">
                        <wp:posOffset>509905</wp:posOffset>
                      </wp:positionH>
                      <wp:positionV relativeFrom="paragraph">
                        <wp:posOffset>301625</wp:posOffset>
                      </wp:positionV>
                      <wp:extent cx="318135" cy="3175"/>
                      <wp:effectExtent l="0" t="35560" r="5715" b="37465"/>
                      <wp:wrapNone/>
                      <wp:docPr id="125" name="直接连接符 125"/>
                      <wp:cNvGraphicFramePr/>
                      <a:graphic xmlns:a="http://schemas.openxmlformats.org/drawingml/2006/main">
                        <a:graphicData uri="http://schemas.microsoft.com/office/word/2010/wordprocessingShape">
                          <wps:wsp>
                            <wps:cNvCnPr/>
                            <wps:spPr>
                              <a:xfrm flipH="1">
                                <a:off x="0" y="0"/>
                                <a:ext cx="318135" cy="3175"/>
                              </a:xfrm>
                              <a:prstGeom prst="line">
                                <a:avLst/>
                              </a:prstGeom>
                              <a:ln w="9525" cap="flat" cmpd="sng">
                                <a:solidFill>
                                  <a:schemeClr val="tx1"/>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40.15pt;margin-top:23.75pt;height:0.25pt;width:25.05pt;z-index:251793408;mso-width-relative:page;mso-height-relative:page;" filled="f" stroked="t" coordsize="21600,21600" o:gfxdata="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gkWV/YAAAACAEAAA8AAAAAAAAAAQAgAAAAIgAA&#10;AGRycy9kb3ducmV2LnhtbFBLAQIUABQAAAAIAIdO4kBT26kXCAIAAPgDAAAOAAAAAAAAAAEAIAAA&#10;ACcBAABkcnMvZTJvRG9jLnhtbFBLBQYAAAAABgAGAFkBAAChBQAAAAA=&#10;">
                      <v:fill on="f" focussize="0,0"/>
                      <v:stroke color="#000000 [3213]" joinstyle="round" endarrow="block"/>
                      <v:imagedata o:title=""/>
                      <o:lock v:ext="edit" aspectratio="f"/>
                    </v:line>
                  </w:pict>
                </mc:Fallback>
              </mc:AlternateContent>
            </w:r>
            <w:r>
              <w:rPr>
                <w:rFonts w:hint="default" w:ascii="Times New Roman" w:hAnsi="Times New Roman" w:cs="Times New Roman"/>
                <w:b/>
                <w:color w:val="auto"/>
                <w:sz w:val="22"/>
              </w:rPr>
              <mc:AlternateContent>
                <mc:Choice Requires="wps">
                  <w:drawing>
                    <wp:anchor distT="0" distB="0" distL="114300" distR="114300" simplePos="0" relativeHeight="251784192" behindDoc="0" locked="0" layoutInCell="1" allowOverlap="1">
                      <wp:simplePos x="0" y="0"/>
                      <wp:positionH relativeFrom="column">
                        <wp:posOffset>-14605</wp:posOffset>
                      </wp:positionH>
                      <wp:positionV relativeFrom="paragraph">
                        <wp:posOffset>164465</wp:posOffset>
                      </wp:positionV>
                      <wp:extent cx="506730" cy="285750"/>
                      <wp:effectExtent l="4445" t="4445" r="22225" b="14605"/>
                      <wp:wrapNone/>
                      <wp:docPr id="121" name="矩形 121"/>
                      <wp:cNvGraphicFramePr/>
                      <a:graphic xmlns:a="http://schemas.openxmlformats.org/drawingml/2006/main">
                        <a:graphicData uri="http://schemas.microsoft.com/office/word/2010/wordprocessingShape">
                          <wps:wsp>
                            <wps:cNvSpPr/>
                            <wps:spPr>
                              <a:xfrm>
                                <a:off x="0" y="0"/>
                                <a:ext cx="506730" cy="285750"/>
                              </a:xfrm>
                              <a:prstGeom prst="rect">
                                <a:avLst/>
                              </a:prstGeom>
                              <a:gradFill rotWithShape="0">
                                <a:gsLst>
                                  <a:gs pos="0">
                                    <a:srgbClr val="FFFFFF"/>
                                  </a:gs>
                                  <a:gs pos="100000">
                                    <a:srgbClr val="FFFFFF"/>
                                  </a:gs>
                                </a:gsLst>
                                <a:lin ang="0"/>
                                <a:tileRect/>
                              </a:gradFill>
                              <a:ln w="6350" cap="flat" cmpd="sng">
                                <a:solidFill>
                                  <a:schemeClr val="tx1"/>
                                </a:solidFill>
                                <a:prstDash val="solid"/>
                                <a:miter/>
                                <a:headEnd type="none" w="med" len="med"/>
                                <a:tailEnd type="none" w="med" len="med"/>
                              </a:ln>
                            </wps:spPr>
                            <wps:txbx>
                              <w:txbxContent>
                                <w:p w14:paraId="6CF4B82F">
                                  <w:pPr>
                                    <w:jc w:val="center"/>
                                    <w:rPr>
                                      <w:rFonts w:hint="default" w:eastAsia="宋体"/>
                                      <w:color w:val="auto"/>
                                      <w:lang w:val="en-US" w:eastAsia="zh-CN"/>
                                    </w:rPr>
                                  </w:pPr>
                                  <w:r>
                                    <w:rPr>
                                      <w:rFonts w:hint="eastAsia"/>
                                      <w:color w:val="auto"/>
                                      <w:lang w:val="en-US" w:eastAsia="zh-CN"/>
                                    </w:rPr>
                                    <w:t>包装</w:t>
                                  </w:r>
                                </w:p>
                              </w:txbxContent>
                            </wps:txbx>
                            <wps:bodyPr upright="1"/>
                          </wps:wsp>
                        </a:graphicData>
                      </a:graphic>
                    </wp:anchor>
                  </w:drawing>
                </mc:Choice>
                <mc:Fallback>
                  <w:pict>
                    <v:rect id="_x0000_s1026" o:spid="_x0000_s1026" o:spt="1" style="position:absolute;left:0pt;margin-left:-1.15pt;margin-top:12.95pt;height:22.5pt;width:39.9pt;z-index:251784192;mso-width-relative:page;mso-height-relative:page;" fillcolor="#FFFFFF" filled="t" stroked="t" coordsize="21600,21600" o:gfxdata="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jVq/NcAAAAHAQAADwAAAAAAAAABACAAAAAiAAAAZHJzL2Rv&#10;d25yZXYueG1sUEsBAhQAFAAAAAgAh07iQEa7rhw7AgAAswQAAA4AAAAAAAAAAQAgAAAAJgEAAGRy&#10;cy9lMm9Eb2MueG1sUEsFBgAAAAAGAAYAWQEAANMFAAAAAA==&#10;">
                      <v:fill type="gradient" on="t" color2="#FFFFFF" angle="90" focus="100%" focussize="0,0">
                        <o:fill type="gradientUnscaled" v:ext="backwardCompatible"/>
                      </v:fill>
                      <v:stroke weight="0.5pt" color="#000000 [3213]" joinstyle="miter"/>
                      <v:imagedata o:title=""/>
                      <o:lock v:ext="edit" aspectratio="f"/>
                      <v:textbox>
                        <w:txbxContent>
                          <w:p w14:paraId="6CF4B82F">
                            <w:pPr>
                              <w:jc w:val="center"/>
                              <w:rPr>
                                <w:rFonts w:hint="default" w:eastAsia="宋体"/>
                                <w:color w:val="auto"/>
                                <w:lang w:val="en-US" w:eastAsia="zh-CN"/>
                              </w:rPr>
                            </w:pPr>
                            <w:r>
                              <w:rPr>
                                <w:rFonts w:hint="eastAsia"/>
                                <w:color w:val="auto"/>
                                <w:lang w:val="en-US" w:eastAsia="zh-CN"/>
                              </w:rPr>
                              <w:t>包装</w:t>
                            </w:r>
                          </w:p>
                        </w:txbxContent>
                      </v:textbox>
                    </v:rect>
                  </w:pict>
                </mc:Fallback>
              </mc:AlternateContent>
            </w:r>
          </w:p>
          <w:p w14:paraId="27B57335">
            <w:pPr>
              <w:tabs>
                <w:tab w:val="left" w:pos="2838"/>
              </w:tabs>
              <w:spacing w:line="500" w:lineRule="exact"/>
              <w:ind w:firstLine="480" w:firstLineChars="200"/>
              <w:rPr>
                <w:rFonts w:hint="default" w:ascii="Times New Roman" w:hAnsi="Times New Roman" w:cs="Times New Roman" w:eastAsiaTheme="minorEastAsia"/>
                <w:color w:val="auto"/>
                <w:spacing w:val="4"/>
                <w:sz w:val="24"/>
                <w:szCs w:val="24"/>
              </w:rPr>
            </w:pPr>
            <w:r>
              <w:rPr>
                <w:rFonts w:hint="default" w:ascii="Times New Roman" w:hAnsi="Times New Roman" w:cs="Times New Roman"/>
                <w:color w:val="auto"/>
                <w:sz w:val="24"/>
              </w:rPr>
              <mc:AlternateContent>
                <mc:Choice Requires="wps">
                  <w:drawing>
                    <wp:anchor distT="0" distB="0" distL="114300" distR="114300" simplePos="0" relativeHeight="251810816" behindDoc="0" locked="0" layoutInCell="1" allowOverlap="1">
                      <wp:simplePos x="0" y="0"/>
                      <wp:positionH relativeFrom="column">
                        <wp:posOffset>5134610</wp:posOffset>
                      </wp:positionH>
                      <wp:positionV relativeFrom="paragraph">
                        <wp:posOffset>136525</wp:posOffset>
                      </wp:positionV>
                      <wp:extent cx="6985" cy="309245"/>
                      <wp:effectExtent l="36195" t="0" r="33020" b="14605"/>
                      <wp:wrapNone/>
                      <wp:docPr id="155" name="直接连接符 155"/>
                      <wp:cNvGraphicFramePr/>
                      <a:graphic xmlns:a="http://schemas.openxmlformats.org/drawingml/2006/main">
                        <a:graphicData uri="http://schemas.microsoft.com/office/word/2010/wordprocessingShape">
                          <wps:wsp>
                            <wps:cNvCnPr/>
                            <wps:spPr>
                              <a:xfrm flipH="1">
                                <a:off x="0" y="0"/>
                                <a:ext cx="6985" cy="309245"/>
                              </a:xfrm>
                              <a:prstGeom prst="line">
                                <a:avLst/>
                              </a:prstGeom>
                              <a:ln w="9525" cap="flat" cmpd="sng">
                                <a:solidFill>
                                  <a:srgbClr val="3333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404.3pt;margin-top:10.75pt;height:24.35pt;width:0.55pt;z-index:251810816;mso-width-relative:page;mso-height-relative:page;" filled="f" stroked="t" coordsize="21600,21600" o:gfxdata="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6ihB32AAAAAkBAAAPAAAAAAAAAAEAIAAAACIA&#10;AABkcnMvZG93bnJldi54bWxQSwECFAAUAAAACACHTuJApYS/yAkCAAD3AwAADgAAAAAAAAABACAA&#10;AAAnAQAAZHJzL2Uyb0RvYy54bWxQSwUGAAAAAAYABgBZAQAAogUAAAAA&#10;">
                      <v:fill on="f" focussize="0,0"/>
                      <v:stroke color="#333300" joinstyle="round" dashstyle="dash" endarrow="block"/>
                      <v:imagedata o:title=""/>
                      <o:lock v:ext="edit" aspectratio="f"/>
                    </v:lin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801600" behindDoc="0" locked="0" layoutInCell="1" allowOverlap="1">
                      <wp:simplePos x="0" y="0"/>
                      <wp:positionH relativeFrom="column">
                        <wp:posOffset>4382135</wp:posOffset>
                      </wp:positionH>
                      <wp:positionV relativeFrom="paragraph">
                        <wp:posOffset>127000</wp:posOffset>
                      </wp:positionV>
                      <wp:extent cx="6985" cy="309245"/>
                      <wp:effectExtent l="36195" t="0" r="33020" b="14605"/>
                      <wp:wrapNone/>
                      <wp:docPr id="139" name="直接连接符 139"/>
                      <wp:cNvGraphicFramePr/>
                      <a:graphic xmlns:a="http://schemas.openxmlformats.org/drawingml/2006/main">
                        <a:graphicData uri="http://schemas.microsoft.com/office/word/2010/wordprocessingShape">
                          <wps:wsp>
                            <wps:cNvCnPr/>
                            <wps:spPr>
                              <a:xfrm flipH="1">
                                <a:off x="0" y="0"/>
                                <a:ext cx="6985" cy="309245"/>
                              </a:xfrm>
                              <a:prstGeom prst="line">
                                <a:avLst/>
                              </a:prstGeom>
                              <a:ln w="9525" cap="flat" cmpd="sng">
                                <a:solidFill>
                                  <a:srgbClr val="3333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345.05pt;margin-top:10pt;height:24.35pt;width:0.55pt;z-index:251801600;mso-width-relative:page;mso-height-relative:page;" filled="f" stroked="t" coordsize="21600,21600" o:gfxdata="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fwNK01wAAAAkBAAAPAAAAAAAAAAEAIAAAACIA&#10;AABkcnMvZG93bnJldi54bWxQSwECFAAUAAAACACHTuJAl6wv9AoCAAD3AwAADgAAAAAAAAABACAA&#10;AAAmAQAAZHJzL2Uyb0RvYy54bWxQSwUGAAAAAAYABgBZAQAAogUAAAAA&#10;">
                      <v:fill on="f" focussize="0,0"/>
                      <v:stroke color="#333300" joinstyle="round" dashstyle="dash" endarrow="block"/>
                      <v:imagedata o:title=""/>
                      <o:lock v:ext="edit" aspectratio="f"/>
                    </v:lin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808768" behindDoc="0" locked="0" layoutInCell="1" allowOverlap="1">
                      <wp:simplePos x="0" y="0"/>
                      <wp:positionH relativeFrom="column">
                        <wp:posOffset>4596130</wp:posOffset>
                      </wp:positionH>
                      <wp:positionV relativeFrom="paragraph">
                        <wp:posOffset>22225</wp:posOffset>
                      </wp:positionV>
                      <wp:extent cx="318135" cy="3175"/>
                      <wp:effectExtent l="0" t="35560" r="5715" b="37465"/>
                      <wp:wrapNone/>
                      <wp:docPr id="153" name="直接连接符 153"/>
                      <wp:cNvGraphicFramePr/>
                      <a:graphic xmlns:a="http://schemas.openxmlformats.org/drawingml/2006/main">
                        <a:graphicData uri="http://schemas.microsoft.com/office/word/2010/wordprocessingShape">
                          <wps:wsp>
                            <wps:cNvCnPr/>
                            <wps:spPr>
                              <a:xfrm flipH="1">
                                <a:off x="0" y="0"/>
                                <a:ext cx="318135" cy="3175"/>
                              </a:xfrm>
                              <a:prstGeom prst="line">
                                <a:avLst/>
                              </a:prstGeom>
                              <a:ln w="9525" cap="flat" cmpd="sng">
                                <a:solidFill>
                                  <a:schemeClr val="tx1"/>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61.9pt;margin-top:1.75pt;height:0.25pt;width:25.05pt;z-index:251808768;mso-width-relative:page;mso-height-relative:page;" filled="f" stroked="t" coordsize="21600,21600" o:gfxdata="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&#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5AyD/YAAAABwEAAA8AAAAAAAAAAQAgAAAAIgAAAGRy&#10;cy9kb3ducmV2LnhtbFBLAQIUABQAAAAIAIdO4kCn4MzLBQIAAPgDAAAOAAAAAAAAAAEAIAAAACcB&#10;AABkcnMvZTJvRG9jLnhtbFBLBQYAAAAABgAGAFkBAACeBQAAAAA=&#10;">
                      <v:fill on="f" focussize="0,0"/>
                      <v:stroke color="#000000 [3213]" joinstyle="round" endarrow="block"/>
                      <v:imagedata o:title=""/>
                      <o:lock v:ext="edit" aspectratio="f"/>
                    </v:lin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783168" behindDoc="0" locked="0" layoutInCell="1" allowOverlap="1">
                      <wp:simplePos x="0" y="0"/>
                      <wp:positionH relativeFrom="column">
                        <wp:posOffset>3824605</wp:posOffset>
                      </wp:positionH>
                      <wp:positionV relativeFrom="paragraph">
                        <wp:posOffset>3175</wp:posOffset>
                      </wp:positionV>
                      <wp:extent cx="318135" cy="3175"/>
                      <wp:effectExtent l="0" t="35560" r="5715" b="37465"/>
                      <wp:wrapNone/>
                      <wp:docPr id="132" name="直接连接符 132"/>
                      <wp:cNvGraphicFramePr/>
                      <a:graphic xmlns:a="http://schemas.openxmlformats.org/drawingml/2006/main">
                        <a:graphicData uri="http://schemas.microsoft.com/office/word/2010/wordprocessingShape">
                          <wps:wsp>
                            <wps:cNvCnPr/>
                            <wps:spPr>
                              <a:xfrm flipH="1">
                                <a:off x="0" y="0"/>
                                <a:ext cx="318135" cy="3175"/>
                              </a:xfrm>
                              <a:prstGeom prst="line">
                                <a:avLst/>
                              </a:prstGeom>
                              <a:ln w="9525" cap="flat" cmpd="sng">
                                <a:solidFill>
                                  <a:schemeClr val="tx1"/>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01.15pt;margin-top:0.25pt;height:0.25pt;width:25.05pt;z-index:251783168;mso-width-relative:page;mso-height-relative:page;" filled="f" stroked="t" coordsize="21600,21600" o:gfxdata="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bjrrPVAAAABgEAAA8AAAAAAAAAAQAgAAAAIgAAAGRycy9k&#10;b3ducmV2LnhtbFBLAQIUABQAAAAIAIdO4kBqH++fBQIAAPgDAAAOAAAAAAAAAAEAIAAAACQBAABk&#10;cnMvZTJvRG9jLnhtbFBLBQYAAAAABgAGAFkBAACbBQAAAAA=&#10;">
                      <v:fill on="f" focussize="0,0"/>
                      <v:stroke color="#000000 [3213]" joinstyle="round" endarrow="block"/>
                      <v:imagedata o:title=""/>
                      <o:lock v:ext="edit" aspectratio="f"/>
                    </v:lin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765760" behindDoc="0" locked="0" layoutInCell="1" allowOverlap="1">
                      <wp:simplePos x="0" y="0"/>
                      <wp:positionH relativeFrom="column">
                        <wp:posOffset>3589655</wp:posOffset>
                      </wp:positionH>
                      <wp:positionV relativeFrom="paragraph">
                        <wp:posOffset>109855</wp:posOffset>
                      </wp:positionV>
                      <wp:extent cx="6985" cy="309245"/>
                      <wp:effectExtent l="36195" t="0" r="33020" b="14605"/>
                      <wp:wrapNone/>
                      <wp:docPr id="140" name="直接连接符 140"/>
                      <wp:cNvGraphicFramePr/>
                      <a:graphic xmlns:a="http://schemas.openxmlformats.org/drawingml/2006/main">
                        <a:graphicData uri="http://schemas.microsoft.com/office/word/2010/wordprocessingShape">
                          <wps:wsp>
                            <wps:cNvCnPr/>
                            <wps:spPr>
                              <a:xfrm flipH="1">
                                <a:off x="0" y="0"/>
                                <a:ext cx="6985" cy="309245"/>
                              </a:xfrm>
                              <a:prstGeom prst="line">
                                <a:avLst/>
                              </a:prstGeom>
                              <a:ln w="9525" cap="flat" cmpd="sng">
                                <a:solidFill>
                                  <a:srgbClr val="3333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282.65pt;margin-top:8.65pt;height:24.35pt;width:0.55pt;z-index:251765760;mso-width-relative:page;mso-height-relative:page;" filled="f" stroked="t" coordsize="21600,21600" o:gfxdata="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0K9AGdgAAAAJAQAADwAAAAAAAAABACAAAAAi&#10;AAAAZHJzL2Rvd25yZXYueG1sUEsBAhQAFAAAAAgAh07iQMjj8ooKAgAA9wMAAA4AAAAAAAAAAQAg&#10;AAAAJwEAAGRycy9lMm9Eb2MueG1sUEsFBgAAAAAGAAYAWQEAAKMFAAAAAA==&#10;">
                      <v:fill on="f" focussize="0,0"/>
                      <v:stroke color="#333300" joinstyle="round" dashstyle="dash" endarrow="block"/>
                      <v:imagedata o:title=""/>
                      <o:lock v:ext="edit" aspectratio="f"/>
                    </v:lin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798528" behindDoc="0" locked="0" layoutInCell="1" allowOverlap="1">
                      <wp:simplePos x="0" y="0"/>
                      <wp:positionH relativeFrom="column">
                        <wp:posOffset>2800985</wp:posOffset>
                      </wp:positionH>
                      <wp:positionV relativeFrom="paragraph">
                        <wp:posOffset>127000</wp:posOffset>
                      </wp:positionV>
                      <wp:extent cx="6985" cy="309245"/>
                      <wp:effectExtent l="36195" t="0" r="33020" b="14605"/>
                      <wp:wrapNone/>
                      <wp:docPr id="138" name="直接连接符 138"/>
                      <wp:cNvGraphicFramePr/>
                      <a:graphic xmlns:a="http://schemas.openxmlformats.org/drawingml/2006/main">
                        <a:graphicData uri="http://schemas.microsoft.com/office/word/2010/wordprocessingShape">
                          <wps:wsp>
                            <wps:cNvCnPr/>
                            <wps:spPr>
                              <a:xfrm flipH="1">
                                <a:off x="0" y="0"/>
                                <a:ext cx="6985" cy="309245"/>
                              </a:xfrm>
                              <a:prstGeom prst="line">
                                <a:avLst/>
                              </a:prstGeom>
                              <a:ln w="9525" cap="flat" cmpd="sng">
                                <a:solidFill>
                                  <a:srgbClr val="3333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220.55pt;margin-top:10pt;height:24.35pt;width:0.55pt;z-index:251798528;mso-width-relative:page;mso-height-relative:page;" filled="f" stroked="t" coordsize="21600,21600" o:gfxdata="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9Yiw21wAAAAkBAAAPAAAAAAAAAAEAIAAAACIA&#10;AABkcnMvZG93bnJldi54bWxQSwECFAAUAAAACACHTuJA7fP+HwoCAAD3AwAADgAAAAAAAAABACAA&#10;AAAmAQAAZHJzL2Uyb0RvYy54bWxQSwUGAAAAAAYABgBZAQAAogUAAAAA&#10;">
                      <v:fill on="f" focussize="0,0"/>
                      <v:stroke color="#333300" joinstyle="round" dashstyle="dash" endarrow="block"/>
                      <v:imagedata o:title=""/>
                      <o:lock v:ext="edit" aspectratio="f"/>
                    </v:lin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771904" behindDoc="0" locked="0" layoutInCell="1" allowOverlap="1">
                      <wp:simplePos x="0" y="0"/>
                      <wp:positionH relativeFrom="column">
                        <wp:posOffset>2002790</wp:posOffset>
                      </wp:positionH>
                      <wp:positionV relativeFrom="paragraph">
                        <wp:posOffset>125095</wp:posOffset>
                      </wp:positionV>
                      <wp:extent cx="6985" cy="309245"/>
                      <wp:effectExtent l="36195" t="0" r="33020" b="14605"/>
                      <wp:wrapNone/>
                      <wp:docPr id="137" name="直接连接符 137"/>
                      <wp:cNvGraphicFramePr/>
                      <a:graphic xmlns:a="http://schemas.openxmlformats.org/drawingml/2006/main">
                        <a:graphicData uri="http://schemas.microsoft.com/office/word/2010/wordprocessingShape">
                          <wps:wsp>
                            <wps:cNvCnPr/>
                            <wps:spPr>
                              <a:xfrm flipH="1">
                                <a:off x="0" y="0"/>
                                <a:ext cx="6985" cy="309245"/>
                              </a:xfrm>
                              <a:prstGeom prst="line">
                                <a:avLst/>
                              </a:prstGeom>
                              <a:ln w="9525" cap="flat" cmpd="sng">
                                <a:solidFill>
                                  <a:srgbClr val="3333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157.7pt;margin-top:9.85pt;height:24.35pt;width:0.55pt;z-index:251771904;mso-width-relative:page;mso-height-relative:page;" filled="f" stroked="t" coordsize="21600,21600" o:gfxdata="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5av5y2AAAAAkBAAAPAAAAAAAAAAEAIAAA&#10;ACIAAABkcnMvZG93bnJldi54bWxQSwECFAAUAAAACACHTuJAnIcV0gwCAAD3AwAADgAAAAAAAAAB&#10;ACAAAAAnAQAAZHJzL2Uyb0RvYy54bWxQSwUGAAAAAAYABgBZAQAApQUAAAAA&#10;">
                      <v:fill on="f" focussize="0,0"/>
                      <v:stroke color="#333300" joinstyle="round" dashstyle="dash" endarrow="block"/>
                      <v:imagedata o:title=""/>
                      <o:lock v:ext="edit" aspectratio="f"/>
                    </v:lin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802624" behindDoc="0" locked="0" layoutInCell="1" allowOverlap="1">
                      <wp:simplePos x="0" y="0"/>
                      <wp:positionH relativeFrom="column">
                        <wp:posOffset>1136015</wp:posOffset>
                      </wp:positionH>
                      <wp:positionV relativeFrom="paragraph">
                        <wp:posOffset>134620</wp:posOffset>
                      </wp:positionV>
                      <wp:extent cx="6985" cy="309245"/>
                      <wp:effectExtent l="36195" t="0" r="33020" b="14605"/>
                      <wp:wrapNone/>
                      <wp:docPr id="135" name="直接连接符 135"/>
                      <wp:cNvGraphicFramePr/>
                      <a:graphic xmlns:a="http://schemas.openxmlformats.org/drawingml/2006/main">
                        <a:graphicData uri="http://schemas.microsoft.com/office/word/2010/wordprocessingShape">
                          <wps:wsp>
                            <wps:cNvCnPr/>
                            <wps:spPr>
                              <a:xfrm flipH="1">
                                <a:off x="0" y="0"/>
                                <a:ext cx="6985" cy="309245"/>
                              </a:xfrm>
                              <a:prstGeom prst="line">
                                <a:avLst/>
                              </a:prstGeom>
                              <a:ln w="9525" cap="flat" cmpd="sng">
                                <a:solidFill>
                                  <a:srgbClr val="3333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89.45pt;margin-top:10.6pt;height:24.35pt;width:0.55pt;z-index:251802624;mso-width-relative:page;mso-height-relative:page;" filled="f" stroked="t" coordsize="21600,21600" o:gfxdata="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XDgv7XAAAACQEAAA8AAAAAAAAAAQAgAAAAIgAA&#10;AGRycy9kb3ducmV2LnhtbFBLAQIUABQAAAAIAIdO4kApP8beCQIAAPcDAAAOAAAAAAAAAAEAIAAA&#10;ACYBAABkcnMvZTJvRG9jLnhtbFBLBQYAAAAABgAGAFkBAAChBQAAAAA=&#10;">
                      <v:fill on="f" focussize="0,0"/>
                      <v:stroke color="#333300" joinstyle="round" dashstyle="dash" endarrow="block"/>
                      <v:imagedata o:title=""/>
                      <o:lock v:ext="edit" aspectratio="f"/>
                    </v:line>
                  </w:pict>
                </mc:Fallback>
              </mc:AlternateContent>
            </w:r>
          </w:p>
          <w:p w14:paraId="54CB95F8">
            <w:pPr>
              <w:pStyle w:val="43"/>
              <w:rPr>
                <w:rFonts w:hint="default" w:ascii="Times New Roman" w:hAnsi="Times New Roman" w:cs="Times New Roman" w:eastAsiaTheme="minorEastAsia"/>
                <w:color w:val="auto"/>
                <w:spacing w:val="4"/>
                <w:sz w:val="24"/>
                <w:szCs w:val="24"/>
              </w:rPr>
            </w:pPr>
            <w:r>
              <w:rPr>
                <w:rFonts w:hint="default" w:ascii="Times New Roman" w:hAnsi="Times New Roman" w:cs="Times New Roman"/>
                <w:b/>
                <w:color w:val="auto"/>
                <w:sz w:val="28"/>
                <w:szCs w:val="28"/>
              </w:rPr>
              <mc:AlternateContent>
                <mc:Choice Requires="wps">
                  <w:drawing>
                    <wp:anchor distT="0" distB="0" distL="114300" distR="114300" simplePos="0" relativeHeight="251772928" behindDoc="0" locked="0" layoutInCell="1" allowOverlap="1">
                      <wp:simplePos x="0" y="0"/>
                      <wp:positionH relativeFrom="column">
                        <wp:posOffset>3219450</wp:posOffset>
                      </wp:positionH>
                      <wp:positionV relativeFrom="paragraph">
                        <wp:posOffset>48895</wp:posOffset>
                      </wp:positionV>
                      <wp:extent cx="737235" cy="29718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737235" cy="297180"/>
                              </a:xfrm>
                              <a:prstGeom prst="rect">
                                <a:avLst/>
                              </a:prstGeom>
                              <a:noFill/>
                              <a:ln>
                                <a:noFill/>
                              </a:ln>
                            </wps:spPr>
                            <wps:txbx>
                              <w:txbxContent>
                                <w:p w14:paraId="57F9D24B">
                                  <w:pPr>
                                    <w:rPr>
                                      <w:rFonts w:hint="default"/>
                                      <w:lang w:val="en-US"/>
                                    </w:rPr>
                                  </w:pPr>
                                  <w:r>
                                    <w:rPr>
                                      <w:rFonts w:hint="eastAsia"/>
                                      <w:lang w:val="en-US" w:eastAsia="zh-CN"/>
                                    </w:rPr>
                                    <w:t xml:space="preserve"> G</w:t>
                                  </w:r>
                                  <w:r>
                                    <w:rPr>
                                      <w:rFonts w:hint="eastAsia"/>
                                      <w:vertAlign w:val="subscript"/>
                                      <w:lang w:val="en-US" w:eastAsia="zh-CN"/>
                                    </w:rPr>
                                    <w:t>1</w:t>
                                  </w:r>
                                  <w:r>
                                    <w:rPr>
                                      <w:rFonts w:hint="eastAsia"/>
                                      <w:lang w:val="en-US" w:eastAsia="zh-CN"/>
                                    </w:rPr>
                                    <w:t xml:space="preserve"> N</w:t>
                                  </w:r>
                                  <w:r>
                                    <w:rPr>
                                      <w:rFonts w:hint="eastAsia"/>
                                      <w:vertAlign w:val="subscript"/>
                                      <w:lang w:val="en-US" w:eastAsia="zh-CN"/>
                                    </w:rPr>
                                    <w:t xml:space="preserve">5 </w:t>
                                  </w:r>
                                  <w:r>
                                    <w:rPr>
                                      <w:rFonts w:hint="eastAsia"/>
                                      <w:lang w:val="en-US" w:eastAsia="zh-CN"/>
                                    </w:rPr>
                                    <w:t>S</w:t>
                                  </w:r>
                                  <w:r>
                                    <w:rPr>
                                      <w:rFonts w:hint="eastAsia"/>
                                      <w:vertAlign w:val="subscript"/>
                                      <w:lang w:val="en-US" w:eastAsia="zh-CN"/>
                                    </w:rPr>
                                    <w:t>2</w:t>
                                  </w:r>
                                </w:p>
                              </w:txbxContent>
                            </wps:txbx>
                            <wps:bodyPr upright="1"/>
                          </wps:wsp>
                        </a:graphicData>
                      </a:graphic>
                    </wp:anchor>
                  </w:drawing>
                </mc:Choice>
                <mc:Fallback>
                  <w:pict>
                    <v:shape id="_x0000_s1026" o:spid="_x0000_s1026" o:spt="202" type="#_x0000_t202" style="position:absolute;left:0pt;margin-left:253.5pt;margin-top:3.85pt;height:23.4pt;width:58.05pt;z-index:251772928;mso-width-relative:page;mso-height-relative:page;" filled="f" stroked="f" coordsize="21600,21600" o:gfxdata="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TxVDtYA&#10;AAAIAQAADwAAAAAAAAABACAAAAAiAAAAZHJzL2Rvd25yZXYueG1sUEsBAhQAFAAAAAgAh07iQHHy&#10;PNmvAQAAUQMAAA4AAAAAAAAAAQAgAAAAJQEAAGRycy9lMm9Eb2MueG1sUEsFBgAAAAAGAAYAWQEA&#10;AEYFAAAAAA==&#10;">
                      <v:fill on="f" focussize="0,0"/>
                      <v:stroke on="f"/>
                      <v:imagedata o:title=""/>
                      <o:lock v:ext="edit" aspectratio="f"/>
                      <v:textbox>
                        <w:txbxContent>
                          <w:p w14:paraId="57F9D24B">
                            <w:pPr>
                              <w:rPr>
                                <w:rFonts w:hint="default"/>
                                <w:lang w:val="en-US"/>
                              </w:rPr>
                            </w:pPr>
                            <w:r>
                              <w:rPr>
                                <w:rFonts w:hint="eastAsia"/>
                                <w:lang w:val="en-US" w:eastAsia="zh-CN"/>
                              </w:rPr>
                              <w:t xml:space="preserve"> G</w:t>
                            </w:r>
                            <w:r>
                              <w:rPr>
                                <w:rFonts w:hint="eastAsia"/>
                                <w:vertAlign w:val="subscript"/>
                                <w:lang w:val="en-US" w:eastAsia="zh-CN"/>
                              </w:rPr>
                              <w:t>1</w:t>
                            </w:r>
                            <w:r>
                              <w:rPr>
                                <w:rFonts w:hint="eastAsia"/>
                                <w:lang w:val="en-US" w:eastAsia="zh-CN"/>
                              </w:rPr>
                              <w:t xml:space="preserve"> N</w:t>
                            </w:r>
                            <w:r>
                              <w:rPr>
                                <w:rFonts w:hint="eastAsia"/>
                                <w:vertAlign w:val="subscript"/>
                                <w:lang w:val="en-US" w:eastAsia="zh-CN"/>
                              </w:rPr>
                              <w:t xml:space="preserve">5 </w:t>
                            </w:r>
                            <w:r>
                              <w:rPr>
                                <w:rFonts w:hint="eastAsia"/>
                                <w:lang w:val="en-US" w:eastAsia="zh-CN"/>
                              </w:rPr>
                              <w:t>S</w:t>
                            </w:r>
                            <w:r>
                              <w:rPr>
                                <w:rFonts w:hint="eastAsia"/>
                                <w:vertAlign w:val="subscript"/>
                                <w:lang w:val="en-US" w:eastAsia="zh-CN"/>
                              </w:rPr>
                              <w:t>2</w:t>
                            </w:r>
                          </w:p>
                        </w:txbxContent>
                      </v:textbox>
                    </v:shap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773952" behindDoc="0" locked="0" layoutInCell="1" allowOverlap="1">
                      <wp:simplePos x="0" y="0"/>
                      <wp:positionH relativeFrom="column">
                        <wp:posOffset>4164965</wp:posOffset>
                      </wp:positionH>
                      <wp:positionV relativeFrom="paragraph">
                        <wp:posOffset>-619125</wp:posOffset>
                      </wp:positionV>
                      <wp:extent cx="346710" cy="2018665"/>
                      <wp:effectExtent l="0" t="836295" r="0" b="0"/>
                      <wp:wrapNone/>
                      <wp:docPr id="143" name="文本框 143"/>
                      <wp:cNvGraphicFramePr/>
                      <a:graphic xmlns:a="http://schemas.openxmlformats.org/drawingml/2006/main">
                        <a:graphicData uri="http://schemas.microsoft.com/office/word/2010/wordprocessingShape">
                          <wps:wsp>
                            <wps:cNvSpPr txBox="1"/>
                            <wps:spPr>
                              <a:xfrm rot="16200000">
                                <a:off x="0" y="0"/>
                                <a:ext cx="346710" cy="2018665"/>
                              </a:xfrm>
                              <a:prstGeom prst="rect">
                                <a:avLst/>
                              </a:prstGeom>
                              <a:noFill/>
                              <a:ln>
                                <a:noFill/>
                              </a:ln>
                            </wps:spPr>
                            <wps:txbx>
                              <w:txbxContent>
                                <w:p w14:paraId="7326539B">
                                  <w:pPr>
                                    <w:rPr>
                                      <w:rFonts w:hint="default" w:eastAsia="宋体"/>
                                      <w:sz w:val="21"/>
                                      <w:szCs w:val="21"/>
                                      <w:lang w:val="en-US" w:eastAsia="zh-CN"/>
                                    </w:rPr>
                                  </w:pPr>
                                  <w:r>
                                    <w:rPr>
                                      <w:rFonts w:hint="eastAsia"/>
                                      <w:sz w:val="21"/>
                                      <w:szCs w:val="21"/>
                                    </w:rPr>
                                    <w:t>G废气</w:t>
                                  </w:r>
                                  <w:r>
                                    <w:rPr>
                                      <w:rFonts w:hint="eastAsia"/>
                                      <w:sz w:val="21"/>
                                      <w:szCs w:val="21"/>
                                      <w:lang w:val="en-US" w:eastAsia="zh-CN"/>
                                    </w:rPr>
                                    <w:t xml:space="preserve"> </w:t>
                                  </w:r>
                                  <w:r>
                                    <w:rPr>
                                      <w:rFonts w:hint="eastAsia"/>
                                      <w:sz w:val="21"/>
                                      <w:szCs w:val="21"/>
                                    </w:rPr>
                                    <w:t>N噪声</w:t>
                                  </w:r>
                                  <w:r>
                                    <w:rPr>
                                      <w:rFonts w:hint="eastAsia"/>
                                      <w:sz w:val="21"/>
                                      <w:szCs w:val="21"/>
                                      <w:lang w:val="en-US" w:eastAsia="zh-CN"/>
                                    </w:rPr>
                                    <w:t xml:space="preserve"> W废水 S固废</w:t>
                                  </w:r>
                                </w:p>
                              </w:txbxContent>
                            </wps:txbx>
                            <wps:bodyPr upright="1"/>
                          </wps:wsp>
                        </a:graphicData>
                      </a:graphic>
                    </wp:anchor>
                  </w:drawing>
                </mc:Choice>
                <mc:Fallback>
                  <w:pict>
                    <v:shape id="_x0000_s1026" o:spid="_x0000_s1026" o:spt="202" type="#_x0000_t202" style="position:absolute;left:0pt;margin-left:327.95pt;margin-top:-48.75pt;height:158.95pt;width:27.3pt;rotation:-5898240f;z-index:251773952;mso-width-relative:page;mso-height-relative:page;" filled="f" stroked="f" coordsize="21600,21600" o:gfxdata="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nlb3YAAAACwEAAA8AAAAAAAAAAQAgAAAAIgAAAGRycy9kb3ducmV2LnhtbFBLAQIUABQA&#10;AAAIAIdO4kAQoiOttwEAAGEDAAAOAAAAAAAAAAEAIAAAACcBAABkcnMvZTJvRG9jLnhtbFBLBQYA&#10;AAAABgAGAFkBAABQBQAAAAA=&#10;">
                      <v:fill on="f" focussize="0,0"/>
                      <v:stroke on="f"/>
                      <v:imagedata o:title=""/>
                      <o:lock v:ext="edit" aspectratio="f"/>
                      <v:textbox>
                        <w:txbxContent>
                          <w:p w14:paraId="7326539B">
                            <w:pPr>
                              <w:rPr>
                                <w:rFonts w:hint="default" w:eastAsia="宋体"/>
                                <w:sz w:val="21"/>
                                <w:szCs w:val="21"/>
                                <w:lang w:val="en-US" w:eastAsia="zh-CN"/>
                              </w:rPr>
                            </w:pPr>
                            <w:r>
                              <w:rPr>
                                <w:rFonts w:hint="eastAsia"/>
                                <w:sz w:val="21"/>
                                <w:szCs w:val="21"/>
                              </w:rPr>
                              <w:t>G废气</w:t>
                            </w:r>
                            <w:r>
                              <w:rPr>
                                <w:rFonts w:hint="eastAsia"/>
                                <w:sz w:val="21"/>
                                <w:szCs w:val="21"/>
                                <w:lang w:val="en-US" w:eastAsia="zh-CN"/>
                              </w:rPr>
                              <w:t xml:space="preserve"> </w:t>
                            </w:r>
                            <w:r>
                              <w:rPr>
                                <w:rFonts w:hint="eastAsia"/>
                                <w:sz w:val="21"/>
                                <w:szCs w:val="21"/>
                              </w:rPr>
                              <w:t>N噪声</w:t>
                            </w:r>
                            <w:r>
                              <w:rPr>
                                <w:rFonts w:hint="eastAsia"/>
                                <w:sz w:val="21"/>
                                <w:szCs w:val="21"/>
                                <w:lang w:val="en-US" w:eastAsia="zh-CN"/>
                              </w:rPr>
                              <w:t xml:space="preserve"> W废水 S固废</w:t>
                            </w:r>
                          </w:p>
                        </w:txbxContent>
                      </v:textbox>
                    </v:shap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811840" behindDoc="0" locked="0" layoutInCell="1" allowOverlap="1">
                      <wp:simplePos x="0" y="0"/>
                      <wp:positionH relativeFrom="column">
                        <wp:posOffset>4918710</wp:posOffset>
                      </wp:positionH>
                      <wp:positionV relativeFrom="paragraph">
                        <wp:posOffset>53975</wp:posOffset>
                      </wp:positionV>
                      <wp:extent cx="440055" cy="29718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440055" cy="297180"/>
                              </a:xfrm>
                              <a:prstGeom prst="rect">
                                <a:avLst/>
                              </a:prstGeom>
                              <a:noFill/>
                              <a:ln>
                                <a:noFill/>
                              </a:ln>
                            </wps:spPr>
                            <wps:txbx>
                              <w:txbxContent>
                                <w:p w14:paraId="7C3C974F">
                                  <w:pPr>
                                    <w:rPr>
                                      <w:rFonts w:hint="default"/>
                                      <w:lang w:val="en-US"/>
                                    </w:rPr>
                                  </w:pPr>
                                  <w:r>
                                    <w:rPr>
                                      <w:rFonts w:hint="eastAsia"/>
                                      <w:lang w:val="en-US" w:eastAsia="zh-CN"/>
                                    </w:rPr>
                                    <w:t xml:space="preserve"> N</w:t>
                                  </w:r>
                                  <w:r>
                                    <w:rPr>
                                      <w:rFonts w:hint="eastAsia"/>
                                      <w:vertAlign w:val="subscript"/>
                                      <w:lang w:val="en-US" w:eastAsia="zh-CN"/>
                                    </w:rPr>
                                    <w:t>8</w:t>
                                  </w:r>
                                  <w:r>
                                    <w:rPr>
                                      <w:rFonts w:hint="eastAsia"/>
                                      <w:lang w:val="en-US" w:eastAsia="zh-CN"/>
                                    </w:rPr>
                                    <w:t xml:space="preserve">  </w:t>
                                  </w:r>
                                </w:p>
                              </w:txbxContent>
                            </wps:txbx>
                            <wps:bodyPr upright="1"/>
                          </wps:wsp>
                        </a:graphicData>
                      </a:graphic>
                    </wp:anchor>
                  </w:drawing>
                </mc:Choice>
                <mc:Fallback>
                  <w:pict>
                    <v:shape id="_x0000_s1026" o:spid="_x0000_s1026" o:spt="202" type="#_x0000_t202" style="position:absolute;left:0pt;margin-left:387.3pt;margin-top:4.25pt;height:23.4pt;width:34.65pt;z-index:251811840;mso-width-relative:page;mso-height-relative:page;" filled="f" stroked="f" coordsize="21600,21600" o:gfxdata="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Nr88Z&#10;1wAAAAgBAAAPAAAAAAAAAAEAIAAAACIAAABkcnMvZG93bnJldi54bWxQSwECFAAUAAAACACHTuJA&#10;cWp0wbABAABRAwAADgAAAAAAAAABACAAAAAmAQAAZHJzL2Uyb0RvYy54bWxQSwUGAAAAAAYABgBZ&#10;AQAASAUAAAAA&#10;">
                      <v:fill on="f" focussize="0,0"/>
                      <v:stroke on="f"/>
                      <v:imagedata o:title=""/>
                      <o:lock v:ext="edit" aspectratio="f"/>
                      <v:textbox>
                        <w:txbxContent>
                          <w:p w14:paraId="7C3C974F">
                            <w:pPr>
                              <w:rPr>
                                <w:rFonts w:hint="default"/>
                                <w:lang w:val="en-US"/>
                              </w:rPr>
                            </w:pPr>
                            <w:r>
                              <w:rPr>
                                <w:rFonts w:hint="eastAsia"/>
                                <w:lang w:val="en-US" w:eastAsia="zh-CN"/>
                              </w:rPr>
                              <w:t xml:space="preserve"> N</w:t>
                            </w:r>
                            <w:r>
                              <w:rPr>
                                <w:rFonts w:hint="eastAsia"/>
                                <w:vertAlign w:val="subscript"/>
                                <w:lang w:val="en-US" w:eastAsia="zh-CN"/>
                              </w:rPr>
                              <w:t>8</w:t>
                            </w:r>
                            <w:r>
                              <w:rPr>
                                <w:rFonts w:hint="eastAsia"/>
                                <w:lang w:val="en-US" w:eastAsia="zh-CN"/>
                              </w:rPr>
                              <w:t xml:space="preserve">  </w:t>
                            </w:r>
                          </w:p>
                        </w:txbxContent>
                      </v:textbox>
                    </v:shap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777024" behindDoc="0" locked="0" layoutInCell="1" allowOverlap="1">
                      <wp:simplePos x="0" y="0"/>
                      <wp:positionH relativeFrom="column">
                        <wp:posOffset>4147185</wp:posOffset>
                      </wp:positionH>
                      <wp:positionV relativeFrom="paragraph">
                        <wp:posOffset>63500</wp:posOffset>
                      </wp:positionV>
                      <wp:extent cx="440055" cy="29718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440055" cy="297180"/>
                              </a:xfrm>
                              <a:prstGeom prst="rect">
                                <a:avLst/>
                              </a:prstGeom>
                              <a:noFill/>
                              <a:ln>
                                <a:noFill/>
                              </a:ln>
                            </wps:spPr>
                            <wps:txbx>
                              <w:txbxContent>
                                <w:p w14:paraId="05B01B8A">
                                  <w:pPr>
                                    <w:rPr>
                                      <w:rFonts w:hint="default"/>
                                      <w:lang w:val="en-US"/>
                                    </w:rPr>
                                  </w:pPr>
                                  <w:r>
                                    <w:rPr>
                                      <w:rFonts w:hint="eastAsia"/>
                                      <w:lang w:val="en-US" w:eastAsia="zh-CN"/>
                                    </w:rPr>
                                    <w:t xml:space="preserve"> N</w:t>
                                  </w:r>
                                  <w:r>
                                    <w:rPr>
                                      <w:rFonts w:hint="eastAsia"/>
                                      <w:vertAlign w:val="subscript"/>
                                      <w:lang w:val="en-US" w:eastAsia="zh-CN"/>
                                    </w:rPr>
                                    <w:t>1</w:t>
                                  </w:r>
                                  <w:r>
                                    <w:rPr>
                                      <w:rFonts w:hint="eastAsia"/>
                                      <w:lang w:val="en-US" w:eastAsia="zh-CN"/>
                                    </w:rPr>
                                    <w:t xml:space="preserve">  </w:t>
                                  </w:r>
                                </w:p>
                              </w:txbxContent>
                            </wps:txbx>
                            <wps:bodyPr upright="1"/>
                          </wps:wsp>
                        </a:graphicData>
                      </a:graphic>
                    </wp:anchor>
                  </w:drawing>
                </mc:Choice>
                <mc:Fallback>
                  <w:pict>
                    <v:shape id="_x0000_s1026" o:spid="_x0000_s1026" o:spt="202" type="#_x0000_t202" style="position:absolute;left:0pt;margin-left:326.55pt;margin-top:5pt;height:23.4pt;width:34.65pt;z-index:251777024;mso-width-relative:page;mso-height-relative:page;" filled="f" stroked="f" coordsize="21600,21600" o:gfxdata="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ZlK97X&#10;AAAACQEAAA8AAAAAAAAAAQAgAAAAIgAAAGRycy9kb3ducmV2LnhtbFBLAQIUABQAAAAIAIdO4kA+&#10;hBwNrwEAAFEDAAAOAAAAAAAAAAEAIAAAACYBAABkcnMvZTJvRG9jLnhtbFBLBQYAAAAABgAGAFkB&#10;AABHBQAAAAA=&#10;">
                      <v:fill on="f" focussize="0,0"/>
                      <v:stroke on="f"/>
                      <v:imagedata o:title=""/>
                      <o:lock v:ext="edit" aspectratio="f"/>
                      <v:textbox>
                        <w:txbxContent>
                          <w:p w14:paraId="05B01B8A">
                            <w:pPr>
                              <w:rPr>
                                <w:rFonts w:hint="default"/>
                                <w:lang w:val="en-US"/>
                              </w:rPr>
                            </w:pPr>
                            <w:r>
                              <w:rPr>
                                <w:rFonts w:hint="eastAsia"/>
                                <w:lang w:val="en-US" w:eastAsia="zh-CN"/>
                              </w:rPr>
                              <w:t xml:space="preserve"> N</w:t>
                            </w:r>
                            <w:r>
                              <w:rPr>
                                <w:rFonts w:hint="eastAsia"/>
                                <w:vertAlign w:val="subscript"/>
                                <w:lang w:val="en-US" w:eastAsia="zh-CN"/>
                              </w:rPr>
                              <w:t>1</w:t>
                            </w:r>
                            <w:r>
                              <w:rPr>
                                <w:rFonts w:hint="eastAsia"/>
                                <w:lang w:val="en-US" w:eastAsia="zh-CN"/>
                              </w:rPr>
                              <w:t xml:space="preserve">  </w:t>
                            </w:r>
                          </w:p>
                        </w:txbxContent>
                      </v:textbox>
                    </v:shap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768832" behindDoc="0" locked="0" layoutInCell="1" allowOverlap="1">
                      <wp:simplePos x="0" y="0"/>
                      <wp:positionH relativeFrom="column">
                        <wp:posOffset>2527935</wp:posOffset>
                      </wp:positionH>
                      <wp:positionV relativeFrom="paragraph">
                        <wp:posOffset>75565</wp:posOffset>
                      </wp:positionV>
                      <wp:extent cx="577850" cy="29718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577850" cy="297180"/>
                              </a:xfrm>
                              <a:prstGeom prst="rect">
                                <a:avLst/>
                              </a:prstGeom>
                              <a:noFill/>
                              <a:ln>
                                <a:noFill/>
                              </a:ln>
                            </wps:spPr>
                            <wps:txbx>
                              <w:txbxContent>
                                <w:p w14:paraId="2031034D">
                                  <w:pPr>
                                    <w:rPr>
                                      <w:rFonts w:hint="default"/>
                                      <w:lang w:val="en-US"/>
                                    </w:rPr>
                                  </w:pPr>
                                  <w:r>
                                    <w:rPr>
                                      <w:rFonts w:hint="eastAsia"/>
                                      <w:lang w:val="en-US" w:eastAsia="zh-CN"/>
                                    </w:rPr>
                                    <w:t xml:space="preserve">  W</w:t>
                                  </w:r>
                                  <w:r>
                                    <w:rPr>
                                      <w:rFonts w:hint="eastAsia"/>
                                      <w:vertAlign w:val="subscript"/>
                                      <w:lang w:val="en-US" w:eastAsia="zh-CN"/>
                                    </w:rPr>
                                    <w:t>4</w:t>
                                  </w:r>
                                  <w:r>
                                    <w:rPr>
                                      <w:rFonts w:hint="eastAsia"/>
                                      <w:lang w:val="en-US" w:eastAsia="zh-CN"/>
                                    </w:rPr>
                                    <w:t xml:space="preserve">  </w:t>
                                  </w:r>
                                </w:p>
                              </w:txbxContent>
                            </wps:txbx>
                            <wps:bodyPr upright="1"/>
                          </wps:wsp>
                        </a:graphicData>
                      </a:graphic>
                    </wp:anchor>
                  </w:drawing>
                </mc:Choice>
                <mc:Fallback>
                  <w:pict>
                    <v:shape id="_x0000_s1026" o:spid="_x0000_s1026" o:spt="202" type="#_x0000_t202" style="position:absolute;left:0pt;margin-left:199.05pt;margin-top:5.95pt;height:23.4pt;width:45.5pt;z-index:251768832;mso-width-relative:page;mso-height-relative:page;" filled="f" stroked="f" coordsize="21600,21600" o:gfxdata="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7CaldYAAAAJ&#10;AQAADwAAAAAAAAABACAAAAAiAAAAZHJzL2Rvd25yZXYueG1sUEsBAhQAFAAAAAgAh07iQDwyKtas&#10;AQAAUQMAAA4AAAAAAAAAAQAgAAAAJQEAAGRycy9lMm9Eb2MueG1sUEsFBgAAAAAGAAYAWQEAAEMF&#10;AAAAAA==&#10;">
                      <v:fill on="f" focussize="0,0"/>
                      <v:stroke on="f"/>
                      <v:imagedata o:title=""/>
                      <o:lock v:ext="edit" aspectratio="f"/>
                      <v:textbox>
                        <w:txbxContent>
                          <w:p w14:paraId="2031034D">
                            <w:pPr>
                              <w:rPr>
                                <w:rFonts w:hint="default"/>
                                <w:lang w:val="en-US"/>
                              </w:rPr>
                            </w:pPr>
                            <w:r>
                              <w:rPr>
                                <w:rFonts w:hint="eastAsia"/>
                                <w:lang w:val="en-US" w:eastAsia="zh-CN"/>
                              </w:rPr>
                              <w:t xml:space="preserve">  W</w:t>
                            </w:r>
                            <w:r>
                              <w:rPr>
                                <w:rFonts w:hint="eastAsia"/>
                                <w:vertAlign w:val="subscript"/>
                                <w:lang w:val="en-US" w:eastAsia="zh-CN"/>
                              </w:rPr>
                              <w:t>4</w:t>
                            </w:r>
                            <w:r>
                              <w:rPr>
                                <w:rFonts w:hint="eastAsia"/>
                                <w:lang w:val="en-US" w:eastAsia="zh-CN"/>
                              </w:rPr>
                              <w:t xml:space="preserve">  </w:t>
                            </w:r>
                          </w:p>
                        </w:txbxContent>
                      </v:textbox>
                    </v:shap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806720" behindDoc="0" locked="0" layoutInCell="1" allowOverlap="1">
                      <wp:simplePos x="0" y="0"/>
                      <wp:positionH relativeFrom="column">
                        <wp:posOffset>1721485</wp:posOffset>
                      </wp:positionH>
                      <wp:positionV relativeFrom="paragraph">
                        <wp:posOffset>90805</wp:posOffset>
                      </wp:positionV>
                      <wp:extent cx="603885" cy="29718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603885" cy="297180"/>
                              </a:xfrm>
                              <a:prstGeom prst="rect">
                                <a:avLst/>
                              </a:prstGeom>
                              <a:noFill/>
                              <a:ln>
                                <a:noFill/>
                              </a:ln>
                            </wps:spPr>
                            <wps:txbx>
                              <w:txbxContent>
                                <w:p w14:paraId="637D6370">
                                  <w:pPr>
                                    <w:rPr>
                                      <w:rFonts w:hint="default"/>
                                      <w:lang w:val="en-US"/>
                                    </w:rPr>
                                  </w:pPr>
                                  <w:r>
                                    <w:rPr>
                                      <w:rFonts w:hint="eastAsia"/>
                                      <w:lang w:val="en-US" w:eastAsia="zh-CN"/>
                                    </w:rPr>
                                    <w:t xml:space="preserve"> N</w:t>
                                  </w:r>
                                  <w:r>
                                    <w:rPr>
                                      <w:rFonts w:hint="eastAsia"/>
                                      <w:vertAlign w:val="subscript"/>
                                      <w:lang w:val="en-US" w:eastAsia="zh-CN"/>
                                    </w:rPr>
                                    <w:t xml:space="preserve">6 </w:t>
                                  </w:r>
                                  <w:r>
                                    <w:rPr>
                                      <w:rFonts w:hint="eastAsia"/>
                                      <w:lang w:val="en-US" w:eastAsia="zh-CN"/>
                                    </w:rPr>
                                    <w:t>S</w:t>
                                  </w:r>
                                  <w:r>
                                    <w:rPr>
                                      <w:rFonts w:hint="eastAsia"/>
                                      <w:vertAlign w:val="subscript"/>
                                      <w:lang w:val="en-US" w:eastAsia="zh-CN"/>
                                    </w:rPr>
                                    <w:t xml:space="preserve">3 </w:t>
                                  </w:r>
                                  <w:r>
                                    <w:rPr>
                                      <w:rFonts w:hint="eastAsia"/>
                                      <w:lang w:val="en-US" w:eastAsia="zh-CN"/>
                                    </w:rPr>
                                    <w:t xml:space="preserve"> </w:t>
                                  </w:r>
                                </w:p>
                              </w:txbxContent>
                            </wps:txbx>
                            <wps:bodyPr upright="1"/>
                          </wps:wsp>
                        </a:graphicData>
                      </a:graphic>
                    </wp:anchor>
                  </w:drawing>
                </mc:Choice>
                <mc:Fallback>
                  <w:pict>
                    <v:shape id="_x0000_s1026" o:spid="_x0000_s1026" o:spt="202" type="#_x0000_t202" style="position:absolute;left:0pt;margin-left:135.55pt;margin-top:7.15pt;height:23.4pt;width:47.55pt;z-index:251806720;mso-width-relative:page;mso-height-relative:page;" filled="f" stroked="f" coordsize="21600,21600" o:gfxdata="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vy5kdYA&#10;AAAJAQAADwAAAAAAAAABACAAAAAiAAAAZHJzL2Rvd25yZXYueG1sUEsBAhQAFAAAAAgAh07iQDPR&#10;jeKvAQAAUQMAAA4AAAAAAAAAAQAgAAAAJQEAAGRycy9lMm9Eb2MueG1sUEsFBgAAAAAGAAYAWQEA&#10;AEYFAAAAAA==&#10;">
                      <v:fill on="f" focussize="0,0"/>
                      <v:stroke on="f"/>
                      <v:imagedata o:title=""/>
                      <o:lock v:ext="edit" aspectratio="f"/>
                      <v:textbox>
                        <w:txbxContent>
                          <w:p w14:paraId="637D6370">
                            <w:pPr>
                              <w:rPr>
                                <w:rFonts w:hint="default"/>
                                <w:lang w:val="en-US"/>
                              </w:rPr>
                            </w:pPr>
                            <w:r>
                              <w:rPr>
                                <w:rFonts w:hint="eastAsia"/>
                                <w:lang w:val="en-US" w:eastAsia="zh-CN"/>
                              </w:rPr>
                              <w:t xml:space="preserve"> N</w:t>
                            </w:r>
                            <w:r>
                              <w:rPr>
                                <w:rFonts w:hint="eastAsia"/>
                                <w:vertAlign w:val="subscript"/>
                                <w:lang w:val="en-US" w:eastAsia="zh-CN"/>
                              </w:rPr>
                              <w:t xml:space="preserve">6 </w:t>
                            </w:r>
                            <w:r>
                              <w:rPr>
                                <w:rFonts w:hint="eastAsia"/>
                                <w:lang w:val="en-US" w:eastAsia="zh-CN"/>
                              </w:rPr>
                              <w:t>S</w:t>
                            </w:r>
                            <w:r>
                              <w:rPr>
                                <w:rFonts w:hint="eastAsia"/>
                                <w:vertAlign w:val="subscript"/>
                                <w:lang w:val="en-US" w:eastAsia="zh-CN"/>
                              </w:rPr>
                              <w:t xml:space="preserve">3 </w:t>
                            </w:r>
                            <w:r>
                              <w:rPr>
                                <w:rFonts w:hint="eastAsia"/>
                                <w:lang w:val="en-US" w:eastAsia="zh-CN"/>
                              </w:rPr>
                              <w:t xml:space="preserve"> </w:t>
                            </w:r>
                          </w:p>
                        </w:txbxContent>
                      </v:textbox>
                    </v:shape>
                  </w:pict>
                </mc:Fallback>
              </mc:AlternateContent>
            </w:r>
            <w:r>
              <w:rPr>
                <w:rFonts w:hint="default" w:ascii="Times New Roman" w:hAnsi="Times New Roman" w:cs="Times New Roman"/>
                <w:b/>
                <w:color w:val="auto"/>
                <w:sz w:val="28"/>
                <w:szCs w:val="28"/>
              </w:rPr>
              <mc:AlternateContent>
                <mc:Choice Requires="wps">
                  <w:drawing>
                    <wp:anchor distT="0" distB="0" distL="114300" distR="114300" simplePos="0" relativeHeight="251807744" behindDoc="0" locked="0" layoutInCell="1" allowOverlap="1">
                      <wp:simplePos x="0" y="0"/>
                      <wp:positionH relativeFrom="column">
                        <wp:posOffset>882650</wp:posOffset>
                      </wp:positionH>
                      <wp:positionV relativeFrom="paragraph">
                        <wp:posOffset>81280</wp:posOffset>
                      </wp:positionV>
                      <wp:extent cx="528320" cy="29718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528320" cy="297180"/>
                              </a:xfrm>
                              <a:prstGeom prst="rect">
                                <a:avLst/>
                              </a:prstGeom>
                              <a:noFill/>
                              <a:ln>
                                <a:noFill/>
                              </a:ln>
                            </wps:spPr>
                            <wps:txbx>
                              <w:txbxContent>
                                <w:p w14:paraId="39DADBD6">
                                  <w:pPr>
                                    <w:rPr>
                                      <w:rFonts w:hint="default"/>
                                      <w:lang w:val="en-US"/>
                                    </w:rPr>
                                  </w:pPr>
                                  <w:r>
                                    <w:rPr>
                                      <w:rFonts w:hint="eastAsia"/>
                                      <w:lang w:val="en-US" w:eastAsia="zh-CN"/>
                                    </w:rPr>
                                    <w:t xml:space="preserve"> N</w:t>
                                  </w:r>
                                  <w:r>
                                    <w:rPr>
                                      <w:rFonts w:hint="eastAsia"/>
                                      <w:vertAlign w:val="subscript"/>
                                      <w:lang w:val="en-US" w:eastAsia="zh-CN"/>
                                    </w:rPr>
                                    <w:t xml:space="preserve">7 </w:t>
                                  </w:r>
                                  <w:r>
                                    <w:rPr>
                                      <w:rFonts w:hint="eastAsia"/>
                                      <w:lang w:val="en-US" w:eastAsia="zh-CN"/>
                                    </w:rPr>
                                    <w:t xml:space="preserve"> </w:t>
                                  </w:r>
                                </w:p>
                              </w:txbxContent>
                            </wps:txbx>
                            <wps:bodyPr upright="1"/>
                          </wps:wsp>
                        </a:graphicData>
                      </a:graphic>
                    </wp:anchor>
                  </w:drawing>
                </mc:Choice>
                <mc:Fallback>
                  <w:pict>
                    <v:shape id="_x0000_s1026" o:spid="_x0000_s1026" o:spt="202" type="#_x0000_t202" style="position:absolute;left:0pt;margin-left:69.5pt;margin-top:6.4pt;height:23.4pt;width:41.6pt;z-index:251807744;mso-width-relative:page;mso-height-relative:page;" filled="f" stroked="f" coordsize="21600,21600" o:gfxdata="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S/gtZ1QAA&#10;AAkBAAAPAAAAAAAAAAEAIAAAACIAAABkcnMvZG93bnJldi54bWxQSwECFAAUAAAACACHTuJAd/G+&#10;Oa8BAABRAwAADgAAAAAAAAABACAAAAAkAQAAZHJzL2Uyb0RvYy54bWxQSwUGAAAAAAYABgBZAQAA&#10;RQUAAAAA&#10;">
                      <v:fill on="f" focussize="0,0"/>
                      <v:stroke on="f"/>
                      <v:imagedata o:title=""/>
                      <o:lock v:ext="edit" aspectratio="f"/>
                      <v:textbox>
                        <w:txbxContent>
                          <w:p w14:paraId="39DADBD6">
                            <w:pPr>
                              <w:rPr>
                                <w:rFonts w:hint="default"/>
                                <w:lang w:val="en-US"/>
                              </w:rPr>
                            </w:pPr>
                            <w:r>
                              <w:rPr>
                                <w:rFonts w:hint="eastAsia"/>
                                <w:lang w:val="en-US" w:eastAsia="zh-CN"/>
                              </w:rPr>
                              <w:t xml:space="preserve"> N</w:t>
                            </w:r>
                            <w:r>
                              <w:rPr>
                                <w:rFonts w:hint="eastAsia"/>
                                <w:vertAlign w:val="subscript"/>
                                <w:lang w:val="en-US" w:eastAsia="zh-CN"/>
                              </w:rPr>
                              <w:t xml:space="preserve">7 </w:t>
                            </w:r>
                            <w:r>
                              <w:rPr>
                                <w:rFonts w:hint="eastAsia"/>
                                <w:lang w:val="en-US" w:eastAsia="zh-CN"/>
                              </w:rPr>
                              <w:t xml:space="preserve"> </w:t>
                            </w:r>
                          </w:p>
                        </w:txbxContent>
                      </v:textbox>
                    </v:shape>
                  </w:pict>
                </mc:Fallback>
              </mc:AlternateContent>
            </w:r>
          </w:p>
          <w:p w14:paraId="3403744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eastAsiaTheme="minorEastAsia"/>
                <w:color w:val="auto"/>
                <w:sz w:val="24"/>
              </w:rPr>
            </w:pPr>
            <w:r>
              <w:rPr>
                <w:rFonts w:hint="eastAsia" w:cs="Times New Roman" w:eastAsiaTheme="minorEastAsia"/>
                <w:b/>
                <w:bCs/>
                <w:color w:val="auto"/>
                <w:sz w:val="24"/>
                <w:lang w:val="en-US" w:eastAsia="zh-CN"/>
              </w:rPr>
              <w:t>图2-2   PP、ABS片料处理</w:t>
            </w:r>
            <w:r>
              <w:rPr>
                <w:rFonts w:hint="default" w:ascii="Times New Roman" w:hAnsi="Times New Roman" w:cs="Times New Roman" w:eastAsiaTheme="minorEastAsia"/>
                <w:b/>
                <w:bCs/>
                <w:color w:val="auto"/>
                <w:sz w:val="24"/>
                <w:lang w:val="en-US" w:eastAsia="zh-CN"/>
              </w:rPr>
              <w:t>工艺流程及产排污节点图</w:t>
            </w:r>
          </w:p>
          <w:p w14:paraId="6FAD9BC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工艺流程简述：</w:t>
            </w:r>
          </w:p>
          <w:p w14:paraId="52FE73D5">
            <w:pPr>
              <w:keepNext w:val="0"/>
              <w:keepLines w:val="0"/>
              <w:pageBreakBefore w:val="0"/>
              <w:widowControl w:val="0"/>
              <w:tabs>
                <w:tab w:val="left" w:pos="2838"/>
              </w:tabs>
              <w:kinsoku/>
              <w:wordWrap/>
              <w:overflowPunct/>
              <w:topLinePunct w:val="0"/>
              <w:autoSpaceDE/>
              <w:autoSpaceDN/>
              <w:bidi w:val="0"/>
              <w:adjustRightInd/>
              <w:snapToGrid/>
              <w:spacing w:line="500" w:lineRule="exact"/>
              <w:ind w:firstLine="480" w:firstLineChars="200"/>
              <w:textAlignment w:val="auto"/>
              <w:rPr>
                <w:rFonts w:hint="eastAsia" w:cs="Times New Roman"/>
                <w:color w:val="auto"/>
                <w:sz w:val="24"/>
                <w:lang w:val="en-US" w:eastAsia="zh-CN"/>
              </w:rPr>
            </w:pPr>
            <w:r>
              <w:rPr>
                <w:rFonts w:hint="eastAsia" w:cs="Times New Roman"/>
                <w:color w:val="auto"/>
                <w:sz w:val="24"/>
                <w:lang w:val="en-US" w:eastAsia="zh-CN"/>
              </w:rPr>
              <w:t>废</w:t>
            </w:r>
            <w:r>
              <w:rPr>
                <w:rFonts w:hint="default" w:ascii="Times New Roman" w:hAnsi="Times New Roman" w:cs="Times New Roman"/>
                <w:color w:val="auto"/>
                <w:sz w:val="24"/>
                <w:lang w:eastAsia="zh-CN"/>
              </w:rPr>
              <w:t>PP、ABS片料</w:t>
            </w:r>
            <w:r>
              <w:rPr>
                <w:rFonts w:hint="eastAsia" w:cs="Times New Roman"/>
                <w:color w:val="auto"/>
                <w:sz w:val="24"/>
                <w:lang w:val="en-US" w:eastAsia="zh-CN"/>
              </w:rPr>
              <w:t>采用吨包包装，运输前已进行清洗、破碎，大部分片料直接进入拌料机搅拌均匀后送入后续工序。仅少量（约10%）片料来料时粒径较大，需采用干式粉碎机进行粉碎。</w:t>
            </w:r>
          </w:p>
          <w:p w14:paraId="6E825319">
            <w:pPr>
              <w:keepNext w:val="0"/>
              <w:keepLines w:val="0"/>
              <w:pageBreakBefore w:val="0"/>
              <w:widowControl w:val="0"/>
              <w:tabs>
                <w:tab w:val="left" w:pos="2838"/>
              </w:tabs>
              <w:kinsoku/>
              <w:wordWrap/>
              <w:overflowPunct/>
              <w:topLinePunct w:val="0"/>
              <w:autoSpaceDE/>
              <w:autoSpaceDN/>
              <w:bidi w:val="0"/>
              <w:adjustRightInd/>
              <w:snapToGrid/>
              <w:spacing w:line="500" w:lineRule="exact"/>
              <w:ind w:firstLine="482" w:firstLineChars="200"/>
              <w:textAlignment w:val="auto"/>
              <w:rPr>
                <w:rFonts w:hint="eastAsia" w:cs="Times New Roman"/>
                <w:color w:val="auto"/>
                <w:sz w:val="24"/>
                <w:lang w:val="en-US" w:eastAsia="zh-CN"/>
              </w:rPr>
            </w:pPr>
            <w:r>
              <w:rPr>
                <w:rFonts w:hint="default" w:ascii="Times New Roman" w:hAnsi="Times New Roman" w:cs="Times New Roman"/>
                <w:b/>
                <w:bCs w:val="0"/>
                <w:color w:val="auto"/>
                <w:sz w:val="24"/>
              </w:rPr>
              <w:t>此工序</w:t>
            </w:r>
            <w:r>
              <w:rPr>
                <w:rFonts w:hint="default" w:ascii="Times New Roman" w:hAnsi="Times New Roman" w:cs="Times New Roman"/>
                <w:b/>
                <w:bCs w:val="0"/>
                <w:color w:val="000000" w:themeColor="text1"/>
                <w:sz w:val="24"/>
                <w:szCs w:val="24"/>
                <w:highlight w:val="none"/>
                <w14:textFill>
                  <w14:solidFill>
                    <w14:schemeClr w14:val="tx1"/>
                  </w14:solidFill>
                </w14:textFill>
              </w:rPr>
              <w:t>主要污染为</w:t>
            </w:r>
            <w:r>
              <w:rPr>
                <w:rFonts w:hint="eastAsia" w:cs="Times New Roman"/>
                <w:b/>
                <w:bCs w:val="0"/>
                <w:color w:val="000000" w:themeColor="text1"/>
                <w:sz w:val="24"/>
                <w:szCs w:val="24"/>
                <w:highlight w:val="none"/>
                <w:lang w:val="en-US" w:eastAsia="zh-CN"/>
                <w14:textFill>
                  <w14:solidFill>
                    <w14:schemeClr w14:val="tx1"/>
                  </w14:solidFill>
                </w14:textFill>
              </w:rPr>
              <w:t>粉碎废气G</w:t>
            </w:r>
            <w:r>
              <w:rPr>
                <w:rFonts w:hint="eastAsia" w:cs="Times New Roman"/>
                <w:b/>
                <w:bCs w:val="0"/>
                <w:color w:val="000000" w:themeColor="text1"/>
                <w:sz w:val="24"/>
                <w:szCs w:val="24"/>
                <w:highlight w:val="none"/>
                <w:vertAlign w:val="subscript"/>
                <w:lang w:val="en-US" w:eastAsia="zh-CN"/>
                <w14:textFill>
                  <w14:solidFill>
                    <w14:schemeClr w14:val="tx1"/>
                  </w14:solidFill>
                </w14:textFill>
              </w:rPr>
              <w:t>2</w:t>
            </w:r>
            <w:r>
              <w:rPr>
                <w:rFonts w:hint="eastAsia" w:cs="Times New Roman"/>
                <w:b/>
                <w:bCs w:val="0"/>
                <w:color w:val="000000" w:themeColor="text1"/>
                <w:sz w:val="24"/>
                <w:szCs w:val="24"/>
                <w:highlight w:val="none"/>
                <w:lang w:eastAsia="zh-CN"/>
                <w14:textFill>
                  <w14:solidFill>
                    <w14:schemeClr w14:val="tx1"/>
                  </w14:solidFill>
                </w14:textFill>
              </w:rPr>
              <w:t>，</w:t>
            </w:r>
            <w:r>
              <w:rPr>
                <w:rFonts w:hint="eastAsia" w:cs="Times New Roman"/>
                <w:b/>
                <w:bCs w:val="0"/>
                <w:color w:val="000000" w:themeColor="text1"/>
                <w:sz w:val="24"/>
                <w:szCs w:val="24"/>
                <w:highlight w:val="none"/>
                <w:lang w:val="en-US" w:eastAsia="zh-CN"/>
                <w14:textFill>
                  <w14:solidFill>
                    <w14:schemeClr w14:val="tx1"/>
                  </w14:solidFill>
                </w14:textFill>
              </w:rPr>
              <w:t>粉碎机</w:t>
            </w:r>
            <w:r>
              <w:rPr>
                <w:rFonts w:hint="default" w:ascii="Times New Roman" w:hAnsi="Times New Roman" w:cs="Times New Roman"/>
                <w:b/>
                <w:bCs w:val="0"/>
                <w:color w:val="000000" w:themeColor="text1"/>
                <w:sz w:val="24"/>
                <w:szCs w:val="24"/>
                <w:highlight w:val="none"/>
                <w14:textFill>
                  <w14:solidFill>
                    <w14:schemeClr w14:val="tx1"/>
                  </w14:solidFill>
                </w14:textFill>
              </w:rPr>
              <w:t>运行产生的噪声</w:t>
            </w:r>
            <w:r>
              <w:rPr>
                <w:rFonts w:hint="eastAsia" w:cs="Times New Roman"/>
                <w:b/>
                <w:bCs w:val="0"/>
                <w:color w:val="000000" w:themeColor="text1"/>
                <w:sz w:val="24"/>
                <w:szCs w:val="24"/>
                <w:highlight w:val="none"/>
                <w:lang w:val="en-US" w:eastAsia="zh-CN"/>
                <w14:textFill>
                  <w14:solidFill>
                    <w14:schemeClr w14:val="tx1"/>
                  </w14:solidFill>
                </w14:textFill>
              </w:rPr>
              <w:t>N</w:t>
            </w:r>
            <w:r>
              <w:rPr>
                <w:rFonts w:hint="eastAsia" w:cs="Times New Roman"/>
                <w:b/>
                <w:bCs w:val="0"/>
                <w:color w:val="000000" w:themeColor="text1"/>
                <w:sz w:val="24"/>
                <w:szCs w:val="24"/>
                <w:highlight w:val="none"/>
                <w:vertAlign w:val="subscript"/>
                <w:lang w:val="en-US" w:eastAsia="zh-CN"/>
                <w14:textFill>
                  <w14:solidFill>
                    <w14:schemeClr w14:val="tx1"/>
                  </w14:solidFill>
                </w14:textFill>
              </w:rPr>
              <w:t>2</w:t>
            </w:r>
            <w:r>
              <w:rPr>
                <w:rFonts w:hint="eastAsia" w:cs="Times New Roman"/>
                <w:b/>
                <w:bCs w:val="0"/>
                <w:color w:val="auto"/>
                <w:sz w:val="24"/>
                <w:vertAlign w:val="baseline"/>
                <w:lang w:val="en-US" w:eastAsia="zh-CN"/>
              </w:rPr>
              <w:t>。</w:t>
            </w:r>
          </w:p>
          <w:p w14:paraId="2E64FAEA">
            <w:pPr>
              <w:keepNext w:val="0"/>
              <w:keepLines w:val="0"/>
              <w:pageBreakBefore w:val="0"/>
              <w:widowControl w:val="0"/>
              <w:tabs>
                <w:tab w:val="left" w:pos="2838"/>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lang w:val="en-US" w:eastAsia="zh-CN"/>
              </w:rPr>
            </w:pPr>
            <w:r>
              <w:rPr>
                <w:rFonts w:hint="eastAsia" w:cs="Times New Roman"/>
                <w:color w:val="auto"/>
                <w:sz w:val="24"/>
                <w:lang w:val="en-US" w:eastAsia="zh-CN"/>
              </w:rPr>
              <w:t>后续工序与废吨包处理工艺基本一致，不再赘述。废</w:t>
            </w:r>
            <w:r>
              <w:rPr>
                <w:rFonts w:hint="default" w:ascii="Times New Roman" w:hAnsi="Times New Roman" w:cs="Times New Roman"/>
                <w:color w:val="auto"/>
                <w:sz w:val="24"/>
                <w:lang w:eastAsia="zh-CN"/>
              </w:rPr>
              <w:t>PP、ABS</w:t>
            </w:r>
            <w:r>
              <w:rPr>
                <w:rFonts w:hint="eastAsia" w:cs="Times New Roman"/>
                <w:color w:val="auto"/>
                <w:sz w:val="24"/>
                <w:lang w:val="en-US" w:eastAsia="zh-CN"/>
              </w:rPr>
              <w:t>为</w:t>
            </w:r>
            <w:r>
              <w:rPr>
                <w:rFonts w:hint="default" w:ascii="Times New Roman" w:hAnsi="Times New Roman" w:cs="Times New Roman"/>
                <w:color w:val="auto"/>
                <w:sz w:val="24"/>
                <w:lang w:eastAsia="zh-CN"/>
              </w:rPr>
              <w:t>片料</w:t>
            </w:r>
            <w:r>
              <w:rPr>
                <w:rFonts w:hint="eastAsia" w:cs="Times New Roman"/>
                <w:color w:val="auto"/>
                <w:sz w:val="24"/>
                <w:lang w:eastAsia="zh-CN"/>
              </w:rPr>
              <w:t>，</w:t>
            </w:r>
            <w:r>
              <w:rPr>
                <w:rFonts w:hint="eastAsia" w:cs="Times New Roman"/>
                <w:color w:val="auto"/>
                <w:sz w:val="24"/>
                <w:lang w:val="en-US" w:eastAsia="zh-CN"/>
              </w:rPr>
              <w:t>粒径较大且表面较洁净，</w:t>
            </w:r>
            <w:r>
              <w:rPr>
                <w:rFonts w:hint="eastAsia" w:cs="Times New Roman" w:eastAsiaTheme="minorEastAsia"/>
                <w:b w:val="0"/>
                <w:bCs w:val="0"/>
                <w:color w:val="auto"/>
                <w:sz w:val="24"/>
                <w:lang w:val="en-US" w:eastAsia="zh-CN"/>
              </w:rPr>
              <w:t>同时项目根据客户需求按比例添加PP新料，</w:t>
            </w:r>
            <w:r>
              <w:rPr>
                <w:rFonts w:hint="eastAsia" w:cs="Times New Roman" w:eastAsiaTheme="minorEastAsia"/>
                <w:b w:val="0"/>
                <w:bCs w:val="0"/>
                <w:color w:val="FF0000"/>
                <w:sz w:val="24"/>
                <w:lang w:val="en-US" w:eastAsia="zh-CN"/>
              </w:rPr>
              <w:t>PP新料为颗粒状</w:t>
            </w:r>
            <w:r>
              <w:rPr>
                <w:rFonts w:hint="eastAsia" w:cs="Times New Roman" w:eastAsiaTheme="minorEastAsia"/>
                <w:b w:val="0"/>
                <w:bCs w:val="0"/>
                <w:color w:val="auto"/>
                <w:sz w:val="24"/>
                <w:lang w:val="en-US" w:eastAsia="zh-CN"/>
              </w:rPr>
              <w:t>，因此整个拌料</w:t>
            </w:r>
            <w:r>
              <w:rPr>
                <w:rFonts w:hint="eastAsia" w:cs="Times New Roman"/>
                <w:color w:val="auto"/>
                <w:sz w:val="24"/>
                <w:lang w:val="en-US" w:eastAsia="zh-CN"/>
              </w:rPr>
              <w:t>过程无颗粒物产生。</w:t>
            </w:r>
          </w:p>
          <w:p w14:paraId="08ABA90F">
            <w:pPr>
              <w:keepNext w:val="0"/>
              <w:keepLines w:val="0"/>
              <w:pageBreakBefore w:val="0"/>
              <w:widowControl w:val="0"/>
              <w:tabs>
                <w:tab w:val="left" w:pos="2838"/>
              </w:tabs>
              <w:kinsoku/>
              <w:wordWrap/>
              <w:overflowPunct/>
              <w:topLinePunct w:val="0"/>
              <w:autoSpaceDE/>
              <w:autoSpaceDN/>
              <w:bidi w:val="0"/>
              <w:adjustRightInd/>
              <w:snapToGrid/>
              <w:spacing w:line="480" w:lineRule="exact"/>
              <w:ind w:firstLine="496" w:firstLineChars="200"/>
              <w:textAlignment w:val="auto"/>
              <w:rPr>
                <w:rFonts w:hint="default" w:ascii="Times New Roman" w:hAnsi="Times New Roman" w:cs="Times New Roman" w:eastAsiaTheme="minorEastAsia"/>
                <w:color w:val="auto"/>
                <w:spacing w:val="4"/>
                <w:sz w:val="24"/>
                <w:szCs w:val="24"/>
              </w:rPr>
            </w:pPr>
            <w:r>
              <w:rPr>
                <w:rFonts w:hint="default" w:ascii="Times New Roman" w:hAnsi="Times New Roman" w:cs="Times New Roman" w:eastAsiaTheme="minorEastAsia"/>
                <w:color w:val="auto"/>
                <w:spacing w:val="4"/>
                <w:sz w:val="24"/>
                <w:szCs w:val="24"/>
              </w:rPr>
              <w:t>项目运营期的排污节点汇总见下表。</w:t>
            </w:r>
          </w:p>
          <w:p w14:paraId="79C2F66F">
            <w:pPr>
              <w:pStyle w:val="87"/>
              <w:keepNext w:val="0"/>
              <w:keepLines w:val="0"/>
              <w:pageBreakBefore w:val="0"/>
              <w:widowControl w:val="0"/>
              <w:kinsoku/>
              <w:wordWrap/>
              <w:overflowPunct/>
              <w:topLinePunct w:val="0"/>
              <w:autoSpaceDE/>
              <w:autoSpaceDN/>
              <w:bidi w:val="0"/>
              <w:adjustRightInd/>
              <w:snapToGrid/>
              <w:spacing w:line="480" w:lineRule="exact"/>
              <w:ind w:firstLineChars="0"/>
              <w:jc w:val="center"/>
              <w:textAlignment w:val="auto"/>
              <w:rPr>
                <w:rFonts w:hint="default" w:ascii="Times New Roman" w:hAnsi="Times New Roman" w:cs="Times New Roman" w:eastAsiaTheme="minorEastAsia"/>
                <w:b/>
                <w:bCs/>
                <w:color w:val="auto"/>
                <w:sz w:val="24"/>
                <w:szCs w:val="24"/>
              </w:rPr>
            </w:pPr>
          </w:p>
          <w:p w14:paraId="54E78E8C">
            <w:pPr>
              <w:pStyle w:val="87"/>
              <w:keepNext w:val="0"/>
              <w:keepLines w:val="0"/>
              <w:pageBreakBefore w:val="0"/>
              <w:widowControl w:val="0"/>
              <w:kinsoku/>
              <w:wordWrap/>
              <w:overflowPunct/>
              <w:topLinePunct w:val="0"/>
              <w:autoSpaceDE/>
              <w:autoSpaceDN/>
              <w:bidi w:val="0"/>
              <w:adjustRightInd/>
              <w:snapToGrid/>
              <w:spacing w:line="480" w:lineRule="exact"/>
              <w:ind w:firstLineChars="0"/>
              <w:jc w:val="center"/>
              <w:textAlignment w:val="auto"/>
              <w:rPr>
                <w:rFonts w:hint="default" w:ascii="Times New Roman" w:hAnsi="Times New Roman" w:cs="Times New Roman" w:eastAsiaTheme="minorEastAsia"/>
                <w:b/>
                <w:bCs/>
                <w:color w:val="auto"/>
                <w:sz w:val="24"/>
                <w:szCs w:val="24"/>
              </w:rPr>
            </w:pPr>
          </w:p>
          <w:p w14:paraId="7758FB34">
            <w:pPr>
              <w:pStyle w:val="87"/>
              <w:keepNext w:val="0"/>
              <w:keepLines w:val="0"/>
              <w:pageBreakBefore w:val="0"/>
              <w:widowControl w:val="0"/>
              <w:kinsoku/>
              <w:wordWrap/>
              <w:overflowPunct/>
              <w:topLinePunct w:val="0"/>
              <w:autoSpaceDE/>
              <w:autoSpaceDN/>
              <w:bidi w:val="0"/>
              <w:adjustRightInd/>
              <w:snapToGrid/>
              <w:spacing w:line="480" w:lineRule="exact"/>
              <w:ind w:firstLineChars="0"/>
              <w:jc w:val="center"/>
              <w:textAlignment w:val="auto"/>
              <w:rPr>
                <w:rFonts w:hint="default" w:ascii="Times New Roman" w:hAnsi="Times New Roman" w:cs="Times New Roman" w:eastAsiaTheme="minorEastAsia"/>
                <w:b/>
                <w:bCs/>
                <w:color w:val="auto"/>
                <w:sz w:val="24"/>
                <w:szCs w:val="24"/>
              </w:rPr>
            </w:pPr>
          </w:p>
          <w:p w14:paraId="63EE1DBE">
            <w:pPr>
              <w:pStyle w:val="87"/>
              <w:keepNext w:val="0"/>
              <w:keepLines w:val="0"/>
              <w:pageBreakBefore w:val="0"/>
              <w:widowControl w:val="0"/>
              <w:kinsoku/>
              <w:wordWrap/>
              <w:overflowPunct/>
              <w:topLinePunct w:val="0"/>
              <w:autoSpaceDE/>
              <w:autoSpaceDN/>
              <w:bidi w:val="0"/>
              <w:adjustRightInd/>
              <w:snapToGrid/>
              <w:spacing w:line="480" w:lineRule="exact"/>
              <w:ind w:firstLineChars="0"/>
              <w:jc w:val="center"/>
              <w:textAlignment w:val="auto"/>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表</w:t>
            </w:r>
            <w:r>
              <w:rPr>
                <w:rFonts w:hint="eastAsia" w:ascii="Times New Roman" w:hAnsi="Times New Roman" w:cs="Times New Roman" w:eastAsiaTheme="minorEastAsia"/>
                <w:b/>
                <w:bCs/>
                <w:color w:val="auto"/>
                <w:sz w:val="24"/>
                <w:szCs w:val="24"/>
                <w:lang w:val="en-US" w:eastAsia="zh-CN"/>
              </w:rPr>
              <w:t>11</w:t>
            </w:r>
            <w:r>
              <w:rPr>
                <w:rFonts w:hint="default" w:ascii="Times New Roman" w:hAnsi="Times New Roman" w:cs="Times New Roman" w:eastAsiaTheme="minorEastAsia"/>
                <w:b/>
                <w:bCs/>
                <w:color w:val="auto"/>
                <w:sz w:val="24"/>
                <w:szCs w:val="24"/>
              </w:rPr>
              <w:t xml:space="preserve">  本项目主要排污节点统计一览表</w:t>
            </w:r>
          </w:p>
          <w:tbl>
            <w:tblPr>
              <w:tblStyle w:val="29"/>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675"/>
              <w:gridCol w:w="1740"/>
              <w:gridCol w:w="1429"/>
              <w:gridCol w:w="720"/>
              <w:gridCol w:w="3311"/>
            </w:tblGrid>
            <w:tr w14:paraId="29C8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64" w:type="dxa"/>
                  <w:tcBorders>
                    <w:tl2br w:val="nil"/>
                    <w:tr2bl w:val="nil"/>
                  </w:tcBorders>
                  <w:vAlign w:val="center"/>
                </w:tcPr>
                <w:p w14:paraId="07125738">
                  <w:pPr>
                    <w:spacing w:line="28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类型</w:t>
                  </w:r>
                </w:p>
              </w:tc>
              <w:tc>
                <w:tcPr>
                  <w:tcW w:w="675" w:type="dxa"/>
                  <w:tcBorders>
                    <w:tl2br w:val="nil"/>
                    <w:tr2bl w:val="nil"/>
                  </w:tcBorders>
                  <w:vAlign w:val="center"/>
                </w:tcPr>
                <w:p w14:paraId="7D228BDB">
                  <w:pPr>
                    <w:spacing w:line="28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序号</w:t>
                  </w:r>
                </w:p>
              </w:tc>
              <w:tc>
                <w:tcPr>
                  <w:tcW w:w="1740" w:type="dxa"/>
                  <w:tcBorders>
                    <w:tl2br w:val="nil"/>
                    <w:tr2bl w:val="nil"/>
                  </w:tcBorders>
                  <w:vAlign w:val="center"/>
                </w:tcPr>
                <w:p w14:paraId="182FE153">
                  <w:pPr>
                    <w:spacing w:line="28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排污节点</w:t>
                  </w:r>
                </w:p>
              </w:tc>
              <w:tc>
                <w:tcPr>
                  <w:tcW w:w="1429" w:type="dxa"/>
                  <w:tcBorders>
                    <w:tl2br w:val="nil"/>
                    <w:tr2bl w:val="nil"/>
                  </w:tcBorders>
                  <w:vAlign w:val="center"/>
                </w:tcPr>
                <w:p w14:paraId="59BF2983">
                  <w:pPr>
                    <w:spacing w:line="28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污染物</w:t>
                  </w:r>
                </w:p>
              </w:tc>
              <w:tc>
                <w:tcPr>
                  <w:tcW w:w="720" w:type="dxa"/>
                  <w:tcBorders>
                    <w:tl2br w:val="nil"/>
                    <w:tr2bl w:val="nil"/>
                  </w:tcBorders>
                  <w:vAlign w:val="center"/>
                </w:tcPr>
                <w:p w14:paraId="6EF23238">
                  <w:pPr>
                    <w:pStyle w:val="12"/>
                    <w:spacing w:after="0" w:line="28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产生</w:t>
                  </w:r>
                </w:p>
                <w:p w14:paraId="4A7BA853">
                  <w:pPr>
                    <w:pStyle w:val="12"/>
                    <w:spacing w:after="0" w:line="28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特征</w:t>
                  </w:r>
                </w:p>
              </w:tc>
              <w:tc>
                <w:tcPr>
                  <w:tcW w:w="3311" w:type="dxa"/>
                  <w:tcBorders>
                    <w:tl2br w:val="nil"/>
                    <w:tr2bl w:val="nil"/>
                  </w:tcBorders>
                  <w:vAlign w:val="center"/>
                </w:tcPr>
                <w:p w14:paraId="0988E52F">
                  <w:pPr>
                    <w:spacing w:line="28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治理措施</w:t>
                  </w:r>
                </w:p>
              </w:tc>
            </w:tr>
            <w:tr w14:paraId="4439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 w:type="dxa"/>
                  <w:vMerge w:val="restart"/>
                  <w:tcBorders>
                    <w:tl2br w:val="nil"/>
                    <w:tr2bl w:val="nil"/>
                  </w:tcBorders>
                  <w:vAlign w:val="center"/>
                </w:tcPr>
                <w:p w14:paraId="18A93F1F">
                  <w:pPr>
                    <w:pStyle w:val="87"/>
                    <w:spacing w:line="280" w:lineRule="exact"/>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废气</w:t>
                  </w:r>
                </w:p>
              </w:tc>
              <w:tc>
                <w:tcPr>
                  <w:tcW w:w="675" w:type="dxa"/>
                  <w:tcBorders>
                    <w:tl2br w:val="nil"/>
                    <w:tr2bl w:val="nil"/>
                  </w:tcBorders>
                  <w:vAlign w:val="center"/>
                </w:tcPr>
                <w:p w14:paraId="242E6CA6">
                  <w:pPr>
                    <w:pStyle w:val="12"/>
                    <w:spacing w:after="0"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G</w:t>
                  </w:r>
                  <w:r>
                    <w:rPr>
                      <w:rFonts w:hint="eastAsia" w:cs="Times New Roman"/>
                      <w:color w:val="auto"/>
                      <w:szCs w:val="21"/>
                      <w:vertAlign w:val="subscript"/>
                      <w:lang w:val="en-US" w:eastAsia="zh-CN"/>
                    </w:rPr>
                    <w:t>1</w:t>
                  </w:r>
                </w:p>
              </w:tc>
              <w:tc>
                <w:tcPr>
                  <w:tcW w:w="1740" w:type="dxa"/>
                  <w:tcBorders>
                    <w:tl2br w:val="nil"/>
                    <w:tr2bl w:val="nil"/>
                  </w:tcBorders>
                  <w:vAlign w:val="center"/>
                </w:tcPr>
                <w:p w14:paraId="6B28FD69">
                  <w:pPr>
                    <w:pStyle w:val="87"/>
                    <w:spacing w:line="280" w:lineRule="exact"/>
                    <w:ind w:firstLine="0" w:firstLine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挤出</w:t>
                  </w:r>
                </w:p>
              </w:tc>
              <w:tc>
                <w:tcPr>
                  <w:tcW w:w="1429" w:type="dxa"/>
                  <w:tcBorders>
                    <w:tl2br w:val="nil"/>
                    <w:tr2bl w:val="nil"/>
                  </w:tcBorders>
                  <w:vAlign w:val="center"/>
                </w:tcPr>
                <w:p w14:paraId="62C836A3">
                  <w:pPr>
                    <w:pStyle w:val="87"/>
                    <w:spacing w:line="280" w:lineRule="exact"/>
                    <w:ind w:firstLine="0" w:firstLine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颗粒物、非甲烷总烃</w:t>
                  </w:r>
                </w:p>
              </w:tc>
              <w:tc>
                <w:tcPr>
                  <w:tcW w:w="720" w:type="dxa"/>
                  <w:tcBorders>
                    <w:tl2br w:val="nil"/>
                    <w:tr2bl w:val="nil"/>
                  </w:tcBorders>
                  <w:vAlign w:val="center"/>
                </w:tcPr>
                <w:p w14:paraId="5D0871A5">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连续</w:t>
                  </w:r>
                </w:p>
              </w:tc>
              <w:tc>
                <w:tcPr>
                  <w:tcW w:w="3311" w:type="dxa"/>
                  <w:tcBorders>
                    <w:tl2br w:val="nil"/>
                    <w:tr2bl w:val="nil"/>
                  </w:tcBorders>
                  <w:vAlign w:val="center"/>
                </w:tcPr>
                <w:p w14:paraId="67035E9E">
                  <w:pPr>
                    <w:pStyle w:val="87"/>
                    <w:spacing w:line="280" w:lineRule="exact"/>
                    <w:ind w:firstLine="0" w:firstLine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喷淋塔+干式</w:t>
                  </w:r>
                  <w:r>
                    <w:rPr>
                      <w:rFonts w:hint="eastAsia" w:ascii="Times New Roman" w:hAnsi="Times New Roman" w:cs="Times New Roman"/>
                      <w:bCs/>
                      <w:color w:val="auto"/>
                      <w:sz w:val="21"/>
                      <w:szCs w:val="21"/>
                      <w:lang w:val="en-US" w:eastAsia="zh-CN"/>
                    </w:rPr>
                    <w:t>过滤</w:t>
                  </w:r>
                  <w:r>
                    <w:rPr>
                      <w:rFonts w:hint="default" w:ascii="Times New Roman" w:hAnsi="Times New Roman" w:eastAsia="宋体" w:cs="Times New Roman"/>
                      <w:bCs/>
                      <w:color w:val="auto"/>
                      <w:sz w:val="21"/>
                      <w:szCs w:val="21"/>
                      <w:lang w:val="en-US" w:eastAsia="zh-CN"/>
                    </w:rPr>
                    <w:t>+活性炭吸附脱附+催化燃</w:t>
                  </w:r>
                  <w:r>
                    <w:rPr>
                      <w:rFonts w:hint="eastAsia" w:ascii="Times New Roman" w:hAnsi="Times New Roman" w:cs="Times New Roman"/>
                      <w:bCs/>
                      <w:color w:val="auto"/>
                      <w:sz w:val="21"/>
                      <w:szCs w:val="21"/>
                      <w:lang w:val="en-US" w:eastAsia="zh-CN"/>
                    </w:rPr>
                    <w:t>烧+</w:t>
                  </w:r>
                  <w:r>
                    <w:rPr>
                      <w:rFonts w:hint="default" w:ascii="Times New Roman" w:hAnsi="Times New Roman" w:eastAsia="宋体" w:cs="Times New Roman"/>
                      <w:bCs/>
                      <w:color w:val="auto"/>
                      <w:sz w:val="21"/>
                      <w:szCs w:val="21"/>
                      <w:lang w:val="en-US" w:eastAsia="zh-CN"/>
                    </w:rPr>
                    <w:t>15m排气筒</w:t>
                  </w:r>
                  <w:r>
                    <w:rPr>
                      <w:rFonts w:hint="eastAsia" w:ascii="Times New Roman" w:hAnsi="Times New Roman" w:cs="Times New Roman"/>
                      <w:bCs/>
                      <w:color w:val="auto"/>
                      <w:sz w:val="21"/>
                      <w:szCs w:val="21"/>
                      <w:lang w:val="en-US" w:eastAsia="zh-CN"/>
                    </w:rPr>
                    <w:t>（</w:t>
                  </w:r>
                  <w:r>
                    <w:rPr>
                      <w:rFonts w:hint="default" w:ascii="Times New Roman" w:hAnsi="Times New Roman" w:eastAsia="宋体" w:cs="Times New Roman"/>
                      <w:bCs/>
                      <w:color w:val="auto"/>
                      <w:sz w:val="21"/>
                      <w:szCs w:val="21"/>
                      <w:lang w:val="en-US" w:eastAsia="zh-CN"/>
                    </w:rPr>
                    <w:t>DA001</w:t>
                  </w:r>
                  <w:r>
                    <w:rPr>
                      <w:rFonts w:hint="eastAsia" w:ascii="Times New Roman" w:hAnsi="Times New Roman" w:cs="Times New Roman"/>
                      <w:bCs/>
                      <w:color w:val="auto"/>
                      <w:sz w:val="21"/>
                      <w:szCs w:val="21"/>
                      <w:lang w:val="en-US" w:eastAsia="zh-CN"/>
                    </w:rPr>
                    <w:t>）</w:t>
                  </w:r>
                  <w:r>
                    <w:rPr>
                      <w:rFonts w:hint="default" w:ascii="Times New Roman" w:hAnsi="Times New Roman" w:eastAsia="宋体" w:cs="Times New Roman"/>
                      <w:bCs/>
                      <w:color w:val="auto"/>
                      <w:sz w:val="21"/>
                      <w:szCs w:val="21"/>
                      <w:lang w:val="en-US" w:eastAsia="zh-CN"/>
                    </w:rPr>
                    <w:t>排放</w:t>
                  </w:r>
                </w:p>
              </w:tc>
            </w:tr>
            <w:tr w14:paraId="2562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 w:type="dxa"/>
                  <w:vMerge w:val="continue"/>
                  <w:tcBorders>
                    <w:tl2br w:val="nil"/>
                    <w:tr2bl w:val="nil"/>
                  </w:tcBorders>
                  <w:vAlign w:val="center"/>
                </w:tcPr>
                <w:p w14:paraId="4548E16A">
                  <w:pPr>
                    <w:pStyle w:val="87"/>
                    <w:spacing w:line="280" w:lineRule="exact"/>
                    <w:ind w:firstLine="0" w:firstLineChars="0"/>
                    <w:jc w:val="center"/>
                    <w:rPr>
                      <w:rFonts w:hint="default" w:ascii="Times New Roman" w:hAnsi="Times New Roman" w:cs="Times New Roman"/>
                      <w:bCs/>
                      <w:color w:val="auto"/>
                      <w:sz w:val="21"/>
                      <w:szCs w:val="21"/>
                    </w:rPr>
                  </w:pPr>
                </w:p>
              </w:tc>
              <w:tc>
                <w:tcPr>
                  <w:tcW w:w="675" w:type="dxa"/>
                  <w:tcBorders>
                    <w:tl2br w:val="nil"/>
                    <w:tr2bl w:val="nil"/>
                  </w:tcBorders>
                  <w:vAlign w:val="center"/>
                </w:tcPr>
                <w:p w14:paraId="6F04731F">
                  <w:pPr>
                    <w:pStyle w:val="12"/>
                    <w:spacing w:after="0"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G</w:t>
                  </w:r>
                  <w:r>
                    <w:rPr>
                      <w:rFonts w:hint="eastAsia" w:cs="Times New Roman"/>
                      <w:color w:val="auto"/>
                      <w:szCs w:val="21"/>
                      <w:vertAlign w:val="subscript"/>
                      <w:lang w:val="en-US" w:eastAsia="zh-CN"/>
                    </w:rPr>
                    <w:t>2</w:t>
                  </w:r>
                </w:p>
              </w:tc>
              <w:tc>
                <w:tcPr>
                  <w:tcW w:w="1740" w:type="dxa"/>
                  <w:tcBorders>
                    <w:tl2br w:val="nil"/>
                    <w:tr2bl w:val="nil"/>
                  </w:tcBorders>
                  <w:vAlign w:val="center"/>
                </w:tcPr>
                <w:p w14:paraId="0BAEB386">
                  <w:pPr>
                    <w:pStyle w:val="87"/>
                    <w:spacing w:line="280" w:lineRule="exact"/>
                    <w:ind w:firstLine="0" w:firstLineChars="0"/>
                    <w:jc w:val="center"/>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干式粉碎</w:t>
                  </w:r>
                </w:p>
              </w:tc>
              <w:tc>
                <w:tcPr>
                  <w:tcW w:w="1429" w:type="dxa"/>
                  <w:tcBorders>
                    <w:tl2br w:val="nil"/>
                    <w:tr2bl w:val="nil"/>
                  </w:tcBorders>
                  <w:vAlign w:val="center"/>
                </w:tcPr>
                <w:p w14:paraId="4C322B21">
                  <w:pPr>
                    <w:pStyle w:val="87"/>
                    <w:spacing w:line="280" w:lineRule="exact"/>
                    <w:ind w:firstLine="0" w:firstLineChars="0"/>
                    <w:jc w:val="center"/>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颗粒物</w:t>
                  </w:r>
                </w:p>
              </w:tc>
              <w:tc>
                <w:tcPr>
                  <w:tcW w:w="720" w:type="dxa"/>
                  <w:tcBorders>
                    <w:tl2br w:val="nil"/>
                    <w:tr2bl w:val="nil"/>
                  </w:tcBorders>
                  <w:vAlign w:val="center"/>
                </w:tcPr>
                <w:p w14:paraId="146FB80B">
                  <w:pPr>
                    <w:spacing w:line="280" w:lineRule="exac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连续</w:t>
                  </w:r>
                </w:p>
              </w:tc>
              <w:tc>
                <w:tcPr>
                  <w:tcW w:w="3311" w:type="dxa"/>
                  <w:tcBorders>
                    <w:tl2br w:val="nil"/>
                    <w:tr2bl w:val="nil"/>
                  </w:tcBorders>
                  <w:vAlign w:val="center"/>
                </w:tcPr>
                <w:p w14:paraId="54804A16">
                  <w:pPr>
                    <w:pStyle w:val="87"/>
                    <w:spacing w:line="280" w:lineRule="exact"/>
                    <w:ind w:firstLine="0" w:firstLineChars="0"/>
                    <w:jc w:val="center"/>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0000FF"/>
                      <w:sz w:val="21"/>
                      <w:szCs w:val="21"/>
                      <w:lang w:val="en-US" w:eastAsia="zh-CN"/>
                    </w:rPr>
                    <w:t>袋式除尘器+</w:t>
                  </w:r>
                  <w:r>
                    <w:rPr>
                      <w:rFonts w:hint="default" w:ascii="Times New Roman" w:hAnsi="Times New Roman" w:eastAsia="宋体" w:cs="Times New Roman"/>
                      <w:bCs/>
                      <w:color w:val="0000FF"/>
                      <w:sz w:val="21"/>
                      <w:szCs w:val="21"/>
                      <w:lang w:val="en-US" w:eastAsia="zh-CN"/>
                    </w:rPr>
                    <w:t>15m排气筒</w:t>
                  </w:r>
                  <w:r>
                    <w:rPr>
                      <w:rFonts w:hint="eastAsia" w:ascii="Times New Roman" w:hAnsi="Times New Roman" w:cs="Times New Roman"/>
                      <w:bCs/>
                      <w:color w:val="0000FF"/>
                      <w:sz w:val="21"/>
                      <w:szCs w:val="21"/>
                      <w:lang w:val="en-US" w:eastAsia="zh-CN"/>
                    </w:rPr>
                    <w:t>（</w:t>
                  </w:r>
                  <w:r>
                    <w:rPr>
                      <w:rFonts w:hint="default" w:ascii="Times New Roman" w:hAnsi="Times New Roman" w:eastAsia="宋体" w:cs="Times New Roman"/>
                      <w:bCs/>
                      <w:color w:val="0000FF"/>
                      <w:sz w:val="21"/>
                      <w:szCs w:val="21"/>
                      <w:lang w:val="en-US" w:eastAsia="zh-CN"/>
                    </w:rPr>
                    <w:t>DA00</w:t>
                  </w:r>
                  <w:r>
                    <w:rPr>
                      <w:rFonts w:hint="eastAsia" w:ascii="Times New Roman" w:hAnsi="Times New Roman" w:cs="Times New Roman"/>
                      <w:bCs/>
                      <w:color w:val="0000FF"/>
                      <w:sz w:val="21"/>
                      <w:szCs w:val="21"/>
                      <w:lang w:val="en-US" w:eastAsia="zh-CN"/>
                    </w:rPr>
                    <w:t>2）</w:t>
                  </w:r>
                  <w:r>
                    <w:rPr>
                      <w:rFonts w:hint="default" w:ascii="Times New Roman" w:hAnsi="Times New Roman" w:eastAsia="宋体" w:cs="Times New Roman"/>
                      <w:bCs/>
                      <w:color w:val="0000FF"/>
                      <w:sz w:val="21"/>
                      <w:szCs w:val="21"/>
                      <w:lang w:val="en-US" w:eastAsia="zh-CN"/>
                    </w:rPr>
                    <w:t>排放</w:t>
                  </w:r>
                </w:p>
              </w:tc>
            </w:tr>
            <w:tr w14:paraId="79C3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64" w:type="dxa"/>
                  <w:vMerge w:val="continue"/>
                  <w:tcBorders>
                    <w:tl2br w:val="nil"/>
                    <w:tr2bl w:val="nil"/>
                  </w:tcBorders>
                  <w:vAlign w:val="center"/>
                </w:tcPr>
                <w:p w14:paraId="7F174C2A">
                  <w:pPr>
                    <w:pStyle w:val="87"/>
                    <w:spacing w:line="280" w:lineRule="exact"/>
                    <w:ind w:firstLine="0" w:firstLineChars="0"/>
                    <w:jc w:val="center"/>
                    <w:rPr>
                      <w:rFonts w:hint="default" w:ascii="Times New Roman" w:hAnsi="Times New Roman" w:cs="Times New Roman"/>
                      <w:bCs/>
                      <w:color w:val="auto"/>
                      <w:sz w:val="21"/>
                      <w:szCs w:val="21"/>
                    </w:rPr>
                  </w:pPr>
                </w:p>
              </w:tc>
              <w:tc>
                <w:tcPr>
                  <w:tcW w:w="675" w:type="dxa"/>
                  <w:tcBorders>
                    <w:tl2br w:val="nil"/>
                    <w:tr2bl w:val="nil"/>
                  </w:tcBorders>
                  <w:vAlign w:val="center"/>
                </w:tcPr>
                <w:p w14:paraId="0AAC6A13">
                  <w:pPr>
                    <w:spacing w:after="0" w:line="280" w:lineRule="exact"/>
                    <w:jc w:val="center"/>
                    <w:rPr>
                      <w:rFonts w:hint="default" w:ascii="Times New Roman" w:hAnsi="Times New Roman" w:cs="Times New Roman"/>
                      <w:color w:val="auto"/>
                      <w:szCs w:val="21"/>
                      <w:lang w:val="en-US"/>
                    </w:rPr>
                  </w:pPr>
                  <w:r>
                    <w:rPr>
                      <w:rFonts w:hint="eastAsia" w:cs="Times New Roman"/>
                      <w:bCs/>
                      <w:color w:val="auto"/>
                      <w:sz w:val="21"/>
                      <w:szCs w:val="21"/>
                      <w:lang w:eastAsia="zh-CN"/>
                    </w:rPr>
                    <w:t>—</w:t>
                  </w:r>
                </w:p>
              </w:tc>
              <w:tc>
                <w:tcPr>
                  <w:tcW w:w="1740" w:type="dxa"/>
                  <w:tcBorders>
                    <w:tl2br w:val="nil"/>
                    <w:tr2bl w:val="nil"/>
                  </w:tcBorders>
                  <w:vAlign w:val="center"/>
                </w:tcPr>
                <w:p w14:paraId="61661F09">
                  <w:pPr>
                    <w:pStyle w:val="87"/>
                    <w:spacing w:line="280" w:lineRule="exact"/>
                    <w:ind w:firstLine="0" w:firstLineChars="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无组织</w:t>
                  </w:r>
                </w:p>
              </w:tc>
              <w:tc>
                <w:tcPr>
                  <w:tcW w:w="1429" w:type="dxa"/>
                  <w:tcBorders>
                    <w:tl2br w:val="nil"/>
                    <w:tr2bl w:val="nil"/>
                  </w:tcBorders>
                  <w:vAlign w:val="center"/>
                </w:tcPr>
                <w:p w14:paraId="4830E618">
                  <w:pPr>
                    <w:pStyle w:val="87"/>
                    <w:spacing w:line="280" w:lineRule="exact"/>
                    <w:ind w:firstLine="0" w:firstLine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颗粒物、非甲烷总烃、臭气浓度</w:t>
                  </w:r>
                </w:p>
              </w:tc>
              <w:tc>
                <w:tcPr>
                  <w:tcW w:w="720" w:type="dxa"/>
                  <w:tcBorders>
                    <w:tl2br w:val="nil"/>
                    <w:tr2bl w:val="nil"/>
                  </w:tcBorders>
                  <w:vAlign w:val="center"/>
                </w:tcPr>
                <w:p w14:paraId="468411D0">
                  <w:pPr>
                    <w:spacing w:line="280" w:lineRule="exact"/>
                    <w:jc w:val="center"/>
                    <w:rPr>
                      <w:rFonts w:hint="default" w:ascii="Times New Roman" w:hAnsi="Times New Roman" w:cs="Times New Roman"/>
                      <w:color w:val="auto"/>
                      <w:szCs w:val="21"/>
                      <w:lang w:val="en-US" w:eastAsia="zh-CN"/>
                    </w:rPr>
                  </w:pPr>
                  <w:r>
                    <w:rPr>
                      <w:rFonts w:hint="default" w:ascii="Times New Roman" w:hAnsi="Times New Roman" w:cs="Times New Roman"/>
                      <w:color w:val="000000" w:themeColor="text1"/>
                      <w:szCs w:val="21"/>
                      <w:lang w:val="en-US" w:eastAsia="zh-CN"/>
                      <w14:textFill>
                        <w14:solidFill>
                          <w14:schemeClr w14:val="tx1"/>
                        </w14:solidFill>
                      </w14:textFill>
                    </w:rPr>
                    <w:t>连续</w:t>
                  </w:r>
                </w:p>
              </w:tc>
              <w:tc>
                <w:tcPr>
                  <w:tcW w:w="3311" w:type="dxa"/>
                  <w:tcBorders>
                    <w:tl2br w:val="nil"/>
                    <w:tr2bl w:val="nil"/>
                  </w:tcBorders>
                  <w:vAlign w:val="center"/>
                </w:tcPr>
                <w:p w14:paraId="78691182">
                  <w:pPr>
                    <w:pStyle w:val="87"/>
                    <w:spacing w:line="280" w:lineRule="exact"/>
                    <w:ind w:firstLine="0" w:firstLineChars="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厂房封闭，加强通风</w:t>
                  </w:r>
                  <w:r>
                    <w:rPr>
                      <w:rFonts w:hint="eastAsia" w:ascii="Times New Roman" w:hAnsi="Times New Roman" w:cs="Times New Roman"/>
                      <w:bCs/>
                      <w:color w:val="auto"/>
                      <w:sz w:val="21"/>
                      <w:szCs w:val="21"/>
                      <w:lang w:val="en-US" w:eastAsia="zh-CN"/>
                    </w:rPr>
                    <w:t>等</w:t>
                  </w:r>
                </w:p>
              </w:tc>
            </w:tr>
            <w:tr w14:paraId="307B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64" w:type="dxa"/>
                  <w:vMerge w:val="restart"/>
                  <w:tcBorders>
                    <w:tl2br w:val="nil"/>
                    <w:tr2bl w:val="nil"/>
                  </w:tcBorders>
                  <w:vAlign w:val="center"/>
                </w:tcPr>
                <w:p w14:paraId="55D3B6A8">
                  <w:pPr>
                    <w:pStyle w:val="87"/>
                    <w:spacing w:line="280" w:lineRule="exact"/>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废水</w:t>
                  </w:r>
                </w:p>
              </w:tc>
              <w:tc>
                <w:tcPr>
                  <w:tcW w:w="675" w:type="dxa"/>
                  <w:tcBorders>
                    <w:tl2br w:val="nil"/>
                    <w:tr2bl w:val="nil"/>
                  </w:tcBorders>
                  <w:vAlign w:val="center"/>
                </w:tcPr>
                <w:p w14:paraId="45628F96">
                  <w:pPr>
                    <w:spacing w:beforeAutospacing="0" w:afterAutospacing="0" w:line="280" w:lineRule="exact"/>
                    <w:jc w:val="center"/>
                    <w:rPr>
                      <w:rFonts w:hint="eastAsia" w:ascii="Times New Roman" w:hAnsi="Times New Roman" w:eastAsia="宋体" w:cs="Times New Roman"/>
                      <w:bCs/>
                      <w:color w:val="auto"/>
                      <w:sz w:val="21"/>
                      <w:szCs w:val="21"/>
                      <w:lang w:eastAsia="zh-CN"/>
                    </w:rPr>
                  </w:pPr>
                  <w:r>
                    <w:rPr>
                      <w:rFonts w:hint="default" w:ascii="Times New Roman" w:hAnsi="Times New Roman" w:cs="Times New Roman"/>
                      <w:bCs/>
                      <w:color w:val="auto"/>
                      <w:sz w:val="21"/>
                      <w:szCs w:val="21"/>
                    </w:rPr>
                    <w:t>W</w:t>
                  </w:r>
                  <w:r>
                    <w:rPr>
                      <w:rFonts w:hint="eastAsia" w:cs="Times New Roman"/>
                      <w:bCs/>
                      <w:color w:val="auto"/>
                      <w:sz w:val="21"/>
                      <w:szCs w:val="21"/>
                      <w:vertAlign w:val="subscript"/>
                      <w:lang w:val="en-US" w:eastAsia="zh-CN"/>
                    </w:rPr>
                    <w:t>1</w:t>
                  </w:r>
                </w:p>
              </w:tc>
              <w:tc>
                <w:tcPr>
                  <w:tcW w:w="1740" w:type="dxa"/>
                  <w:tcBorders>
                    <w:tl2br w:val="nil"/>
                    <w:tr2bl w:val="nil"/>
                  </w:tcBorders>
                  <w:vAlign w:val="center"/>
                </w:tcPr>
                <w:p w14:paraId="68645765">
                  <w:pPr>
                    <w:pStyle w:val="15"/>
                    <w:spacing w:beforeAutospacing="0" w:afterAutospacing="0" w:line="280" w:lineRule="exact"/>
                    <w:jc w:val="center"/>
                    <w:rPr>
                      <w:rFonts w:hint="eastAsia" w:ascii="Times New Roman" w:hAnsi="Times New Roman" w:eastAsia="宋体" w:cs="Times New Roman"/>
                      <w:bCs/>
                      <w:color w:val="auto"/>
                      <w:sz w:val="21"/>
                      <w:szCs w:val="21"/>
                      <w:lang w:eastAsia="zh-CN"/>
                    </w:rPr>
                  </w:pPr>
                  <w:r>
                    <w:rPr>
                      <w:rFonts w:hint="eastAsia" w:ascii="Times New Roman" w:hAnsi="Times New Roman" w:cs="Times New Roman"/>
                      <w:bCs/>
                      <w:color w:val="auto"/>
                      <w:sz w:val="21"/>
                      <w:szCs w:val="21"/>
                      <w:lang w:val="en-US" w:eastAsia="zh-CN"/>
                    </w:rPr>
                    <w:t>粉碎工序废水</w:t>
                  </w:r>
                </w:p>
              </w:tc>
              <w:tc>
                <w:tcPr>
                  <w:tcW w:w="1429" w:type="dxa"/>
                  <w:vMerge w:val="restart"/>
                  <w:tcBorders>
                    <w:tl2br w:val="nil"/>
                    <w:tr2bl w:val="nil"/>
                  </w:tcBorders>
                  <w:vAlign w:val="center"/>
                </w:tcPr>
                <w:p w14:paraId="2F1B54A3">
                  <w:pPr>
                    <w:pStyle w:val="15"/>
                    <w:spacing w:beforeAutospacing="0" w:afterAutospacing="0" w:line="280" w:lineRule="exact"/>
                    <w:jc w:val="center"/>
                    <w:rPr>
                      <w:rFonts w:hint="default" w:ascii="Times New Roman" w:hAnsi="Times New Roman" w:cs="Times New Roman"/>
                      <w:color w:val="auto"/>
                      <w:sz w:val="21"/>
                      <w:szCs w:val="21"/>
                      <w:shd w:val="clear" w:color="auto" w:fill="auto"/>
                    </w:rPr>
                  </w:pPr>
                  <w:r>
                    <w:rPr>
                      <w:rFonts w:hint="default" w:ascii="Times New Roman" w:hAnsi="Times New Roman" w:cs="Times New Roman"/>
                      <w:color w:val="auto"/>
                      <w:sz w:val="21"/>
                      <w:szCs w:val="21"/>
                      <w:lang w:val="en-US" w:eastAsia="zh-CN"/>
                    </w:rPr>
                    <w:t>pH、COD、</w:t>
                  </w:r>
                  <w:r>
                    <w:rPr>
                      <w:rFonts w:hint="eastAsia" w:ascii="Times New Roman" w:hAnsi="Times New Roman" w:cs="Times New Roman"/>
                      <w:color w:val="auto"/>
                      <w:sz w:val="21"/>
                      <w:szCs w:val="21"/>
                      <w:lang w:val="en-US" w:eastAsia="zh-CN"/>
                    </w:rPr>
                    <w:t>BOD</w:t>
                  </w:r>
                  <w:r>
                    <w:rPr>
                      <w:rFonts w:hint="eastAsia" w:ascii="Times New Roman" w:hAnsi="Times New Roman" w:cs="Times New Roman"/>
                      <w:color w:val="auto"/>
                      <w:sz w:val="21"/>
                      <w:szCs w:val="21"/>
                      <w:vertAlign w:val="subscript"/>
                      <w:lang w:val="en-US" w:eastAsia="zh-CN"/>
                    </w:rPr>
                    <w:t>5</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SS、氨氮</w:t>
                  </w:r>
                </w:p>
              </w:tc>
              <w:tc>
                <w:tcPr>
                  <w:tcW w:w="720" w:type="dxa"/>
                  <w:vMerge w:val="restart"/>
                  <w:tcBorders>
                    <w:tl2br w:val="nil"/>
                    <w:tr2bl w:val="nil"/>
                  </w:tcBorders>
                  <w:vAlign w:val="center"/>
                </w:tcPr>
                <w:p w14:paraId="560BF3A4">
                  <w:pPr>
                    <w:pStyle w:val="15"/>
                    <w:spacing w:beforeAutospacing="0" w:afterAutospacing="0" w:line="280" w:lineRule="exact"/>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shd w:val="clear" w:color="auto" w:fill="auto"/>
                      <w:lang w:val="en-US" w:eastAsia="zh-CN" w:bidi="ar-SA"/>
                    </w:rPr>
                    <w:t>间断</w:t>
                  </w:r>
                </w:p>
              </w:tc>
              <w:tc>
                <w:tcPr>
                  <w:tcW w:w="3311" w:type="dxa"/>
                  <w:vMerge w:val="restart"/>
                  <w:tcBorders>
                    <w:tl2br w:val="nil"/>
                    <w:tr2bl w:val="nil"/>
                  </w:tcBorders>
                  <w:vAlign w:val="center"/>
                </w:tcPr>
                <w:p w14:paraId="5C151119">
                  <w:pPr>
                    <w:pStyle w:val="15"/>
                    <w:spacing w:beforeAutospacing="0" w:afterAutospacing="0" w:line="280" w:lineRule="exact"/>
                    <w:jc w:val="center"/>
                    <w:rPr>
                      <w:rFonts w:hint="default" w:ascii="Times New Roman" w:hAnsi="Times New Roman" w:eastAsia="宋体" w:cs="Times New Roman"/>
                      <w:color w:val="auto"/>
                      <w:sz w:val="21"/>
                      <w:szCs w:val="21"/>
                      <w:shd w:val="clear" w:color="auto" w:fill="auto"/>
                      <w:lang w:val="en-US" w:eastAsia="zh-CN"/>
                    </w:rPr>
                  </w:pPr>
                  <w:r>
                    <w:rPr>
                      <w:rFonts w:hint="default" w:ascii="Times New Roman" w:hAnsi="Times New Roman" w:eastAsia="宋体" w:cs="Times New Roman"/>
                      <w:color w:val="auto"/>
                      <w:sz w:val="21"/>
                      <w:szCs w:val="21"/>
                      <w:shd w:val="clear" w:color="auto" w:fill="auto"/>
                      <w:lang w:val="en-US" w:eastAsia="zh-CN"/>
                    </w:rPr>
                    <w:t>经沉淀池处理后循环利用，不外排</w:t>
                  </w:r>
                </w:p>
              </w:tc>
            </w:tr>
            <w:tr w14:paraId="6CBA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64" w:type="dxa"/>
                  <w:vMerge w:val="continue"/>
                  <w:tcBorders>
                    <w:tl2br w:val="nil"/>
                    <w:tr2bl w:val="nil"/>
                  </w:tcBorders>
                  <w:vAlign w:val="center"/>
                </w:tcPr>
                <w:p w14:paraId="4EC570D3">
                  <w:pPr>
                    <w:pStyle w:val="15"/>
                    <w:spacing w:beforeAutospacing="0" w:afterAutospacing="0" w:line="280" w:lineRule="exact"/>
                    <w:jc w:val="center"/>
                  </w:pPr>
                </w:p>
              </w:tc>
              <w:tc>
                <w:tcPr>
                  <w:tcW w:w="675" w:type="dxa"/>
                  <w:tcBorders>
                    <w:tl2br w:val="nil"/>
                    <w:tr2bl w:val="nil"/>
                  </w:tcBorders>
                  <w:vAlign w:val="center"/>
                </w:tcPr>
                <w:p w14:paraId="4E5852BB">
                  <w:pPr>
                    <w:spacing w:beforeAutospacing="0" w:afterAutospacing="0" w:line="280" w:lineRule="exact"/>
                    <w:jc w:val="center"/>
                    <w:rPr>
                      <w:rFonts w:hint="eastAsia" w:eastAsia="宋体"/>
                      <w:color w:val="auto"/>
                      <w:lang w:eastAsia="zh-CN"/>
                    </w:rPr>
                  </w:pPr>
                  <w:r>
                    <w:rPr>
                      <w:rFonts w:hint="default" w:ascii="Times New Roman" w:hAnsi="Times New Roman" w:cs="Times New Roman"/>
                      <w:bCs/>
                      <w:color w:val="auto"/>
                      <w:sz w:val="21"/>
                      <w:szCs w:val="21"/>
                    </w:rPr>
                    <w:t>W</w:t>
                  </w:r>
                  <w:r>
                    <w:rPr>
                      <w:rFonts w:hint="eastAsia" w:cs="Times New Roman"/>
                      <w:bCs/>
                      <w:color w:val="auto"/>
                      <w:sz w:val="21"/>
                      <w:szCs w:val="21"/>
                      <w:vertAlign w:val="subscript"/>
                      <w:lang w:val="en-US" w:eastAsia="zh-CN"/>
                    </w:rPr>
                    <w:t>2</w:t>
                  </w:r>
                </w:p>
              </w:tc>
              <w:tc>
                <w:tcPr>
                  <w:tcW w:w="1740" w:type="dxa"/>
                  <w:tcBorders>
                    <w:tl2br w:val="nil"/>
                    <w:tr2bl w:val="nil"/>
                  </w:tcBorders>
                  <w:vAlign w:val="center"/>
                </w:tcPr>
                <w:p w14:paraId="5AA10DA3">
                  <w:pPr>
                    <w:pStyle w:val="15"/>
                    <w:spacing w:beforeAutospacing="0" w:afterAutospacing="0" w:line="280" w:lineRule="exact"/>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清洗工序废水</w:t>
                  </w:r>
                </w:p>
              </w:tc>
              <w:tc>
                <w:tcPr>
                  <w:tcW w:w="1429" w:type="dxa"/>
                  <w:vMerge w:val="continue"/>
                  <w:tcBorders>
                    <w:tl2br w:val="nil"/>
                    <w:tr2bl w:val="nil"/>
                  </w:tcBorders>
                  <w:vAlign w:val="center"/>
                </w:tcPr>
                <w:p w14:paraId="3469597A">
                  <w:pPr>
                    <w:pStyle w:val="15"/>
                    <w:spacing w:beforeAutospacing="0" w:afterAutospacing="0" w:line="280" w:lineRule="exact"/>
                    <w:jc w:val="center"/>
                    <w:rPr>
                      <w:rFonts w:hint="default" w:ascii="Times New Roman" w:hAnsi="Times New Roman" w:cs="Times New Roman"/>
                      <w:bCs/>
                      <w:color w:val="auto"/>
                      <w:sz w:val="21"/>
                      <w:szCs w:val="21"/>
                    </w:rPr>
                  </w:pPr>
                </w:p>
              </w:tc>
              <w:tc>
                <w:tcPr>
                  <w:tcW w:w="720" w:type="dxa"/>
                  <w:vMerge w:val="continue"/>
                  <w:tcBorders>
                    <w:tl2br w:val="nil"/>
                    <w:tr2bl w:val="nil"/>
                  </w:tcBorders>
                  <w:vAlign w:val="center"/>
                </w:tcPr>
                <w:p w14:paraId="723938EE">
                  <w:pPr>
                    <w:pStyle w:val="15"/>
                    <w:spacing w:beforeAutospacing="0" w:afterAutospacing="0" w:line="280" w:lineRule="exact"/>
                    <w:jc w:val="center"/>
                    <w:rPr>
                      <w:rFonts w:hint="default" w:ascii="Times New Roman" w:hAnsi="Times New Roman" w:cs="Times New Roman"/>
                      <w:bCs/>
                      <w:color w:val="auto"/>
                      <w:sz w:val="21"/>
                      <w:szCs w:val="21"/>
                    </w:rPr>
                  </w:pPr>
                </w:p>
              </w:tc>
              <w:tc>
                <w:tcPr>
                  <w:tcW w:w="3311" w:type="dxa"/>
                  <w:vMerge w:val="continue"/>
                  <w:tcBorders>
                    <w:tl2br w:val="nil"/>
                    <w:tr2bl w:val="nil"/>
                  </w:tcBorders>
                  <w:vAlign w:val="center"/>
                </w:tcPr>
                <w:p w14:paraId="48E117EF">
                  <w:pPr>
                    <w:pStyle w:val="15"/>
                    <w:spacing w:beforeAutospacing="0" w:afterAutospacing="0" w:line="280" w:lineRule="exact"/>
                    <w:jc w:val="center"/>
                    <w:rPr>
                      <w:rFonts w:hint="default" w:ascii="Times New Roman" w:hAnsi="Times New Roman" w:cs="Times New Roman"/>
                      <w:bCs/>
                      <w:color w:val="auto"/>
                      <w:sz w:val="21"/>
                      <w:szCs w:val="21"/>
                    </w:rPr>
                  </w:pPr>
                </w:p>
              </w:tc>
            </w:tr>
            <w:tr w14:paraId="1BFBD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64" w:type="dxa"/>
                  <w:vMerge w:val="continue"/>
                  <w:tcBorders>
                    <w:tl2br w:val="nil"/>
                    <w:tr2bl w:val="nil"/>
                  </w:tcBorders>
                  <w:vAlign w:val="center"/>
                </w:tcPr>
                <w:p w14:paraId="6BE26CB9">
                  <w:pPr>
                    <w:pStyle w:val="15"/>
                    <w:spacing w:beforeAutospacing="0" w:afterAutospacing="0" w:line="280" w:lineRule="exact"/>
                    <w:jc w:val="center"/>
                  </w:pPr>
                </w:p>
              </w:tc>
              <w:tc>
                <w:tcPr>
                  <w:tcW w:w="675" w:type="dxa"/>
                  <w:tcBorders>
                    <w:tl2br w:val="nil"/>
                    <w:tr2bl w:val="nil"/>
                  </w:tcBorders>
                  <w:vAlign w:val="center"/>
                </w:tcPr>
                <w:p w14:paraId="636639AF">
                  <w:pPr>
                    <w:spacing w:beforeAutospacing="0" w:afterAutospacing="0" w:line="280" w:lineRule="exact"/>
                    <w:jc w:val="center"/>
                    <w:rPr>
                      <w:rFonts w:hint="eastAsia" w:eastAsia="宋体" w:cs="Times New Roman"/>
                      <w:bCs/>
                      <w:color w:val="auto"/>
                      <w:sz w:val="21"/>
                      <w:szCs w:val="21"/>
                      <w:lang w:eastAsia="zh-CN"/>
                    </w:rPr>
                  </w:pPr>
                  <w:r>
                    <w:rPr>
                      <w:rFonts w:hint="default" w:ascii="Times New Roman" w:hAnsi="Times New Roman" w:cs="Times New Roman"/>
                      <w:bCs/>
                      <w:color w:val="auto"/>
                      <w:sz w:val="21"/>
                      <w:szCs w:val="21"/>
                    </w:rPr>
                    <w:t>W</w:t>
                  </w:r>
                  <w:r>
                    <w:rPr>
                      <w:rFonts w:hint="eastAsia" w:cs="Times New Roman"/>
                      <w:bCs/>
                      <w:color w:val="auto"/>
                      <w:sz w:val="21"/>
                      <w:szCs w:val="21"/>
                      <w:vertAlign w:val="subscript"/>
                      <w:lang w:val="en-US" w:eastAsia="zh-CN"/>
                    </w:rPr>
                    <w:t>3</w:t>
                  </w:r>
                </w:p>
              </w:tc>
              <w:tc>
                <w:tcPr>
                  <w:tcW w:w="1740" w:type="dxa"/>
                  <w:tcBorders>
                    <w:tl2br w:val="nil"/>
                    <w:tr2bl w:val="nil"/>
                  </w:tcBorders>
                  <w:vAlign w:val="center"/>
                </w:tcPr>
                <w:p w14:paraId="69B2B952">
                  <w:pPr>
                    <w:pStyle w:val="15"/>
                    <w:spacing w:beforeAutospacing="0" w:afterAutospacing="0" w:line="280" w:lineRule="exact"/>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甩干工序</w:t>
                  </w:r>
                  <w:r>
                    <w:rPr>
                      <w:rFonts w:hint="default" w:ascii="Times New Roman" w:hAnsi="Times New Roman" w:cs="Times New Roman"/>
                      <w:bCs/>
                      <w:color w:val="auto"/>
                      <w:sz w:val="21"/>
                      <w:szCs w:val="21"/>
                    </w:rPr>
                    <w:t>废水</w:t>
                  </w:r>
                </w:p>
              </w:tc>
              <w:tc>
                <w:tcPr>
                  <w:tcW w:w="1429" w:type="dxa"/>
                  <w:vMerge w:val="continue"/>
                  <w:tcBorders>
                    <w:tl2br w:val="nil"/>
                    <w:tr2bl w:val="nil"/>
                  </w:tcBorders>
                  <w:vAlign w:val="center"/>
                </w:tcPr>
                <w:p w14:paraId="2C3EA71B">
                  <w:pPr>
                    <w:pStyle w:val="15"/>
                    <w:spacing w:beforeAutospacing="0" w:afterAutospacing="0" w:line="280" w:lineRule="exact"/>
                    <w:jc w:val="center"/>
                    <w:rPr>
                      <w:rFonts w:hint="default" w:ascii="Times New Roman" w:hAnsi="Times New Roman" w:cs="Times New Roman"/>
                      <w:bCs/>
                      <w:color w:val="auto"/>
                      <w:sz w:val="21"/>
                      <w:szCs w:val="21"/>
                    </w:rPr>
                  </w:pPr>
                </w:p>
              </w:tc>
              <w:tc>
                <w:tcPr>
                  <w:tcW w:w="720" w:type="dxa"/>
                  <w:vMerge w:val="continue"/>
                  <w:tcBorders>
                    <w:tl2br w:val="nil"/>
                    <w:tr2bl w:val="nil"/>
                  </w:tcBorders>
                  <w:vAlign w:val="center"/>
                </w:tcPr>
                <w:p w14:paraId="1BB49648">
                  <w:pPr>
                    <w:pStyle w:val="15"/>
                    <w:spacing w:beforeAutospacing="0" w:afterAutospacing="0" w:line="280" w:lineRule="exact"/>
                    <w:jc w:val="center"/>
                    <w:rPr>
                      <w:rFonts w:hint="default" w:ascii="Times New Roman" w:hAnsi="Times New Roman" w:cs="Times New Roman"/>
                      <w:bCs/>
                      <w:color w:val="auto"/>
                      <w:sz w:val="21"/>
                      <w:szCs w:val="21"/>
                    </w:rPr>
                  </w:pPr>
                </w:p>
              </w:tc>
              <w:tc>
                <w:tcPr>
                  <w:tcW w:w="3311" w:type="dxa"/>
                  <w:vMerge w:val="continue"/>
                  <w:tcBorders>
                    <w:tl2br w:val="nil"/>
                    <w:tr2bl w:val="nil"/>
                  </w:tcBorders>
                  <w:vAlign w:val="center"/>
                </w:tcPr>
                <w:p w14:paraId="70566079">
                  <w:pPr>
                    <w:pStyle w:val="15"/>
                    <w:spacing w:beforeAutospacing="0" w:afterAutospacing="0" w:line="280" w:lineRule="exact"/>
                    <w:jc w:val="center"/>
                    <w:rPr>
                      <w:rFonts w:hint="default" w:ascii="Times New Roman" w:hAnsi="Times New Roman" w:cs="Times New Roman"/>
                      <w:bCs/>
                      <w:color w:val="auto"/>
                      <w:sz w:val="21"/>
                      <w:szCs w:val="21"/>
                    </w:rPr>
                  </w:pPr>
                </w:p>
              </w:tc>
            </w:tr>
            <w:tr w14:paraId="6B7C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 w:hRule="atLeast"/>
              </w:trPr>
              <w:tc>
                <w:tcPr>
                  <w:tcW w:w="464" w:type="dxa"/>
                  <w:vMerge w:val="continue"/>
                  <w:tcBorders>
                    <w:tl2br w:val="nil"/>
                    <w:tr2bl w:val="nil"/>
                  </w:tcBorders>
                  <w:vAlign w:val="center"/>
                </w:tcPr>
                <w:p w14:paraId="53A6AD27">
                  <w:pPr>
                    <w:pStyle w:val="15"/>
                    <w:spacing w:beforeAutospacing="0" w:afterAutospacing="0" w:line="280" w:lineRule="exact"/>
                    <w:jc w:val="center"/>
                    <w:rPr>
                      <w:rFonts w:hint="default" w:ascii="Times New Roman" w:hAnsi="Times New Roman" w:cs="Times New Roman"/>
                      <w:bCs/>
                      <w:color w:val="FF0000"/>
                      <w:sz w:val="21"/>
                      <w:szCs w:val="21"/>
                    </w:rPr>
                  </w:pPr>
                </w:p>
              </w:tc>
              <w:tc>
                <w:tcPr>
                  <w:tcW w:w="675" w:type="dxa"/>
                  <w:tcBorders>
                    <w:tl2br w:val="nil"/>
                    <w:tr2bl w:val="nil"/>
                  </w:tcBorders>
                  <w:vAlign w:val="center"/>
                </w:tcPr>
                <w:p w14:paraId="084FCC95">
                  <w:pPr>
                    <w:spacing w:beforeAutospacing="0" w:afterAutospacing="0" w:line="280" w:lineRule="exact"/>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w:t>
                  </w:r>
                  <w:r>
                    <w:rPr>
                      <w:rFonts w:hint="default" w:ascii="Times New Roman" w:hAnsi="Times New Roman" w:cs="Times New Roman"/>
                      <w:bCs/>
                      <w:color w:val="auto"/>
                      <w:sz w:val="21"/>
                      <w:szCs w:val="21"/>
                      <w:vertAlign w:val="subscript"/>
                    </w:rPr>
                    <w:t>4</w:t>
                  </w:r>
                </w:p>
              </w:tc>
              <w:tc>
                <w:tcPr>
                  <w:tcW w:w="1740" w:type="dxa"/>
                  <w:tcBorders>
                    <w:tl2br w:val="nil"/>
                    <w:tr2bl w:val="nil"/>
                  </w:tcBorders>
                  <w:vAlign w:val="center"/>
                </w:tcPr>
                <w:p w14:paraId="52CCB5DC">
                  <w:pPr>
                    <w:pStyle w:val="15"/>
                    <w:spacing w:beforeAutospacing="0" w:afterAutospacing="0" w:line="280" w:lineRule="exact"/>
                    <w:jc w:val="center"/>
                    <w:rPr>
                      <w:rFonts w:hint="default" w:ascii="Times New Roman" w:hAnsi="Times New Roman" w:cs="Times New Roman"/>
                      <w:bCs/>
                      <w:color w:val="auto"/>
                      <w:sz w:val="21"/>
                      <w:szCs w:val="21"/>
                    </w:rPr>
                  </w:pPr>
                  <w:r>
                    <w:rPr>
                      <w:rFonts w:hint="eastAsia" w:ascii="Times New Roman" w:hAnsi="Times New Roman" w:cs="Times New Roman"/>
                      <w:bCs/>
                      <w:color w:val="auto"/>
                      <w:sz w:val="21"/>
                      <w:szCs w:val="21"/>
                      <w:lang w:val="en-US" w:eastAsia="zh-CN"/>
                    </w:rPr>
                    <w:t>冷却工序</w:t>
                  </w:r>
                  <w:r>
                    <w:rPr>
                      <w:rFonts w:hint="default" w:ascii="Times New Roman" w:hAnsi="Times New Roman" w:cs="Times New Roman"/>
                      <w:bCs/>
                      <w:color w:val="auto"/>
                      <w:sz w:val="21"/>
                      <w:szCs w:val="21"/>
                    </w:rPr>
                    <w:t>废水</w:t>
                  </w:r>
                </w:p>
              </w:tc>
              <w:tc>
                <w:tcPr>
                  <w:tcW w:w="1429" w:type="dxa"/>
                  <w:vMerge w:val="continue"/>
                  <w:tcBorders>
                    <w:tl2br w:val="nil"/>
                    <w:tr2bl w:val="nil"/>
                  </w:tcBorders>
                  <w:vAlign w:val="center"/>
                </w:tcPr>
                <w:p w14:paraId="32A56397">
                  <w:pPr>
                    <w:pStyle w:val="15"/>
                    <w:spacing w:beforeAutospacing="0" w:afterAutospacing="0" w:line="280" w:lineRule="exact"/>
                    <w:jc w:val="center"/>
                    <w:rPr>
                      <w:rFonts w:hint="default" w:ascii="Times New Roman" w:hAnsi="Times New Roman" w:cs="Times New Roman"/>
                      <w:bCs/>
                      <w:color w:val="auto"/>
                      <w:sz w:val="21"/>
                      <w:szCs w:val="21"/>
                    </w:rPr>
                  </w:pPr>
                </w:p>
              </w:tc>
              <w:tc>
                <w:tcPr>
                  <w:tcW w:w="720" w:type="dxa"/>
                  <w:vMerge w:val="continue"/>
                  <w:tcBorders>
                    <w:tl2br w:val="nil"/>
                    <w:tr2bl w:val="nil"/>
                  </w:tcBorders>
                  <w:vAlign w:val="center"/>
                </w:tcPr>
                <w:p w14:paraId="65227107">
                  <w:pPr>
                    <w:pStyle w:val="15"/>
                    <w:spacing w:beforeAutospacing="0" w:afterAutospacing="0" w:line="280" w:lineRule="exact"/>
                    <w:jc w:val="center"/>
                    <w:rPr>
                      <w:rFonts w:hint="default" w:ascii="Times New Roman" w:hAnsi="Times New Roman" w:cs="Times New Roman"/>
                      <w:bCs/>
                      <w:color w:val="auto"/>
                      <w:sz w:val="21"/>
                      <w:szCs w:val="21"/>
                    </w:rPr>
                  </w:pPr>
                </w:p>
              </w:tc>
              <w:tc>
                <w:tcPr>
                  <w:tcW w:w="3311" w:type="dxa"/>
                  <w:vMerge w:val="continue"/>
                  <w:tcBorders>
                    <w:tl2br w:val="nil"/>
                    <w:tr2bl w:val="nil"/>
                  </w:tcBorders>
                  <w:vAlign w:val="center"/>
                </w:tcPr>
                <w:p w14:paraId="6E9FB54F">
                  <w:pPr>
                    <w:pStyle w:val="15"/>
                    <w:spacing w:beforeAutospacing="0" w:afterAutospacing="0" w:line="280" w:lineRule="exact"/>
                    <w:jc w:val="center"/>
                    <w:rPr>
                      <w:rFonts w:hint="default" w:ascii="Times New Roman" w:hAnsi="Times New Roman" w:cs="Times New Roman"/>
                      <w:bCs/>
                      <w:color w:val="auto"/>
                      <w:sz w:val="21"/>
                      <w:szCs w:val="21"/>
                    </w:rPr>
                  </w:pPr>
                </w:p>
              </w:tc>
            </w:tr>
            <w:tr w14:paraId="6F67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64" w:type="dxa"/>
                  <w:vMerge w:val="continue"/>
                  <w:tcBorders>
                    <w:tl2br w:val="nil"/>
                    <w:tr2bl w:val="nil"/>
                  </w:tcBorders>
                  <w:vAlign w:val="center"/>
                </w:tcPr>
                <w:p w14:paraId="15E0D8D5">
                  <w:pPr>
                    <w:pStyle w:val="15"/>
                    <w:spacing w:beforeAutospacing="0" w:afterAutospacing="0" w:line="280" w:lineRule="exact"/>
                    <w:jc w:val="center"/>
                    <w:rPr>
                      <w:rFonts w:hint="default" w:ascii="Times New Roman" w:hAnsi="Times New Roman" w:cs="Times New Roman"/>
                      <w:bCs/>
                      <w:color w:val="FF0000"/>
                      <w:sz w:val="21"/>
                      <w:szCs w:val="21"/>
                    </w:rPr>
                  </w:pPr>
                </w:p>
              </w:tc>
              <w:tc>
                <w:tcPr>
                  <w:tcW w:w="675" w:type="dxa"/>
                  <w:tcBorders>
                    <w:tl2br w:val="nil"/>
                    <w:tr2bl w:val="nil"/>
                  </w:tcBorders>
                  <w:vAlign w:val="center"/>
                </w:tcPr>
                <w:p w14:paraId="6EA2F415">
                  <w:pPr>
                    <w:spacing w:beforeAutospacing="0" w:afterAutospacing="0" w:line="280" w:lineRule="exact"/>
                    <w:jc w:val="center"/>
                    <w:rPr>
                      <w:rFonts w:hint="eastAsia" w:cs="Times New Roman"/>
                      <w:bCs/>
                      <w:color w:val="auto"/>
                      <w:sz w:val="21"/>
                      <w:szCs w:val="21"/>
                      <w:lang w:eastAsia="zh-CN"/>
                    </w:rPr>
                  </w:pPr>
                  <w:r>
                    <w:rPr>
                      <w:rFonts w:hint="eastAsia" w:cs="Times New Roman"/>
                      <w:bCs/>
                      <w:color w:val="auto"/>
                      <w:sz w:val="21"/>
                      <w:szCs w:val="21"/>
                      <w:lang w:eastAsia="zh-CN"/>
                    </w:rPr>
                    <w:t>—</w:t>
                  </w:r>
                </w:p>
              </w:tc>
              <w:tc>
                <w:tcPr>
                  <w:tcW w:w="1740" w:type="dxa"/>
                  <w:tcBorders>
                    <w:tl2br w:val="nil"/>
                    <w:tr2bl w:val="nil"/>
                  </w:tcBorders>
                  <w:vAlign w:val="center"/>
                </w:tcPr>
                <w:p w14:paraId="7A33C710">
                  <w:pPr>
                    <w:pStyle w:val="15"/>
                    <w:spacing w:beforeAutospacing="0" w:afterAutospacing="0" w:line="280" w:lineRule="exact"/>
                    <w:jc w:val="center"/>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压滤工序废水</w:t>
                  </w:r>
                </w:p>
              </w:tc>
              <w:tc>
                <w:tcPr>
                  <w:tcW w:w="1429" w:type="dxa"/>
                  <w:vMerge w:val="continue"/>
                  <w:tcBorders>
                    <w:tl2br w:val="nil"/>
                    <w:tr2bl w:val="nil"/>
                  </w:tcBorders>
                  <w:vAlign w:val="center"/>
                </w:tcPr>
                <w:p w14:paraId="70E780BF">
                  <w:pPr>
                    <w:pStyle w:val="15"/>
                    <w:spacing w:beforeAutospacing="0" w:afterAutospacing="0" w:line="280" w:lineRule="exact"/>
                    <w:jc w:val="center"/>
                    <w:rPr>
                      <w:rFonts w:hint="default" w:ascii="Times New Roman" w:hAnsi="Times New Roman" w:cs="Times New Roman"/>
                      <w:bCs/>
                      <w:color w:val="auto"/>
                      <w:sz w:val="21"/>
                      <w:szCs w:val="21"/>
                    </w:rPr>
                  </w:pPr>
                </w:p>
              </w:tc>
              <w:tc>
                <w:tcPr>
                  <w:tcW w:w="720" w:type="dxa"/>
                  <w:vMerge w:val="continue"/>
                  <w:tcBorders>
                    <w:tl2br w:val="nil"/>
                    <w:tr2bl w:val="nil"/>
                  </w:tcBorders>
                  <w:vAlign w:val="center"/>
                </w:tcPr>
                <w:p w14:paraId="2501F7B4">
                  <w:pPr>
                    <w:pStyle w:val="15"/>
                    <w:spacing w:beforeAutospacing="0" w:afterAutospacing="0" w:line="280" w:lineRule="exact"/>
                    <w:jc w:val="center"/>
                    <w:rPr>
                      <w:rFonts w:hint="default" w:ascii="Times New Roman" w:hAnsi="Times New Roman" w:cs="Times New Roman"/>
                      <w:bCs/>
                      <w:color w:val="auto"/>
                      <w:sz w:val="21"/>
                      <w:szCs w:val="21"/>
                    </w:rPr>
                  </w:pPr>
                </w:p>
              </w:tc>
              <w:tc>
                <w:tcPr>
                  <w:tcW w:w="3311" w:type="dxa"/>
                  <w:vMerge w:val="continue"/>
                  <w:tcBorders>
                    <w:tl2br w:val="nil"/>
                    <w:tr2bl w:val="nil"/>
                  </w:tcBorders>
                  <w:vAlign w:val="center"/>
                </w:tcPr>
                <w:p w14:paraId="0CACEDDA">
                  <w:pPr>
                    <w:pStyle w:val="15"/>
                    <w:spacing w:beforeAutospacing="0" w:afterAutospacing="0" w:line="280" w:lineRule="exact"/>
                    <w:jc w:val="center"/>
                    <w:rPr>
                      <w:rFonts w:hint="default" w:ascii="Times New Roman" w:hAnsi="Times New Roman" w:cs="Times New Roman"/>
                      <w:bCs/>
                      <w:color w:val="auto"/>
                      <w:sz w:val="21"/>
                      <w:szCs w:val="21"/>
                    </w:rPr>
                  </w:pPr>
                </w:p>
              </w:tc>
            </w:tr>
            <w:tr w14:paraId="3318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64" w:type="dxa"/>
                  <w:vMerge w:val="continue"/>
                  <w:tcBorders>
                    <w:tl2br w:val="nil"/>
                    <w:tr2bl w:val="nil"/>
                  </w:tcBorders>
                  <w:vAlign w:val="center"/>
                </w:tcPr>
                <w:p w14:paraId="38F20E49">
                  <w:pPr>
                    <w:pStyle w:val="15"/>
                    <w:spacing w:beforeAutospacing="0" w:afterAutospacing="0" w:line="280" w:lineRule="exact"/>
                    <w:jc w:val="center"/>
                    <w:rPr>
                      <w:rFonts w:hint="default" w:ascii="Times New Roman" w:hAnsi="Times New Roman" w:cs="Times New Roman"/>
                      <w:bCs/>
                      <w:color w:val="FF0000"/>
                      <w:sz w:val="21"/>
                      <w:szCs w:val="21"/>
                    </w:rPr>
                  </w:pPr>
                </w:p>
              </w:tc>
              <w:tc>
                <w:tcPr>
                  <w:tcW w:w="675" w:type="dxa"/>
                  <w:tcBorders>
                    <w:tl2br w:val="nil"/>
                    <w:tr2bl w:val="nil"/>
                  </w:tcBorders>
                  <w:vAlign w:val="center"/>
                </w:tcPr>
                <w:p w14:paraId="7B652E80">
                  <w:pPr>
                    <w:spacing w:beforeAutospacing="0" w:afterAutospacing="0" w:line="280" w:lineRule="exact"/>
                    <w:jc w:val="center"/>
                    <w:rPr>
                      <w:rFonts w:hint="default" w:ascii="Times New Roman" w:hAnsi="Times New Roman" w:cs="Times New Roman"/>
                      <w:bCs/>
                      <w:color w:val="auto"/>
                      <w:sz w:val="21"/>
                      <w:szCs w:val="21"/>
                    </w:rPr>
                  </w:pPr>
                  <w:r>
                    <w:rPr>
                      <w:rFonts w:hint="eastAsia" w:cs="Times New Roman"/>
                      <w:bCs/>
                      <w:color w:val="auto"/>
                      <w:sz w:val="21"/>
                      <w:szCs w:val="21"/>
                      <w:lang w:eastAsia="zh-CN"/>
                    </w:rPr>
                    <w:t>—</w:t>
                  </w:r>
                </w:p>
              </w:tc>
              <w:tc>
                <w:tcPr>
                  <w:tcW w:w="1740" w:type="dxa"/>
                  <w:tcBorders>
                    <w:tl2br w:val="nil"/>
                    <w:tr2bl w:val="nil"/>
                  </w:tcBorders>
                  <w:vAlign w:val="center"/>
                </w:tcPr>
                <w:p w14:paraId="39EF7E25">
                  <w:pPr>
                    <w:pStyle w:val="15"/>
                    <w:spacing w:beforeAutospacing="0" w:afterAutospacing="0" w:line="280" w:lineRule="exact"/>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生活废水</w:t>
                  </w:r>
                </w:p>
              </w:tc>
              <w:tc>
                <w:tcPr>
                  <w:tcW w:w="1429" w:type="dxa"/>
                  <w:vMerge w:val="continue"/>
                  <w:tcBorders>
                    <w:tl2br w:val="nil"/>
                    <w:tr2bl w:val="nil"/>
                  </w:tcBorders>
                  <w:vAlign w:val="center"/>
                </w:tcPr>
                <w:p w14:paraId="6715A7EC">
                  <w:pPr>
                    <w:pStyle w:val="15"/>
                    <w:spacing w:beforeAutospacing="0" w:afterAutospacing="0" w:line="280" w:lineRule="exact"/>
                    <w:jc w:val="center"/>
                    <w:rPr>
                      <w:rFonts w:hint="default" w:ascii="Times New Roman" w:hAnsi="Times New Roman" w:cs="Times New Roman"/>
                      <w:bCs/>
                      <w:color w:val="auto"/>
                      <w:sz w:val="21"/>
                      <w:szCs w:val="21"/>
                    </w:rPr>
                  </w:pPr>
                </w:p>
              </w:tc>
              <w:tc>
                <w:tcPr>
                  <w:tcW w:w="720" w:type="dxa"/>
                  <w:vMerge w:val="continue"/>
                  <w:tcBorders>
                    <w:tl2br w:val="nil"/>
                    <w:tr2bl w:val="nil"/>
                  </w:tcBorders>
                  <w:vAlign w:val="center"/>
                </w:tcPr>
                <w:p w14:paraId="1D546C74">
                  <w:pPr>
                    <w:pStyle w:val="15"/>
                    <w:spacing w:beforeAutospacing="0" w:afterAutospacing="0" w:line="280" w:lineRule="exact"/>
                    <w:jc w:val="center"/>
                    <w:rPr>
                      <w:rFonts w:hint="default" w:ascii="Times New Roman" w:hAnsi="Times New Roman" w:cs="Times New Roman"/>
                      <w:bCs/>
                      <w:color w:val="auto"/>
                      <w:sz w:val="21"/>
                      <w:szCs w:val="21"/>
                    </w:rPr>
                  </w:pPr>
                </w:p>
              </w:tc>
              <w:tc>
                <w:tcPr>
                  <w:tcW w:w="3311" w:type="dxa"/>
                  <w:tcBorders>
                    <w:tl2br w:val="nil"/>
                    <w:tr2bl w:val="nil"/>
                  </w:tcBorders>
                  <w:vAlign w:val="center"/>
                </w:tcPr>
                <w:p w14:paraId="6885BF25">
                  <w:pPr>
                    <w:pStyle w:val="15"/>
                    <w:spacing w:beforeAutospacing="0" w:afterAutospacing="0" w:line="280" w:lineRule="exact"/>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泼洒抑尘</w:t>
                  </w:r>
                </w:p>
              </w:tc>
            </w:tr>
            <w:tr w14:paraId="094E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64" w:type="dxa"/>
                  <w:tcBorders>
                    <w:tl2br w:val="nil"/>
                    <w:tr2bl w:val="nil"/>
                  </w:tcBorders>
                  <w:vAlign w:val="center"/>
                </w:tcPr>
                <w:p w14:paraId="197A4DC7">
                  <w:pPr>
                    <w:pStyle w:val="87"/>
                    <w:spacing w:line="280" w:lineRule="exact"/>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噪声</w:t>
                  </w:r>
                </w:p>
              </w:tc>
              <w:tc>
                <w:tcPr>
                  <w:tcW w:w="675" w:type="dxa"/>
                  <w:tcBorders>
                    <w:tl2br w:val="nil"/>
                    <w:tr2bl w:val="nil"/>
                  </w:tcBorders>
                  <w:vAlign w:val="center"/>
                </w:tcPr>
                <w:p w14:paraId="62A93EDC">
                  <w:pPr>
                    <w:pStyle w:val="87"/>
                    <w:spacing w:line="280" w:lineRule="exact"/>
                    <w:ind w:firstLine="0" w:firstLineChars="0"/>
                    <w:jc w:val="center"/>
                    <w:rPr>
                      <w:rFonts w:hint="default" w:ascii="Times New Roman" w:hAnsi="Times New Roman" w:cs="Times New Roman"/>
                      <w:bCs/>
                      <w:color w:val="auto"/>
                      <w:sz w:val="21"/>
                      <w:szCs w:val="21"/>
                      <w:shd w:val="clear" w:color="auto" w:fill="auto"/>
                    </w:rPr>
                  </w:pPr>
                  <w:r>
                    <w:rPr>
                      <w:rFonts w:hint="default" w:ascii="Times New Roman" w:hAnsi="Times New Roman" w:cs="Times New Roman"/>
                      <w:bCs/>
                      <w:color w:val="auto"/>
                      <w:sz w:val="21"/>
                      <w:szCs w:val="21"/>
                      <w:shd w:val="clear" w:color="auto" w:fill="auto"/>
                    </w:rPr>
                    <w:t>N</w:t>
                  </w:r>
                </w:p>
              </w:tc>
              <w:tc>
                <w:tcPr>
                  <w:tcW w:w="1740" w:type="dxa"/>
                  <w:tcBorders>
                    <w:tl2br w:val="nil"/>
                    <w:tr2bl w:val="nil"/>
                  </w:tcBorders>
                  <w:vAlign w:val="center"/>
                </w:tcPr>
                <w:p w14:paraId="6AAC3CC6">
                  <w:pPr>
                    <w:pStyle w:val="15"/>
                    <w:spacing w:beforeAutospacing="0" w:afterAutospacing="0" w:line="280" w:lineRule="exact"/>
                    <w:jc w:val="center"/>
                    <w:rPr>
                      <w:rFonts w:hint="default" w:ascii="Times New Roman" w:hAnsi="Times New Roman" w:eastAsia="宋体" w:cs="Times New Roman"/>
                      <w:color w:val="auto"/>
                      <w:sz w:val="21"/>
                      <w:szCs w:val="21"/>
                      <w:shd w:val="clear" w:color="auto" w:fill="auto"/>
                      <w:lang w:val="en-US" w:eastAsia="zh-CN"/>
                    </w:rPr>
                  </w:pPr>
                  <w:r>
                    <w:rPr>
                      <w:rFonts w:hint="default" w:ascii="Times New Roman" w:hAnsi="Times New Roman" w:cs="Times New Roman"/>
                      <w:color w:val="auto"/>
                      <w:sz w:val="21"/>
                      <w:szCs w:val="21"/>
                      <w:shd w:val="clear" w:color="auto" w:fill="auto"/>
                    </w:rPr>
                    <w:t>机械设备及风机</w:t>
                  </w:r>
                  <w:r>
                    <w:rPr>
                      <w:rFonts w:hint="default" w:ascii="Times New Roman" w:hAnsi="Times New Roman" w:cs="Times New Roman"/>
                      <w:color w:val="auto"/>
                      <w:sz w:val="21"/>
                      <w:szCs w:val="21"/>
                      <w:shd w:val="clear" w:color="auto" w:fill="auto"/>
                      <w:lang w:val="en-US" w:eastAsia="zh-CN"/>
                    </w:rPr>
                    <w:t>等</w:t>
                  </w:r>
                </w:p>
              </w:tc>
              <w:tc>
                <w:tcPr>
                  <w:tcW w:w="1429" w:type="dxa"/>
                  <w:tcBorders>
                    <w:tl2br w:val="nil"/>
                    <w:tr2bl w:val="nil"/>
                  </w:tcBorders>
                  <w:vAlign w:val="center"/>
                </w:tcPr>
                <w:p w14:paraId="0A180B41">
                  <w:pPr>
                    <w:pStyle w:val="15"/>
                    <w:spacing w:beforeAutospacing="0" w:afterAutospacing="0" w:line="280" w:lineRule="exact"/>
                    <w:jc w:val="center"/>
                    <w:rPr>
                      <w:rFonts w:hint="default" w:ascii="Times New Roman" w:hAnsi="Times New Roman" w:cs="Times New Roman"/>
                      <w:color w:val="auto"/>
                      <w:sz w:val="21"/>
                      <w:szCs w:val="21"/>
                      <w:shd w:val="clear" w:color="auto" w:fill="auto"/>
                    </w:rPr>
                  </w:pPr>
                  <w:r>
                    <w:rPr>
                      <w:rFonts w:hint="default" w:ascii="Times New Roman" w:hAnsi="Times New Roman" w:cs="Times New Roman"/>
                      <w:color w:val="auto"/>
                      <w:sz w:val="21"/>
                      <w:szCs w:val="21"/>
                      <w:shd w:val="clear" w:color="auto" w:fill="auto"/>
                    </w:rPr>
                    <w:t>Leq（A）</w:t>
                  </w:r>
                </w:p>
              </w:tc>
              <w:tc>
                <w:tcPr>
                  <w:tcW w:w="720" w:type="dxa"/>
                  <w:tcBorders>
                    <w:tl2br w:val="nil"/>
                    <w:tr2bl w:val="nil"/>
                  </w:tcBorders>
                  <w:vAlign w:val="center"/>
                </w:tcPr>
                <w:p w14:paraId="6A50D6F4">
                  <w:pPr>
                    <w:pStyle w:val="15"/>
                    <w:spacing w:beforeAutospacing="0" w:afterAutospacing="0" w:line="280" w:lineRule="exact"/>
                    <w:jc w:val="center"/>
                    <w:rPr>
                      <w:rFonts w:hint="default" w:ascii="Times New Roman" w:hAnsi="Times New Roman" w:cs="Times New Roman"/>
                      <w:color w:val="auto"/>
                      <w:sz w:val="21"/>
                      <w:szCs w:val="21"/>
                      <w:shd w:val="clear" w:color="auto" w:fill="auto"/>
                    </w:rPr>
                  </w:pPr>
                  <w:r>
                    <w:rPr>
                      <w:rFonts w:hint="default" w:ascii="Times New Roman" w:hAnsi="Times New Roman" w:cs="Times New Roman"/>
                      <w:color w:val="auto"/>
                      <w:sz w:val="21"/>
                      <w:szCs w:val="21"/>
                      <w:shd w:val="clear" w:color="auto" w:fill="auto"/>
                    </w:rPr>
                    <w:t>连续</w:t>
                  </w:r>
                </w:p>
              </w:tc>
              <w:tc>
                <w:tcPr>
                  <w:tcW w:w="3311" w:type="dxa"/>
                  <w:tcBorders>
                    <w:tl2br w:val="nil"/>
                    <w:tr2bl w:val="nil"/>
                  </w:tcBorders>
                  <w:vAlign w:val="center"/>
                </w:tcPr>
                <w:p w14:paraId="28867738">
                  <w:pPr>
                    <w:pStyle w:val="15"/>
                    <w:spacing w:beforeAutospacing="0" w:afterAutospacing="0" w:line="280" w:lineRule="exact"/>
                    <w:jc w:val="center"/>
                    <w:rPr>
                      <w:rFonts w:hint="default" w:ascii="Times New Roman" w:hAnsi="Times New Roman" w:cs="Times New Roman"/>
                      <w:color w:val="auto"/>
                      <w:sz w:val="21"/>
                      <w:szCs w:val="21"/>
                      <w:shd w:val="clear" w:color="auto" w:fill="auto"/>
                    </w:rPr>
                  </w:pPr>
                  <w:r>
                    <w:rPr>
                      <w:rFonts w:hint="default" w:ascii="Times New Roman" w:hAnsi="Times New Roman" w:cs="Times New Roman"/>
                      <w:color w:val="auto"/>
                      <w:sz w:val="21"/>
                      <w:szCs w:val="21"/>
                      <w:shd w:val="clear" w:color="auto" w:fill="auto"/>
                    </w:rPr>
                    <w:t>基础减振、厂房隔声等</w:t>
                  </w:r>
                </w:p>
              </w:tc>
            </w:tr>
            <w:tr w14:paraId="0932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64" w:type="dxa"/>
                  <w:vMerge w:val="restart"/>
                  <w:tcBorders>
                    <w:tl2br w:val="nil"/>
                    <w:tr2bl w:val="nil"/>
                  </w:tcBorders>
                  <w:vAlign w:val="center"/>
                </w:tcPr>
                <w:p w14:paraId="71CF742B">
                  <w:pPr>
                    <w:pStyle w:val="87"/>
                    <w:spacing w:line="280" w:lineRule="exact"/>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固废</w:t>
                  </w:r>
                </w:p>
              </w:tc>
              <w:tc>
                <w:tcPr>
                  <w:tcW w:w="675" w:type="dxa"/>
                  <w:tcBorders>
                    <w:tl2br w:val="nil"/>
                    <w:tr2bl w:val="nil"/>
                  </w:tcBorders>
                  <w:vAlign w:val="center"/>
                </w:tcPr>
                <w:p w14:paraId="7C9FFB90">
                  <w:pPr>
                    <w:autoSpaceDE w:val="0"/>
                    <w:autoSpaceDN w:val="0"/>
                    <w:adjustRightInd w:val="0"/>
                    <w:spacing w:line="280" w:lineRule="exact"/>
                    <w:jc w:val="center"/>
                    <w:rPr>
                      <w:rFonts w:hint="default" w:ascii="Times New Roman" w:hAnsi="Times New Roman" w:cs="Times New Roman"/>
                      <w:color w:val="auto"/>
                      <w:kern w:val="0"/>
                      <w:szCs w:val="21"/>
                      <w:shd w:val="clear" w:color="auto" w:fill="auto"/>
                      <w:lang w:val="en-US"/>
                    </w:rPr>
                  </w:pPr>
                  <w:r>
                    <w:rPr>
                      <w:rFonts w:hint="eastAsia" w:cs="Times New Roman"/>
                      <w:bCs/>
                      <w:color w:val="auto"/>
                      <w:sz w:val="21"/>
                      <w:szCs w:val="21"/>
                      <w:lang w:val="en-US" w:eastAsia="zh-CN"/>
                    </w:rPr>
                    <w:t>S</w:t>
                  </w:r>
                  <w:r>
                    <w:rPr>
                      <w:rFonts w:hint="eastAsia" w:cs="Times New Roman"/>
                      <w:bCs/>
                      <w:color w:val="auto"/>
                      <w:sz w:val="21"/>
                      <w:szCs w:val="21"/>
                      <w:vertAlign w:val="subscript"/>
                      <w:lang w:val="en-US" w:eastAsia="zh-CN"/>
                    </w:rPr>
                    <w:t>1</w:t>
                  </w:r>
                </w:p>
              </w:tc>
              <w:tc>
                <w:tcPr>
                  <w:tcW w:w="1740" w:type="dxa"/>
                  <w:tcBorders>
                    <w:tl2br w:val="nil"/>
                    <w:tr2bl w:val="nil"/>
                  </w:tcBorders>
                  <w:vAlign w:val="center"/>
                </w:tcPr>
                <w:p w14:paraId="44E8017B">
                  <w:pPr>
                    <w:pStyle w:val="87"/>
                    <w:spacing w:line="280" w:lineRule="exact"/>
                    <w:ind w:firstLine="0" w:firstLineChars="0"/>
                    <w:jc w:val="center"/>
                    <w:rPr>
                      <w:rFonts w:hint="default" w:ascii="Times New Roman" w:hAnsi="Times New Roman" w:eastAsia="宋体"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沉淀池</w:t>
                  </w:r>
                </w:p>
              </w:tc>
              <w:tc>
                <w:tcPr>
                  <w:tcW w:w="1429" w:type="dxa"/>
                  <w:vMerge w:val="restart"/>
                  <w:tcBorders>
                    <w:tl2br w:val="nil"/>
                    <w:tr2bl w:val="nil"/>
                  </w:tcBorders>
                  <w:vAlign w:val="center"/>
                </w:tcPr>
                <w:p w14:paraId="62CABA60">
                  <w:pPr>
                    <w:pStyle w:val="87"/>
                    <w:spacing w:line="280" w:lineRule="exact"/>
                    <w:ind w:firstLine="0" w:firstLineChars="0"/>
                    <w:jc w:val="center"/>
                    <w:rPr>
                      <w:rFonts w:hint="default" w:ascii="Times New Roman" w:hAnsi="Times New Roman" w:eastAsia="宋体"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底泥</w:t>
                  </w:r>
                </w:p>
              </w:tc>
              <w:tc>
                <w:tcPr>
                  <w:tcW w:w="720" w:type="dxa"/>
                  <w:tcBorders>
                    <w:tl2br w:val="nil"/>
                    <w:tr2bl w:val="nil"/>
                  </w:tcBorders>
                  <w:vAlign w:val="center"/>
                </w:tcPr>
                <w:p w14:paraId="60962D3E">
                  <w:pPr>
                    <w:spacing w:line="280" w:lineRule="exact"/>
                    <w:jc w:val="center"/>
                    <w:rPr>
                      <w:rFonts w:hint="default" w:ascii="Times New Roman" w:hAnsi="Times New Roman" w:cs="Times New Roman"/>
                      <w:color w:val="auto"/>
                      <w:szCs w:val="21"/>
                      <w:shd w:val="clear" w:color="auto" w:fill="auto"/>
                    </w:rPr>
                  </w:pPr>
                  <w:r>
                    <w:rPr>
                      <w:rFonts w:hint="default" w:ascii="Times New Roman" w:hAnsi="Times New Roman" w:cs="Times New Roman"/>
                      <w:color w:val="auto"/>
                      <w:szCs w:val="21"/>
                      <w:shd w:val="clear" w:color="auto" w:fill="auto"/>
                    </w:rPr>
                    <w:t>间断</w:t>
                  </w:r>
                </w:p>
              </w:tc>
              <w:tc>
                <w:tcPr>
                  <w:tcW w:w="3311" w:type="dxa"/>
                  <w:vMerge w:val="restart"/>
                  <w:tcBorders>
                    <w:tl2br w:val="nil"/>
                    <w:tr2bl w:val="nil"/>
                  </w:tcBorders>
                  <w:vAlign w:val="center"/>
                </w:tcPr>
                <w:p w14:paraId="6682F325">
                  <w:pPr>
                    <w:spacing w:line="280" w:lineRule="exact"/>
                    <w:jc w:val="center"/>
                    <w:rPr>
                      <w:rFonts w:hint="default" w:ascii="Times New Roman" w:hAnsi="Times New Roman" w:eastAsia="宋体" w:cs="Times New Roman"/>
                      <w:color w:val="auto"/>
                      <w:szCs w:val="21"/>
                      <w:shd w:val="clear" w:color="auto" w:fill="auto"/>
                      <w:lang w:eastAsia="zh-CN"/>
                    </w:rPr>
                  </w:pPr>
                  <w:r>
                    <w:rPr>
                      <w:rFonts w:hint="eastAsia" w:cs="Times New Roman"/>
                      <w:color w:val="ED7D31" w:themeColor="accent2"/>
                      <w:szCs w:val="21"/>
                      <w:shd w:val="clear" w:color="auto" w:fill="auto"/>
                      <w:lang w:val="en-US" w:eastAsia="zh-CN"/>
                      <w14:textFill>
                        <w14:solidFill>
                          <w14:schemeClr w14:val="accent2"/>
                        </w14:solidFill>
                      </w14:textFill>
                    </w:rPr>
                    <w:t>外售</w:t>
                  </w:r>
                </w:p>
              </w:tc>
            </w:tr>
            <w:tr w14:paraId="3185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64" w:type="dxa"/>
                  <w:vMerge w:val="continue"/>
                  <w:tcBorders>
                    <w:tl2br w:val="nil"/>
                    <w:tr2bl w:val="nil"/>
                  </w:tcBorders>
                  <w:vAlign w:val="center"/>
                </w:tcPr>
                <w:p w14:paraId="5701ABB1">
                  <w:pPr>
                    <w:pStyle w:val="87"/>
                    <w:spacing w:line="280" w:lineRule="exact"/>
                    <w:ind w:firstLine="0" w:firstLineChars="0"/>
                    <w:jc w:val="center"/>
                    <w:rPr>
                      <w:rFonts w:hint="default" w:ascii="Times New Roman" w:hAnsi="Times New Roman" w:cs="Times New Roman"/>
                      <w:bCs/>
                      <w:color w:val="auto"/>
                      <w:sz w:val="21"/>
                      <w:szCs w:val="21"/>
                    </w:rPr>
                  </w:pPr>
                </w:p>
              </w:tc>
              <w:tc>
                <w:tcPr>
                  <w:tcW w:w="675" w:type="dxa"/>
                  <w:tcBorders>
                    <w:tl2br w:val="nil"/>
                    <w:tr2bl w:val="nil"/>
                  </w:tcBorders>
                  <w:vAlign w:val="center"/>
                </w:tcPr>
                <w:p w14:paraId="09D75EE6">
                  <w:pPr>
                    <w:autoSpaceDE w:val="0"/>
                    <w:autoSpaceDN w:val="0"/>
                    <w:adjustRightInd w:val="0"/>
                    <w:spacing w:line="280" w:lineRule="exact"/>
                    <w:jc w:val="center"/>
                    <w:rPr>
                      <w:rFonts w:hint="eastAsia" w:cs="Times New Roman"/>
                      <w:bCs/>
                      <w:color w:val="auto"/>
                      <w:sz w:val="21"/>
                      <w:szCs w:val="21"/>
                      <w:lang w:val="en-US" w:eastAsia="zh-CN"/>
                    </w:rPr>
                  </w:pPr>
                  <w:r>
                    <w:rPr>
                      <w:rFonts w:hint="eastAsia" w:cs="Times New Roman"/>
                      <w:bCs/>
                      <w:color w:val="auto"/>
                      <w:sz w:val="21"/>
                      <w:szCs w:val="21"/>
                      <w:lang w:val="en-US" w:eastAsia="zh-CN"/>
                    </w:rPr>
                    <w:t>—</w:t>
                  </w:r>
                </w:p>
              </w:tc>
              <w:tc>
                <w:tcPr>
                  <w:tcW w:w="1740" w:type="dxa"/>
                  <w:tcBorders>
                    <w:tl2br w:val="nil"/>
                    <w:tr2bl w:val="nil"/>
                  </w:tcBorders>
                  <w:vAlign w:val="center"/>
                </w:tcPr>
                <w:p w14:paraId="425D846B">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喷淋塔</w:t>
                  </w:r>
                </w:p>
              </w:tc>
              <w:tc>
                <w:tcPr>
                  <w:tcW w:w="1429" w:type="dxa"/>
                  <w:vMerge w:val="continue"/>
                  <w:tcBorders>
                    <w:tl2br w:val="nil"/>
                    <w:tr2bl w:val="nil"/>
                  </w:tcBorders>
                  <w:vAlign w:val="center"/>
                </w:tcPr>
                <w:p w14:paraId="65E7BD30">
                  <w:pPr>
                    <w:pStyle w:val="87"/>
                    <w:spacing w:line="280" w:lineRule="exact"/>
                    <w:ind w:firstLine="0" w:firstLineChars="0"/>
                    <w:jc w:val="center"/>
                    <w:rPr>
                      <w:rFonts w:hint="default" w:ascii="Times New Roman" w:hAnsi="Times New Roman" w:eastAsia="宋体" w:cs="Times New Roman"/>
                      <w:bCs/>
                      <w:color w:val="auto"/>
                      <w:sz w:val="21"/>
                      <w:szCs w:val="21"/>
                      <w:shd w:val="clear" w:color="auto" w:fill="auto"/>
                      <w:lang w:val="en-US" w:eastAsia="zh-CN"/>
                    </w:rPr>
                  </w:pPr>
                </w:p>
              </w:tc>
              <w:tc>
                <w:tcPr>
                  <w:tcW w:w="720" w:type="dxa"/>
                  <w:tcBorders>
                    <w:tl2br w:val="nil"/>
                    <w:tr2bl w:val="nil"/>
                  </w:tcBorders>
                  <w:vAlign w:val="center"/>
                </w:tcPr>
                <w:p w14:paraId="2868DF0B">
                  <w:pPr>
                    <w:spacing w:line="280" w:lineRule="exact"/>
                    <w:jc w:val="center"/>
                    <w:rPr>
                      <w:rFonts w:hint="default" w:ascii="Times New Roman" w:hAnsi="Times New Roman" w:cs="Times New Roman"/>
                      <w:color w:val="auto"/>
                      <w:szCs w:val="21"/>
                      <w:shd w:val="clear" w:color="auto" w:fill="auto"/>
                    </w:rPr>
                  </w:pPr>
                  <w:r>
                    <w:rPr>
                      <w:rFonts w:hint="default" w:ascii="Times New Roman" w:hAnsi="Times New Roman" w:cs="Times New Roman"/>
                      <w:color w:val="auto"/>
                      <w:szCs w:val="21"/>
                      <w:shd w:val="clear" w:color="auto" w:fill="auto"/>
                    </w:rPr>
                    <w:t>间断</w:t>
                  </w:r>
                </w:p>
              </w:tc>
              <w:tc>
                <w:tcPr>
                  <w:tcW w:w="3311" w:type="dxa"/>
                  <w:vMerge w:val="continue"/>
                  <w:tcBorders>
                    <w:tl2br w:val="nil"/>
                    <w:tr2bl w:val="nil"/>
                  </w:tcBorders>
                  <w:vAlign w:val="center"/>
                </w:tcPr>
                <w:p w14:paraId="662F6CB9">
                  <w:pPr>
                    <w:spacing w:line="280" w:lineRule="exact"/>
                    <w:jc w:val="center"/>
                    <w:rPr>
                      <w:rFonts w:hint="default" w:ascii="Times New Roman" w:hAnsi="Times New Roman" w:cs="Times New Roman"/>
                      <w:color w:val="auto"/>
                      <w:szCs w:val="21"/>
                      <w:shd w:val="clear" w:color="auto" w:fill="auto"/>
                      <w:lang w:val="en-US" w:eastAsia="zh-CN"/>
                    </w:rPr>
                  </w:pPr>
                </w:p>
              </w:tc>
            </w:tr>
            <w:tr w14:paraId="7FD2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64" w:type="dxa"/>
                  <w:vMerge w:val="continue"/>
                  <w:tcBorders>
                    <w:tl2br w:val="nil"/>
                    <w:tr2bl w:val="nil"/>
                  </w:tcBorders>
                  <w:vAlign w:val="center"/>
                </w:tcPr>
                <w:p w14:paraId="2F268B83">
                  <w:pPr>
                    <w:pStyle w:val="87"/>
                    <w:spacing w:line="280" w:lineRule="exact"/>
                    <w:ind w:firstLine="0" w:firstLineChars="0"/>
                    <w:jc w:val="center"/>
                    <w:rPr>
                      <w:rFonts w:hint="default" w:ascii="Times New Roman" w:hAnsi="Times New Roman" w:cs="Times New Roman"/>
                      <w:bCs/>
                      <w:color w:val="auto"/>
                      <w:sz w:val="21"/>
                      <w:szCs w:val="21"/>
                    </w:rPr>
                  </w:pPr>
                </w:p>
              </w:tc>
              <w:tc>
                <w:tcPr>
                  <w:tcW w:w="675" w:type="dxa"/>
                  <w:vMerge w:val="restart"/>
                  <w:tcBorders>
                    <w:tl2br w:val="nil"/>
                    <w:tr2bl w:val="nil"/>
                  </w:tcBorders>
                  <w:vAlign w:val="center"/>
                </w:tcPr>
                <w:p w14:paraId="4BAAA213">
                  <w:pPr>
                    <w:autoSpaceDE w:val="0"/>
                    <w:autoSpaceDN w:val="0"/>
                    <w:adjustRightInd w:val="0"/>
                    <w:spacing w:line="280" w:lineRule="exact"/>
                    <w:jc w:val="center"/>
                    <w:rPr>
                      <w:rFonts w:hint="eastAsia" w:cs="Times New Roman"/>
                      <w:bCs/>
                      <w:color w:val="auto"/>
                      <w:sz w:val="21"/>
                      <w:szCs w:val="21"/>
                      <w:lang w:val="en-US" w:eastAsia="zh-CN"/>
                    </w:rPr>
                  </w:pPr>
                  <w:r>
                    <w:rPr>
                      <w:rFonts w:hint="eastAsia" w:cs="Times New Roman"/>
                      <w:bCs/>
                      <w:color w:val="auto"/>
                      <w:sz w:val="21"/>
                      <w:szCs w:val="21"/>
                      <w:lang w:val="en-US" w:eastAsia="zh-CN"/>
                    </w:rPr>
                    <w:t>—</w:t>
                  </w:r>
                </w:p>
              </w:tc>
              <w:tc>
                <w:tcPr>
                  <w:tcW w:w="1740" w:type="dxa"/>
                  <w:vMerge w:val="restart"/>
                  <w:tcBorders>
                    <w:tl2br w:val="nil"/>
                    <w:tr2bl w:val="nil"/>
                  </w:tcBorders>
                  <w:vAlign w:val="center"/>
                </w:tcPr>
                <w:p w14:paraId="543DE0C4">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除尘器</w:t>
                  </w:r>
                </w:p>
              </w:tc>
              <w:tc>
                <w:tcPr>
                  <w:tcW w:w="1429" w:type="dxa"/>
                  <w:tcBorders>
                    <w:tl2br w:val="nil"/>
                    <w:tr2bl w:val="nil"/>
                  </w:tcBorders>
                  <w:vAlign w:val="center"/>
                </w:tcPr>
                <w:p w14:paraId="242124D8">
                  <w:pPr>
                    <w:pStyle w:val="87"/>
                    <w:spacing w:line="280" w:lineRule="exact"/>
                    <w:ind w:firstLine="0" w:firstLineChars="0"/>
                    <w:jc w:val="center"/>
                    <w:rPr>
                      <w:rFonts w:hint="default" w:ascii="Times New Roman" w:hAnsi="Times New Roman" w:eastAsia="宋体"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除尘灰</w:t>
                  </w:r>
                </w:p>
              </w:tc>
              <w:tc>
                <w:tcPr>
                  <w:tcW w:w="720" w:type="dxa"/>
                  <w:tcBorders>
                    <w:tl2br w:val="nil"/>
                    <w:tr2bl w:val="nil"/>
                  </w:tcBorders>
                  <w:vAlign w:val="center"/>
                </w:tcPr>
                <w:p w14:paraId="19EDA815">
                  <w:pPr>
                    <w:spacing w:line="280" w:lineRule="exact"/>
                    <w:jc w:val="center"/>
                    <w:rPr>
                      <w:rFonts w:hint="default" w:ascii="Times New Roman" w:hAnsi="Times New Roman" w:cs="Times New Roman"/>
                      <w:color w:val="auto"/>
                      <w:szCs w:val="21"/>
                      <w:shd w:val="clear" w:color="auto" w:fill="auto"/>
                    </w:rPr>
                  </w:pPr>
                  <w:r>
                    <w:rPr>
                      <w:rFonts w:hint="default" w:ascii="Times New Roman" w:hAnsi="Times New Roman" w:cs="Times New Roman"/>
                      <w:color w:val="auto"/>
                      <w:szCs w:val="21"/>
                      <w:shd w:val="clear" w:color="auto" w:fill="auto"/>
                    </w:rPr>
                    <w:t>间断</w:t>
                  </w:r>
                </w:p>
              </w:tc>
              <w:tc>
                <w:tcPr>
                  <w:tcW w:w="3311" w:type="dxa"/>
                  <w:vMerge w:val="continue"/>
                  <w:tcBorders>
                    <w:tl2br w:val="nil"/>
                    <w:tr2bl w:val="nil"/>
                  </w:tcBorders>
                  <w:vAlign w:val="center"/>
                </w:tcPr>
                <w:p w14:paraId="63F2F1E3">
                  <w:pPr>
                    <w:spacing w:line="280" w:lineRule="exact"/>
                    <w:jc w:val="center"/>
                    <w:rPr>
                      <w:rFonts w:hint="default" w:ascii="Times New Roman" w:hAnsi="Times New Roman" w:cs="Times New Roman"/>
                      <w:color w:val="auto"/>
                      <w:szCs w:val="21"/>
                      <w:shd w:val="clear" w:color="auto" w:fill="auto"/>
                      <w:lang w:val="en-US" w:eastAsia="zh-CN"/>
                    </w:rPr>
                  </w:pPr>
                </w:p>
              </w:tc>
            </w:tr>
            <w:tr w14:paraId="6388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64" w:type="dxa"/>
                  <w:vMerge w:val="continue"/>
                  <w:tcBorders>
                    <w:tl2br w:val="nil"/>
                    <w:tr2bl w:val="nil"/>
                  </w:tcBorders>
                  <w:vAlign w:val="center"/>
                </w:tcPr>
                <w:p w14:paraId="006BBDE4">
                  <w:pPr>
                    <w:pStyle w:val="87"/>
                    <w:spacing w:line="280" w:lineRule="exact"/>
                    <w:ind w:firstLine="0" w:firstLineChars="0"/>
                    <w:jc w:val="center"/>
                    <w:rPr>
                      <w:rFonts w:hint="default" w:ascii="Times New Roman" w:hAnsi="Times New Roman" w:cs="Times New Roman"/>
                      <w:bCs/>
                      <w:color w:val="auto"/>
                      <w:sz w:val="21"/>
                      <w:szCs w:val="21"/>
                    </w:rPr>
                  </w:pPr>
                </w:p>
              </w:tc>
              <w:tc>
                <w:tcPr>
                  <w:tcW w:w="675" w:type="dxa"/>
                  <w:vMerge w:val="continue"/>
                  <w:tcBorders>
                    <w:tl2br w:val="nil"/>
                    <w:tr2bl w:val="nil"/>
                  </w:tcBorders>
                  <w:vAlign w:val="center"/>
                </w:tcPr>
                <w:p w14:paraId="7AEC8909">
                  <w:pPr>
                    <w:autoSpaceDE w:val="0"/>
                    <w:autoSpaceDN w:val="0"/>
                    <w:adjustRightInd w:val="0"/>
                    <w:spacing w:line="280" w:lineRule="exact"/>
                    <w:jc w:val="center"/>
                    <w:rPr>
                      <w:rFonts w:hint="eastAsia" w:cs="Times New Roman"/>
                      <w:bCs/>
                      <w:color w:val="auto"/>
                      <w:sz w:val="21"/>
                      <w:szCs w:val="21"/>
                      <w:lang w:val="en-US" w:eastAsia="zh-CN"/>
                    </w:rPr>
                  </w:pPr>
                </w:p>
              </w:tc>
              <w:tc>
                <w:tcPr>
                  <w:tcW w:w="1740" w:type="dxa"/>
                  <w:vMerge w:val="continue"/>
                  <w:tcBorders>
                    <w:tl2br w:val="nil"/>
                    <w:tr2bl w:val="nil"/>
                  </w:tcBorders>
                  <w:vAlign w:val="center"/>
                </w:tcPr>
                <w:p w14:paraId="17A0D9A8">
                  <w:pPr>
                    <w:pStyle w:val="87"/>
                    <w:spacing w:line="280" w:lineRule="exact"/>
                    <w:ind w:firstLine="0" w:firstLineChars="0"/>
                    <w:jc w:val="center"/>
                    <w:rPr>
                      <w:rFonts w:hint="eastAsia" w:ascii="Times New Roman" w:hAnsi="Times New Roman" w:cs="Times New Roman"/>
                      <w:bCs/>
                      <w:color w:val="auto"/>
                      <w:sz w:val="21"/>
                      <w:szCs w:val="21"/>
                      <w:shd w:val="clear" w:color="auto" w:fill="auto"/>
                      <w:lang w:val="en-US" w:eastAsia="zh-CN"/>
                    </w:rPr>
                  </w:pPr>
                </w:p>
              </w:tc>
              <w:tc>
                <w:tcPr>
                  <w:tcW w:w="1429" w:type="dxa"/>
                  <w:tcBorders>
                    <w:tl2br w:val="nil"/>
                    <w:tr2bl w:val="nil"/>
                  </w:tcBorders>
                  <w:vAlign w:val="center"/>
                </w:tcPr>
                <w:p w14:paraId="08E11085">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废布袋</w:t>
                  </w:r>
                </w:p>
              </w:tc>
              <w:tc>
                <w:tcPr>
                  <w:tcW w:w="720" w:type="dxa"/>
                  <w:tcBorders>
                    <w:tl2br w:val="nil"/>
                    <w:tr2bl w:val="nil"/>
                  </w:tcBorders>
                  <w:vAlign w:val="center"/>
                </w:tcPr>
                <w:p w14:paraId="3260824D">
                  <w:pPr>
                    <w:spacing w:line="280" w:lineRule="exact"/>
                    <w:jc w:val="center"/>
                    <w:rPr>
                      <w:rFonts w:hint="default" w:ascii="Times New Roman" w:hAnsi="Times New Roman" w:eastAsia="宋体" w:cs="Times New Roman"/>
                      <w:color w:val="auto"/>
                      <w:szCs w:val="21"/>
                      <w:shd w:val="clear" w:color="auto" w:fill="auto"/>
                      <w:lang w:val="en-US" w:eastAsia="zh-CN"/>
                    </w:rPr>
                  </w:pPr>
                  <w:r>
                    <w:rPr>
                      <w:rFonts w:hint="eastAsia" w:cs="Times New Roman"/>
                      <w:color w:val="auto"/>
                      <w:szCs w:val="21"/>
                      <w:shd w:val="clear" w:color="auto" w:fill="auto"/>
                      <w:lang w:val="en-US" w:eastAsia="zh-CN"/>
                    </w:rPr>
                    <w:t>间断</w:t>
                  </w:r>
                </w:p>
              </w:tc>
              <w:tc>
                <w:tcPr>
                  <w:tcW w:w="3311" w:type="dxa"/>
                  <w:vMerge w:val="continue"/>
                  <w:tcBorders>
                    <w:tl2br w:val="nil"/>
                    <w:tr2bl w:val="nil"/>
                  </w:tcBorders>
                  <w:vAlign w:val="center"/>
                </w:tcPr>
                <w:p w14:paraId="134D779F">
                  <w:pPr>
                    <w:spacing w:line="280" w:lineRule="exact"/>
                    <w:jc w:val="center"/>
                    <w:rPr>
                      <w:rFonts w:hint="default" w:ascii="Times New Roman" w:hAnsi="Times New Roman" w:cs="Times New Roman"/>
                      <w:color w:val="auto"/>
                      <w:szCs w:val="21"/>
                      <w:shd w:val="clear" w:color="auto" w:fill="auto"/>
                      <w:lang w:val="en-US" w:eastAsia="zh-CN"/>
                    </w:rPr>
                  </w:pPr>
                </w:p>
              </w:tc>
            </w:tr>
            <w:tr w14:paraId="69AC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64" w:type="dxa"/>
                  <w:vMerge w:val="continue"/>
                  <w:tcBorders>
                    <w:tl2br w:val="nil"/>
                    <w:tr2bl w:val="nil"/>
                  </w:tcBorders>
                  <w:vAlign w:val="center"/>
                </w:tcPr>
                <w:p w14:paraId="700CD2BF">
                  <w:pPr>
                    <w:pStyle w:val="87"/>
                    <w:spacing w:line="280" w:lineRule="exact"/>
                    <w:ind w:firstLine="0" w:firstLineChars="0"/>
                    <w:jc w:val="center"/>
                    <w:rPr>
                      <w:rFonts w:hint="default" w:ascii="Times New Roman" w:hAnsi="Times New Roman" w:cs="Times New Roman"/>
                      <w:bCs/>
                      <w:color w:val="auto"/>
                      <w:sz w:val="21"/>
                      <w:szCs w:val="21"/>
                    </w:rPr>
                  </w:pPr>
                </w:p>
              </w:tc>
              <w:tc>
                <w:tcPr>
                  <w:tcW w:w="675" w:type="dxa"/>
                  <w:tcBorders>
                    <w:tl2br w:val="nil"/>
                    <w:tr2bl w:val="nil"/>
                  </w:tcBorders>
                  <w:vAlign w:val="center"/>
                </w:tcPr>
                <w:p w14:paraId="4706DA25">
                  <w:pPr>
                    <w:autoSpaceDE w:val="0"/>
                    <w:autoSpaceDN w:val="0"/>
                    <w:adjustRightInd w:val="0"/>
                    <w:spacing w:line="280" w:lineRule="exact"/>
                    <w:jc w:val="center"/>
                    <w:rPr>
                      <w:rFonts w:hint="eastAsia" w:cs="Times New Roman"/>
                      <w:bCs/>
                      <w:color w:val="auto"/>
                      <w:sz w:val="21"/>
                      <w:szCs w:val="21"/>
                      <w:lang w:val="en-US" w:eastAsia="zh-CN"/>
                    </w:rPr>
                  </w:pPr>
                  <w:r>
                    <w:rPr>
                      <w:rFonts w:hint="eastAsia" w:cs="Times New Roman"/>
                      <w:bCs/>
                      <w:color w:val="auto"/>
                      <w:sz w:val="21"/>
                      <w:szCs w:val="21"/>
                      <w:lang w:val="en-US" w:eastAsia="zh-CN"/>
                    </w:rPr>
                    <w:t>S</w:t>
                  </w:r>
                  <w:r>
                    <w:rPr>
                      <w:rFonts w:hint="eastAsia" w:cs="Times New Roman"/>
                      <w:bCs/>
                      <w:color w:val="auto"/>
                      <w:sz w:val="21"/>
                      <w:szCs w:val="21"/>
                      <w:vertAlign w:val="subscript"/>
                      <w:lang w:val="en-US" w:eastAsia="zh-CN"/>
                    </w:rPr>
                    <w:t>3</w:t>
                  </w:r>
                </w:p>
              </w:tc>
              <w:tc>
                <w:tcPr>
                  <w:tcW w:w="1740" w:type="dxa"/>
                  <w:tcBorders>
                    <w:tl2br w:val="nil"/>
                    <w:tr2bl w:val="nil"/>
                  </w:tcBorders>
                  <w:vAlign w:val="center"/>
                </w:tcPr>
                <w:p w14:paraId="021A453D">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切料工序</w:t>
                  </w:r>
                </w:p>
              </w:tc>
              <w:tc>
                <w:tcPr>
                  <w:tcW w:w="1429" w:type="dxa"/>
                  <w:tcBorders>
                    <w:tl2br w:val="nil"/>
                    <w:tr2bl w:val="nil"/>
                  </w:tcBorders>
                  <w:vAlign w:val="center"/>
                </w:tcPr>
                <w:p w14:paraId="441B8F12">
                  <w:pPr>
                    <w:pStyle w:val="87"/>
                    <w:spacing w:line="280" w:lineRule="exact"/>
                    <w:ind w:firstLine="0" w:firstLineChars="0"/>
                    <w:jc w:val="center"/>
                    <w:rPr>
                      <w:rFonts w:hint="default" w:ascii="Times New Roman" w:hAnsi="Times New Roman" w:eastAsia="宋体"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废边角料</w:t>
                  </w:r>
                </w:p>
              </w:tc>
              <w:tc>
                <w:tcPr>
                  <w:tcW w:w="720" w:type="dxa"/>
                  <w:tcBorders>
                    <w:tl2br w:val="nil"/>
                    <w:tr2bl w:val="nil"/>
                  </w:tcBorders>
                  <w:vAlign w:val="center"/>
                </w:tcPr>
                <w:p w14:paraId="39B903C6">
                  <w:pPr>
                    <w:spacing w:line="280" w:lineRule="exact"/>
                    <w:jc w:val="center"/>
                    <w:rPr>
                      <w:rFonts w:hint="default" w:ascii="Times New Roman" w:hAnsi="Times New Roman" w:cs="Times New Roman"/>
                      <w:color w:val="auto"/>
                      <w:szCs w:val="21"/>
                      <w:shd w:val="clear" w:color="auto" w:fill="auto"/>
                    </w:rPr>
                  </w:pPr>
                  <w:r>
                    <w:rPr>
                      <w:rFonts w:hint="default" w:ascii="Times New Roman" w:hAnsi="Times New Roman" w:cs="Times New Roman"/>
                      <w:color w:val="auto"/>
                      <w:szCs w:val="21"/>
                      <w:shd w:val="clear" w:color="auto" w:fill="auto"/>
                      <w:lang w:val="en-US" w:eastAsia="zh-CN"/>
                    </w:rPr>
                    <w:t>间断</w:t>
                  </w:r>
                </w:p>
              </w:tc>
              <w:tc>
                <w:tcPr>
                  <w:tcW w:w="3311" w:type="dxa"/>
                  <w:vMerge w:val="continue"/>
                  <w:tcBorders>
                    <w:tl2br w:val="nil"/>
                    <w:tr2bl w:val="nil"/>
                  </w:tcBorders>
                  <w:vAlign w:val="center"/>
                </w:tcPr>
                <w:p w14:paraId="46FDDBD2">
                  <w:pPr>
                    <w:spacing w:line="280" w:lineRule="exact"/>
                    <w:jc w:val="center"/>
                    <w:rPr>
                      <w:rFonts w:hint="default" w:ascii="Times New Roman" w:hAnsi="Times New Roman" w:cs="Times New Roman"/>
                      <w:color w:val="auto"/>
                      <w:szCs w:val="21"/>
                      <w:shd w:val="clear" w:color="auto" w:fill="auto"/>
                      <w:lang w:val="en-US" w:eastAsia="zh-CN"/>
                    </w:rPr>
                  </w:pPr>
                </w:p>
              </w:tc>
            </w:tr>
            <w:tr w14:paraId="2E24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64" w:type="dxa"/>
                  <w:vMerge w:val="continue"/>
                  <w:tcBorders>
                    <w:tl2br w:val="nil"/>
                    <w:tr2bl w:val="nil"/>
                  </w:tcBorders>
                  <w:vAlign w:val="center"/>
                </w:tcPr>
                <w:p w14:paraId="52B27D98">
                  <w:pPr>
                    <w:pStyle w:val="87"/>
                    <w:spacing w:line="280" w:lineRule="exact"/>
                    <w:ind w:firstLine="0" w:firstLineChars="0"/>
                    <w:jc w:val="center"/>
                    <w:rPr>
                      <w:rFonts w:hint="default" w:ascii="Times New Roman" w:hAnsi="Times New Roman" w:cs="Times New Roman"/>
                      <w:bCs/>
                      <w:color w:val="auto"/>
                      <w:sz w:val="21"/>
                      <w:szCs w:val="21"/>
                    </w:rPr>
                  </w:pPr>
                </w:p>
              </w:tc>
              <w:tc>
                <w:tcPr>
                  <w:tcW w:w="675" w:type="dxa"/>
                  <w:tcBorders>
                    <w:tl2br w:val="nil"/>
                    <w:tr2bl w:val="nil"/>
                  </w:tcBorders>
                  <w:vAlign w:val="center"/>
                </w:tcPr>
                <w:p w14:paraId="166349BA">
                  <w:pPr>
                    <w:autoSpaceDE w:val="0"/>
                    <w:autoSpaceDN w:val="0"/>
                    <w:adjustRightInd w:val="0"/>
                    <w:spacing w:line="280" w:lineRule="exact"/>
                    <w:jc w:val="center"/>
                    <w:rPr>
                      <w:rFonts w:hint="eastAsia" w:cs="Times New Roman"/>
                      <w:bCs/>
                      <w:color w:val="auto"/>
                      <w:sz w:val="21"/>
                      <w:szCs w:val="21"/>
                      <w:lang w:val="en-US" w:eastAsia="zh-CN"/>
                    </w:rPr>
                  </w:pPr>
                  <w:r>
                    <w:rPr>
                      <w:rFonts w:hint="eastAsia" w:cs="Times New Roman"/>
                      <w:bCs/>
                      <w:color w:val="auto"/>
                      <w:sz w:val="21"/>
                      <w:szCs w:val="21"/>
                      <w:lang w:val="en-US" w:eastAsia="zh-CN"/>
                    </w:rPr>
                    <w:t>S</w:t>
                  </w:r>
                  <w:r>
                    <w:rPr>
                      <w:rFonts w:hint="eastAsia" w:cs="Times New Roman"/>
                      <w:bCs/>
                      <w:color w:val="auto"/>
                      <w:sz w:val="21"/>
                      <w:szCs w:val="21"/>
                      <w:vertAlign w:val="subscript"/>
                      <w:lang w:val="en-US" w:eastAsia="zh-CN"/>
                    </w:rPr>
                    <w:t>2</w:t>
                  </w:r>
                </w:p>
              </w:tc>
              <w:tc>
                <w:tcPr>
                  <w:tcW w:w="1740" w:type="dxa"/>
                  <w:tcBorders>
                    <w:tl2br w:val="nil"/>
                    <w:tr2bl w:val="nil"/>
                  </w:tcBorders>
                  <w:vAlign w:val="center"/>
                </w:tcPr>
                <w:p w14:paraId="30ABDFF9">
                  <w:pPr>
                    <w:pStyle w:val="87"/>
                    <w:spacing w:line="280" w:lineRule="exact"/>
                    <w:ind w:firstLine="0" w:firstLineChars="0"/>
                    <w:jc w:val="center"/>
                    <w:rPr>
                      <w:rFonts w:hint="eastAsia" w:ascii="Times New Roman" w:hAnsi="Times New Roman"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挤出工序</w:t>
                  </w:r>
                </w:p>
              </w:tc>
              <w:tc>
                <w:tcPr>
                  <w:tcW w:w="1429" w:type="dxa"/>
                  <w:tcBorders>
                    <w:tl2br w:val="nil"/>
                    <w:tr2bl w:val="nil"/>
                  </w:tcBorders>
                  <w:vAlign w:val="center"/>
                </w:tcPr>
                <w:p w14:paraId="5C82700F">
                  <w:pPr>
                    <w:pStyle w:val="87"/>
                    <w:spacing w:line="280" w:lineRule="exact"/>
                    <w:ind w:firstLine="0" w:firstLineChars="0"/>
                    <w:jc w:val="center"/>
                    <w:rPr>
                      <w:rFonts w:hint="eastAsia" w:ascii="Times New Roman" w:hAnsi="Times New Roman"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废过滤网</w:t>
                  </w:r>
                </w:p>
              </w:tc>
              <w:tc>
                <w:tcPr>
                  <w:tcW w:w="720" w:type="dxa"/>
                  <w:tcBorders>
                    <w:tl2br w:val="nil"/>
                    <w:tr2bl w:val="nil"/>
                  </w:tcBorders>
                  <w:vAlign w:val="center"/>
                </w:tcPr>
                <w:p w14:paraId="07153759">
                  <w:pPr>
                    <w:spacing w:line="280" w:lineRule="exact"/>
                    <w:jc w:val="center"/>
                    <w:rPr>
                      <w:rFonts w:hint="default" w:ascii="Times New Roman" w:hAnsi="Times New Roman" w:cs="Times New Roman"/>
                      <w:color w:val="auto"/>
                      <w:szCs w:val="21"/>
                      <w:shd w:val="clear" w:color="auto" w:fill="auto"/>
                      <w:lang w:val="en-US" w:eastAsia="zh-CN"/>
                    </w:rPr>
                  </w:pPr>
                  <w:r>
                    <w:rPr>
                      <w:rFonts w:hint="default" w:ascii="Times New Roman" w:hAnsi="Times New Roman" w:cs="Times New Roman"/>
                      <w:color w:val="auto"/>
                      <w:szCs w:val="21"/>
                      <w:shd w:val="clear" w:color="auto" w:fill="auto"/>
                      <w:lang w:val="en-US" w:eastAsia="zh-CN"/>
                    </w:rPr>
                    <w:t>间断</w:t>
                  </w:r>
                </w:p>
              </w:tc>
              <w:tc>
                <w:tcPr>
                  <w:tcW w:w="3311" w:type="dxa"/>
                  <w:tcBorders>
                    <w:tl2br w:val="nil"/>
                    <w:tr2bl w:val="nil"/>
                  </w:tcBorders>
                  <w:vAlign w:val="center"/>
                </w:tcPr>
                <w:p w14:paraId="1A02360B">
                  <w:pPr>
                    <w:spacing w:line="280" w:lineRule="exact"/>
                    <w:jc w:val="center"/>
                    <w:rPr>
                      <w:rFonts w:hint="default" w:ascii="Times New Roman" w:hAnsi="Times New Roman" w:eastAsia="宋体" w:cs="Times New Roman"/>
                      <w:color w:val="auto"/>
                      <w:szCs w:val="21"/>
                      <w:shd w:val="clear" w:color="auto" w:fill="auto"/>
                      <w:lang w:eastAsia="zh-CN"/>
                    </w:rPr>
                  </w:pPr>
                  <w:r>
                    <w:rPr>
                      <w:rFonts w:hint="eastAsia" w:ascii="Times New Roman" w:hAnsi="Times New Roman" w:eastAsia="宋体" w:cs="Times New Roman"/>
                      <w:b w:val="0"/>
                      <w:bCs w:val="0"/>
                      <w:color w:val="ED7D31" w:themeColor="accent2"/>
                      <w:spacing w:val="0"/>
                      <w:sz w:val="21"/>
                      <w:szCs w:val="21"/>
                      <w:lang w:val="en-US" w:eastAsia="zh-CN"/>
                      <w14:textFill>
                        <w14:solidFill>
                          <w14:schemeClr w14:val="accent2"/>
                        </w14:solidFill>
                      </w14:textFill>
                    </w:rPr>
                    <w:t>委托专人处置后回用</w:t>
                  </w:r>
                </w:p>
              </w:tc>
            </w:tr>
            <w:tr w14:paraId="312F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64" w:type="dxa"/>
                  <w:vMerge w:val="continue"/>
                  <w:tcBorders>
                    <w:tl2br w:val="nil"/>
                    <w:tr2bl w:val="nil"/>
                  </w:tcBorders>
                  <w:vAlign w:val="center"/>
                </w:tcPr>
                <w:p w14:paraId="4166350E">
                  <w:pPr>
                    <w:pStyle w:val="87"/>
                    <w:spacing w:line="280" w:lineRule="exact"/>
                    <w:ind w:firstLine="0" w:firstLineChars="0"/>
                    <w:jc w:val="center"/>
                    <w:rPr>
                      <w:rFonts w:hint="default" w:ascii="Times New Roman" w:hAnsi="Times New Roman" w:cs="Times New Roman"/>
                      <w:bCs/>
                      <w:color w:val="auto"/>
                      <w:sz w:val="21"/>
                      <w:szCs w:val="21"/>
                    </w:rPr>
                  </w:pPr>
                </w:p>
              </w:tc>
              <w:tc>
                <w:tcPr>
                  <w:tcW w:w="675" w:type="dxa"/>
                  <w:tcBorders>
                    <w:tl2br w:val="nil"/>
                    <w:tr2bl w:val="nil"/>
                  </w:tcBorders>
                  <w:vAlign w:val="center"/>
                </w:tcPr>
                <w:p w14:paraId="31EDDBFC">
                  <w:pPr>
                    <w:autoSpaceDE w:val="0"/>
                    <w:autoSpaceDN w:val="0"/>
                    <w:adjustRightInd w:val="0"/>
                    <w:spacing w:line="280" w:lineRule="exact"/>
                    <w:jc w:val="center"/>
                    <w:rPr>
                      <w:rFonts w:hint="default" w:ascii="Times New Roman" w:hAnsi="Times New Roman" w:eastAsia="宋体" w:cs="Times New Roman"/>
                      <w:color w:val="auto"/>
                      <w:kern w:val="0"/>
                      <w:szCs w:val="21"/>
                      <w:shd w:val="clear" w:color="auto" w:fill="auto"/>
                      <w:lang w:val="en-US" w:eastAsia="zh-CN"/>
                    </w:rPr>
                  </w:pPr>
                  <w:r>
                    <w:rPr>
                      <w:rFonts w:hint="eastAsia" w:cs="Times New Roman"/>
                      <w:bCs/>
                      <w:color w:val="auto"/>
                      <w:sz w:val="21"/>
                      <w:szCs w:val="21"/>
                      <w:lang w:eastAsia="zh-CN"/>
                    </w:rPr>
                    <w:t>—</w:t>
                  </w:r>
                </w:p>
              </w:tc>
              <w:tc>
                <w:tcPr>
                  <w:tcW w:w="1740" w:type="dxa"/>
                  <w:vMerge w:val="restart"/>
                  <w:tcBorders>
                    <w:tl2br w:val="nil"/>
                    <w:tr2bl w:val="nil"/>
                  </w:tcBorders>
                  <w:vAlign w:val="center"/>
                </w:tcPr>
                <w:p w14:paraId="3A72E4D7">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环保设备</w:t>
                  </w:r>
                </w:p>
              </w:tc>
              <w:tc>
                <w:tcPr>
                  <w:tcW w:w="1429" w:type="dxa"/>
                  <w:tcBorders>
                    <w:tl2br w:val="nil"/>
                    <w:tr2bl w:val="nil"/>
                  </w:tcBorders>
                  <w:vAlign w:val="center"/>
                </w:tcPr>
                <w:p w14:paraId="51DA2897">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废过滤棉</w:t>
                  </w:r>
                </w:p>
              </w:tc>
              <w:tc>
                <w:tcPr>
                  <w:tcW w:w="720" w:type="dxa"/>
                  <w:tcBorders>
                    <w:tl2br w:val="nil"/>
                    <w:tr2bl w:val="nil"/>
                  </w:tcBorders>
                  <w:vAlign w:val="center"/>
                </w:tcPr>
                <w:p w14:paraId="17273B3C">
                  <w:pPr>
                    <w:spacing w:line="280" w:lineRule="exact"/>
                    <w:jc w:val="center"/>
                    <w:rPr>
                      <w:rFonts w:hint="default" w:ascii="Times New Roman" w:hAnsi="Times New Roman" w:cs="Times New Roman"/>
                      <w:color w:val="auto"/>
                      <w:szCs w:val="21"/>
                      <w:shd w:val="clear" w:color="auto" w:fill="auto"/>
                    </w:rPr>
                  </w:pPr>
                  <w:r>
                    <w:rPr>
                      <w:rFonts w:hint="default" w:ascii="Times New Roman" w:hAnsi="Times New Roman" w:cs="Times New Roman"/>
                      <w:color w:val="auto"/>
                      <w:szCs w:val="21"/>
                      <w:shd w:val="clear" w:color="auto" w:fill="auto"/>
                      <w:lang w:val="en-US" w:eastAsia="zh-CN"/>
                    </w:rPr>
                    <w:t>间断</w:t>
                  </w:r>
                </w:p>
              </w:tc>
              <w:tc>
                <w:tcPr>
                  <w:tcW w:w="3311" w:type="dxa"/>
                  <w:vMerge w:val="restart"/>
                  <w:tcBorders>
                    <w:tl2br w:val="nil"/>
                    <w:tr2bl w:val="nil"/>
                  </w:tcBorders>
                  <w:vAlign w:val="center"/>
                </w:tcPr>
                <w:p w14:paraId="65ECFDFD">
                  <w:pPr>
                    <w:spacing w:line="280" w:lineRule="exact"/>
                    <w:jc w:val="center"/>
                    <w:rPr>
                      <w:rFonts w:hint="default" w:ascii="Times New Roman" w:hAnsi="Times New Roman" w:eastAsia="宋体" w:cs="Times New Roman"/>
                      <w:color w:val="auto"/>
                      <w:szCs w:val="21"/>
                      <w:shd w:val="clear" w:color="auto" w:fill="auto"/>
                      <w:lang w:eastAsia="zh-CN"/>
                    </w:rPr>
                  </w:pPr>
                  <w:r>
                    <w:rPr>
                      <w:rFonts w:hint="eastAsia" w:ascii="Times New Roman" w:hAnsi="Times New Roman" w:cs="Times New Roman"/>
                      <w:bCs/>
                      <w:color w:val="auto"/>
                      <w:sz w:val="21"/>
                      <w:szCs w:val="21"/>
                      <w:shd w:val="clear" w:color="auto" w:fill="auto"/>
                      <w:lang w:val="en-US" w:eastAsia="zh-CN"/>
                    </w:rPr>
                    <w:t>暂存于危废间，定期</w:t>
                  </w:r>
                  <w:r>
                    <w:rPr>
                      <w:rFonts w:hint="default" w:ascii="Times New Roman" w:hAnsi="Times New Roman" w:cs="Times New Roman"/>
                      <w:bCs/>
                      <w:color w:val="auto"/>
                      <w:sz w:val="21"/>
                      <w:szCs w:val="21"/>
                      <w:shd w:val="clear" w:color="auto" w:fill="auto"/>
                      <w:lang w:val="en-US" w:eastAsia="zh-CN"/>
                    </w:rPr>
                    <w:t>委托有资质单位处理</w:t>
                  </w:r>
                </w:p>
              </w:tc>
            </w:tr>
            <w:tr w14:paraId="69D8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64" w:type="dxa"/>
                  <w:vMerge w:val="continue"/>
                  <w:tcBorders>
                    <w:tl2br w:val="nil"/>
                    <w:tr2bl w:val="nil"/>
                  </w:tcBorders>
                  <w:vAlign w:val="center"/>
                </w:tcPr>
                <w:p w14:paraId="1A6E8431">
                  <w:pPr>
                    <w:pStyle w:val="87"/>
                    <w:spacing w:line="280" w:lineRule="exact"/>
                    <w:ind w:firstLine="0" w:firstLineChars="0"/>
                    <w:jc w:val="center"/>
                    <w:rPr>
                      <w:rFonts w:hint="default" w:ascii="Times New Roman" w:hAnsi="Times New Roman" w:cs="Times New Roman"/>
                      <w:bCs/>
                      <w:color w:val="auto"/>
                      <w:sz w:val="21"/>
                      <w:szCs w:val="21"/>
                    </w:rPr>
                  </w:pPr>
                </w:p>
              </w:tc>
              <w:tc>
                <w:tcPr>
                  <w:tcW w:w="675" w:type="dxa"/>
                  <w:tcBorders>
                    <w:tl2br w:val="nil"/>
                    <w:tr2bl w:val="nil"/>
                  </w:tcBorders>
                  <w:vAlign w:val="center"/>
                </w:tcPr>
                <w:p w14:paraId="380D2608">
                  <w:pPr>
                    <w:autoSpaceDE w:val="0"/>
                    <w:autoSpaceDN w:val="0"/>
                    <w:adjustRightInd w:val="0"/>
                    <w:spacing w:line="280" w:lineRule="exact"/>
                    <w:jc w:val="center"/>
                    <w:rPr>
                      <w:rFonts w:hint="eastAsia" w:cs="Times New Roman"/>
                      <w:bCs/>
                      <w:color w:val="auto"/>
                      <w:sz w:val="21"/>
                      <w:szCs w:val="21"/>
                      <w:lang w:val="en-US" w:eastAsia="zh-CN"/>
                    </w:rPr>
                  </w:pPr>
                  <w:r>
                    <w:rPr>
                      <w:rFonts w:hint="eastAsia" w:cs="Times New Roman"/>
                      <w:bCs/>
                      <w:color w:val="auto"/>
                      <w:sz w:val="21"/>
                      <w:szCs w:val="21"/>
                      <w:lang w:eastAsia="zh-CN"/>
                    </w:rPr>
                    <w:t>—</w:t>
                  </w:r>
                </w:p>
              </w:tc>
              <w:tc>
                <w:tcPr>
                  <w:tcW w:w="1740" w:type="dxa"/>
                  <w:vMerge w:val="continue"/>
                  <w:tcBorders>
                    <w:tl2br w:val="nil"/>
                    <w:tr2bl w:val="nil"/>
                  </w:tcBorders>
                  <w:vAlign w:val="center"/>
                </w:tcPr>
                <w:p w14:paraId="42F18A44">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p>
              </w:tc>
              <w:tc>
                <w:tcPr>
                  <w:tcW w:w="1429" w:type="dxa"/>
                  <w:tcBorders>
                    <w:tl2br w:val="nil"/>
                    <w:tr2bl w:val="nil"/>
                  </w:tcBorders>
                  <w:vAlign w:val="center"/>
                </w:tcPr>
                <w:p w14:paraId="37D6CB9A">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废活性炭</w:t>
                  </w:r>
                </w:p>
              </w:tc>
              <w:tc>
                <w:tcPr>
                  <w:tcW w:w="720" w:type="dxa"/>
                  <w:tcBorders>
                    <w:tl2br w:val="nil"/>
                    <w:tr2bl w:val="nil"/>
                  </w:tcBorders>
                  <w:vAlign w:val="center"/>
                </w:tcPr>
                <w:p w14:paraId="0C69C912">
                  <w:pPr>
                    <w:spacing w:line="280" w:lineRule="exact"/>
                    <w:jc w:val="center"/>
                    <w:rPr>
                      <w:rFonts w:hint="default" w:ascii="Times New Roman" w:hAnsi="Times New Roman" w:cs="Times New Roman"/>
                      <w:color w:val="auto"/>
                      <w:szCs w:val="21"/>
                      <w:shd w:val="clear" w:color="auto" w:fill="auto"/>
                      <w:lang w:val="en-US" w:eastAsia="zh-CN"/>
                    </w:rPr>
                  </w:pPr>
                  <w:r>
                    <w:rPr>
                      <w:rFonts w:hint="default" w:ascii="Times New Roman" w:hAnsi="Times New Roman" w:cs="Times New Roman"/>
                      <w:color w:val="auto"/>
                      <w:szCs w:val="21"/>
                      <w:shd w:val="clear" w:color="auto" w:fill="auto"/>
                      <w:lang w:val="en-US" w:eastAsia="zh-CN"/>
                    </w:rPr>
                    <w:t>间断</w:t>
                  </w:r>
                </w:p>
              </w:tc>
              <w:tc>
                <w:tcPr>
                  <w:tcW w:w="3311" w:type="dxa"/>
                  <w:vMerge w:val="continue"/>
                  <w:tcBorders>
                    <w:tl2br w:val="nil"/>
                    <w:tr2bl w:val="nil"/>
                  </w:tcBorders>
                  <w:vAlign w:val="center"/>
                </w:tcPr>
                <w:p w14:paraId="79973938">
                  <w:pPr>
                    <w:spacing w:line="280" w:lineRule="exact"/>
                    <w:jc w:val="center"/>
                    <w:rPr>
                      <w:rFonts w:hint="default" w:ascii="Times New Roman" w:hAnsi="Times New Roman" w:cs="Times New Roman"/>
                      <w:color w:val="auto"/>
                      <w:szCs w:val="21"/>
                      <w:shd w:val="clear" w:color="auto" w:fill="auto"/>
                      <w:lang w:val="en-US" w:eastAsia="zh-CN"/>
                    </w:rPr>
                  </w:pPr>
                </w:p>
              </w:tc>
            </w:tr>
            <w:tr w14:paraId="5083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64" w:type="dxa"/>
                  <w:vMerge w:val="continue"/>
                  <w:tcBorders>
                    <w:tl2br w:val="nil"/>
                    <w:tr2bl w:val="nil"/>
                  </w:tcBorders>
                  <w:vAlign w:val="center"/>
                </w:tcPr>
                <w:p w14:paraId="251ECA88">
                  <w:pPr>
                    <w:pStyle w:val="87"/>
                    <w:spacing w:line="280" w:lineRule="exact"/>
                    <w:ind w:firstLine="0" w:firstLineChars="0"/>
                    <w:jc w:val="center"/>
                    <w:rPr>
                      <w:rFonts w:hint="default" w:ascii="Times New Roman" w:hAnsi="Times New Roman" w:cs="Times New Roman"/>
                      <w:bCs/>
                      <w:color w:val="auto"/>
                      <w:sz w:val="21"/>
                      <w:szCs w:val="21"/>
                    </w:rPr>
                  </w:pPr>
                </w:p>
              </w:tc>
              <w:tc>
                <w:tcPr>
                  <w:tcW w:w="675" w:type="dxa"/>
                  <w:tcBorders>
                    <w:tl2br w:val="nil"/>
                    <w:tr2bl w:val="nil"/>
                  </w:tcBorders>
                  <w:vAlign w:val="center"/>
                </w:tcPr>
                <w:p w14:paraId="4C238CC1">
                  <w:pPr>
                    <w:autoSpaceDE w:val="0"/>
                    <w:autoSpaceDN w:val="0"/>
                    <w:adjustRightInd w:val="0"/>
                    <w:spacing w:line="280" w:lineRule="exact"/>
                    <w:jc w:val="center"/>
                    <w:rPr>
                      <w:rFonts w:hint="eastAsia" w:cs="Times New Roman"/>
                      <w:bCs/>
                      <w:color w:val="auto"/>
                      <w:sz w:val="21"/>
                      <w:szCs w:val="21"/>
                      <w:lang w:val="en-US" w:eastAsia="zh-CN"/>
                    </w:rPr>
                  </w:pPr>
                  <w:r>
                    <w:rPr>
                      <w:rFonts w:hint="eastAsia" w:cs="Times New Roman"/>
                      <w:bCs/>
                      <w:color w:val="auto"/>
                      <w:sz w:val="21"/>
                      <w:szCs w:val="21"/>
                      <w:lang w:eastAsia="zh-CN"/>
                    </w:rPr>
                    <w:t>—</w:t>
                  </w:r>
                </w:p>
              </w:tc>
              <w:tc>
                <w:tcPr>
                  <w:tcW w:w="1740" w:type="dxa"/>
                  <w:vMerge w:val="continue"/>
                  <w:tcBorders>
                    <w:tl2br w:val="nil"/>
                    <w:tr2bl w:val="nil"/>
                  </w:tcBorders>
                  <w:vAlign w:val="center"/>
                </w:tcPr>
                <w:p w14:paraId="5FFA1D7B">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p>
              </w:tc>
              <w:tc>
                <w:tcPr>
                  <w:tcW w:w="1429" w:type="dxa"/>
                  <w:tcBorders>
                    <w:tl2br w:val="nil"/>
                    <w:tr2bl w:val="nil"/>
                  </w:tcBorders>
                  <w:vAlign w:val="center"/>
                </w:tcPr>
                <w:p w14:paraId="1251D432">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废催化剂</w:t>
                  </w:r>
                </w:p>
              </w:tc>
              <w:tc>
                <w:tcPr>
                  <w:tcW w:w="720" w:type="dxa"/>
                  <w:tcBorders>
                    <w:tl2br w:val="nil"/>
                    <w:tr2bl w:val="nil"/>
                  </w:tcBorders>
                  <w:vAlign w:val="center"/>
                </w:tcPr>
                <w:p w14:paraId="6F48E385">
                  <w:pPr>
                    <w:spacing w:line="280" w:lineRule="exact"/>
                    <w:jc w:val="center"/>
                    <w:rPr>
                      <w:rFonts w:hint="default" w:ascii="Times New Roman" w:hAnsi="Times New Roman" w:cs="Times New Roman"/>
                      <w:color w:val="auto"/>
                      <w:szCs w:val="21"/>
                      <w:shd w:val="clear" w:color="auto" w:fill="auto"/>
                      <w:lang w:val="en-US" w:eastAsia="zh-CN"/>
                    </w:rPr>
                  </w:pPr>
                  <w:r>
                    <w:rPr>
                      <w:rFonts w:hint="default" w:ascii="Times New Roman" w:hAnsi="Times New Roman" w:cs="Times New Roman"/>
                      <w:color w:val="auto"/>
                      <w:szCs w:val="21"/>
                      <w:shd w:val="clear" w:color="auto" w:fill="auto"/>
                      <w:lang w:val="en-US" w:eastAsia="zh-CN"/>
                    </w:rPr>
                    <w:t>间断</w:t>
                  </w:r>
                </w:p>
              </w:tc>
              <w:tc>
                <w:tcPr>
                  <w:tcW w:w="3311" w:type="dxa"/>
                  <w:vMerge w:val="continue"/>
                  <w:tcBorders>
                    <w:tl2br w:val="nil"/>
                    <w:tr2bl w:val="nil"/>
                  </w:tcBorders>
                  <w:vAlign w:val="center"/>
                </w:tcPr>
                <w:p w14:paraId="6ABB60B7">
                  <w:pPr>
                    <w:spacing w:line="280" w:lineRule="exact"/>
                    <w:jc w:val="center"/>
                    <w:rPr>
                      <w:rFonts w:hint="default" w:ascii="Times New Roman" w:hAnsi="Times New Roman" w:cs="Times New Roman"/>
                      <w:color w:val="auto"/>
                      <w:szCs w:val="21"/>
                      <w:shd w:val="clear" w:color="auto" w:fill="auto"/>
                      <w:lang w:val="en-US" w:eastAsia="zh-CN"/>
                    </w:rPr>
                  </w:pPr>
                </w:p>
              </w:tc>
            </w:tr>
            <w:tr w14:paraId="1E4F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64" w:type="dxa"/>
                  <w:vMerge w:val="continue"/>
                  <w:tcBorders>
                    <w:tl2br w:val="nil"/>
                    <w:tr2bl w:val="nil"/>
                  </w:tcBorders>
                  <w:vAlign w:val="center"/>
                </w:tcPr>
                <w:p w14:paraId="033AA0D4">
                  <w:pPr>
                    <w:pStyle w:val="87"/>
                    <w:spacing w:line="280" w:lineRule="exact"/>
                    <w:ind w:firstLine="0" w:firstLineChars="0"/>
                    <w:jc w:val="center"/>
                    <w:rPr>
                      <w:rFonts w:hint="default" w:ascii="Times New Roman" w:hAnsi="Times New Roman" w:cs="Times New Roman"/>
                      <w:bCs/>
                      <w:color w:val="auto"/>
                      <w:sz w:val="21"/>
                      <w:szCs w:val="21"/>
                    </w:rPr>
                  </w:pPr>
                </w:p>
              </w:tc>
              <w:tc>
                <w:tcPr>
                  <w:tcW w:w="675" w:type="dxa"/>
                  <w:tcBorders>
                    <w:tl2br w:val="nil"/>
                    <w:tr2bl w:val="nil"/>
                  </w:tcBorders>
                  <w:vAlign w:val="center"/>
                </w:tcPr>
                <w:p w14:paraId="1FAC9E89">
                  <w:pPr>
                    <w:autoSpaceDE w:val="0"/>
                    <w:autoSpaceDN w:val="0"/>
                    <w:adjustRightInd w:val="0"/>
                    <w:spacing w:line="280" w:lineRule="exact"/>
                    <w:jc w:val="center"/>
                    <w:rPr>
                      <w:rFonts w:hint="default" w:ascii="Times New Roman" w:hAnsi="Times New Roman" w:cs="Times New Roman"/>
                      <w:color w:val="auto"/>
                      <w:kern w:val="0"/>
                      <w:szCs w:val="21"/>
                      <w:shd w:val="clear" w:color="auto" w:fill="auto"/>
                      <w:lang w:val="zh-CN"/>
                    </w:rPr>
                  </w:pPr>
                  <w:r>
                    <w:rPr>
                      <w:rFonts w:hint="eastAsia" w:cs="Times New Roman"/>
                      <w:bCs/>
                      <w:color w:val="auto"/>
                      <w:sz w:val="21"/>
                      <w:szCs w:val="21"/>
                      <w:lang w:eastAsia="zh-CN"/>
                    </w:rPr>
                    <w:t>—</w:t>
                  </w:r>
                </w:p>
              </w:tc>
              <w:tc>
                <w:tcPr>
                  <w:tcW w:w="1740" w:type="dxa"/>
                  <w:vMerge w:val="restart"/>
                  <w:tcBorders>
                    <w:tl2br w:val="nil"/>
                    <w:tr2bl w:val="nil"/>
                  </w:tcBorders>
                  <w:vAlign w:val="center"/>
                </w:tcPr>
                <w:p w14:paraId="7245E9B2">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default" w:ascii="Times New Roman" w:hAnsi="Times New Roman" w:cs="Times New Roman"/>
                      <w:bCs/>
                      <w:color w:val="auto"/>
                      <w:sz w:val="21"/>
                      <w:szCs w:val="21"/>
                      <w:shd w:val="clear" w:color="auto" w:fill="auto"/>
                      <w:lang w:val="en-US" w:eastAsia="zh-CN"/>
                    </w:rPr>
                    <w:t>生产过程</w:t>
                  </w:r>
                </w:p>
              </w:tc>
              <w:tc>
                <w:tcPr>
                  <w:tcW w:w="1429" w:type="dxa"/>
                  <w:tcBorders>
                    <w:tl2br w:val="nil"/>
                    <w:tr2bl w:val="nil"/>
                  </w:tcBorders>
                  <w:vAlign w:val="center"/>
                </w:tcPr>
                <w:p w14:paraId="4E06FE29">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default" w:ascii="Times New Roman" w:hAnsi="Times New Roman" w:cs="Times New Roman"/>
                      <w:bCs/>
                      <w:color w:val="auto"/>
                      <w:sz w:val="21"/>
                      <w:szCs w:val="21"/>
                      <w:shd w:val="clear" w:color="auto" w:fill="auto"/>
                      <w:lang w:val="en-US" w:eastAsia="zh-CN"/>
                    </w:rPr>
                    <w:t>废液压油</w:t>
                  </w:r>
                </w:p>
              </w:tc>
              <w:tc>
                <w:tcPr>
                  <w:tcW w:w="720" w:type="dxa"/>
                  <w:tcBorders>
                    <w:tl2br w:val="nil"/>
                    <w:tr2bl w:val="nil"/>
                  </w:tcBorders>
                  <w:vAlign w:val="center"/>
                </w:tcPr>
                <w:p w14:paraId="160DE8A0">
                  <w:pPr>
                    <w:spacing w:line="280" w:lineRule="exact"/>
                    <w:jc w:val="center"/>
                    <w:rPr>
                      <w:rFonts w:hint="default" w:ascii="Times New Roman" w:hAnsi="Times New Roman" w:cs="Times New Roman"/>
                      <w:color w:val="auto"/>
                      <w:szCs w:val="21"/>
                      <w:shd w:val="clear" w:color="auto" w:fill="auto"/>
                    </w:rPr>
                  </w:pPr>
                  <w:r>
                    <w:rPr>
                      <w:rFonts w:hint="default" w:ascii="Times New Roman" w:hAnsi="Times New Roman" w:cs="Times New Roman"/>
                      <w:color w:val="auto"/>
                      <w:szCs w:val="21"/>
                      <w:shd w:val="clear" w:color="auto" w:fill="auto"/>
                      <w:lang w:val="en-US" w:eastAsia="zh-CN"/>
                    </w:rPr>
                    <w:t>间断</w:t>
                  </w:r>
                </w:p>
              </w:tc>
              <w:tc>
                <w:tcPr>
                  <w:tcW w:w="3311" w:type="dxa"/>
                  <w:vMerge w:val="continue"/>
                  <w:tcBorders>
                    <w:tl2br w:val="nil"/>
                    <w:tr2bl w:val="nil"/>
                  </w:tcBorders>
                  <w:vAlign w:val="center"/>
                </w:tcPr>
                <w:p w14:paraId="211BA1F7">
                  <w:pPr>
                    <w:spacing w:line="280" w:lineRule="exact"/>
                    <w:jc w:val="center"/>
                    <w:rPr>
                      <w:rFonts w:hint="default" w:ascii="Times New Roman" w:hAnsi="Times New Roman" w:eastAsia="宋体" w:cs="Times New Roman"/>
                      <w:color w:val="auto"/>
                      <w:szCs w:val="21"/>
                      <w:shd w:val="clear" w:color="auto" w:fill="auto"/>
                      <w:lang w:val="en-US" w:eastAsia="zh-CN"/>
                    </w:rPr>
                  </w:pPr>
                </w:p>
              </w:tc>
            </w:tr>
            <w:tr w14:paraId="66C9D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64" w:type="dxa"/>
                  <w:vMerge w:val="continue"/>
                  <w:tcBorders>
                    <w:tl2br w:val="nil"/>
                    <w:tr2bl w:val="nil"/>
                  </w:tcBorders>
                  <w:vAlign w:val="center"/>
                </w:tcPr>
                <w:p w14:paraId="09DDD054">
                  <w:pPr>
                    <w:pStyle w:val="87"/>
                    <w:spacing w:line="280" w:lineRule="exact"/>
                    <w:ind w:firstLine="0" w:firstLineChars="0"/>
                    <w:jc w:val="center"/>
                    <w:rPr>
                      <w:rFonts w:hint="default" w:ascii="Times New Roman" w:hAnsi="Times New Roman" w:cs="Times New Roman"/>
                      <w:bCs/>
                      <w:color w:val="auto"/>
                      <w:sz w:val="21"/>
                      <w:szCs w:val="21"/>
                    </w:rPr>
                  </w:pPr>
                </w:p>
              </w:tc>
              <w:tc>
                <w:tcPr>
                  <w:tcW w:w="675" w:type="dxa"/>
                  <w:tcBorders>
                    <w:tl2br w:val="nil"/>
                    <w:tr2bl w:val="nil"/>
                  </w:tcBorders>
                  <w:vAlign w:val="center"/>
                </w:tcPr>
                <w:p w14:paraId="7496EDD2">
                  <w:pPr>
                    <w:autoSpaceDE w:val="0"/>
                    <w:autoSpaceDN w:val="0"/>
                    <w:adjustRightInd w:val="0"/>
                    <w:spacing w:line="280" w:lineRule="exact"/>
                    <w:jc w:val="center"/>
                    <w:rPr>
                      <w:rFonts w:hint="eastAsia" w:cs="Times New Roman"/>
                      <w:bCs/>
                      <w:color w:val="auto"/>
                      <w:sz w:val="21"/>
                      <w:szCs w:val="21"/>
                      <w:lang w:eastAsia="zh-CN"/>
                    </w:rPr>
                  </w:pPr>
                  <w:r>
                    <w:rPr>
                      <w:rFonts w:hint="eastAsia" w:cs="Times New Roman"/>
                      <w:bCs/>
                      <w:color w:val="auto"/>
                      <w:sz w:val="21"/>
                      <w:szCs w:val="21"/>
                      <w:lang w:eastAsia="zh-CN"/>
                    </w:rPr>
                    <w:t>—</w:t>
                  </w:r>
                </w:p>
              </w:tc>
              <w:tc>
                <w:tcPr>
                  <w:tcW w:w="1740" w:type="dxa"/>
                  <w:vMerge w:val="continue"/>
                  <w:tcBorders>
                    <w:tl2br w:val="nil"/>
                    <w:tr2bl w:val="nil"/>
                  </w:tcBorders>
                  <w:vAlign w:val="center"/>
                </w:tcPr>
                <w:p w14:paraId="10DDDC3C">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p>
              </w:tc>
              <w:tc>
                <w:tcPr>
                  <w:tcW w:w="1429" w:type="dxa"/>
                  <w:tcBorders>
                    <w:tl2br w:val="nil"/>
                    <w:tr2bl w:val="nil"/>
                  </w:tcBorders>
                  <w:vAlign w:val="center"/>
                </w:tcPr>
                <w:p w14:paraId="3435F3D7">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废润滑油</w:t>
                  </w:r>
                </w:p>
              </w:tc>
              <w:tc>
                <w:tcPr>
                  <w:tcW w:w="720" w:type="dxa"/>
                  <w:tcBorders>
                    <w:tl2br w:val="nil"/>
                    <w:tr2bl w:val="nil"/>
                  </w:tcBorders>
                  <w:vAlign w:val="center"/>
                </w:tcPr>
                <w:p w14:paraId="4C37928C">
                  <w:pPr>
                    <w:spacing w:line="280" w:lineRule="exact"/>
                    <w:jc w:val="center"/>
                    <w:rPr>
                      <w:rFonts w:hint="default" w:ascii="Times New Roman" w:hAnsi="Times New Roman" w:cs="Times New Roman"/>
                      <w:color w:val="auto"/>
                      <w:szCs w:val="21"/>
                      <w:shd w:val="clear" w:color="auto" w:fill="auto"/>
                      <w:lang w:val="en-US" w:eastAsia="zh-CN"/>
                    </w:rPr>
                  </w:pPr>
                  <w:r>
                    <w:rPr>
                      <w:rFonts w:hint="default" w:ascii="Times New Roman" w:hAnsi="Times New Roman" w:cs="Times New Roman"/>
                      <w:color w:val="auto"/>
                      <w:szCs w:val="21"/>
                      <w:shd w:val="clear" w:color="auto" w:fill="auto"/>
                      <w:lang w:val="en-US" w:eastAsia="zh-CN"/>
                    </w:rPr>
                    <w:t>间断</w:t>
                  </w:r>
                </w:p>
              </w:tc>
              <w:tc>
                <w:tcPr>
                  <w:tcW w:w="3311" w:type="dxa"/>
                  <w:vMerge w:val="continue"/>
                  <w:tcBorders>
                    <w:tl2br w:val="nil"/>
                    <w:tr2bl w:val="nil"/>
                  </w:tcBorders>
                  <w:vAlign w:val="center"/>
                </w:tcPr>
                <w:p w14:paraId="7D57EFCD">
                  <w:pPr>
                    <w:spacing w:line="280" w:lineRule="exact"/>
                    <w:jc w:val="center"/>
                    <w:rPr>
                      <w:rFonts w:hint="default" w:ascii="Times New Roman" w:hAnsi="Times New Roman" w:eastAsia="宋体" w:cs="Times New Roman"/>
                      <w:color w:val="auto"/>
                      <w:szCs w:val="21"/>
                      <w:shd w:val="clear" w:color="auto" w:fill="auto"/>
                      <w:lang w:val="en-US" w:eastAsia="zh-CN"/>
                    </w:rPr>
                  </w:pPr>
                </w:p>
              </w:tc>
            </w:tr>
            <w:tr w14:paraId="15ED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64" w:type="dxa"/>
                  <w:vMerge w:val="continue"/>
                  <w:tcBorders>
                    <w:tl2br w:val="nil"/>
                    <w:tr2bl w:val="nil"/>
                  </w:tcBorders>
                  <w:vAlign w:val="center"/>
                </w:tcPr>
                <w:p w14:paraId="796E2AB3">
                  <w:pPr>
                    <w:pStyle w:val="87"/>
                    <w:spacing w:line="280" w:lineRule="exact"/>
                    <w:ind w:firstLine="0" w:firstLineChars="0"/>
                    <w:jc w:val="center"/>
                    <w:rPr>
                      <w:rFonts w:hint="default" w:ascii="Times New Roman" w:hAnsi="Times New Roman" w:cs="Times New Roman"/>
                      <w:bCs/>
                      <w:color w:val="auto"/>
                      <w:sz w:val="21"/>
                      <w:szCs w:val="21"/>
                    </w:rPr>
                  </w:pPr>
                </w:p>
              </w:tc>
              <w:tc>
                <w:tcPr>
                  <w:tcW w:w="675" w:type="dxa"/>
                  <w:tcBorders>
                    <w:tl2br w:val="nil"/>
                    <w:tr2bl w:val="nil"/>
                  </w:tcBorders>
                  <w:vAlign w:val="center"/>
                </w:tcPr>
                <w:p w14:paraId="6B120F50">
                  <w:pPr>
                    <w:autoSpaceDE w:val="0"/>
                    <w:autoSpaceDN w:val="0"/>
                    <w:adjustRightInd w:val="0"/>
                    <w:spacing w:line="280" w:lineRule="exact"/>
                    <w:jc w:val="center"/>
                    <w:rPr>
                      <w:rFonts w:hint="default" w:ascii="Times New Roman" w:hAnsi="Times New Roman" w:cs="Times New Roman"/>
                      <w:color w:val="auto"/>
                      <w:kern w:val="0"/>
                      <w:szCs w:val="21"/>
                      <w:shd w:val="clear" w:color="auto" w:fill="auto"/>
                      <w:lang w:val="zh-CN"/>
                    </w:rPr>
                  </w:pPr>
                  <w:r>
                    <w:rPr>
                      <w:rFonts w:hint="eastAsia" w:cs="Times New Roman"/>
                      <w:bCs/>
                      <w:color w:val="auto"/>
                      <w:sz w:val="21"/>
                      <w:szCs w:val="21"/>
                      <w:lang w:eastAsia="zh-CN"/>
                    </w:rPr>
                    <w:t>—</w:t>
                  </w:r>
                </w:p>
              </w:tc>
              <w:tc>
                <w:tcPr>
                  <w:tcW w:w="1740" w:type="dxa"/>
                  <w:vMerge w:val="continue"/>
                  <w:tcBorders>
                    <w:tl2br w:val="nil"/>
                    <w:tr2bl w:val="nil"/>
                  </w:tcBorders>
                  <w:vAlign w:val="center"/>
                </w:tcPr>
                <w:p w14:paraId="7AC2BBF5">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p>
              </w:tc>
              <w:tc>
                <w:tcPr>
                  <w:tcW w:w="1429" w:type="dxa"/>
                  <w:tcBorders>
                    <w:tl2br w:val="nil"/>
                    <w:tr2bl w:val="nil"/>
                  </w:tcBorders>
                  <w:vAlign w:val="center"/>
                </w:tcPr>
                <w:p w14:paraId="0D8C03FD">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default" w:ascii="Times New Roman" w:hAnsi="Times New Roman" w:cs="Times New Roman"/>
                      <w:bCs/>
                      <w:color w:val="auto"/>
                      <w:sz w:val="21"/>
                      <w:szCs w:val="21"/>
                      <w:shd w:val="clear" w:color="auto" w:fill="auto"/>
                      <w:lang w:val="en-US" w:eastAsia="zh-CN"/>
                    </w:rPr>
                    <w:t>废油桶</w:t>
                  </w:r>
                </w:p>
              </w:tc>
              <w:tc>
                <w:tcPr>
                  <w:tcW w:w="720" w:type="dxa"/>
                  <w:tcBorders>
                    <w:tl2br w:val="nil"/>
                    <w:tr2bl w:val="nil"/>
                  </w:tcBorders>
                  <w:vAlign w:val="center"/>
                </w:tcPr>
                <w:p w14:paraId="7EE32171">
                  <w:pPr>
                    <w:spacing w:line="280" w:lineRule="exact"/>
                    <w:jc w:val="center"/>
                    <w:rPr>
                      <w:rFonts w:hint="default" w:ascii="Times New Roman" w:hAnsi="Times New Roman" w:cs="Times New Roman"/>
                      <w:color w:val="auto"/>
                      <w:szCs w:val="21"/>
                      <w:shd w:val="clear" w:color="auto" w:fill="auto"/>
                    </w:rPr>
                  </w:pPr>
                  <w:r>
                    <w:rPr>
                      <w:rFonts w:hint="default" w:ascii="Times New Roman" w:hAnsi="Times New Roman" w:cs="Times New Roman"/>
                      <w:color w:val="auto"/>
                      <w:szCs w:val="21"/>
                      <w:shd w:val="clear" w:color="auto" w:fill="auto"/>
                      <w:lang w:val="en-US" w:eastAsia="zh-CN"/>
                    </w:rPr>
                    <w:t>间断</w:t>
                  </w:r>
                </w:p>
              </w:tc>
              <w:tc>
                <w:tcPr>
                  <w:tcW w:w="3311" w:type="dxa"/>
                  <w:vMerge w:val="continue"/>
                  <w:tcBorders>
                    <w:tl2br w:val="nil"/>
                    <w:tr2bl w:val="nil"/>
                  </w:tcBorders>
                  <w:vAlign w:val="center"/>
                </w:tcPr>
                <w:p w14:paraId="4E1F709E">
                  <w:pPr>
                    <w:spacing w:line="280" w:lineRule="exact"/>
                    <w:jc w:val="center"/>
                    <w:rPr>
                      <w:rFonts w:hint="default" w:ascii="Times New Roman" w:hAnsi="Times New Roman" w:eastAsia="宋体" w:cs="Times New Roman"/>
                      <w:color w:val="auto"/>
                      <w:szCs w:val="21"/>
                      <w:shd w:val="clear" w:color="auto" w:fill="auto"/>
                      <w:lang w:val="en-US" w:eastAsia="zh-CN"/>
                    </w:rPr>
                  </w:pPr>
                </w:p>
              </w:tc>
            </w:tr>
            <w:tr w14:paraId="3F77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64" w:type="dxa"/>
                  <w:vMerge w:val="continue"/>
                  <w:tcBorders>
                    <w:tl2br w:val="nil"/>
                    <w:tr2bl w:val="nil"/>
                  </w:tcBorders>
                  <w:vAlign w:val="center"/>
                </w:tcPr>
                <w:p w14:paraId="03B5BD17">
                  <w:pPr>
                    <w:pStyle w:val="87"/>
                    <w:spacing w:line="280" w:lineRule="exact"/>
                    <w:ind w:firstLine="0" w:firstLineChars="0"/>
                    <w:jc w:val="center"/>
                    <w:rPr>
                      <w:rFonts w:hint="default" w:ascii="Times New Roman" w:hAnsi="Times New Roman" w:cs="Times New Roman"/>
                      <w:bCs/>
                      <w:color w:val="auto"/>
                      <w:sz w:val="21"/>
                      <w:szCs w:val="21"/>
                    </w:rPr>
                  </w:pPr>
                </w:p>
              </w:tc>
              <w:tc>
                <w:tcPr>
                  <w:tcW w:w="675" w:type="dxa"/>
                  <w:tcBorders>
                    <w:tl2br w:val="nil"/>
                    <w:tr2bl w:val="nil"/>
                  </w:tcBorders>
                  <w:vAlign w:val="center"/>
                </w:tcPr>
                <w:p w14:paraId="06E80E65">
                  <w:pPr>
                    <w:autoSpaceDE w:val="0"/>
                    <w:autoSpaceDN w:val="0"/>
                    <w:adjustRightInd w:val="0"/>
                    <w:spacing w:line="280" w:lineRule="exact"/>
                    <w:jc w:val="center"/>
                    <w:rPr>
                      <w:rFonts w:hint="eastAsia" w:cs="Times New Roman"/>
                      <w:bCs/>
                      <w:color w:val="auto"/>
                      <w:sz w:val="21"/>
                      <w:szCs w:val="21"/>
                      <w:lang w:val="en-US" w:eastAsia="zh-CN"/>
                    </w:rPr>
                  </w:pPr>
                  <w:r>
                    <w:rPr>
                      <w:rFonts w:hint="eastAsia" w:cs="Times New Roman"/>
                      <w:bCs/>
                      <w:color w:val="auto"/>
                      <w:sz w:val="21"/>
                      <w:szCs w:val="21"/>
                      <w:lang w:eastAsia="zh-CN"/>
                    </w:rPr>
                    <w:t>—</w:t>
                  </w:r>
                </w:p>
              </w:tc>
              <w:tc>
                <w:tcPr>
                  <w:tcW w:w="1740" w:type="dxa"/>
                  <w:vMerge w:val="continue"/>
                  <w:tcBorders>
                    <w:tl2br w:val="nil"/>
                    <w:tr2bl w:val="nil"/>
                  </w:tcBorders>
                  <w:vAlign w:val="center"/>
                </w:tcPr>
                <w:p w14:paraId="4B0E7446">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p>
              </w:tc>
              <w:tc>
                <w:tcPr>
                  <w:tcW w:w="1429" w:type="dxa"/>
                  <w:tcBorders>
                    <w:tl2br w:val="nil"/>
                    <w:tr2bl w:val="nil"/>
                  </w:tcBorders>
                  <w:vAlign w:val="center"/>
                </w:tcPr>
                <w:p w14:paraId="189106FF">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废含油抹布</w:t>
                  </w:r>
                </w:p>
              </w:tc>
              <w:tc>
                <w:tcPr>
                  <w:tcW w:w="720" w:type="dxa"/>
                  <w:tcBorders>
                    <w:tl2br w:val="nil"/>
                    <w:tr2bl w:val="nil"/>
                  </w:tcBorders>
                  <w:vAlign w:val="center"/>
                </w:tcPr>
                <w:p w14:paraId="024B2515">
                  <w:pPr>
                    <w:spacing w:line="280" w:lineRule="exact"/>
                    <w:jc w:val="center"/>
                    <w:rPr>
                      <w:rFonts w:hint="default" w:ascii="Times New Roman" w:hAnsi="Times New Roman" w:cs="Times New Roman"/>
                      <w:color w:val="auto"/>
                      <w:szCs w:val="21"/>
                      <w:shd w:val="clear" w:color="auto" w:fill="auto"/>
                      <w:lang w:val="en-US" w:eastAsia="zh-CN"/>
                    </w:rPr>
                  </w:pPr>
                  <w:r>
                    <w:rPr>
                      <w:rFonts w:hint="default" w:ascii="Times New Roman" w:hAnsi="Times New Roman" w:cs="Times New Roman"/>
                      <w:color w:val="auto"/>
                      <w:szCs w:val="21"/>
                      <w:shd w:val="clear" w:color="auto" w:fill="auto"/>
                      <w:lang w:val="en-US" w:eastAsia="zh-CN"/>
                    </w:rPr>
                    <w:t>间断</w:t>
                  </w:r>
                </w:p>
              </w:tc>
              <w:tc>
                <w:tcPr>
                  <w:tcW w:w="3311" w:type="dxa"/>
                  <w:vMerge w:val="continue"/>
                  <w:tcBorders>
                    <w:tl2br w:val="nil"/>
                    <w:tr2bl w:val="nil"/>
                  </w:tcBorders>
                  <w:vAlign w:val="center"/>
                </w:tcPr>
                <w:p w14:paraId="203585D5">
                  <w:pPr>
                    <w:spacing w:line="280" w:lineRule="exact"/>
                    <w:jc w:val="center"/>
                    <w:rPr>
                      <w:rFonts w:hint="default" w:ascii="Times New Roman" w:hAnsi="Times New Roman" w:eastAsia="宋体" w:cs="Times New Roman"/>
                      <w:color w:val="auto"/>
                      <w:szCs w:val="21"/>
                      <w:shd w:val="clear" w:color="auto" w:fill="auto"/>
                      <w:lang w:val="en-US" w:eastAsia="zh-CN"/>
                    </w:rPr>
                  </w:pPr>
                </w:p>
              </w:tc>
            </w:tr>
            <w:tr w14:paraId="6AFB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64" w:type="dxa"/>
                  <w:vMerge w:val="continue"/>
                  <w:tcBorders>
                    <w:tl2br w:val="nil"/>
                    <w:tr2bl w:val="nil"/>
                  </w:tcBorders>
                  <w:vAlign w:val="center"/>
                </w:tcPr>
                <w:p w14:paraId="71505E23">
                  <w:pPr>
                    <w:pStyle w:val="87"/>
                    <w:spacing w:line="280" w:lineRule="exact"/>
                    <w:ind w:firstLine="0" w:firstLineChars="0"/>
                    <w:jc w:val="center"/>
                    <w:rPr>
                      <w:rFonts w:hint="default" w:ascii="Times New Roman" w:hAnsi="Times New Roman" w:cs="Times New Roman"/>
                      <w:bCs/>
                      <w:color w:val="auto"/>
                      <w:sz w:val="21"/>
                      <w:szCs w:val="21"/>
                    </w:rPr>
                  </w:pPr>
                </w:p>
              </w:tc>
              <w:tc>
                <w:tcPr>
                  <w:tcW w:w="675" w:type="dxa"/>
                  <w:tcBorders>
                    <w:tl2br w:val="nil"/>
                    <w:tr2bl w:val="nil"/>
                  </w:tcBorders>
                  <w:vAlign w:val="center"/>
                </w:tcPr>
                <w:p w14:paraId="05C524DB">
                  <w:pPr>
                    <w:autoSpaceDE w:val="0"/>
                    <w:autoSpaceDN w:val="0"/>
                    <w:adjustRightInd w:val="0"/>
                    <w:spacing w:line="280" w:lineRule="exact"/>
                    <w:jc w:val="center"/>
                    <w:rPr>
                      <w:rFonts w:hint="eastAsia" w:cs="Times New Roman"/>
                      <w:bCs/>
                      <w:color w:val="auto"/>
                      <w:sz w:val="21"/>
                      <w:szCs w:val="21"/>
                      <w:lang w:eastAsia="zh-CN"/>
                    </w:rPr>
                  </w:pPr>
                  <w:r>
                    <w:rPr>
                      <w:rFonts w:hint="eastAsia" w:cs="Times New Roman"/>
                      <w:bCs/>
                      <w:color w:val="auto"/>
                      <w:sz w:val="21"/>
                      <w:szCs w:val="21"/>
                      <w:lang w:eastAsia="zh-CN"/>
                    </w:rPr>
                    <w:t>—</w:t>
                  </w:r>
                </w:p>
              </w:tc>
              <w:tc>
                <w:tcPr>
                  <w:tcW w:w="1740" w:type="dxa"/>
                  <w:vMerge w:val="continue"/>
                  <w:tcBorders>
                    <w:tl2br w:val="nil"/>
                    <w:tr2bl w:val="nil"/>
                  </w:tcBorders>
                  <w:vAlign w:val="center"/>
                </w:tcPr>
                <w:p w14:paraId="6C9257E9">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p>
              </w:tc>
              <w:tc>
                <w:tcPr>
                  <w:tcW w:w="1429" w:type="dxa"/>
                  <w:tcBorders>
                    <w:tl2br w:val="nil"/>
                    <w:tr2bl w:val="nil"/>
                  </w:tcBorders>
                  <w:vAlign w:val="center"/>
                </w:tcPr>
                <w:p w14:paraId="07616994">
                  <w:pPr>
                    <w:pStyle w:val="87"/>
                    <w:spacing w:line="280" w:lineRule="exact"/>
                    <w:ind w:firstLine="0" w:firstLineChars="0"/>
                    <w:jc w:val="center"/>
                    <w:rPr>
                      <w:rFonts w:hint="eastAsia" w:ascii="Times New Roman" w:hAnsi="Times New Roman"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包装废料</w:t>
                  </w:r>
                </w:p>
              </w:tc>
              <w:tc>
                <w:tcPr>
                  <w:tcW w:w="720" w:type="dxa"/>
                  <w:tcBorders>
                    <w:tl2br w:val="nil"/>
                    <w:tr2bl w:val="nil"/>
                  </w:tcBorders>
                  <w:vAlign w:val="center"/>
                </w:tcPr>
                <w:p w14:paraId="5BECAEDB">
                  <w:pPr>
                    <w:spacing w:line="280" w:lineRule="exact"/>
                    <w:jc w:val="center"/>
                    <w:rPr>
                      <w:rFonts w:hint="default" w:ascii="Times New Roman" w:hAnsi="Times New Roman" w:cs="Times New Roman"/>
                      <w:color w:val="auto"/>
                      <w:szCs w:val="21"/>
                      <w:shd w:val="clear" w:color="auto" w:fill="auto"/>
                      <w:lang w:val="en-US" w:eastAsia="zh-CN"/>
                    </w:rPr>
                  </w:pPr>
                  <w:r>
                    <w:rPr>
                      <w:rFonts w:hint="default" w:ascii="Times New Roman" w:hAnsi="Times New Roman" w:cs="Times New Roman"/>
                      <w:color w:val="auto"/>
                      <w:szCs w:val="21"/>
                      <w:shd w:val="clear" w:color="auto" w:fill="auto"/>
                      <w:lang w:val="en-US" w:eastAsia="zh-CN"/>
                    </w:rPr>
                    <w:t>间断</w:t>
                  </w:r>
                </w:p>
              </w:tc>
              <w:tc>
                <w:tcPr>
                  <w:tcW w:w="3311" w:type="dxa"/>
                  <w:tcBorders>
                    <w:tl2br w:val="nil"/>
                    <w:tr2bl w:val="nil"/>
                  </w:tcBorders>
                  <w:vAlign w:val="center"/>
                </w:tcPr>
                <w:p w14:paraId="135D8F2A">
                  <w:pPr>
                    <w:spacing w:line="280" w:lineRule="exact"/>
                    <w:jc w:val="center"/>
                    <w:rPr>
                      <w:rFonts w:hint="default" w:ascii="Times New Roman" w:hAnsi="Times New Roman" w:eastAsia="宋体" w:cs="Times New Roman"/>
                      <w:color w:val="auto"/>
                      <w:szCs w:val="21"/>
                      <w:shd w:val="clear" w:color="auto" w:fill="auto"/>
                      <w:lang w:val="en-US" w:eastAsia="zh-CN"/>
                    </w:rPr>
                  </w:pPr>
                  <w:r>
                    <w:rPr>
                      <w:rFonts w:hint="eastAsia" w:cs="Times New Roman"/>
                      <w:color w:val="auto"/>
                      <w:szCs w:val="21"/>
                      <w:shd w:val="clear" w:color="auto" w:fill="auto"/>
                      <w:lang w:val="en-US" w:eastAsia="zh-CN"/>
                    </w:rPr>
                    <w:t>外售</w:t>
                  </w:r>
                </w:p>
              </w:tc>
            </w:tr>
            <w:tr w14:paraId="2C59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64" w:type="dxa"/>
                  <w:vMerge w:val="continue"/>
                  <w:tcBorders>
                    <w:tl2br w:val="nil"/>
                    <w:tr2bl w:val="nil"/>
                  </w:tcBorders>
                  <w:vAlign w:val="center"/>
                </w:tcPr>
                <w:p w14:paraId="397F68BB">
                  <w:pPr>
                    <w:pStyle w:val="87"/>
                    <w:spacing w:line="280" w:lineRule="exact"/>
                    <w:ind w:firstLine="0" w:firstLineChars="0"/>
                    <w:jc w:val="center"/>
                    <w:rPr>
                      <w:rFonts w:hint="default" w:ascii="Times New Roman" w:hAnsi="Times New Roman" w:cs="Times New Roman"/>
                      <w:bCs/>
                      <w:color w:val="auto"/>
                      <w:sz w:val="21"/>
                      <w:szCs w:val="21"/>
                    </w:rPr>
                  </w:pPr>
                </w:p>
              </w:tc>
              <w:tc>
                <w:tcPr>
                  <w:tcW w:w="675" w:type="dxa"/>
                  <w:tcBorders>
                    <w:tl2br w:val="nil"/>
                    <w:tr2bl w:val="nil"/>
                  </w:tcBorders>
                  <w:vAlign w:val="center"/>
                </w:tcPr>
                <w:p w14:paraId="338860CA">
                  <w:pPr>
                    <w:autoSpaceDE w:val="0"/>
                    <w:autoSpaceDN w:val="0"/>
                    <w:adjustRightInd w:val="0"/>
                    <w:spacing w:line="280" w:lineRule="exact"/>
                    <w:jc w:val="center"/>
                    <w:rPr>
                      <w:rFonts w:hint="default" w:ascii="Times New Roman" w:hAnsi="Times New Roman" w:cs="Times New Roman"/>
                      <w:color w:val="auto"/>
                      <w:kern w:val="0"/>
                      <w:szCs w:val="21"/>
                      <w:shd w:val="clear" w:color="auto" w:fill="auto"/>
                      <w:lang w:val="zh-CN"/>
                    </w:rPr>
                  </w:pPr>
                  <w:r>
                    <w:rPr>
                      <w:rFonts w:hint="eastAsia" w:cs="Times New Roman"/>
                      <w:bCs/>
                      <w:color w:val="auto"/>
                      <w:sz w:val="21"/>
                      <w:szCs w:val="21"/>
                      <w:lang w:eastAsia="zh-CN"/>
                    </w:rPr>
                    <w:t>—</w:t>
                  </w:r>
                </w:p>
              </w:tc>
              <w:tc>
                <w:tcPr>
                  <w:tcW w:w="1740" w:type="dxa"/>
                  <w:tcBorders>
                    <w:tl2br w:val="nil"/>
                    <w:tr2bl w:val="nil"/>
                  </w:tcBorders>
                  <w:vAlign w:val="center"/>
                </w:tcPr>
                <w:p w14:paraId="33212566">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default" w:ascii="Times New Roman" w:hAnsi="Times New Roman" w:cs="Times New Roman"/>
                      <w:bCs/>
                      <w:color w:val="auto"/>
                      <w:sz w:val="21"/>
                      <w:szCs w:val="21"/>
                      <w:shd w:val="clear" w:color="auto" w:fill="auto"/>
                      <w:lang w:val="en-US" w:eastAsia="zh-CN"/>
                    </w:rPr>
                    <w:t>职工生活</w:t>
                  </w:r>
                </w:p>
              </w:tc>
              <w:tc>
                <w:tcPr>
                  <w:tcW w:w="1429" w:type="dxa"/>
                  <w:tcBorders>
                    <w:tl2br w:val="nil"/>
                    <w:tr2bl w:val="nil"/>
                  </w:tcBorders>
                  <w:vAlign w:val="center"/>
                </w:tcPr>
                <w:p w14:paraId="48F58DA4">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default" w:ascii="Times New Roman" w:hAnsi="Times New Roman" w:cs="Times New Roman"/>
                      <w:bCs/>
                      <w:color w:val="auto"/>
                      <w:sz w:val="21"/>
                      <w:szCs w:val="21"/>
                      <w:shd w:val="clear" w:color="auto" w:fill="auto"/>
                      <w:lang w:val="en-US" w:eastAsia="zh-CN"/>
                    </w:rPr>
                    <w:t>生活垃圾</w:t>
                  </w:r>
                </w:p>
              </w:tc>
              <w:tc>
                <w:tcPr>
                  <w:tcW w:w="720" w:type="dxa"/>
                  <w:tcBorders>
                    <w:tl2br w:val="nil"/>
                    <w:tr2bl w:val="nil"/>
                  </w:tcBorders>
                  <w:vAlign w:val="center"/>
                </w:tcPr>
                <w:p w14:paraId="01DCD22C">
                  <w:pPr>
                    <w:spacing w:line="280" w:lineRule="exact"/>
                    <w:jc w:val="center"/>
                    <w:rPr>
                      <w:rFonts w:hint="default" w:ascii="Times New Roman" w:hAnsi="Times New Roman" w:cs="Times New Roman"/>
                      <w:color w:val="auto"/>
                      <w:szCs w:val="21"/>
                      <w:shd w:val="clear" w:color="auto" w:fill="auto"/>
                    </w:rPr>
                  </w:pPr>
                  <w:r>
                    <w:rPr>
                      <w:rFonts w:hint="default" w:ascii="Times New Roman" w:hAnsi="Times New Roman" w:cs="Times New Roman"/>
                      <w:color w:val="auto"/>
                      <w:szCs w:val="21"/>
                      <w:shd w:val="clear" w:color="auto" w:fill="auto"/>
                      <w:lang w:val="en-US" w:eastAsia="zh-CN"/>
                    </w:rPr>
                    <w:t>间断</w:t>
                  </w:r>
                </w:p>
              </w:tc>
              <w:tc>
                <w:tcPr>
                  <w:tcW w:w="3311" w:type="dxa"/>
                  <w:tcBorders>
                    <w:tl2br w:val="nil"/>
                    <w:tr2bl w:val="nil"/>
                  </w:tcBorders>
                  <w:vAlign w:val="center"/>
                </w:tcPr>
                <w:p w14:paraId="0ED54ABB">
                  <w:pPr>
                    <w:spacing w:line="280" w:lineRule="exact"/>
                    <w:jc w:val="center"/>
                    <w:rPr>
                      <w:rFonts w:hint="default" w:ascii="Times New Roman" w:hAnsi="Times New Roman" w:eastAsia="宋体" w:cs="Times New Roman"/>
                      <w:color w:val="auto"/>
                      <w:szCs w:val="21"/>
                      <w:shd w:val="clear" w:color="auto" w:fill="auto"/>
                      <w:lang w:eastAsia="zh-CN"/>
                    </w:rPr>
                  </w:pPr>
                  <w:r>
                    <w:rPr>
                      <w:rFonts w:hint="default" w:ascii="Times New Roman" w:hAnsi="Times New Roman" w:cs="Times New Roman"/>
                      <w:color w:val="auto"/>
                      <w:szCs w:val="21"/>
                      <w:shd w:val="clear" w:color="auto" w:fill="auto"/>
                      <w:lang w:val="en-US" w:eastAsia="zh-CN"/>
                    </w:rPr>
                    <w:t>委托环卫部门处理</w:t>
                  </w:r>
                </w:p>
              </w:tc>
            </w:tr>
          </w:tbl>
          <w:p w14:paraId="0C9731DE">
            <w:pPr>
              <w:pStyle w:val="25"/>
              <w:jc w:val="both"/>
              <w:rPr>
                <w:rFonts w:hint="default"/>
              </w:rPr>
            </w:pPr>
          </w:p>
          <w:p w14:paraId="44EF7264">
            <w:pPr>
              <w:rPr>
                <w:rFonts w:hint="default"/>
              </w:rPr>
            </w:pPr>
          </w:p>
          <w:p w14:paraId="55140F7F">
            <w:pPr>
              <w:rPr>
                <w:rFonts w:hint="default"/>
              </w:rPr>
            </w:pPr>
          </w:p>
          <w:p w14:paraId="52E2AE38">
            <w:pPr>
              <w:rPr>
                <w:rFonts w:hint="default"/>
              </w:rPr>
            </w:pPr>
          </w:p>
          <w:p w14:paraId="4F73208F">
            <w:pPr>
              <w:rPr>
                <w:rFonts w:hint="default"/>
              </w:rPr>
            </w:pPr>
          </w:p>
          <w:p w14:paraId="4E5F4FC9">
            <w:pPr>
              <w:rPr>
                <w:rFonts w:hint="default"/>
              </w:rPr>
            </w:pPr>
          </w:p>
          <w:p w14:paraId="394FD53D">
            <w:pPr>
              <w:pStyle w:val="2"/>
              <w:rPr>
                <w:rFonts w:hint="default"/>
              </w:rPr>
            </w:pPr>
          </w:p>
          <w:p w14:paraId="755F9DDC">
            <w:pPr>
              <w:rPr>
                <w:rFonts w:hint="default"/>
              </w:rPr>
            </w:pPr>
          </w:p>
          <w:p w14:paraId="0AEEA223">
            <w:pPr>
              <w:rPr>
                <w:rFonts w:hint="default"/>
              </w:rPr>
            </w:pPr>
          </w:p>
          <w:p w14:paraId="7BF1891C">
            <w:pPr>
              <w:rPr>
                <w:rFonts w:hint="default"/>
              </w:rPr>
            </w:pPr>
          </w:p>
          <w:p w14:paraId="03814E4C">
            <w:pPr>
              <w:rPr>
                <w:rFonts w:hint="default"/>
              </w:rPr>
            </w:pPr>
          </w:p>
        </w:tc>
      </w:tr>
      <w:tr w14:paraId="5819B5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35" w:hRule="atLeast"/>
          <w:jc w:val="center"/>
        </w:trPr>
        <w:tc>
          <w:tcPr>
            <w:tcW w:w="456" w:type="dxa"/>
            <w:vAlign w:val="center"/>
          </w:tcPr>
          <w:p w14:paraId="44753802">
            <w:pPr>
              <w:pStyle w:val="23"/>
              <w:keepNext w:val="0"/>
              <w:keepLines w:val="0"/>
              <w:pageBreakBefore w:val="0"/>
              <w:widowControl/>
              <w:kinsoku/>
              <w:wordWrap/>
              <w:overflowPunct/>
              <w:topLinePunct w:val="0"/>
              <w:autoSpaceDE/>
              <w:autoSpaceDN/>
              <w:bidi w:val="0"/>
              <w:adjustRightInd w:val="0"/>
              <w:snapToGrid w:val="0"/>
              <w:spacing w:before="0" w:beforeAutospacing="0" w:after="0" w:afterAutospacing="0" w:line="280" w:lineRule="exact"/>
              <w:jc w:val="center"/>
              <w:textAlignment w:val="auto"/>
              <w:rPr>
                <w:rFonts w:hint="default" w:ascii="Times New Roman" w:hAnsi="Times New Roman" w:cs="Times New Roman" w:eastAsiaTheme="minorEastAsia"/>
                <w:color w:val="auto"/>
                <w:szCs w:val="24"/>
              </w:rPr>
            </w:pPr>
            <w:r>
              <w:rPr>
                <w:rFonts w:hint="default" w:ascii="Times New Roman" w:hAnsi="Times New Roman" w:cs="Times New Roman" w:eastAsiaTheme="minorEastAsia"/>
                <w:bCs/>
                <w:color w:val="auto"/>
                <w:kern w:val="2"/>
                <w:szCs w:val="24"/>
              </w:rPr>
              <w:t>与项目有关的原有环境污染问题</w:t>
            </w:r>
          </w:p>
        </w:tc>
        <w:tc>
          <w:tcPr>
            <w:tcW w:w="8604" w:type="dxa"/>
            <w:vAlign w:val="center"/>
          </w:tcPr>
          <w:p w14:paraId="10EA8FA5">
            <w:pPr>
              <w:pStyle w:val="92"/>
              <w:keepNext w:val="0"/>
              <w:keepLines w:val="0"/>
              <w:pageBreakBefore w:val="0"/>
              <w:widowControl w:val="0"/>
              <w:kinsoku/>
              <w:wordWrap/>
              <w:overflowPunct/>
              <w:topLinePunct w:val="0"/>
              <w:autoSpaceDE/>
              <w:autoSpaceDN/>
              <w:bidi w:val="0"/>
              <w:adjustRightInd w:val="0"/>
              <w:snapToGrid w:val="0"/>
              <w:spacing w:line="500" w:lineRule="exact"/>
              <w:ind w:left="0" w:leftChars="0" w:firstLine="0" w:firstLineChars="0"/>
              <w:textAlignment w:val="auto"/>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 xml:space="preserve">1 </w:t>
            </w:r>
            <w:r>
              <w:rPr>
                <w:rFonts w:hint="eastAsia" w:cs="Times New Roman"/>
                <w:b/>
                <w:bCs/>
                <w:color w:val="000000" w:themeColor="text1"/>
                <w:lang w:val="en-US" w:eastAsia="zh-CN"/>
                <w14:textFill>
                  <w14:solidFill>
                    <w14:schemeClr w14:val="tx1"/>
                  </w14:solidFill>
                </w14:textFill>
              </w:rPr>
              <w:t>原环评</w:t>
            </w:r>
            <w:r>
              <w:rPr>
                <w:rFonts w:hint="default" w:ascii="Times New Roman" w:hAnsi="Times New Roman" w:cs="Times New Roman"/>
                <w:b/>
                <w:bCs/>
                <w:color w:val="000000" w:themeColor="text1"/>
                <w:lang w:val="en-US" w:eastAsia="zh-CN"/>
                <w14:textFill>
                  <w14:solidFill>
                    <w14:schemeClr w14:val="tx1"/>
                  </w14:solidFill>
                </w14:textFill>
              </w:rPr>
              <w:t>基本情况</w:t>
            </w:r>
          </w:p>
          <w:p w14:paraId="28F33D1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default" w:ascii="Times New Roman" w:hAnsi="Times New Roman" w:cs="Times New Roman" w:eastAsiaTheme="minorEastAsia"/>
                <w:snapToGrid w:val="0"/>
                <w:color w:val="000000" w:themeColor="text1"/>
                <w:sz w:val="24"/>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4"/>
                <w14:textFill>
                  <w14:solidFill>
                    <w14:schemeClr w14:val="tx1"/>
                  </w14:solidFill>
                </w14:textFill>
              </w:rPr>
              <w:t>（</w:t>
            </w:r>
            <w:r>
              <w:rPr>
                <w:rFonts w:hint="default" w:ascii="Times New Roman" w:hAnsi="Times New Roman" w:cs="Times New Roman" w:eastAsiaTheme="minorEastAsia"/>
                <w:bCs/>
                <w:color w:val="000000" w:themeColor="text1"/>
                <w:sz w:val="24"/>
                <w:lang w:val="en-US" w:eastAsia="zh-CN"/>
                <w14:textFill>
                  <w14:solidFill>
                    <w14:schemeClr w14:val="tx1"/>
                  </w14:solidFill>
                </w14:textFill>
              </w:rPr>
              <w:t>1</w:t>
            </w:r>
            <w:r>
              <w:rPr>
                <w:rFonts w:hint="default" w:ascii="Times New Roman" w:hAnsi="Times New Roman" w:cs="Times New Roman" w:eastAsiaTheme="minorEastAsia"/>
                <w:bCs/>
                <w:color w:val="000000" w:themeColor="text1"/>
                <w:sz w:val="24"/>
                <w14:textFill>
                  <w14:solidFill>
                    <w14:schemeClr w14:val="tx1"/>
                  </w14:solidFill>
                </w14:textFill>
              </w:rPr>
              <w:t>）</w:t>
            </w:r>
            <w:r>
              <w:rPr>
                <w:rFonts w:hint="default" w:ascii="Times New Roman" w:hAnsi="Times New Roman" w:cs="Times New Roman" w:eastAsiaTheme="minorEastAsia"/>
                <w:bCs/>
                <w:color w:val="000000" w:themeColor="text1"/>
                <w:sz w:val="24"/>
                <w:lang w:val="en-US" w:eastAsia="zh-CN"/>
                <w14:textFill>
                  <w14:solidFill>
                    <w14:schemeClr w14:val="tx1"/>
                  </w14:solidFill>
                </w14:textFill>
              </w:rPr>
              <w:t>环保手续情况</w:t>
            </w:r>
          </w:p>
          <w:p w14:paraId="09C6BA7D">
            <w:pPr>
              <w:pStyle w:val="83"/>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color w:val="000000" w:themeColor="text1"/>
                <w:sz w:val="24"/>
                <w:lang w:val="en-US" w:eastAsia="zh-CN"/>
                <w14:textFill>
                  <w14:solidFill>
                    <w14:schemeClr w14:val="tx1"/>
                  </w14:solidFill>
                </w14:textFill>
              </w:rPr>
            </w:pPr>
            <w:r>
              <w:rPr>
                <w:rFonts w:hint="eastAsia" w:cs="Times New Roman" w:eastAsiaTheme="minorEastAsia"/>
                <w:snapToGrid w:val="0"/>
                <w:color w:val="auto"/>
                <w:sz w:val="24"/>
                <w:lang w:val="en-US" w:eastAsia="zh-CN"/>
              </w:rPr>
              <w:t>《邯郸才茂环保科技有限公司年产12000吨再生塑料颗粒项目》</w:t>
            </w:r>
            <w:r>
              <w:rPr>
                <w:rFonts w:hint="eastAsia" w:ascii="Times New Roman" w:hAnsi="Times New Roman" w:cs="Times New Roman"/>
                <w:color w:val="000000" w:themeColor="text1"/>
                <w:sz w:val="24"/>
                <w:lang w:val="en-US" w:eastAsia="zh-CN"/>
                <w14:textFill>
                  <w14:solidFill>
                    <w14:schemeClr w14:val="tx1"/>
                  </w14:solidFill>
                </w14:textFill>
              </w:rPr>
              <w:t>环境影响报告表</w:t>
            </w:r>
            <w:r>
              <w:rPr>
                <w:rFonts w:hint="eastAsia" w:cs="Times New Roman" w:eastAsiaTheme="minorEastAsia"/>
                <w:snapToGrid w:val="0"/>
                <w:color w:val="auto"/>
                <w:sz w:val="24"/>
                <w:lang w:val="en-US" w:eastAsia="zh-CN"/>
              </w:rPr>
              <w:t>已于2024年11月13日通过魏县行政审批局审批，审批文号魏审批环表[2024]17号。</w:t>
            </w:r>
          </w:p>
          <w:p w14:paraId="4301B8E8">
            <w:pPr>
              <w:pStyle w:val="83"/>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原环评项目处于建设中尚未投产，因此项目尚未验收和申领排污许可证</w:t>
            </w:r>
            <w:r>
              <w:rPr>
                <w:rFonts w:hint="eastAsia" w:ascii="Times New Roman" w:hAnsi="Times New Roman" w:cs="Times New Roman"/>
                <w:color w:val="000000" w:themeColor="text1"/>
                <w:sz w:val="24"/>
                <w:lang w:val="en-US" w:eastAsia="zh-CN"/>
                <w14:textFill>
                  <w14:solidFill>
                    <w14:schemeClr w14:val="tx1"/>
                  </w14:solidFill>
                </w14:textFill>
              </w:rPr>
              <w:t>。</w:t>
            </w:r>
          </w:p>
          <w:p w14:paraId="5598AFE0">
            <w:pPr>
              <w:pStyle w:val="12"/>
              <w:keepNext w:val="0"/>
              <w:keepLines w:val="0"/>
              <w:pageBreakBefore w:val="0"/>
              <w:widowControl w:val="0"/>
              <w:kinsoku/>
              <w:wordWrap/>
              <w:overflowPunct/>
              <w:topLinePunct w:val="0"/>
              <w:autoSpaceDE/>
              <w:autoSpaceDN/>
              <w:bidi w:val="0"/>
              <w:adjustRightInd w:val="0"/>
              <w:snapToGrid w:val="0"/>
              <w:spacing w:after="0" w:line="500" w:lineRule="exact"/>
              <w:ind w:firstLine="480" w:firstLineChars="200"/>
              <w:textAlignment w:val="auto"/>
              <w:rPr>
                <w:rFonts w:hint="default" w:ascii="Times New Roman" w:hAnsi="Times New Roman" w:cs="Times New Roman" w:eastAsiaTheme="minorEastAsia"/>
                <w:b/>
                <w:bCs/>
                <w:color w:val="auto"/>
                <w:kern w:val="0"/>
                <w:sz w:val="24"/>
                <w:lang w:val="en-US" w:eastAsia="zh-CN"/>
              </w:rPr>
            </w:pPr>
            <w:r>
              <w:rPr>
                <w:rFonts w:hint="default" w:ascii="Times New Roman" w:hAnsi="Times New Roman" w:eastAsia="宋体" w:cs="Times New Roman"/>
                <w:color w:val="auto"/>
                <w:kern w:val="0"/>
                <w:sz w:val="24"/>
                <w:szCs w:val="21"/>
                <w:lang w:val="en-US" w:eastAsia="zh-CN" w:bidi="ar-SA"/>
              </w:rPr>
              <w:t>（</w:t>
            </w:r>
            <w:r>
              <w:rPr>
                <w:rFonts w:hint="eastAsia" w:cs="Times New Roman"/>
                <w:color w:val="auto"/>
                <w:kern w:val="0"/>
                <w:sz w:val="24"/>
                <w:szCs w:val="21"/>
                <w:lang w:val="en-US" w:eastAsia="zh-CN" w:bidi="ar-SA"/>
              </w:rPr>
              <w:t>2</w:t>
            </w:r>
            <w:r>
              <w:rPr>
                <w:rFonts w:hint="default" w:ascii="Times New Roman" w:hAnsi="Times New Roman" w:eastAsia="宋体" w:cs="Times New Roman"/>
                <w:color w:val="auto"/>
                <w:kern w:val="0"/>
                <w:sz w:val="24"/>
                <w:szCs w:val="21"/>
                <w:lang w:val="en-US" w:eastAsia="zh-CN" w:bidi="ar-SA"/>
              </w:rPr>
              <w:t>）现有工程存在的</w:t>
            </w:r>
            <w:r>
              <w:rPr>
                <w:rFonts w:hint="default" w:ascii="Times New Roman" w:hAnsi="Times New Roman" w:cs="Times New Roman"/>
                <w:color w:val="auto"/>
                <w:kern w:val="0"/>
                <w:sz w:val="24"/>
                <w:szCs w:val="21"/>
                <w:lang w:val="en-US" w:eastAsia="zh-CN" w:bidi="ar-SA"/>
              </w:rPr>
              <w:t>主要环境</w:t>
            </w:r>
            <w:r>
              <w:rPr>
                <w:rFonts w:hint="default" w:ascii="Times New Roman" w:hAnsi="Times New Roman" w:eastAsia="宋体" w:cs="Times New Roman"/>
                <w:color w:val="auto"/>
                <w:kern w:val="0"/>
                <w:sz w:val="24"/>
                <w:szCs w:val="21"/>
                <w:lang w:val="en-US" w:eastAsia="zh-CN" w:bidi="ar-SA"/>
              </w:rPr>
              <w:t>问题及解决方案</w:t>
            </w:r>
          </w:p>
          <w:p w14:paraId="0A25E38B">
            <w:pPr>
              <w:pStyle w:val="12"/>
              <w:keepNext w:val="0"/>
              <w:keepLines w:val="0"/>
              <w:pageBreakBefore w:val="0"/>
              <w:widowControl w:val="0"/>
              <w:kinsoku/>
              <w:wordWrap/>
              <w:overflowPunct/>
              <w:topLinePunct w:val="0"/>
              <w:autoSpaceDE/>
              <w:autoSpaceDN/>
              <w:bidi w:val="0"/>
              <w:adjustRightInd w:val="0"/>
              <w:snapToGrid w:val="0"/>
              <w:spacing w:after="0" w:line="500" w:lineRule="exact"/>
              <w:ind w:firstLine="480" w:firstLineChars="200"/>
              <w:textAlignment w:val="auto"/>
              <w:rPr>
                <w:rFonts w:hint="eastAsia" w:cs="Times New Roman"/>
                <w:color w:val="auto"/>
                <w:kern w:val="0"/>
                <w:sz w:val="24"/>
                <w:szCs w:val="21"/>
                <w:lang w:val="en-US" w:eastAsia="zh-CN" w:bidi="ar-SA"/>
              </w:rPr>
            </w:pPr>
            <w:r>
              <w:rPr>
                <w:rFonts w:hint="eastAsia" w:cs="Times New Roman"/>
                <w:color w:val="0000FF"/>
                <w:sz w:val="24"/>
                <w:lang w:val="en-US" w:eastAsia="zh-CN"/>
              </w:rPr>
              <w:t>项目租用</w:t>
            </w:r>
            <w:r>
              <w:rPr>
                <w:rFonts w:hint="eastAsia" w:cs="Times New Roman" w:eastAsiaTheme="minorEastAsia"/>
                <w:color w:val="0000FF"/>
                <w:sz w:val="24"/>
                <w:lang w:val="en-US" w:eastAsia="zh-CN"/>
              </w:rPr>
              <w:t>园区现有闲置生产车间并对其进行扩建</w:t>
            </w:r>
            <w:r>
              <w:rPr>
                <w:rFonts w:hint="eastAsia" w:cs="Times New Roman"/>
                <w:color w:val="0000FF"/>
                <w:sz w:val="24"/>
                <w:lang w:val="en-US" w:eastAsia="zh-CN"/>
              </w:rPr>
              <w:t>，原租户为一废塑料再生企业，已于2024年停产</w:t>
            </w:r>
            <w:r>
              <w:rPr>
                <w:rFonts w:hint="eastAsia" w:cs="Times New Roman"/>
                <w:color w:val="000000" w:themeColor="text1"/>
                <w:sz w:val="24"/>
                <w:lang w:val="en-US" w:eastAsia="zh-CN"/>
                <w14:textFill>
                  <w14:solidFill>
                    <w14:schemeClr w14:val="tx1"/>
                  </w14:solidFill>
                </w14:textFill>
              </w:rPr>
              <w:t>，</w:t>
            </w:r>
            <w:r>
              <w:rPr>
                <w:rFonts w:hint="eastAsia" w:cs="Times New Roman"/>
                <w:color w:val="FF0000"/>
                <w:sz w:val="24"/>
                <w:lang w:val="en-US" w:eastAsia="zh-CN"/>
              </w:rPr>
              <w:t>同时原环评项目（以废旧渔网为原辅材料）处于建设中尚未投产，因此</w:t>
            </w:r>
            <w:r>
              <w:rPr>
                <w:rFonts w:hint="eastAsia" w:cs="Times New Roman"/>
                <w:color w:val="000000" w:themeColor="text1"/>
                <w:sz w:val="24"/>
                <w:lang w:val="en-US" w:eastAsia="zh-CN"/>
                <w14:textFill>
                  <w14:solidFill>
                    <w14:schemeClr w14:val="tx1"/>
                  </w14:solidFill>
                </w14:textFill>
              </w:rPr>
              <w:t>无</w:t>
            </w:r>
            <w:r>
              <w:rPr>
                <w:rFonts w:hint="default" w:ascii="Times New Roman" w:hAnsi="Times New Roman" w:cs="Times New Roman"/>
                <w:color w:val="auto"/>
                <w:kern w:val="0"/>
                <w:sz w:val="24"/>
                <w:szCs w:val="21"/>
                <w:lang w:val="en-US" w:eastAsia="zh-CN" w:bidi="ar-SA"/>
              </w:rPr>
              <w:t>主要环境</w:t>
            </w:r>
            <w:r>
              <w:rPr>
                <w:rFonts w:hint="default" w:ascii="Times New Roman" w:hAnsi="Times New Roman" w:eastAsia="宋体" w:cs="Times New Roman"/>
                <w:color w:val="auto"/>
                <w:kern w:val="0"/>
                <w:sz w:val="24"/>
                <w:szCs w:val="21"/>
                <w:lang w:val="en-US" w:eastAsia="zh-CN" w:bidi="ar-SA"/>
              </w:rPr>
              <w:t>问题</w:t>
            </w:r>
            <w:r>
              <w:rPr>
                <w:rFonts w:hint="eastAsia" w:cs="Times New Roman"/>
                <w:color w:val="auto"/>
                <w:kern w:val="0"/>
                <w:sz w:val="24"/>
                <w:szCs w:val="21"/>
                <w:lang w:val="en-US" w:eastAsia="zh-CN" w:bidi="ar-SA"/>
              </w:rPr>
              <w:t>。</w:t>
            </w:r>
          </w:p>
          <w:p w14:paraId="60438208">
            <w:pPr>
              <w:pStyle w:val="12"/>
              <w:keepNext w:val="0"/>
              <w:keepLines w:val="0"/>
              <w:pageBreakBefore w:val="0"/>
              <w:widowControl w:val="0"/>
              <w:kinsoku/>
              <w:wordWrap/>
              <w:overflowPunct/>
              <w:topLinePunct w:val="0"/>
              <w:autoSpaceDE/>
              <w:autoSpaceDN/>
              <w:bidi w:val="0"/>
              <w:adjustRightInd w:val="0"/>
              <w:snapToGrid w:val="0"/>
              <w:spacing w:after="0" w:line="500" w:lineRule="exact"/>
              <w:ind w:firstLine="480" w:firstLineChars="200"/>
              <w:textAlignment w:val="auto"/>
              <w:rPr>
                <w:rFonts w:hint="eastAsia" w:cs="Times New Roman"/>
                <w:color w:val="5B9BD5" w:themeColor="accent1"/>
                <w:kern w:val="0"/>
                <w:sz w:val="24"/>
                <w:szCs w:val="21"/>
                <w:lang w:val="en-US" w:eastAsia="zh-CN" w:bidi="ar-SA"/>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pPr>
          </w:p>
          <w:p w14:paraId="0A97D692">
            <w:pPr>
              <w:pStyle w:val="12"/>
              <w:keepNext w:val="0"/>
              <w:keepLines w:val="0"/>
              <w:pageBreakBefore w:val="0"/>
              <w:widowControl w:val="0"/>
              <w:kinsoku/>
              <w:wordWrap/>
              <w:overflowPunct/>
              <w:topLinePunct w:val="0"/>
              <w:autoSpaceDE/>
              <w:autoSpaceDN/>
              <w:bidi w:val="0"/>
              <w:adjustRightInd w:val="0"/>
              <w:snapToGrid w:val="0"/>
              <w:spacing w:after="0" w:line="500" w:lineRule="exact"/>
              <w:ind w:firstLine="480" w:firstLineChars="200"/>
              <w:textAlignment w:val="auto"/>
              <w:rPr>
                <w:rFonts w:hint="eastAsia" w:cs="Times New Roman"/>
                <w:color w:val="auto"/>
                <w:kern w:val="0"/>
                <w:sz w:val="24"/>
                <w:szCs w:val="21"/>
                <w:lang w:val="en-US" w:eastAsia="zh-CN" w:bidi="ar-SA"/>
              </w:rPr>
            </w:pPr>
          </w:p>
          <w:p w14:paraId="4DE80002">
            <w:pPr>
              <w:pStyle w:val="12"/>
              <w:keepNext w:val="0"/>
              <w:keepLines w:val="0"/>
              <w:pageBreakBefore w:val="0"/>
              <w:widowControl w:val="0"/>
              <w:kinsoku/>
              <w:wordWrap/>
              <w:overflowPunct/>
              <w:topLinePunct w:val="0"/>
              <w:autoSpaceDE/>
              <w:autoSpaceDN/>
              <w:bidi w:val="0"/>
              <w:adjustRightInd w:val="0"/>
              <w:snapToGrid w:val="0"/>
              <w:spacing w:after="0" w:line="500" w:lineRule="exact"/>
              <w:ind w:firstLine="480" w:firstLineChars="200"/>
              <w:textAlignment w:val="auto"/>
              <w:rPr>
                <w:rFonts w:hint="eastAsia" w:cs="Times New Roman"/>
                <w:color w:val="auto"/>
                <w:kern w:val="0"/>
                <w:sz w:val="24"/>
                <w:szCs w:val="21"/>
                <w:lang w:val="en-US" w:eastAsia="zh-CN" w:bidi="ar-SA"/>
              </w:rPr>
            </w:pPr>
          </w:p>
          <w:p w14:paraId="22EEC5D7">
            <w:pPr>
              <w:pStyle w:val="12"/>
              <w:keepNext w:val="0"/>
              <w:keepLines w:val="0"/>
              <w:pageBreakBefore w:val="0"/>
              <w:widowControl w:val="0"/>
              <w:kinsoku/>
              <w:wordWrap/>
              <w:overflowPunct/>
              <w:topLinePunct w:val="0"/>
              <w:autoSpaceDE/>
              <w:autoSpaceDN/>
              <w:bidi w:val="0"/>
              <w:adjustRightInd w:val="0"/>
              <w:snapToGrid w:val="0"/>
              <w:spacing w:after="0" w:line="500" w:lineRule="exact"/>
              <w:textAlignment w:val="auto"/>
              <w:rPr>
                <w:rFonts w:hint="eastAsia" w:cs="Times New Roman"/>
                <w:color w:val="auto"/>
                <w:kern w:val="0"/>
                <w:sz w:val="24"/>
                <w:szCs w:val="21"/>
                <w:lang w:val="en-US" w:eastAsia="zh-CN" w:bidi="ar-SA"/>
              </w:rPr>
            </w:pPr>
          </w:p>
          <w:p w14:paraId="4166C501">
            <w:pPr>
              <w:pStyle w:val="12"/>
              <w:keepNext w:val="0"/>
              <w:keepLines w:val="0"/>
              <w:pageBreakBefore w:val="0"/>
              <w:widowControl w:val="0"/>
              <w:kinsoku/>
              <w:wordWrap/>
              <w:overflowPunct/>
              <w:topLinePunct w:val="0"/>
              <w:autoSpaceDE/>
              <w:autoSpaceDN/>
              <w:bidi w:val="0"/>
              <w:adjustRightInd w:val="0"/>
              <w:snapToGrid w:val="0"/>
              <w:spacing w:after="0" w:line="500" w:lineRule="exact"/>
              <w:ind w:firstLine="480" w:firstLineChars="200"/>
              <w:textAlignment w:val="auto"/>
              <w:rPr>
                <w:rFonts w:hint="eastAsia" w:cs="Times New Roman"/>
                <w:color w:val="auto"/>
                <w:kern w:val="0"/>
                <w:sz w:val="24"/>
                <w:szCs w:val="21"/>
                <w:lang w:val="en-US" w:eastAsia="zh-CN" w:bidi="ar-SA"/>
              </w:rPr>
            </w:pPr>
          </w:p>
          <w:p w14:paraId="7EC5BC82">
            <w:pPr>
              <w:pStyle w:val="12"/>
              <w:keepNext w:val="0"/>
              <w:keepLines w:val="0"/>
              <w:pageBreakBefore w:val="0"/>
              <w:widowControl w:val="0"/>
              <w:kinsoku/>
              <w:wordWrap/>
              <w:overflowPunct/>
              <w:topLinePunct w:val="0"/>
              <w:autoSpaceDE/>
              <w:autoSpaceDN/>
              <w:bidi w:val="0"/>
              <w:adjustRightInd w:val="0"/>
              <w:snapToGrid w:val="0"/>
              <w:spacing w:after="0" w:line="500" w:lineRule="exact"/>
              <w:ind w:firstLine="480" w:firstLineChars="200"/>
              <w:textAlignment w:val="auto"/>
              <w:rPr>
                <w:rFonts w:hint="eastAsia" w:cs="Times New Roman"/>
                <w:color w:val="auto"/>
                <w:kern w:val="0"/>
                <w:sz w:val="24"/>
                <w:szCs w:val="21"/>
                <w:lang w:val="en-US" w:eastAsia="zh-CN" w:bidi="ar-SA"/>
              </w:rPr>
            </w:pPr>
          </w:p>
          <w:p w14:paraId="7B7CFA8E">
            <w:pPr>
              <w:pStyle w:val="12"/>
              <w:keepNext w:val="0"/>
              <w:keepLines w:val="0"/>
              <w:pageBreakBefore w:val="0"/>
              <w:widowControl w:val="0"/>
              <w:kinsoku/>
              <w:wordWrap/>
              <w:overflowPunct/>
              <w:topLinePunct w:val="0"/>
              <w:autoSpaceDE/>
              <w:autoSpaceDN/>
              <w:bidi w:val="0"/>
              <w:adjustRightInd w:val="0"/>
              <w:snapToGrid w:val="0"/>
              <w:spacing w:after="0" w:line="500" w:lineRule="exact"/>
              <w:ind w:firstLine="480" w:firstLineChars="200"/>
              <w:textAlignment w:val="auto"/>
              <w:rPr>
                <w:rFonts w:hint="eastAsia" w:cs="Times New Roman"/>
                <w:color w:val="auto"/>
                <w:kern w:val="0"/>
                <w:sz w:val="24"/>
                <w:szCs w:val="21"/>
                <w:lang w:val="en-US" w:eastAsia="zh-CN" w:bidi="ar-SA"/>
              </w:rPr>
            </w:pPr>
          </w:p>
          <w:p w14:paraId="7FE66872">
            <w:pPr>
              <w:pStyle w:val="12"/>
              <w:keepNext w:val="0"/>
              <w:keepLines w:val="0"/>
              <w:pageBreakBefore w:val="0"/>
              <w:widowControl w:val="0"/>
              <w:kinsoku/>
              <w:wordWrap/>
              <w:overflowPunct/>
              <w:topLinePunct w:val="0"/>
              <w:autoSpaceDE/>
              <w:autoSpaceDN/>
              <w:bidi w:val="0"/>
              <w:adjustRightInd w:val="0"/>
              <w:snapToGrid w:val="0"/>
              <w:spacing w:after="0" w:line="500" w:lineRule="exact"/>
              <w:ind w:firstLine="480" w:firstLineChars="200"/>
              <w:textAlignment w:val="auto"/>
              <w:rPr>
                <w:rFonts w:hint="eastAsia" w:cs="Times New Roman"/>
                <w:color w:val="auto"/>
                <w:kern w:val="0"/>
                <w:sz w:val="24"/>
                <w:szCs w:val="21"/>
                <w:lang w:val="en-US" w:eastAsia="zh-CN" w:bidi="ar-SA"/>
              </w:rPr>
            </w:pPr>
          </w:p>
          <w:p w14:paraId="33A6177A">
            <w:pPr>
              <w:pStyle w:val="12"/>
              <w:keepNext w:val="0"/>
              <w:keepLines w:val="0"/>
              <w:pageBreakBefore w:val="0"/>
              <w:widowControl w:val="0"/>
              <w:kinsoku/>
              <w:wordWrap/>
              <w:overflowPunct/>
              <w:topLinePunct w:val="0"/>
              <w:autoSpaceDE/>
              <w:autoSpaceDN/>
              <w:bidi w:val="0"/>
              <w:adjustRightInd w:val="0"/>
              <w:snapToGrid w:val="0"/>
              <w:spacing w:after="0" w:line="500" w:lineRule="exact"/>
              <w:ind w:firstLine="480" w:firstLineChars="200"/>
              <w:textAlignment w:val="auto"/>
              <w:rPr>
                <w:rFonts w:hint="eastAsia" w:cs="Times New Roman"/>
                <w:color w:val="auto"/>
                <w:kern w:val="0"/>
                <w:sz w:val="24"/>
                <w:szCs w:val="21"/>
                <w:lang w:val="en-US" w:eastAsia="zh-CN" w:bidi="ar-SA"/>
              </w:rPr>
            </w:pPr>
          </w:p>
          <w:p w14:paraId="36D407E2">
            <w:pPr>
              <w:pStyle w:val="12"/>
              <w:keepNext w:val="0"/>
              <w:keepLines w:val="0"/>
              <w:pageBreakBefore w:val="0"/>
              <w:widowControl w:val="0"/>
              <w:kinsoku/>
              <w:wordWrap/>
              <w:overflowPunct/>
              <w:topLinePunct w:val="0"/>
              <w:autoSpaceDE/>
              <w:autoSpaceDN/>
              <w:bidi w:val="0"/>
              <w:adjustRightInd w:val="0"/>
              <w:snapToGrid w:val="0"/>
              <w:spacing w:after="0" w:line="500" w:lineRule="exact"/>
              <w:ind w:firstLine="480" w:firstLineChars="200"/>
              <w:textAlignment w:val="auto"/>
              <w:rPr>
                <w:rFonts w:hint="eastAsia" w:cs="Times New Roman"/>
                <w:color w:val="auto"/>
                <w:kern w:val="0"/>
                <w:sz w:val="24"/>
                <w:szCs w:val="21"/>
                <w:lang w:val="en-US" w:eastAsia="zh-CN" w:bidi="ar-SA"/>
              </w:rPr>
            </w:pPr>
          </w:p>
          <w:p w14:paraId="2D290A4A">
            <w:pPr>
              <w:pStyle w:val="12"/>
              <w:keepNext w:val="0"/>
              <w:keepLines w:val="0"/>
              <w:pageBreakBefore w:val="0"/>
              <w:widowControl w:val="0"/>
              <w:kinsoku/>
              <w:wordWrap/>
              <w:overflowPunct/>
              <w:topLinePunct w:val="0"/>
              <w:autoSpaceDE/>
              <w:autoSpaceDN/>
              <w:bidi w:val="0"/>
              <w:adjustRightInd w:val="0"/>
              <w:snapToGrid w:val="0"/>
              <w:spacing w:after="0" w:line="500" w:lineRule="exact"/>
              <w:ind w:firstLine="480" w:firstLineChars="200"/>
              <w:textAlignment w:val="auto"/>
              <w:rPr>
                <w:rFonts w:hint="eastAsia" w:cs="Times New Roman"/>
                <w:color w:val="auto"/>
                <w:kern w:val="0"/>
                <w:sz w:val="24"/>
                <w:szCs w:val="21"/>
                <w:lang w:val="en-US" w:eastAsia="zh-CN" w:bidi="ar-SA"/>
              </w:rPr>
            </w:pPr>
          </w:p>
          <w:p w14:paraId="779CF9DD">
            <w:pPr>
              <w:pStyle w:val="12"/>
              <w:keepNext w:val="0"/>
              <w:keepLines w:val="0"/>
              <w:pageBreakBefore w:val="0"/>
              <w:widowControl w:val="0"/>
              <w:kinsoku/>
              <w:wordWrap/>
              <w:overflowPunct/>
              <w:topLinePunct w:val="0"/>
              <w:autoSpaceDE/>
              <w:autoSpaceDN/>
              <w:bidi w:val="0"/>
              <w:adjustRightInd w:val="0"/>
              <w:snapToGrid w:val="0"/>
              <w:spacing w:after="0" w:line="500" w:lineRule="exact"/>
              <w:ind w:firstLine="480" w:firstLineChars="200"/>
              <w:textAlignment w:val="auto"/>
              <w:rPr>
                <w:rFonts w:hint="eastAsia" w:cs="Times New Roman"/>
                <w:color w:val="auto"/>
                <w:kern w:val="0"/>
                <w:sz w:val="24"/>
                <w:szCs w:val="21"/>
                <w:lang w:val="en-US" w:eastAsia="zh-CN" w:bidi="ar-SA"/>
              </w:rPr>
            </w:pPr>
          </w:p>
          <w:p w14:paraId="2F9B6777">
            <w:pPr>
              <w:pStyle w:val="12"/>
              <w:keepNext w:val="0"/>
              <w:keepLines w:val="0"/>
              <w:pageBreakBefore w:val="0"/>
              <w:widowControl w:val="0"/>
              <w:kinsoku/>
              <w:wordWrap/>
              <w:overflowPunct/>
              <w:topLinePunct w:val="0"/>
              <w:autoSpaceDE/>
              <w:autoSpaceDN/>
              <w:bidi w:val="0"/>
              <w:adjustRightInd w:val="0"/>
              <w:snapToGrid w:val="0"/>
              <w:spacing w:after="0" w:line="500" w:lineRule="exact"/>
              <w:ind w:firstLine="480" w:firstLineChars="200"/>
              <w:textAlignment w:val="auto"/>
              <w:rPr>
                <w:rFonts w:hint="eastAsia" w:cs="Times New Roman"/>
                <w:color w:val="auto"/>
                <w:kern w:val="0"/>
                <w:sz w:val="24"/>
                <w:szCs w:val="21"/>
                <w:lang w:val="en-US" w:eastAsia="zh-CN" w:bidi="ar-SA"/>
              </w:rPr>
            </w:pPr>
          </w:p>
          <w:p w14:paraId="41F0996A">
            <w:pPr>
              <w:pStyle w:val="12"/>
              <w:keepNext w:val="0"/>
              <w:keepLines w:val="0"/>
              <w:pageBreakBefore w:val="0"/>
              <w:widowControl w:val="0"/>
              <w:kinsoku/>
              <w:wordWrap/>
              <w:overflowPunct/>
              <w:topLinePunct w:val="0"/>
              <w:autoSpaceDE/>
              <w:autoSpaceDN/>
              <w:bidi w:val="0"/>
              <w:adjustRightInd w:val="0"/>
              <w:snapToGrid w:val="0"/>
              <w:spacing w:after="0" w:line="500" w:lineRule="exact"/>
              <w:ind w:firstLine="480" w:firstLineChars="200"/>
              <w:textAlignment w:val="auto"/>
              <w:rPr>
                <w:rFonts w:hint="eastAsia" w:cs="Times New Roman"/>
                <w:color w:val="auto"/>
                <w:kern w:val="0"/>
                <w:sz w:val="24"/>
                <w:szCs w:val="21"/>
                <w:lang w:val="en-US" w:eastAsia="zh-CN" w:bidi="ar-SA"/>
              </w:rPr>
            </w:pPr>
          </w:p>
          <w:p w14:paraId="53D1CC6F">
            <w:pPr>
              <w:pStyle w:val="12"/>
              <w:keepNext w:val="0"/>
              <w:keepLines w:val="0"/>
              <w:pageBreakBefore w:val="0"/>
              <w:widowControl w:val="0"/>
              <w:kinsoku/>
              <w:wordWrap/>
              <w:overflowPunct/>
              <w:topLinePunct w:val="0"/>
              <w:autoSpaceDE/>
              <w:autoSpaceDN/>
              <w:bidi w:val="0"/>
              <w:adjustRightInd w:val="0"/>
              <w:snapToGrid w:val="0"/>
              <w:spacing w:after="0" w:line="500" w:lineRule="exact"/>
              <w:ind w:firstLine="480" w:firstLineChars="200"/>
              <w:textAlignment w:val="auto"/>
              <w:rPr>
                <w:rFonts w:hint="eastAsia" w:cs="Times New Roman"/>
                <w:color w:val="auto"/>
                <w:kern w:val="0"/>
                <w:sz w:val="24"/>
                <w:szCs w:val="21"/>
                <w:lang w:val="en-US" w:eastAsia="zh-CN" w:bidi="ar-SA"/>
              </w:rPr>
            </w:pPr>
          </w:p>
          <w:p w14:paraId="777CBC47">
            <w:pPr>
              <w:pStyle w:val="12"/>
              <w:keepNext w:val="0"/>
              <w:keepLines w:val="0"/>
              <w:pageBreakBefore w:val="0"/>
              <w:widowControl w:val="0"/>
              <w:kinsoku/>
              <w:wordWrap/>
              <w:overflowPunct/>
              <w:topLinePunct w:val="0"/>
              <w:autoSpaceDE/>
              <w:autoSpaceDN/>
              <w:bidi w:val="0"/>
              <w:adjustRightInd w:val="0"/>
              <w:snapToGrid w:val="0"/>
              <w:spacing w:after="0" w:line="500" w:lineRule="exact"/>
              <w:ind w:firstLine="482" w:firstLineChars="200"/>
              <w:textAlignment w:val="auto"/>
              <w:rPr>
                <w:rFonts w:hint="default" w:ascii="Times New Roman" w:hAnsi="Times New Roman" w:cs="Times New Roman" w:eastAsiaTheme="minorEastAsia"/>
                <w:b/>
                <w:bCs/>
                <w:color w:val="auto"/>
                <w:kern w:val="0"/>
                <w:sz w:val="24"/>
                <w:lang w:val="en-US" w:eastAsia="zh-CN"/>
              </w:rPr>
            </w:pPr>
          </w:p>
        </w:tc>
      </w:tr>
    </w:tbl>
    <w:p w14:paraId="2FBD84FB">
      <w:pPr>
        <w:pStyle w:val="23"/>
        <w:jc w:val="center"/>
        <w:rPr>
          <w:rFonts w:hint="default" w:ascii="Times New Roman" w:hAnsi="Times New Roman" w:eastAsia="黑体" w:cs="Times New Roman"/>
          <w:snapToGrid w:val="0"/>
          <w:color w:val="auto"/>
          <w:sz w:val="36"/>
          <w:szCs w:val="36"/>
          <w:highlight w:val="yellow"/>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6A0E32D5">
      <w:pPr>
        <w:pStyle w:val="23"/>
        <w:spacing w:before="0" w:beforeAutospacing="0" w:after="0" w:afterAutospacing="0"/>
        <w:jc w:val="center"/>
        <w:outlineLvl w:val="0"/>
        <w:rPr>
          <w:rFonts w:hint="default" w:ascii="Times New Roman" w:hAnsi="Times New Roman" w:eastAsia="黑体" w:cs="Times New Roman"/>
          <w:snapToGrid w:val="0"/>
          <w:color w:val="auto"/>
          <w:sz w:val="32"/>
          <w:szCs w:val="32"/>
        </w:rPr>
      </w:pPr>
      <w:r>
        <w:rPr>
          <w:rFonts w:hint="default" w:ascii="Times New Roman" w:hAnsi="Times New Roman" w:eastAsia="黑体" w:cs="Times New Roman"/>
          <w:snapToGrid w:val="0"/>
          <w:color w:val="auto"/>
          <w:sz w:val="32"/>
          <w:szCs w:val="32"/>
        </w:rPr>
        <w:t>三、区域环境质量现状、环境保护目标及评价标准</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14:paraId="1F4367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800" w:type="dxa"/>
            <w:vAlign w:val="center"/>
          </w:tcPr>
          <w:p w14:paraId="484973A3">
            <w:pPr>
              <w:adjustRightInd w:val="0"/>
              <w:snapToGrid w:val="0"/>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区域</w:t>
            </w:r>
          </w:p>
          <w:p w14:paraId="3FF7A289">
            <w:pPr>
              <w:adjustRightInd w:val="0"/>
              <w:snapToGrid w:val="0"/>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环境</w:t>
            </w:r>
          </w:p>
          <w:p w14:paraId="649D05B4">
            <w:pPr>
              <w:adjustRightInd w:val="0"/>
              <w:snapToGrid w:val="0"/>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质量</w:t>
            </w:r>
          </w:p>
          <w:p w14:paraId="04F64634">
            <w:pPr>
              <w:adjustRightInd w:val="0"/>
              <w:snapToGrid w:val="0"/>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现状</w:t>
            </w:r>
          </w:p>
        </w:tc>
        <w:tc>
          <w:tcPr>
            <w:tcW w:w="8190" w:type="dxa"/>
            <w:vAlign w:val="center"/>
          </w:tcPr>
          <w:p w14:paraId="11460FB9">
            <w:pPr>
              <w:adjustRightInd w:val="0"/>
              <w:snapToGrid w:val="0"/>
              <w:spacing w:line="480" w:lineRule="exact"/>
              <w:ind w:firstLine="482" w:firstLineChars="200"/>
              <w:rPr>
                <w:rFonts w:hint="default" w:ascii="Times New Roman" w:hAnsi="Times New Roman" w:cs="Times New Roman" w:eastAsiaTheme="minorEastAsia"/>
                <w:b/>
                <w:bCs/>
                <w:snapToGrid w:val="0"/>
                <w:color w:val="auto"/>
                <w:kern w:val="0"/>
                <w:sz w:val="24"/>
              </w:rPr>
            </w:pPr>
            <w:r>
              <w:rPr>
                <w:rFonts w:hint="default" w:ascii="Times New Roman" w:hAnsi="Times New Roman" w:cs="Times New Roman" w:eastAsiaTheme="minorEastAsia"/>
                <w:b/>
                <w:bCs/>
                <w:snapToGrid w:val="0"/>
                <w:color w:val="auto"/>
                <w:kern w:val="0"/>
                <w:sz w:val="24"/>
              </w:rPr>
              <w:t>1、环境空气</w:t>
            </w:r>
          </w:p>
          <w:p w14:paraId="5095A75C">
            <w:pPr>
              <w:adjustRightInd w:val="0"/>
              <w:snapToGrid w:val="0"/>
              <w:spacing w:line="480" w:lineRule="exact"/>
              <w:ind w:firstLine="480" w:firstLineChars="200"/>
              <w:rPr>
                <w:rFonts w:hint="default" w:ascii="Times New Roman" w:hAnsi="Times New Roman" w:cs="Times New Roman" w:eastAsiaTheme="minorEastAsia"/>
                <w:snapToGrid w:val="0"/>
                <w:color w:val="000000" w:themeColor="text1"/>
                <w:kern w:val="0"/>
                <w:sz w:val="24"/>
                <w14:textFill>
                  <w14:solidFill>
                    <w14:schemeClr w14:val="tx1"/>
                  </w14:solidFill>
                </w14:textFill>
              </w:rPr>
            </w:pPr>
            <w:r>
              <w:rPr>
                <w:rFonts w:hint="eastAsia" w:cs="Times New Roman" w:eastAsiaTheme="minorEastAsia"/>
                <w:snapToGrid w:val="0"/>
                <w:color w:val="000000" w:themeColor="text1"/>
                <w:kern w:val="0"/>
                <w:sz w:val="24"/>
                <w:lang w:eastAsia="zh-CN"/>
                <w14:textFill>
                  <w14:solidFill>
                    <w14:schemeClr w14:val="tx1"/>
                  </w14:solidFill>
                </w14:textFill>
              </w:rPr>
              <w:t>（</w:t>
            </w:r>
            <w:r>
              <w:rPr>
                <w:rFonts w:hint="eastAsia" w:cs="Times New Roman" w:eastAsiaTheme="minorEastAsia"/>
                <w:snapToGrid w:val="0"/>
                <w:color w:val="000000" w:themeColor="text1"/>
                <w:kern w:val="0"/>
                <w:sz w:val="24"/>
                <w:lang w:val="en-US" w:eastAsia="zh-CN"/>
                <w14:textFill>
                  <w14:solidFill>
                    <w14:schemeClr w14:val="tx1"/>
                  </w14:solidFill>
                </w14:textFill>
              </w:rPr>
              <w:t>1</w:t>
            </w:r>
            <w:r>
              <w:rPr>
                <w:rFonts w:hint="eastAsia" w:cs="Times New Roman" w:eastAsiaTheme="minorEastAsia"/>
                <w:snapToGrid w:val="0"/>
                <w:color w:val="000000" w:themeColor="text1"/>
                <w:kern w:val="0"/>
                <w:sz w:val="24"/>
                <w:lang w:eastAsia="zh-CN"/>
                <w14:textFill>
                  <w14:solidFill>
                    <w14:schemeClr w14:val="tx1"/>
                  </w14:solidFill>
                </w14:textFill>
              </w:rPr>
              <w:t>）</w:t>
            </w:r>
            <w:r>
              <w:rPr>
                <w:rFonts w:hint="default" w:ascii="Times New Roman" w:hAnsi="Times New Roman" w:cs="Times New Roman" w:eastAsiaTheme="minorEastAsia"/>
                <w:snapToGrid w:val="0"/>
                <w:color w:val="000000" w:themeColor="text1"/>
                <w:kern w:val="0"/>
                <w:sz w:val="24"/>
                <w14:textFill>
                  <w14:solidFill>
                    <w14:schemeClr w14:val="tx1"/>
                  </w14:solidFill>
                </w14:textFill>
              </w:rPr>
              <w:t>项目所在区域达标判定</w:t>
            </w:r>
          </w:p>
          <w:p w14:paraId="17AA7A82">
            <w:pPr>
              <w:pStyle w:val="44"/>
              <w:adjustRightInd/>
              <w:snapToGrid/>
              <w:spacing w:line="500" w:lineRule="exact"/>
              <w:ind w:firstLine="480" w:firstLineChars="2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本项目所在区域达标判定采用</w:t>
            </w:r>
            <w:r>
              <w:rPr>
                <w:rFonts w:hint="eastAsia" w:ascii="Times New Roman" w:hAnsi="Times New Roman" w:cs="Times New Roman"/>
                <w:color w:val="000000" w:themeColor="text1"/>
                <w:lang w:val="en-US" w:eastAsia="zh-CN"/>
                <w14:textFill>
                  <w14:solidFill>
                    <w14:schemeClr w14:val="tx1"/>
                  </w14:solidFill>
                </w14:textFill>
              </w:rPr>
              <w:t>邯郸</w:t>
            </w:r>
            <w:r>
              <w:rPr>
                <w:rFonts w:hint="eastAsia" w:ascii="Times New Roman" w:hAnsi="Times New Roman" w:cs="Times New Roman"/>
                <w:color w:val="000000" w:themeColor="text1"/>
                <w14:textFill>
                  <w14:solidFill>
                    <w14:schemeClr w14:val="tx1"/>
                  </w14:solidFill>
                </w14:textFill>
              </w:rPr>
              <w:t>市生态环境局20</w:t>
            </w:r>
            <w:r>
              <w:rPr>
                <w:rFonts w:hint="eastAsia" w:ascii="Times New Roman" w:hAnsi="Times New Roman" w:cs="Times New Roman"/>
                <w:color w:val="000000" w:themeColor="text1"/>
                <w:lang w:val="en-US" w:eastAsia="zh-CN"/>
                <w14:textFill>
                  <w14:solidFill>
                    <w14:schemeClr w14:val="tx1"/>
                  </w14:solidFill>
                </w14:textFill>
              </w:rPr>
              <w:t>25</w:t>
            </w:r>
            <w:r>
              <w:rPr>
                <w:rFonts w:hint="eastAsia" w:ascii="Times New Roman" w:hAnsi="Times New Roman" w:cs="Times New Roman"/>
                <w:color w:val="000000" w:themeColor="text1"/>
                <w14:textFill>
                  <w14:solidFill>
                    <w14:schemeClr w14:val="tx1"/>
                  </w14:solidFill>
                </w14:textFill>
              </w:rPr>
              <w:t>年</w:t>
            </w:r>
            <w:r>
              <w:rPr>
                <w:rFonts w:hint="eastAsia" w:ascii="Times New Roman" w:hAnsi="Times New Roman" w:cs="Times New Roman"/>
                <w:color w:val="000000" w:themeColor="text1"/>
                <w:lang w:val="en-US" w:eastAsia="zh-CN"/>
                <w14:textFill>
                  <w14:solidFill>
                    <w14:schemeClr w14:val="tx1"/>
                  </w14:solidFill>
                </w14:textFill>
              </w:rPr>
              <w:t>7</w:t>
            </w:r>
            <w:r>
              <w:rPr>
                <w:rFonts w:hint="eastAsia" w:ascii="Times New Roman" w:hAnsi="Times New Roman" w:cs="Times New Roman"/>
                <w:color w:val="000000" w:themeColor="text1"/>
                <w14:textFill>
                  <w14:solidFill>
                    <w14:schemeClr w14:val="tx1"/>
                  </w14:solidFill>
                </w14:textFill>
              </w:rPr>
              <w:t>月</w:t>
            </w:r>
            <w:r>
              <w:rPr>
                <w:rFonts w:hint="eastAsia" w:ascii="Times New Roman" w:hAnsi="Times New Roman" w:cs="Times New Roman"/>
                <w:color w:val="000000" w:themeColor="text1"/>
                <w:lang w:val="en-US" w:eastAsia="zh-CN"/>
                <w14:textFill>
                  <w14:solidFill>
                    <w14:schemeClr w14:val="tx1"/>
                  </w14:solidFill>
                </w14:textFill>
              </w:rPr>
              <w:t>29</w:t>
            </w:r>
            <w:r>
              <w:rPr>
                <w:rFonts w:hint="eastAsia" w:ascii="Times New Roman" w:hAnsi="Times New Roman" w:cs="Times New Roman"/>
                <w:color w:val="000000" w:themeColor="text1"/>
                <w14:textFill>
                  <w14:solidFill>
                    <w14:schemeClr w14:val="tx1"/>
                  </w14:solidFill>
                </w14:textFill>
              </w:rPr>
              <w:t>日发布的</w:t>
            </w:r>
            <w:r>
              <w:rPr>
                <w:rFonts w:ascii="Times New Roman" w:hAnsi="Times New Roman" w:eastAsia="宋体" w:cs="Times New Roman"/>
                <w:bCs/>
                <w:color w:val="000000" w:themeColor="text1"/>
                <w14:textFill>
                  <w14:solidFill>
                    <w14:schemeClr w14:val="tx1"/>
                  </w14:solidFill>
                </w14:textFill>
              </w:rPr>
              <w:t>《</w:t>
            </w:r>
            <w:r>
              <w:rPr>
                <w:rFonts w:hint="eastAsia" w:ascii="Times New Roman" w:hAnsi="Times New Roman" w:eastAsia="宋体" w:cs="Times New Roman"/>
                <w:bCs/>
                <w:color w:val="000000" w:themeColor="text1"/>
                <w14:textFill>
                  <w14:solidFill>
                    <w14:schemeClr w14:val="tx1"/>
                  </w14:solidFill>
                </w14:textFill>
              </w:rPr>
              <w:t>2024年邯郸市生态环境状况公报</w:t>
            </w:r>
            <w:r>
              <w:rPr>
                <w:rFonts w:ascii="Times New Roman" w:hAnsi="Times New Roman" w:cs="Times New Roman"/>
                <w:color w:val="000000" w:themeColor="text1"/>
                <w14:textFill>
                  <w14:solidFill>
                    <w14:schemeClr w14:val="tx1"/>
                  </w14:solidFill>
                </w14:textFill>
              </w:rPr>
              <w:t>》监测数据，说明项目所在地区的环境空气质量现状，监测统计结果见表</w:t>
            </w:r>
            <w:r>
              <w:rPr>
                <w:rFonts w:hint="eastAsia" w:ascii="Times New Roman" w:hAnsi="Times New Roman" w:cs="Times New Roman"/>
                <w:color w:val="000000" w:themeColor="text1"/>
                <w:lang w:val="en-US" w:eastAsia="zh-CN"/>
                <w14:textFill>
                  <w14:solidFill>
                    <w14:schemeClr w14:val="tx1"/>
                  </w14:solidFill>
                </w14:textFill>
              </w:rPr>
              <w:t>12</w:t>
            </w:r>
            <w:r>
              <w:rPr>
                <w:rFonts w:ascii="Times New Roman" w:hAnsi="Times New Roman" w:cs="Times New Roman"/>
                <w:color w:val="000000" w:themeColor="text1"/>
                <w14:textFill>
                  <w14:solidFill>
                    <w14:schemeClr w14:val="tx1"/>
                  </w14:solidFill>
                </w14:textFill>
              </w:rPr>
              <w:t>。</w:t>
            </w:r>
          </w:p>
          <w:p w14:paraId="210C7522">
            <w:pPr>
              <w:pStyle w:val="27"/>
              <w:keepNext w:val="0"/>
              <w:keepLines w:val="0"/>
              <w:pageBreakBefore w:val="0"/>
              <w:widowControl w:val="0"/>
              <w:tabs>
                <w:tab w:val="left" w:pos="3828"/>
              </w:tabs>
              <w:kinsoku/>
              <w:wordWrap/>
              <w:overflowPunct/>
              <w:topLinePunct w:val="0"/>
              <w:autoSpaceDE/>
              <w:autoSpaceDN/>
              <w:bidi w:val="0"/>
              <w:adjustRightInd/>
              <w:snapToGrid/>
              <w:spacing w:beforeLines="0" w:after="0" w:line="480" w:lineRule="exact"/>
              <w:ind w:firstLine="0" w:firstLineChars="0"/>
              <w:jc w:val="center"/>
              <w:textAlignment w:val="auto"/>
              <w:rPr>
                <w:rFonts w:hint="default" w:ascii="Times New Roman" w:hAnsi="Times New Roman" w:cs="Times New Roman"/>
                <w:b/>
                <w:bCs w:val="0"/>
                <w:color w:val="000000" w:themeColor="text1"/>
                <w:sz w:val="24"/>
                <w:szCs w:val="24"/>
                <w:highlight w:val="none"/>
                <w:lang w:val="en-US" w:eastAsia="zh-CN"/>
                <w14:textFill>
                  <w14:solidFill>
                    <w14:schemeClr w14:val="tx1"/>
                  </w14:solidFill>
                </w14:textFill>
              </w:rPr>
            </w:pPr>
            <w:r>
              <w:rPr>
                <w:b/>
                <w:bCs/>
                <w:color w:val="000000" w:themeColor="text1"/>
                <w:sz w:val="24"/>
                <w:highlight w:val="none"/>
                <w14:textFill>
                  <w14:solidFill>
                    <w14:schemeClr w14:val="tx1"/>
                  </w14:solidFill>
                </w14:textFill>
              </w:rPr>
              <w:t>表</w:t>
            </w:r>
            <w:r>
              <w:rPr>
                <w:rFonts w:hint="eastAsia"/>
                <w:b/>
                <w:bCs/>
                <w:color w:val="000000" w:themeColor="text1"/>
                <w:sz w:val="24"/>
                <w:highlight w:val="none"/>
                <w:lang w:val="en-US" w:eastAsia="zh-CN"/>
                <w14:textFill>
                  <w14:solidFill>
                    <w14:schemeClr w14:val="tx1"/>
                  </w14:solidFill>
                </w14:textFill>
              </w:rPr>
              <w:t>12</w:t>
            </w:r>
            <w:r>
              <w:rPr>
                <w:b/>
                <w:bCs/>
                <w:color w:val="000000" w:themeColor="text1"/>
                <w:sz w:val="24"/>
                <w:highlight w:val="none"/>
                <w14:textFill>
                  <w14:solidFill>
                    <w14:schemeClr w14:val="tx1"/>
                  </w14:solidFill>
                </w14:textFill>
              </w:rPr>
              <w:t xml:space="preserve">  区域环境空气质量现状评价表</w:t>
            </w:r>
          </w:p>
          <w:tbl>
            <w:tblPr>
              <w:tblStyle w:val="28"/>
              <w:tblW w:w="8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2933"/>
              <w:gridCol w:w="1086"/>
              <w:gridCol w:w="1068"/>
              <w:gridCol w:w="874"/>
              <w:gridCol w:w="1067"/>
            </w:tblGrid>
            <w:tr w14:paraId="75F1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71" w:type="dxa"/>
                  <w:noWrap w:val="0"/>
                  <w:vAlign w:val="center"/>
                </w:tcPr>
                <w:p w14:paraId="436DC140">
                  <w:pPr>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污染物</w:t>
                  </w:r>
                </w:p>
              </w:tc>
              <w:tc>
                <w:tcPr>
                  <w:tcW w:w="2933" w:type="dxa"/>
                  <w:noWrap w:val="0"/>
                  <w:vAlign w:val="center"/>
                </w:tcPr>
                <w:p w14:paraId="6F1A8DFB">
                  <w:pPr>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年评价指标</w:t>
                  </w:r>
                </w:p>
              </w:tc>
              <w:tc>
                <w:tcPr>
                  <w:tcW w:w="1086" w:type="dxa"/>
                  <w:noWrap w:val="0"/>
                  <w:vAlign w:val="center"/>
                </w:tcPr>
                <w:p w14:paraId="0B546D4F">
                  <w:pPr>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现状浓度（µg/m</w:t>
                  </w:r>
                  <w:r>
                    <w:rPr>
                      <w:rFonts w:ascii="Times New Roman" w:hAnsi="Times New Roman" w:cs="Times New Roman"/>
                      <w:b/>
                      <w:bCs/>
                      <w:color w:val="000000" w:themeColor="text1"/>
                      <w:szCs w:val="21"/>
                      <w:vertAlign w:val="superscript"/>
                      <w14:textFill>
                        <w14:solidFill>
                          <w14:schemeClr w14:val="tx1"/>
                        </w14:solidFill>
                      </w14:textFill>
                    </w:rPr>
                    <w:t>3</w:t>
                  </w:r>
                  <w:r>
                    <w:rPr>
                      <w:rFonts w:ascii="Times New Roman" w:hAnsi="Times New Roman" w:cs="Times New Roman"/>
                      <w:b/>
                      <w:bCs/>
                      <w:color w:val="000000" w:themeColor="text1"/>
                      <w:szCs w:val="21"/>
                      <w14:textFill>
                        <w14:solidFill>
                          <w14:schemeClr w14:val="tx1"/>
                        </w14:solidFill>
                      </w14:textFill>
                    </w:rPr>
                    <w:t>）</w:t>
                  </w:r>
                </w:p>
              </w:tc>
              <w:tc>
                <w:tcPr>
                  <w:tcW w:w="1068" w:type="dxa"/>
                  <w:noWrap w:val="0"/>
                  <w:vAlign w:val="center"/>
                </w:tcPr>
                <w:p w14:paraId="37936573">
                  <w:pPr>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标准值（µg/m</w:t>
                  </w:r>
                  <w:r>
                    <w:rPr>
                      <w:rFonts w:ascii="Times New Roman" w:hAnsi="Times New Roman" w:cs="Times New Roman"/>
                      <w:b/>
                      <w:bCs/>
                      <w:color w:val="000000" w:themeColor="text1"/>
                      <w:szCs w:val="21"/>
                      <w:vertAlign w:val="superscript"/>
                      <w14:textFill>
                        <w14:solidFill>
                          <w14:schemeClr w14:val="tx1"/>
                        </w14:solidFill>
                      </w14:textFill>
                    </w:rPr>
                    <w:t>3</w:t>
                  </w:r>
                  <w:r>
                    <w:rPr>
                      <w:rFonts w:ascii="Times New Roman" w:hAnsi="Times New Roman" w:cs="Times New Roman"/>
                      <w:b/>
                      <w:bCs/>
                      <w:color w:val="000000" w:themeColor="text1"/>
                      <w:szCs w:val="21"/>
                      <w14:textFill>
                        <w14:solidFill>
                          <w14:schemeClr w14:val="tx1"/>
                        </w14:solidFill>
                      </w14:textFill>
                    </w:rPr>
                    <w:t>）</w:t>
                  </w:r>
                </w:p>
              </w:tc>
              <w:tc>
                <w:tcPr>
                  <w:tcW w:w="874" w:type="dxa"/>
                  <w:noWrap w:val="0"/>
                  <w:vAlign w:val="center"/>
                </w:tcPr>
                <w:p w14:paraId="4EBBB47C">
                  <w:pPr>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占标率（%）</w:t>
                  </w:r>
                </w:p>
              </w:tc>
              <w:tc>
                <w:tcPr>
                  <w:tcW w:w="1067" w:type="dxa"/>
                  <w:noWrap w:val="0"/>
                  <w:vAlign w:val="center"/>
                </w:tcPr>
                <w:p w14:paraId="4774897C">
                  <w:pPr>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达标情况</w:t>
                  </w:r>
                </w:p>
              </w:tc>
            </w:tr>
            <w:tr w14:paraId="536C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71" w:type="dxa"/>
                  <w:vMerge w:val="restart"/>
                  <w:noWrap w:val="0"/>
                  <w:vAlign w:val="center"/>
                </w:tcPr>
                <w:p w14:paraId="0F973F6E">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SO</w:t>
                  </w:r>
                  <w:r>
                    <w:rPr>
                      <w:rFonts w:ascii="Times New Roman" w:hAnsi="Times New Roman" w:cs="Times New Roman"/>
                      <w:color w:val="000000" w:themeColor="text1"/>
                      <w:szCs w:val="21"/>
                      <w:vertAlign w:val="subscript"/>
                      <w14:textFill>
                        <w14:solidFill>
                          <w14:schemeClr w14:val="tx1"/>
                        </w14:solidFill>
                      </w14:textFill>
                    </w:rPr>
                    <w:t>2</w:t>
                  </w:r>
                </w:p>
              </w:tc>
              <w:tc>
                <w:tcPr>
                  <w:tcW w:w="2933" w:type="dxa"/>
                  <w:noWrap w:val="0"/>
                  <w:vAlign w:val="center"/>
                </w:tcPr>
                <w:p w14:paraId="23776AE2">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年平均质量浓度</w:t>
                  </w:r>
                </w:p>
              </w:tc>
              <w:tc>
                <w:tcPr>
                  <w:tcW w:w="1086" w:type="dxa"/>
                  <w:noWrap w:val="0"/>
                  <w:vAlign w:val="center"/>
                </w:tcPr>
                <w:p w14:paraId="550B5A4E">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6</w:t>
                  </w:r>
                </w:p>
              </w:tc>
              <w:tc>
                <w:tcPr>
                  <w:tcW w:w="1068" w:type="dxa"/>
                  <w:noWrap w:val="0"/>
                  <w:vAlign w:val="center"/>
                </w:tcPr>
                <w:p w14:paraId="65504B73">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60</w:t>
                  </w:r>
                </w:p>
              </w:tc>
              <w:tc>
                <w:tcPr>
                  <w:tcW w:w="874" w:type="dxa"/>
                  <w:noWrap w:val="0"/>
                  <w:vAlign w:val="center"/>
                </w:tcPr>
                <w:p w14:paraId="19C10655">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10.0</w:t>
                  </w:r>
                </w:p>
              </w:tc>
              <w:tc>
                <w:tcPr>
                  <w:tcW w:w="1067" w:type="dxa"/>
                  <w:noWrap w:val="0"/>
                  <w:vAlign w:val="center"/>
                </w:tcPr>
                <w:p w14:paraId="68C7D2A1">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达标</w:t>
                  </w:r>
                </w:p>
              </w:tc>
            </w:tr>
            <w:tr w14:paraId="44F6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71" w:type="dxa"/>
                  <w:vMerge w:val="continue"/>
                  <w:noWrap w:val="0"/>
                  <w:vAlign w:val="center"/>
                </w:tcPr>
                <w:p w14:paraId="48CE917F">
                  <w:pPr>
                    <w:jc w:val="center"/>
                    <w:rPr>
                      <w:rFonts w:ascii="Times New Roman" w:hAnsi="Times New Roman" w:cs="Times New Roman"/>
                      <w:color w:val="000000" w:themeColor="text1"/>
                      <w:szCs w:val="21"/>
                      <w14:textFill>
                        <w14:solidFill>
                          <w14:schemeClr w14:val="tx1"/>
                        </w14:solidFill>
                      </w14:textFill>
                    </w:rPr>
                  </w:pPr>
                </w:p>
              </w:tc>
              <w:tc>
                <w:tcPr>
                  <w:tcW w:w="2933" w:type="dxa"/>
                  <w:noWrap w:val="0"/>
                  <w:vAlign w:val="center"/>
                </w:tcPr>
                <w:p w14:paraId="73D34E84">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24小时平均第98位百分位数</w:t>
                  </w:r>
                </w:p>
              </w:tc>
              <w:tc>
                <w:tcPr>
                  <w:tcW w:w="1086" w:type="dxa"/>
                  <w:noWrap w:val="0"/>
                  <w:vAlign w:val="center"/>
                </w:tcPr>
                <w:p w14:paraId="4E555D0E">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t>
                  </w:r>
                </w:p>
              </w:tc>
              <w:tc>
                <w:tcPr>
                  <w:tcW w:w="1068" w:type="dxa"/>
                  <w:noWrap w:val="0"/>
                  <w:vAlign w:val="center"/>
                </w:tcPr>
                <w:p w14:paraId="6BDAF982">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150</w:t>
                  </w:r>
                </w:p>
              </w:tc>
              <w:tc>
                <w:tcPr>
                  <w:tcW w:w="874" w:type="dxa"/>
                  <w:noWrap w:val="0"/>
                  <w:vAlign w:val="center"/>
                </w:tcPr>
                <w:p w14:paraId="69552933">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t>
                  </w:r>
                </w:p>
              </w:tc>
              <w:tc>
                <w:tcPr>
                  <w:tcW w:w="1067" w:type="dxa"/>
                  <w:noWrap w:val="0"/>
                  <w:vAlign w:val="center"/>
                </w:tcPr>
                <w:p w14:paraId="24C821E8">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t>
                  </w:r>
                </w:p>
              </w:tc>
            </w:tr>
            <w:tr w14:paraId="6D9E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071" w:type="dxa"/>
                  <w:vMerge w:val="restart"/>
                  <w:noWrap w:val="0"/>
                  <w:vAlign w:val="center"/>
                </w:tcPr>
                <w:p w14:paraId="477D000F">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NO</w:t>
                  </w:r>
                  <w:r>
                    <w:rPr>
                      <w:rFonts w:ascii="Times New Roman" w:hAnsi="Times New Roman" w:cs="Times New Roman"/>
                      <w:color w:val="000000" w:themeColor="text1"/>
                      <w:szCs w:val="21"/>
                      <w:vertAlign w:val="subscript"/>
                      <w14:textFill>
                        <w14:solidFill>
                          <w14:schemeClr w14:val="tx1"/>
                        </w14:solidFill>
                      </w14:textFill>
                    </w:rPr>
                    <w:t>2</w:t>
                  </w:r>
                </w:p>
              </w:tc>
              <w:tc>
                <w:tcPr>
                  <w:tcW w:w="2933" w:type="dxa"/>
                  <w:noWrap w:val="0"/>
                  <w:vAlign w:val="center"/>
                </w:tcPr>
                <w:p w14:paraId="51292031">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年平均质量浓度</w:t>
                  </w:r>
                </w:p>
              </w:tc>
              <w:tc>
                <w:tcPr>
                  <w:tcW w:w="1086" w:type="dxa"/>
                  <w:noWrap w:val="0"/>
                  <w:vAlign w:val="center"/>
                </w:tcPr>
                <w:p w14:paraId="6EB89A4B">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23</w:t>
                  </w:r>
                </w:p>
              </w:tc>
              <w:tc>
                <w:tcPr>
                  <w:tcW w:w="1068" w:type="dxa"/>
                  <w:noWrap w:val="0"/>
                  <w:vAlign w:val="center"/>
                </w:tcPr>
                <w:p w14:paraId="11FD46EF">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40</w:t>
                  </w:r>
                </w:p>
              </w:tc>
              <w:tc>
                <w:tcPr>
                  <w:tcW w:w="874" w:type="dxa"/>
                  <w:noWrap w:val="0"/>
                  <w:vAlign w:val="center"/>
                </w:tcPr>
                <w:p w14:paraId="6FB5A973">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57.5</w:t>
                  </w:r>
                </w:p>
              </w:tc>
              <w:tc>
                <w:tcPr>
                  <w:tcW w:w="1067" w:type="dxa"/>
                  <w:noWrap w:val="0"/>
                  <w:vAlign w:val="center"/>
                </w:tcPr>
                <w:p w14:paraId="6A12B089">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达标</w:t>
                  </w:r>
                </w:p>
              </w:tc>
            </w:tr>
            <w:tr w14:paraId="2415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71" w:type="dxa"/>
                  <w:vMerge w:val="continue"/>
                  <w:noWrap w:val="0"/>
                  <w:vAlign w:val="center"/>
                </w:tcPr>
                <w:p w14:paraId="29B7A2C8">
                  <w:pPr>
                    <w:jc w:val="center"/>
                    <w:rPr>
                      <w:rFonts w:ascii="Times New Roman" w:hAnsi="Times New Roman" w:cs="Times New Roman"/>
                      <w:color w:val="000000" w:themeColor="text1"/>
                      <w:szCs w:val="21"/>
                      <w14:textFill>
                        <w14:solidFill>
                          <w14:schemeClr w14:val="tx1"/>
                        </w14:solidFill>
                      </w14:textFill>
                    </w:rPr>
                  </w:pPr>
                </w:p>
              </w:tc>
              <w:tc>
                <w:tcPr>
                  <w:tcW w:w="2933" w:type="dxa"/>
                  <w:noWrap w:val="0"/>
                  <w:vAlign w:val="center"/>
                </w:tcPr>
                <w:p w14:paraId="553D879D">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24小时平均第98位百分位数</w:t>
                  </w:r>
                </w:p>
              </w:tc>
              <w:tc>
                <w:tcPr>
                  <w:tcW w:w="1086" w:type="dxa"/>
                  <w:noWrap w:val="0"/>
                  <w:vAlign w:val="center"/>
                </w:tcPr>
                <w:p w14:paraId="088772A1">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t>
                  </w:r>
                </w:p>
              </w:tc>
              <w:tc>
                <w:tcPr>
                  <w:tcW w:w="1068" w:type="dxa"/>
                  <w:noWrap w:val="0"/>
                  <w:vAlign w:val="center"/>
                </w:tcPr>
                <w:p w14:paraId="21026181">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80</w:t>
                  </w:r>
                </w:p>
              </w:tc>
              <w:tc>
                <w:tcPr>
                  <w:tcW w:w="874" w:type="dxa"/>
                  <w:noWrap w:val="0"/>
                  <w:vAlign w:val="center"/>
                </w:tcPr>
                <w:p w14:paraId="1E91E170">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t>
                  </w:r>
                </w:p>
              </w:tc>
              <w:tc>
                <w:tcPr>
                  <w:tcW w:w="1067" w:type="dxa"/>
                  <w:noWrap w:val="0"/>
                  <w:vAlign w:val="center"/>
                </w:tcPr>
                <w:p w14:paraId="7080D583">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t>
                  </w:r>
                </w:p>
              </w:tc>
            </w:tr>
            <w:tr w14:paraId="5B5E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71" w:type="dxa"/>
                  <w:vMerge w:val="restart"/>
                  <w:noWrap w:val="0"/>
                  <w:vAlign w:val="center"/>
                </w:tcPr>
                <w:p w14:paraId="0D9F9193">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PM</w:t>
                  </w:r>
                  <w:r>
                    <w:rPr>
                      <w:rFonts w:ascii="Times New Roman" w:hAnsi="Times New Roman" w:cs="Times New Roman"/>
                      <w:color w:val="000000" w:themeColor="text1"/>
                      <w:szCs w:val="21"/>
                      <w:vertAlign w:val="subscript"/>
                      <w14:textFill>
                        <w14:solidFill>
                          <w14:schemeClr w14:val="tx1"/>
                        </w14:solidFill>
                      </w14:textFill>
                    </w:rPr>
                    <w:t>2.5</w:t>
                  </w:r>
                </w:p>
              </w:tc>
              <w:tc>
                <w:tcPr>
                  <w:tcW w:w="2933" w:type="dxa"/>
                  <w:noWrap w:val="0"/>
                  <w:vAlign w:val="center"/>
                </w:tcPr>
                <w:p w14:paraId="4016B86A">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年平均质量浓度</w:t>
                  </w:r>
                </w:p>
              </w:tc>
              <w:tc>
                <w:tcPr>
                  <w:tcW w:w="1086" w:type="dxa"/>
                  <w:noWrap w:val="0"/>
                  <w:vAlign w:val="center"/>
                </w:tcPr>
                <w:p w14:paraId="010C50E1">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46</w:t>
                  </w:r>
                </w:p>
              </w:tc>
              <w:tc>
                <w:tcPr>
                  <w:tcW w:w="1068" w:type="dxa"/>
                  <w:noWrap w:val="0"/>
                  <w:vAlign w:val="center"/>
                </w:tcPr>
                <w:p w14:paraId="4DDCEAE0">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35</w:t>
                  </w:r>
                </w:p>
              </w:tc>
              <w:tc>
                <w:tcPr>
                  <w:tcW w:w="874" w:type="dxa"/>
                  <w:noWrap w:val="0"/>
                  <w:vAlign w:val="center"/>
                </w:tcPr>
                <w:p w14:paraId="1D723741">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131.43</w:t>
                  </w:r>
                </w:p>
              </w:tc>
              <w:tc>
                <w:tcPr>
                  <w:tcW w:w="1067" w:type="dxa"/>
                  <w:noWrap w:val="0"/>
                  <w:vAlign w:val="center"/>
                </w:tcPr>
                <w:p w14:paraId="66CCABF3">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不达标</w:t>
                  </w:r>
                </w:p>
              </w:tc>
            </w:tr>
            <w:tr w14:paraId="6144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71" w:type="dxa"/>
                  <w:vMerge w:val="continue"/>
                  <w:noWrap w:val="0"/>
                  <w:vAlign w:val="center"/>
                </w:tcPr>
                <w:p w14:paraId="7F0673FD">
                  <w:pPr>
                    <w:jc w:val="center"/>
                    <w:rPr>
                      <w:rFonts w:ascii="Times New Roman" w:hAnsi="Times New Roman" w:cs="Times New Roman"/>
                      <w:color w:val="000000" w:themeColor="text1"/>
                      <w:szCs w:val="21"/>
                      <w14:textFill>
                        <w14:solidFill>
                          <w14:schemeClr w14:val="tx1"/>
                        </w14:solidFill>
                      </w14:textFill>
                    </w:rPr>
                  </w:pPr>
                </w:p>
              </w:tc>
              <w:tc>
                <w:tcPr>
                  <w:tcW w:w="2933" w:type="dxa"/>
                  <w:noWrap w:val="0"/>
                  <w:vAlign w:val="center"/>
                </w:tcPr>
                <w:p w14:paraId="22C2B8C2">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24小时平均第95位百分位数</w:t>
                  </w:r>
                </w:p>
              </w:tc>
              <w:tc>
                <w:tcPr>
                  <w:tcW w:w="1086" w:type="dxa"/>
                  <w:noWrap w:val="0"/>
                  <w:vAlign w:val="center"/>
                </w:tcPr>
                <w:p w14:paraId="690B2A63">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t>
                  </w:r>
                </w:p>
              </w:tc>
              <w:tc>
                <w:tcPr>
                  <w:tcW w:w="1068" w:type="dxa"/>
                  <w:noWrap w:val="0"/>
                  <w:vAlign w:val="center"/>
                </w:tcPr>
                <w:p w14:paraId="0071C778">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75</w:t>
                  </w:r>
                </w:p>
              </w:tc>
              <w:tc>
                <w:tcPr>
                  <w:tcW w:w="874" w:type="dxa"/>
                  <w:noWrap w:val="0"/>
                  <w:vAlign w:val="center"/>
                </w:tcPr>
                <w:p w14:paraId="1AD7E4E9">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t>
                  </w:r>
                </w:p>
              </w:tc>
              <w:tc>
                <w:tcPr>
                  <w:tcW w:w="1067" w:type="dxa"/>
                  <w:noWrap w:val="0"/>
                  <w:vAlign w:val="center"/>
                </w:tcPr>
                <w:p w14:paraId="73FB6059">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t>
                  </w:r>
                </w:p>
              </w:tc>
            </w:tr>
            <w:tr w14:paraId="3067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071" w:type="dxa"/>
                  <w:vMerge w:val="restart"/>
                  <w:noWrap w:val="0"/>
                  <w:vAlign w:val="center"/>
                </w:tcPr>
                <w:p w14:paraId="4456CCEC">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PM</w:t>
                  </w:r>
                  <w:r>
                    <w:rPr>
                      <w:rFonts w:ascii="Times New Roman" w:hAnsi="Times New Roman" w:cs="Times New Roman"/>
                      <w:color w:val="000000" w:themeColor="text1"/>
                      <w:szCs w:val="21"/>
                      <w:vertAlign w:val="subscript"/>
                      <w14:textFill>
                        <w14:solidFill>
                          <w14:schemeClr w14:val="tx1"/>
                        </w14:solidFill>
                      </w14:textFill>
                    </w:rPr>
                    <w:t>10</w:t>
                  </w:r>
                </w:p>
              </w:tc>
              <w:tc>
                <w:tcPr>
                  <w:tcW w:w="2933" w:type="dxa"/>
                  <w:noWrap w:val="0"/>
                  <w:vAlign w:val="center"/>
                </w:tcPr>
                <w:p w14:paraId="1AC745F1">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年平均质量浓度</w:t>
                  </w:r>
                </w:p>
              </w:tc>
              <w:tc>
                <w:tcPr>
                  <w:tcW w:w="1086" w:type="dxa"/>
                  <w:noWrap w:val="0"/>
                  <w:vAlign w:val="center"/>
                </w:tcPr>
                <w:p w14:paraId="284D9FAA">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76</w:t>
                  </w:r>
                </w:p>
              </w:tc>
              <w:tc>
                <w:tcPr>
                  <w:tcW w:w="1068" w:type="dxa"/>
                  <w:noWrap w:val="0"/>
                  <w:vAlign w:val="center"/>
                </w:tcPr>
                <w:p w14:paraId="48A73F9D">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70</w:t>
                  </w:r>
                </w:p>
              </w:tc>
              <w:tc>
                <w:tcPr>
                  <w:tcW w:w="874" w:type="dxa"/>
                  <w:noWrap w:val="0"/>
                  <w:vAlign w:val="center"/>
                </w:tcPr>
                <w:p w14:paraId="09E43DFB">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108.57</w:t>
                  </w:r>
                </w:p>
              </w:tc>
              <w:tc>
                <w:tcPr>
                  <w:tcW w:w="1067" w:type="dxa"/>
                  <w:noWrap w:val="0"/>
                  <w:vAlign w:val="center"/>
                </w:tcPr>
                <w:p w14:paraId="4F244A55">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不达标</w:t>
                  </w:r>
                </w:p>
              </w:tc>
            </w:tr>
            <w:tr w14:paraId="0893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71" w:type="dxa"/>
                  <w:vMerge w:val="continue"/>
                  <w:noWrap w:val="0"/>
                  <w:vAlign w:val="center"/>
                </w:tcPr>
                <w:p w14:paraId="2FEA13B2">
                  <w:pPr>
                    <w:jc w:val="center"/>
                    <w:rPr>
                      <w:rFonts w:ascii="Times New Roman" w:hAnsi="Times New Roman" w:cs="Times New Roman"/>
                      <w:color w:val="000000" w:themeColor="text1"/>
                      <w:szCs w:val="21"/>
                      <w14:textFill>
                        <w14:solidFill>
                          <w14:schemeClr w14:val="tx1"/>
                        </w14:solidFill>
                      </w14:textFill>
                    </w:rPr>
                  </w:pPr>
                </w:p>
              </w:tc>
              <w:tc>
                <w:tcPr>
                  <w:tcW w:w="2933" w:type="dxa"/>
                  <w:noWrap w:val="0"/>
                  <w:vAlign w:val="center"/>
                </w:tcPr>
                <w:p w14:paraId="5D06E208">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24小时平均第95位百分位数</w:t>
                  </w:r>
                </w:p>
              </w:tc>
              <w:tc>
                <w:tcPr>
                  <w:tcW w:w="1086" w:type="dxa"/>
                  <w:noWrap w:val="0"/>
                  <w:vAlign w:val="center"/>
                </w:tcPr>
                <w:p w14:paraId="7D6FB231">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t>
                  </w:r>
                </w:p>
              </w:tc>
              <w:tc>
                <w:tcPr>
                  <w:tcW w:w="1068" w:type="dxa"/>
                  <w:noWrap w:val="0"/>
                  <w:vAlign w:val="center"/>
                </w:tcPr>
                <w:p w14:paraId="1292EEA2">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150</w:t>
                  </w:r>
                </w:p>
              </w:tc>
              <w:tc>
                <w:tcPr>
                  <w:tcW w:w="874" w:type="dxa"/>
                  <w:noWrap w:val="0"/>
                  <w:vAlign w:val="center"/>
                </w:tcPr>
                <w:p w14:paraId="6B9927C5">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t>
                  </w:r>
                </w:p>
              </w:tc>
              <w:tc>
                <w:tcPr>
                  <w:tcW w:w="1067" w:type="dxa"/>
                  <w:noWrap w:val="0"/>
                  <w:vAlign w:val="center"/>
                </w:tcPr>
                <w:p w14:paraId="55C8577A">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t>
                  </w:r>
                </w:p>
              </w:tc>
            </w:tr>
            <w:tr w14:paraId="4225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71" w:type="dxa"/>
                  <w:noWrap w:val="0"/>
                  <w:vAlign w:val="center"/>
                </w:tcPr>
                <w:p w14:paraId="7D8E8215">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CO</w:t>
                  </w:r>
                </w:p>
              </w:tc>
              <w:tc>
                <w:tcPr>
                  <w:tcW w:w="2933" w:type="dxa"/>
                  <w:noWrap w:val="0"/>
                  <w:vAlign w:val="center"/>
                </w:tcPr>
                <w:p w14:paraId="683D204A">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24小时平均95位百分位数</w:t>
                  </w:r>
                </w:p>
              </w:tc>
              <w:tc>
                <w:tcPr>
                  <w:tcW w:w="1086" w:type="dxa"/>
                  <w:noWrap w:val="0"/>
                  <w:vAlign w:val="center"/>
                </w:tcPr>
                <w:p w14:paraId="7412255E">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1200</w:t>
                  </w:r>
                </w:p>
              </w:tc>
              <w:tc>
                <w:tcPr>
                  <w:tcW w:w="1068" w:type="dxa"/>
                  <w:noWrap w:val="0"/>
                  <w:vAlign w:val="center"/>
                </w:tcPr>
                <w:p w14:paraId="6794D6AF">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4000</w:t>
                  </w:r>
                </w:p>
              </w:tc>
              <w:tc>
                <w:tcPr>
                  <w:tcW w:w="874" w:type="dxa"/>
                  <w:noWrap w:val="0"/>
                  <w:vAlign w:val="center"/>
                </w:tcPr>
                <w:p w14:paraId="6482A742">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30.0</w:t>
                  </w:r>
                </w:p>
              </w:tc>
              <w:tc>
                <w:tcPr>
                  <w:tcW w:w="1067" w:type="dxa"/>
                  <w:noWrap w:val="0"/>
                  <w:vAlign w:val="center"/>
                </w:tcPr>
                <w:p w14:paraId="71FE2CD0">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达标</w:t>
                  </w:r>
                </w:p>
              </w:tc>
            </w:tr>
            <w:tr w14:paraId="79D7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71" w:type="dxa"/>
                  <w:noWrap w:val="0"/>
                  <w:vAlign w:val="center"/>
                </w:tcPr>
                <w:p w14:paraId="5C1E0785">
                  <w:pPr>
                    <w:jc w:val="center"/>
                    <w:outlineLvl w:val="0"/>
                    <w:rPr>
                      <w:rFonts w:ascii="Times New Roman" w:hAnsi="Times New Roman" w:cs="Times New Roman"/>
                      <w:color w:val="000000" w:themeColor="text1"/>
                      <w:szCs w:val="21"/>
                      <w:vertAlign w:val="subscript"/>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O</w:t>
                  </w:r>
                  <w:r>
                    <w:rPr>
                      <w:rFonts w:ascii="Times New Roman" w:hAnsi="Times New Roman" w:cs="Times New Roman"/>
                      <w:color w:val="000000" w:themeColor="text1"/>
                      <w:szCs w:val="21"/>
                      <w:vertAlign w:val="subscript"/>
                      <w14:textFill>
                        <w14:solidFill>
                          <w14:schemeClr w14:val="tx1"/>
                        </w14:solidFill>
                      </w14:textFill>
                    </w:rPr>
                    <w:t>3</w:t>
                  </w:r>
                </w:p>
              </w:tc>
              <w:tc>
                <w:tcPr>
                  <w:tcW w:w="2933" w:type="dxa"/>
                  <w:noWrap w:val="0"/>
                  <w:vAlign w:val="center"/>
                </w:tcPr>
                <w:p w14:paraId="2E52AA53">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8h平均第90位百分位数</w:t>
                  </w:r>
                </w:p>
              </w:tc>
              <w:tc>
                <w:tcPr>
                  <w:tcW w:w="1086" w:type="dxa"/>
                  <w:noWrap w:val="0"/>
                  <w:vAlign w:val="center"/>
                </w:tcPr>
                <w:p w14:paraId="1F0270DA">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175</w:t>
                  </w:r>
                </w:p>
              </w:tc>
              <w:tc>
                <w:tcPr>
                  <w:tcW w:w="1068" w:type="dxa"/>
                  <w:noWrap w:val="0"/>
                  <w:vAlign w:val="center"/>
                </w:tcPr>
                <w:p w14:paraId="7C453C59">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160</w:t>
                  </w:r>
                </w:p>
              </w:tc>
              <w:tc>
                <w:tcPr>
                  <w:tcW w:w="874" w:type="dxa"/>
                  <w:noWrap w:val="0"/>
                  <w:vAlign w:val="center"/>
                </w:tcPr>
                <w:p w14:paraId="2E935F5D">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109.38</w:t>
                  </w:r>
                </w:p>
              </w:tc>
              <w:tc>
                <w:tcPr>
                  <w:tcW w:w="1067" w:type="dxa"/>
                  <w:noWrap w:val="0"/>
                  <w:vAlign w:val="center"/>
                </w:tcPr>
                <w:p w14:paraId="6CABE49E">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不达标</w:t>
                  </w:r>
                </w:p>
              </w:tc>
            </w:tr>
          </w:tbl>
          <w:p w14:paraId="4895390E">
            <w:pPr>
              <w:spacing w:line="480" w:lineRule="exact"/>
              <w:ind w:firstLine="480" w:firstLineChars="200"/>
              <w:rPr>
                <w:rFonts w:hint="default" w:ascii="Times New Roman" w:hAnsi="Times New Roman" w:cs="Times New Roman" w:eastAsiaTheme="minorEastAsia"/>
                <w:bCs/>
                <w:color w:val="000000" w:themeColor="text1"/>
                <w:sz w:val="24"/>
                <w14:textFill>
                  <w14:solidFill>
                    <w14:schemeClr w14:val="tx1"/>
                  </w14:solidFill>
                </w14:textFill>
              </w:rPr>
            </w:pPr>
            <w:r>
              <w:rPr>
                <w:rFonts w:hint="default" w:ascii="Times New Roman" w:hAnsi="Times New Roman" w:cs="Times New Roman" w:eastAsiaTheme="minorEastAsia"/>
                <w:bCs/>
                <w:color w:val="000000" w:themeColor="text1"/>
                <w:sz w:val="24"/>
                <w14:textFill>
                  <w14:solidFill>
                    <w14:schemeClr w14:val="tx1"/>
                  </w14:solidFill>
                </w14:textFill>
              </w:rPr>
              <w:t>由表</w:t>
            </w:r>
            <w:r>
              <w:rPr>
                <w:rFonts w:hint="eastAsia" w:cs="Times New Roman" w:eastAsiaTheme="minorEastAsia"/>
                <w:bCs/>
                <w:color w:val="000000" w:themeColor="text1"/>
                <w:sz w:val="24"/>
                <w:lang w:val="en-US" w:eastAsia="zh-CN"/>
                <w14:textFill>
                  <w14:solidFill>
                    <w14:schemeClr w14:val="tx1"/>
                  </w14:solidFill>
                </w14:textFill>
              </w:rPr>
              <w:t>12</w:t>
            </w:r>
            <w:r>
              <w:rPr>
                <w:rFonts w:hint="default" w:ascii="Times New Roman" w:hAnsi="Times New Roman" w:cs="Times New Roman" w:eastAsiaTheme="minorEastAsia"/>
                <w:bCs/>
                <w:color w:val="000000" w:themeColor="text1"/>
                <w:sz w:val="24"/>
                <w14:textFill>
                  <w14:solidFill>
                    <w14:schemeClr w14:val="tx1"/>
                  </w14:solidFill>
                </w14:textFill>
              </w:rPr>
              <w:t>可知，SO</w:t>
            </w:r>
            <w:r>
              <w:rPr>
                <w:rFonts w:hint="default" w:ascii="Times New Roman" w:hAnsi="Times New Roman" w:cs="Times New Roman" w:eastAsiaTheme="minorEastAsia"/>
                <w:bCs/>
                <w:color w:val="000000" w:themeColor="text1"/>
                <w:sz w:val="24"/>
                <w:vertAlign w:val="subscript"/>
                <w14:textFill>
                  <w14:solidFill>
                    <w14:schemeClr w14:val="tx1"/>
                  </w14:solidFill>
                </w14:textFill>
              </w:rPr>
              <w:t>2</w:t>
            </w:r>
            <w:r>
              <w:rPr>
                <w:rFonts w:hint="default" w:ascii="Times New Roman" w:hAnsi="Times New Roman" w:cs="Times New Roman" w:eastAsiaTheme="minorEastAsia"/>
                <w:bCs/>
                <w:color w:val="000000" w:themeColor="text1"/>
                <w:sz w:val="24"/>
                <w:vertAlign w:val="baseline"/>
                <w14:textFill>
                  <w14:solidFill>
                    <w14:schemeClr w14:val="tx1"/>
                  </w14:solidFill>
                </w14:textFill>
              </w:rPr>
              <w:t>年平均质量浓度</w:t>
            </w:r>
            <w:r>
              <w:rPr>
                <w:rFonts w:hint="default" w:ascii="Times New Roman" w:hAnsi="Times New Roman" w:cs="Times New Roman" w:eastAsiaTheme="minorEastAsia"/>
                <w:bCs/>
                <w:color w:val="000000" w:themeColor="text1"/>
                <w:sz w:val="24"/>
                <w14:textFill>
                  <w14:solidFill>
                    <w14:schemeClr w14:val="tx1"/>
                  </w14:solidFill>
                </w14:textFill>
              </w:rPr>
              <w:t>、NO</w:t>
            </w:r>
            <w:r>
              <w:rPr>
                <w:rFonts w:hint="default" w:ascii="Times New Roman" w:hAnsi="Times New Roman" w:cs="Times New Roman" w:eastAsiaTheme="minorEastAsia"/>
                <w:bCs/>
                <w:color w:val="000000" w:themeColor="text1"/>
                <w:sz w:val="24"/>
                <w:vertAlign w:val="subscript"/>
                <w14:textFill>
                  <w14:solidFill>
                    <w14:schemeClr w14:val="tx1"/>
                  </w14:solidFill>
                </w14:textFill>
              </w:rPr>
              <w:t>2</w:t>
            </w:r>
            <w:r>
              <w:rPr>
                <w:rFonts w:hint="default" w:ascii="Times New Roman" w:hAnsi="Times New Roman" w:cs="Times New Roman" w:eastAsiaTheme="minorEastAsia"/>
                <w:bCs/>
                <w:color w:val="000000" w:themeColor="text1"/>
                <w:sz w:val="24"/>
                <w:vertAlign w:val="baseline"/>
                <w14:textFill>
                  <w14:solidFill>
                    <w14:schemeClr w14:val="tx1"/>
                  </w14:solidFill>
                </w14:textFill>
              </w:rPr>
              <w:t>年平均质量浓度</w:t>
            </w:r>
            <w:r>
              <w:rPr>
                <w:rFonts w:hint="default" w:ascii="Times New Roman" w:hAnsi="Times New Roman" w:cs="Times New Roman" w:eastAsiaTheme="minorEastAsia"/>
                <w:bCs/>
                <w:color w:val="000000" w:themeColor="text1"/>
                <w:sz w:val="24"/>
                <w14:textFill>
                  <w14:solidFill>
                    <w14:schemeClr w14:val="tx1"/>
                  </w14:solidFill>
                </w14:textFill>
              </w:rPr>
              <w:t>、CO 24小时平均值满足《环境空气质量标准》(GB3095-2012) 及修改单（生态环境部公告2018年第29号）中二级标准，PM</w:t>
            </w:r>
            <w:r>
              <w:rPr>
                <w:rFonts w:hint="default" w:ascii="Times New Roman" w:hAnsi="Times New Roman" w:cs="Times New Roman" w:eastAsiaTheme="minorEastAsia"/>
                <w:bCs/>
                <w:color w:val="000000" w:themeColor="text1"/>
                <w:sz w:val="24"/>
                <w:vertAlign w:val="subscript"/>
                <w14:textFill>
                  <w14:solidFill>
                    <w14:schemeClr w14:val="tx1"/>
                  </w14:solidFill>
                </w14:textFill>
              </w:rPr>
              <w:t>10</w:t>
            </w:r>
            <w:r>
              <w:rPr>
                <w:rFonts w:hint="default" w:ascii="Times New Roman" w:hAnsi="Times New Roman" w:cs="Times New Roman" w:eastAsiaTheme="minorEastAsia"/>
                <w:bCs/>
                <w:color w:val="000000" w:themeColor="text1"/>
                <w:sz w:val="24"/>
                <w14:textFill>
                  <w14:solidFill>
                    <w14:schemeClr w14:val="tx1"/>
                  </w14:solidFill>
                </w14:textFill>
              </w:rPr>
              <w:t>、PM</w:t>
            </w:r>
            <w:r>
              <w:rPr>
                <w:rFonts w:hint="default" w:ascii="Times New Roman" w:hAnsi="Times New Roman" w:cs="Times New Roman" w:eastAsiaTheme="minorEastAsia"/>
                <w:bCs/>
                <w:color w:val="000000" w:themeColor="text1"/>
                <w:sz w:val="24"/>
                <w:vertAlign w:val="subscript"/>
                <w14:textFill>
                  <w14:solidFill>
                    <w14:schemeClr w14:val="tx1"/>
                  </w14:solidFill>
                </w14:textFill>
              </w:rPr>
              <w:t>2.5</w:t>
            </w:r>
            <w:r>
              <w:rPr>
                <w:rFonts w:hint="default" w:ascii="Times New Roman" w:hAnsi="Times New Roman" w:cs="Times New Roman" w:eastAsiaTheme="minorEastAsia"/>
                <w:bCs/>
                <w:color w:val="000000" w:themeColor="text1"/>
                <w:sz w:val="24"/>
                <w:vertAlign w:val="baseline"/>
                <w14:textFill>
                  <w14:solidFill>
                    <w14:schemeClr w14:val="tx1"/>
                  </w14:solidFill>
                </w14:textFill>
              </w:rPr>
              <w:t>年平均质量浓度</w:t>
            </w:r>
            <w:r>
              <w:rPr>
                <w:rFonts w:hint="default" w:ascii="Times New Roman" w:hAnsi="Times New Roman" w:cs="Times New Roman" w:eastAsiaTheme="minorEastAsia"/>
                <w:bCs/>
                <w:color w:val="000000" w:themeColor="text1"/>
                <w:sz w:val="24"/>
                <w14:textFill>
                  <w14:solidFill>
                    <w14:schemeClr w14:val="tx1"/>
                  </w14:solidFill>
                </w14:textFill>
              </w:rPr>
              <w:t>和O</w:t>
            </w:r>
            <w:r>
              <w:rPr>
                <w:rFonts w:hint="default" w:ascii="Times New Roman" w:hAnsi="Times New Roman" w:cs="Times New Roman" w:eastAsiaTheme="minorEastAsia"/>
                <w:bCs/>
                <w:color w:val="000000" w:themeColor="text1"/>
                <w:sz w:val="24"/>
                <w:vertAlign w:val="subscript"/>
                <w14:textFill>
                  <w14:solidFill>
                    <w14:schemeClr w14:val="tx1"/>
                  </w14:solidFill>
                </w14:textFill>
              </w:rPr>
              <w:t>3</w:t>
            </w:r>
            <w:r>
              <w:rPr>
                <w:rFonts w:hint="eastAsia" w:cs="Times New Roman" w:eastAsiaTheme="minorEastAsia"/>
                <w:bCs/>
                <w:color w:val="000000" w:themeColor="text1"/>
                <w:sz w:val="24"/>
                <w:lang w:val="en-US" w:eastAsia="zh-CN"/>
                <w14:textFill>
                  <w14:solidFill>
                    <w14:schemeClr w14:val="tx1"/>
                  </w14:solidFill>
                </w14:textFill>
              </w:rPr>
              <w:t>百分位数</w:t>
            </w:r>
            <w:r>
              <w:rPr>
                <w:rFonts w:hint="default" w:ascii="Times New Roman" w:hAnsi="Times New Roman" w:cs="Times New Roman" w:eastAsiaTheme="minorEastAsia"/>
                <w:bCs/>
                <w:color w:val="000000" w:themeColor="text1"/>
                <w:sz w:val="24"/>
                <w14:textFill>
                  <w14:solidFill>
                    <w14:schemeClr w14:val="tx1"/>
                  </w14:solidFill>
                </w14:textFill>
              </w:rPr>
              <w:t>8小时平均值超过了《环境空气质量标准》(GB3095-2012）及修改单（生态环境部公告2018年第29号）中二级标准要求。根据《环境影响评价技术导则·大气环境》</w:t>
            </w:r>
            <w:r>
              <w:rPr>
                <w:rFonts w:hint="eastAsia" w:cs="Times New Roman" w:eastAsiaTheme="minorEastAsia"/>
                <w:bCs/>
                <w:color w:val="000000" w:themeColor="text1"/>
                <w:sz w:val="24"/>
                <w:lang w:eastAsia="zh-CN"/>
                <w14:textFill>
                  <w14:solidFill>
                    <w14:schemeClr w14:val="tx1"/>
                  </w14:solidFill>
                </w14:textFill>
              </w:rPr>
              <w:t>（</w:t>
            </w:r>
            <w:r>
              <w:rPr>
                <w:rFonts w:hint="default" w:ascii="Times New Roman" w:hAnsi="Times New Roman" w:cs="Times New Roman" w:eastAsiaTheme="minorEastAsia"/>
                <w:bCs/>
                <w:color w:val="000000" w:themeColor="text1"/>
                <w:sz w:val="24"/>
                <w14:textFill>
                  <w14:solidFill>
                    <w14:schemeClr w14:val="tx1"/>
                  </w14:solidFill>
                </w14:textFill>
              </w:rPr>
              <w:t>HJ2.2-2018</w:t>
            </w:r>
            <w:r>
              <w:rPr>
                <w:rFonts w:hint="eastAsia" w:cs="Times New Roman" w:eastAsiaTheme="minorEastAsia"/>
                <w:bCs/>
                <w:color w:val="000000" w:themeColor="text1"/>
                <w:sz w:val="24"/>
                <w:lang w:eastAsia="zh-CN"/>
                <w14:textFill>
                  <w14:solidFill>
                    <w14:schemeClr w14:val="tx1"/>
                  </w14:solidFill>
                </w14:textFill>
              </w:rPr>
              <w:t>）</w:t>
            </w:r>
            <w:r>
              <w:rPr>
                <w:rFonts w:hint="default" w:ascii="Times New Roman" w:hAnsi="Times New Roman" w:cs="Times New Roman" w:eastAsiaTheme="minorEastAsia"/>
                <w:bCs/>
                <w:color w:val="000000" w:themeColor="text1"/>
                <w:sz w:val="24"/>
                <w14:textFill>
                  <w14:solidFill>
                    <w14:schemeClr w14:val="tx1"/>
                  </w14:solidFill>
                </w14:textFill>
              </w:rPr>
              <w:t>中6.4.1项目所在区域达标判定规定：</w:t>
            </w:r>
            <w:r>
              <w:rPr>
                <w:rFonts w:hint="eastAsia" w:cs="Times New Roman" w:eastAsiaTheme="minorEastAsia"/>
                <w:bCs/>
                <w:color w:val="000000" w:themeColor="text1"/>
                <w:sz w:val="24"/>
                <w:lang w:eastAsia="zh-CN"/>
                <w14:textFill>
                  <w14:solidFill>
                    <w14:schemeClr w14:val="tx1"/>
                  </w14:solidFill>
                </w14:textFill>
              </w:rPr>
              <w:t>“</w:t>
            </w:r>
            <w:r>
              <w:rPr>
                <w:rFonts w:hint="default" w:ascii="Times New Roman" w:hAnsi="Times New Roman" w:cs="Times New Roman" w:eastAsiaTheme="minorEastAsia"/>
                <w:bCs/>
                <w:color w:val="000000" w:themeColor="text1"/>
                <w:sz w:val="24"/>
                <w14:textFill>
                  <w14:solidFill>
                    <w14:schemeClr w14:val="tx1"/>
                  </w14:solidFill>
                </w14:textFill>
              </w:rPr>
              <w:t>城市环境空气质量达标情况评价指标为SO</w:t>
            </w:r>
            <w:r>
              <w:rPr>
                <w:rFonts w:hint="default" w:ascii="Times New Roman" w:hAnsi="Times New Roman" w:cs="Times New Roman" w:eastAsiaTheme="minorEastAsia"/>
                <w:bCs/>
                <w:color w:val="000000" w:themeColor="text1"/>
                <w:sz w:val="24"/>
                <w:vertAlign w:val="subscript"/>
                <w14:textFill>
                  <w14:solidFill>
                    <w14:schemeClr w14:val="tx1"/>
                  </w14:solidFill>
                </w14:textFill>
              </w:rPr>
              <w:t>2</w:t>
            </w:r>
            <w:r>
              <w:rPr>
                <w:rFonts w:hint="default" w:ascii="Times New Roman" w:hAnsi="Times New Roman" w:cs="Times New Roman" w:eastAsiaTheme="minorEastAsia"/>
                <w:bCs/>
                <w:color w:val="000000" w:themeColor="text1"/>
                <w:sz w:val="24"/>
                <w14:textFill>
                  <w14:solidFill>
                    <w14:schemeClr w14:val="tx1"/>
                  </w14:solidFill>
                </w14:textFill>
              </w:rPr>
              <w:t>、NO</w:t>
            </w:r>
            <w:r>
              <w:rPr>
                <w:rFonts w:hint="default" w:ascii="Times New Roman" w:hAnsi="Times New Roman" w:cs="Times New Roman" w:eastAsiaTheme="minorEastAsia"/>
                <w:bCs/>
                <w:color w:val="000000" w:themeColor="text1"/>
                <w:sz w:val="24"/>
                <w:vertAlign w:val="subscript"/>
                <w14:textFill>
                  <w14:solidFill>
                    <w14:schemeClr w14:val="tx1"/>
                  </w14:solidFill>
                </w14:textFill>
              </w:rPr>
              <w:t>2</w:t>
            </w:r>
            <w:r>
              <w:rPr>
                <w:rFonts w:hint="default" w:ascii="Times New Roman" w:hAnsi="Times New Roman" w:cs="Times New Roman" w:eastAsiaTheme="minorEastAsia"/>
                <w:bCs/>
                <w:color w:val="000000" w:themeColor="text1"/>
                <w:sz w:val="24"/>
                <w14:textFill>
                  <w14:solidFill>
                    <w14:schemeClr w14:val="tx1"/>
                  </w14:solidFill>
                </w14:textFill>
              </w:rPr>
              <w:t>、PM</w:t>
            </w:r>
            <w:r>
              <w:rPr>
                <w:rFonts w:hint="default" w:ascii="Times New Roman" w:hAnsi="Times New Roman" w:cs="Times New Roman" w:eastAsiaTheme="minorEastAsia"/>
                <w:bCs/>
                <w:color w:val="000000" w:themeColor="text1"/>
                <w:sz w:val="24"/>
                <w:vertAlign w:val="subscript"/>
                <w14:textFill>
                  <w14:solidFill>
                    <w14:schemeClr w14:val="tx1"/>
                  </w14:solidFill>
                </w14:textFill>
              </w:rPr>
              <w:t>10</w:t>
            </w:r>
            <w:r>
              <w:rPr>
                <w:rFonts w:hint="default" w:ascii="Times New Roman" w:hAnsi="Times New Roman" w:cs="Times New Roman" w:eastAsiaTheme="minorEastAsia"/>
                <w:bCs/>
                <w:color w:val="000000" w:themeColor="text1"/>
                <w:sz w:val="24"/>
                <w14:textFill>
                  <w14:solidFill>
                    <w14:schemeClr w14:val="tx1"/>
                  </w14:solidFill>
                </w14:textFill>
              </w:rPr>
              <w:t>、PM</w:t>
            </w:r>
            <w:r>
              <w:rPr>
                <w:rFonts w:hint="default" w:ascii="Times New Roman" w:hAnsi="Times New Roman" w:cs="Times New Roman" w:eastAsiaTheme="minorEastAsia"/>
                <w:bCs/>
                <w:color w:val="000000" w:themeColor="text1"/>
                <w:sz w:val="24"/>
                <w:vertAlign w:val="subscript"/>
                <w14:textFill>
                  <w14:solidFill>
                    <w14:schemeClr w14:val="tx1"/>
                  </w14:solidFill>
                </w14:textFill>
              </w:rPr>
              <w:t>2.5</w:t>
            </w:r>
            <w:r>
              <w:rPr>
                <w:rFonts w:hint="default" w:ascii="Times New Roman" w:hAnsi="Times New Roman" w:cs="Times New Roman" w:eastAsiaTheme="minorEastAsia"/>
                <w:bCs/>
                <w:color w:val="000000" w:themeColor="text1"/>
                <w:sz w:val="24"/>
                <w14:textFill>
                  <w14:solidFill>
                    <w14:schemeClr w14:val="tx1"/>
                  </w14:solidFill>
                </w14:textFill>
              </w:rPr>
              <w:t>、CO、O</w:t>
            </w:r>
            <w:r>
              <w:rPr>
                <w:rFonts w:hint="default" w:ascii="Times New Roman" w:hAnsi="Times New Roman" w:cs="Times New Roman" w:eastAsiaTheme="minorEastAsia"/>
                <w:bCs/>
                <w:color w:val="000000" w:themeColor="text1"/>
                <w:sz w:val="24"/>
                <w:vertAlign w:val="subscript"/>
                <w14:textFill>
                  <w14:solidFill>
                    <w14:schemeClr w14:val="tx1"/>
                  </w14:solidFill>
                </w14:textFill>
              </w:rPr>
              <w:t>3</w:t>
            </w:r>
            <w:r>
              <w:rPr>
                <w:rFonts w:hint="default" w:ascii="Times New Roman" w:hAnsi="Times New Roman" w:cs="Times New Roman" w:eastAsiaTheme="minorEastAsia"/>
                <w:bCs/>
                <w:color w:val="000000" w:themeColor="text1"/>
                <w:sz w:val="24"/>
                <w14:textFill>
                  <w14:solidFill>
                    <w14:schemeClr w14:val="tx1"/>
                  </w14:solidFill>
                </w14:textFill>
              </w:rPr>
              <w:t>六项污染物全部达标即为城市环境空气质量达标</w:t>
            </w:r>
            <w:r>
              <w:rPr>
                <w:rFonts w:hint="eastAsia" w:cs="Times New Roman" w:eastAsiaTheme="minorEastAsia"/>
                <w:bCs/>
                <w:color w:val="000000" w:themeColor="text1"/>
                <w:sz w:val="24"/>
                <w:lang w:eastAsia="zh-CN"/>
                <w14:textFill>
                  <w14:solidFill>
                    <w14:schemeClr w14:val="tx1"/>
                  </w14:solidFill>
                </w14:textFill>
              </w:rPr>
              <w:t>”</w:t>
            </w:r>
            <w:r>
              <w:rPr>
                <w:rFonts w:hint="default" w:ascii="Times New Roman" w:hAnsi="Times New Roman" w:cs="Times New Roman" w:eastAsiaTheme="minorEastAsia"/>
                <w:bCs/>
                <w:color w:val="000000" w:themeColor="text1"/>
                <w:sz w:val="24"/>
                <w14:textFill>
                  <w14:solidFill>
                    <w14:schemeClr w14:val="tx1"/>
                  </w14:solidFill>
                </w14:textFill>
              </w:rPr>
              <w:t>可知，项目所在区域属于不达标区。</w:t>
            </w:r>
          </w:p>
          <w:p w14:paraId="3B7E0445">
            <w:pPr>
              <w:spacing w:line="480" w:lineRule="exact"/>
              <w:ind w:firstLine="480" w:firstLineChars="200"/>
              <w:rPr>
                <w:rFonts w:hint="eastAsia" w:cs="Times New Roman" w:eastAsiaTheme="minorEastAsia"/>
                <w:bCs/>
                <w:color w:val="000000" w:themeColor="text1"/>
                <w:sz w:val="24"/>
                <w:lang w:eastAsia="zh-CN"/>
                <w14:textFill>
                  <w14:solidFill>
                    <w14:schemeClr w14:val="tx1"/>
                  </w14:solidFill>
                </w14:textFill>
              </w:rPr>
            </w:pPr>
            <w:r>
              <w:rPr>
                <w:rFonts w:hint="eastAsia" w:cs="Times New Roman" w:eastAsiaTheme="minorEastAsia"/>
                <w:bCs/>
                <w:color w:val="000000" w:themeColor="text1"/>
                <w:sz w:val="24"/>
                <w:lang w:eastAsia="zh-CN"/>
                <w14:textFill>
                  <w14:solidFill>
                    <w14:schemeClr w14:val="tx1"/>
                  </w14:solidFill>
                </w14:textFill>
              </w:rPr>
              <w:t>针对大区域环境空气质量现状超标情况，根据《邯郸市大气污染防治工作领导小组</w:t>
            </w:r>
            <w:r>
              <w:rPr>
                <w:rFonts w:hint="eastAsia" w:cs="Times New Roman" w:eastAsiaTheme="minorEastAsia"/>
                <w:bCs/>
                <w:color w:val="000000" w:themeColor="text1"/>
                <w:sz w:val="24"/>
                <w:lang w:val="en-US" w:eastAsia="zh-CN"/>
                <w14:textFill>
                  <w14:solidFill>
                    <w14:schemeClr w14:val="tx1"/>
                  </w14:solidFill>
                </w14:textFill>
              </w:rPr>
              <w:t>办公室</w:t>
            </w:r>
            <w:r>
              <w:rPr>
                <w:rFonts w:hint="eastAsia" w:cs="Times New Roman" w:eastAsiaTheme="minorEastAsia"/>
                <w:bCs/>
                <w:color w:val="000000" w:themeColor="text1"/>
                <w:sz w:val="24"/>
                <w:lang w:eastAsia="zh-CN"/>
                <w14:textFill>
                  <w14:solidFill>
                    <w14:schemeClr w14:val="tx1"/>
                  </w14:solidFill>
                </w14:textFill>
              </w:rPr>
              <w:t>关于印发&lt;邯郸市2023年大气污染综合治理暨全面巩固“退后十”成果工作方案&gt;的通知》（邯气领办〔2023〕5号），以精准治污、科学治污、依法治污为方针，扎实抓好重污染天气消除、臭氧污染防治、柴油货车污染治理、城市大气污染深度治理四个攻坚行动，进一步巩固“退后十”成果，推动大气环境质量持续改善，随着各项治理行动的有序开展，区域环境空气质量将得到有效改善。</w:t>
            </w:r>
          </w:p>
          <w:p w14:paraId="3BEC072E">
            <w:pPr>
              <w:spacing w:line="480" w:lineRule="exact"/>
              <w:ind w:firstLine="480" w:firstLineChars="200"/>
              <w:rPr>
                <w:rFonts w:hint="default" w:ascii="Times New Roman" w:hAnsi="Times New Roman" w:cs="Times New Roman" w:eastAsiaTheme="minorEastAsia"/>
                <w:bCs/>
                <w:color w:val="000000" w:themeColor="text1"/>
                <w:sz w:val="24"/>
                <w14:textFill>
                  <w14:solidFill>
                    <w14:schemeClr w14:val="tx1"/>
                  </w14:solidFill>
                </w14:textFill>
              </w:rPr>
            </w:pPr>
            <w:r>
              <w:rPr>
                <w:rFonts w:hint="eastAsia" w:cs="Times New Roman" w:eastAsiaTheme="minorEastAsia"/>
                <w:bCs/>
                <w:color w:val="000000" w:themeColor="text1"/>
                <w:sz w:val="24"/>
                <w:lang w:eastAsia="zh-CN"/>
                <w14:textFill>
                  <w14:solidFill>
                    <w14:schemeClr w14:val="tx1"/>
                  </w14:solidFill>
                </w14:textFill>
              </w:rPr>
              <w:t>（</w:t>
            </w:r>
            <w:r>
              <w:rPr>
                <w:rFonts w:hint="eastAsia" w:cs="Times New Roman" w:eastAsiaTheme="minorEastAsia"/>
                <w:bCs/>
                <w:color w:val="000000" w:themeColor="text1"/>
                <w:sz w:val="24"/>
                <w:lang w:val="en-US" w:eastAsia="zh-CN"/>
                <w14:textFill>
                  <w14:solidFill>
                    <w14:schemeClr w14:val="tx1"/>
                  </w14:solidFill>
                </w14:textFill>
              </w:rPr>
              <w:t>2</w:t>
            </w:r>
            <w:r>
              <w:rPr>
                <w:rFonts w:hint="eastAsia" w:cs="Times New Roman" w:eastAsiaTheme="minorEastAsia"/>
                <w:bCs/>
                <w:color w:val="000000" w:themeColor="text1"/>
                <w:sz w:val="24"/>
                <w:lang w:eastAsia="zh-CN"/>
                <w14:textFill>
                  <w14:solidFill>
                    <w14:schemeClr w14:val="tx1"/>
                  </w14:solidFill>
                </w14:textFill>
              </w:rPr>
              <w:t>）</w:t>
            </w:r>
            <w:r>
              <w:rPr>
                <w:rFonts w:hint="default" w:ascii="Times New Roman" w:hAnsi="Times New Roman" w:cs="Times New Roman" w:eastAsiaTheme="minorEastAsia"/>
                <w:bCs/>
                <w:color w:val="000000" w:themeColor="text1"/>
                <w:sz w:val="24"/>
                <w14:textFill>
                  <w14:solidFill>
                    <w14:schemeClr w14:val="tx1"/>
                  </w14:solidFill>
                </w14:textFill>
              </w:rPr>
              <w:t>其他污染物环境质量现状数据</w:t>
            </w:r>
          </w:p>
          <w:p w14:paraId="407BDCA3">
            <w:pPr>
              <w:pStyle w:val="85"/>
              <w:spacing w:line="480" w:lineRule="exact"/>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其他污染物TSP</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非</w:t>
            </w:r>
            <w:r>
              <w:rPr>
                <w:rFonts w:hint="eastAsia" w:cs="Times New Roman"/>
                <w:color w:val="auto"/>
                <w:lang w:val="en-US" w:eastAsia="zh-CN"/>
              </w:rPr>
              <w:t>甲烷总烃</w:t>
            </w:r>
            <w:r>
              <w:rPr>
                <w:rFonts w:hint="default" w:ascii="Times New Roman" w:hAnsi="Times New Roman" w:cs="Times New Roman"/>
                <w:color w:val="auto"/>
              </w:rPr>
              <w:t>环境空气质量现状监测数据引用202</w:t>
            </w:r>
            <w:r>
              <w:rPr>
                <w:rFonts w:hint="eastAsia" w:cs="Times New Roman"/>
                <w:color w:val="auto"/>
                <w:lang w:val="en-US" w:eastAsia="zh-CN"/>
              </w:rPr>
              <w:t>3</w:t>
            </w:r>
            <w:r>
              <w:rPr>
                <w:rFonts w:hint="default" w:ascii="Times New Roman" w:hAnsi="Times New Roman" w:cs="Times New Roman"/>
                <w:color w:val="auto"/>
              </w:rPr>
              <w:t>年</w:t>
            </w:r>
            <w:r>
              <w:rPr>
                <w:rFonts w:hint="eastAsia" w:cs="Times New Roman"/>
                <w:color w:val="auto"/>
                <w:lang w:val="en-US" w:eastAsia="zh-CN"/>
              </w:rPr>
              <w:t>12</w:t>
            </w:r>
            <w:r>
              <w:rPr>
                <w:rFonts w:hint="default" w:ascii="Times New Roman" w:hAnsi="Times New Roman" w:cs="Times New Roman"/>
                <w:color w:val="auto"/>
              </w:rPr>
              <w:t>月</w:t>
            </w:r>
            <w:r>
              <w:rPr>
                <w:rFonts w:hint="eastAsia" w:cs="Times New Roman"/>
                <w:color w:val="auto"/>
                <w:lang w:val="en-US" w:eastAsia="zh-CN"/>
              </w:rPr>
              <w:t>25</w:t>
            </w:r>
            <w:r>
              <w:rPr>
                <w:rFonts w:hint="default" w:ascii="Times New Roman" w:hAnsi="Times New Roman" w:cs="Times New Roman"/>
                <w:color w:val="auto"/>
              </w:rPr>
              <w:t>日</w:t>
            </w:r>
            <w:r>
              <w:rPr>
                <w:rFonts w:hint="eastAsia"/>
                <w:color w:val="auto"/>
                <w:kern w:val="0"/>
                <w:sz w:val="24"/>
                <w:highlight w:val="none"/>
              </w:rPr>
              <w:t>《河北魏县经济开发区总体发展规划环境质量现状补充监测》</w:t>
            </w:r>
            <w:r>
              <w:rPr>
                <w:rFonts w:hint="eastAsia"/>
                <w:color w:val="auto"/>
                <w:sz w:val="24"/>
                <w:lang w:eastAsia="zh-CN"/>
              </w:rPr>
              <w:t>（HBDP[2023]第H0160号</w:t>
            </w:r>
            <w:r>
              <w:rPr>
                <w:rFonts w:hint="eastAsia"/>
                <w:color w:val="auto"/>
                <w:kern w:val="0"/>
                <w:sz w:val="24"/>
                <w:highlight w:val="none"/>
                <w:lang w:eastAsia="zh-CN"/>
              </w:rPr>
              <w:t>）</w:t>
            </w:r>
            <w:r>
              <w:rPr>
                <w:rFonts w:hint="eastAsia"/>
                <w:color w:val="auto"/>
                <w:kern w:val="0"/>
                <w:sz w:val="24"/>
                <w:highlight w:val="none"/>
              </w:rPr>
              <w:t>监测数据</w:t>
            </w:r>
            <w:r>
              <w:rPr>
                <w:rFonts w:hint="default" w:ascii="Times New Roman" w:hAnsi="Times New Roman" w:cs="Times New Roman"/>
                <w:color w:val="auto"/>
              </w:rPr>
              <w:t>。</w:t>
            </w:r>
            <w:r>
              <w:rPr>
                <w:rFonts w:hint="default" w:ascii="Times New Roman" w:hAnsi="Times New Roman" w:cs="Times New Roman"/>
                <w:color w:val="000000" w:themeColor="text1"/>
                <w14:textFill>
                  <w14:solidFill>
                    <w14:schemeClr w14:val="tx1"/>
                  </w14:solidFill>
                </w14:textFill>
              </w:rPr>
              <w:t>监测点位为</w:t>
            </w:r>
            <w:r>
              <w:rPr>
                <w:rFonts w:hint="eastAsia"/>
                <w:color w:val="auto"/>
                <w:kern w:val="0"/>
                <w:sz w:val="24"/>
                <w:highlight w:val="none"/>
                <w:lang w:val="en-US" w:eastAsia="zh-CN"/>
              </w:rPr>
              <w:t>张二庄镇区</w:t>
            </w:r>
            <w:r>
              <w:rPr>
                <w:rFonts w:hint="default" w:ascii="Times New Roman" w:hAnsi="Times New Roman" w:cs="Times New Roman"/>
                <w:color w:val="000000" w:themeColor="text1"/>
                <w14:textFill>
                  <w14:solidFill>
                    <w14:schemeClr w14:val="tx1"/>
                  </w14:solidFill>
                </w14:textFill>
              </w:rPr>
              <w:t>，位于本项目</w:t>
            </w:r>
            <w:r>
              <w:rPr>
                <w:rFonts w:hint="eastAsia" w:cs="Times New Roman"/>
                <w:color w:val="000000" w:themeColor="text1"/>
                <w:lang w:val="en-US" w:eastAsia="zh-CN"/>
                <w14:textFill>
                  <w14:solidFill>
                    <w14:schemeClr w14:val="tx1"/>
                  </w14:solidFill>
                </w14:textFill>
              </w:rPr>
              <w:t>西南370</w:t>
            </w:r>
            <w:r>
              <w:rPr>
                <w:rFonts w:hint="default" w:ascii="Times New Roman" w:hAnsi="Times New Roman" w:cs="Times New Roman"/>
                <w:color w:val="000000" w:themeColor="text1"/>
                <w14:textFill>
                  <w14:solidFill>
                    <w14:schemeClr w14:val="tx1"/>
                  </w14:solidFill>
                </w14:textFill>
              </w:rPr>
              <w:t>m</w:t>
            </w:r>
            <w:r>
              <w:rPr>
                <w:rFonts w:hint="eastAsia" w:cs="Times New Roman"/>
                <w:color w:val="000000" w:themeColor="text1"/>
                <w:lang w:val="en-US" w:eastAsia="zh-CN"/>
                <w14:textFill>
                  <w14:solidFill>
                    <w14:schemeClr w14:val="tx1"/>
                  </w14:solidFill>
                </w14:textFill>
              </w:rPr>
              <w:t>处</w:t>
            </w:r>
            <w:r>
              <w:rPr>
                <w:rFonts w:hint="default" w:ascii="Times New Roman" w:hAnsi="Times New Roman" w:cs="Times New Roman"/>
                <w:color w:val="000000" w:themeColor="text1"/>
                <w14:textFill>
                  <w14:solidFill>
                    <w14:schemeClr w14:val="tx1"/>
                  </w14:solidFill>
                </w14:textFill>
              </w:rPr>
              <w:t>，满足建设项目周边</w:t>
            </w:r>
            <w:r>
              <w:rPr>
                <w:rFonts w:hint="eastAsia"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千米范围内要求。TSP</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非甲烷总烃</w:t>
            </w:r>
            <w:r>
              <w:rPr>
                <w:rFonts w:hint="default" w:ascii="Times New Roman" w:hAnsi="Times New Roman" w:cs="Times New Roman"/>
                <w:color w:val="000000" w:themeColor="text1"/>
                <w14:textFill>
                  <w14:solidFill>
                    <w14:schemeClr w14:val="tx1"/>
                  </w14:solidFill>
                </w14:textFill>
              </w:rPr>
              <w:t>的监测点位、监测因子与数据的时效性均满足《建设项目环境影响报告表编制技术指南（污染影响类）（试行）》要求。</w:t>
            </w:r>
          </w:p>
          <w:p w14:paraId="65B98910">
            <w:pPr>
              <w:pStyle w:val="85"/>
              <w:spacing w:line="480" w:lineRule="exact"/>
              <w:ind w:firstLine="480"/>
              <w:rPr>
                <w:rFonts w:hint="default" w:ascii="Times New Roman" w:hAnsi="Times New Roman" w:cs="Times New Roman"/>
                <w:color w:val="auto"/>
                <w:spacing w:val="5"/>
              </w:rPr>
            </w:pPr>
            <w:r>
              <w:rPr>
                <w:rFonts w:hint="default" w:ascii="Times New Roman" w:hAnsi="Times New Roman" w:cs="Times New Roman"/>
                <w:color w:val="auto"/>
              </w:rPr>
              <w:t>①引用监测点点位</w:t>
            </w:r>
          </w:p>
          <w:p w14:paraId="12217DEB">
            <w:pPr>
              <w:adjustRightInd w:val="0"/>
              <w:snapToGrid w:val="0"/>
              <w:spacing w:line="480" w:lineRule="exact"/>
              <w:jc w:val="center"/>
              <w:rPr>
                <w:rFonts w:hint="default" w:ascii="Times New Roman" w:hAnsi="Times New Roman" w:cs="Times New Roman"/>
                <w:b/>
                <w:color w:val="auto"/>
                <w:sz w:val="24"/>
                <w:szCs w:val="21"/>
              </w:rPr>
            </w:pPr>
            <w:r>
              <w:rPr>
                <w:rFonts w:hint="default" w:ascii="Times New Roman" w:hAnsi="Times New Roman" w:cs="Times New Roman"/>
                <w:b/>
                <w:color w:val="auto"/>
                <w:sz w:val="24"/>
                <w:szCs w:val="21"/>
              </w:rPr>
              <w:t>表</w:t>
            </w:r>
            <w:r>
              <w:rPr>
                <w:rFonts w:hint="eastAsia" w:cs="Times New Roman"/>
                <w:b/>
                <w:color w:val="auto"/>
                <w:sz w:val="24"/>
                <w:szCs w:val="21"/>
                <w:lang w:val="en-US" w:eastAsia="zh-CN"/>
              </w:rPr>
              <w:t xml:space="preserve">13   </w:t>
            </w:r>
            <w:r>
              <w:rPr>
                <w:rFonts w:hint="default" w:ascii="Times New Roman" w:hAnsi="Times New Roman" w:cs="Times New Roman"/>
                <w:b/>
                <w:color w:val="auto"/>
                <w:sz w:val="24"/>
                <w:szCs w:val="21"/>
              </w:rPr>
              <w:t>环境空气引用监测点位及监测因子一览表</w:t>
            </w:r>
          </w:p>
          <w:tbl>
            <w:tblPr>
              <w:tblStyle w:val="28"/>
              <w:tblW w:w="4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58"/>
              <w:gridCol w:w="1225"/>
              <w:gridCol w:w="1257"/>
              <w:gridCol w:w="1044"/>
              <w:gridCol w:w="1190"/>
            </w:tblGrid>
            <w:tr w14:paraId="43AE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658" w:type="dxa"/>
                  <w:vMerge w:val="restart"/>
                  <w:tcBorders>
                    <w:tl2br w:val="nil"/>
                    <w:tr2bl w:val="nil"/>
                  </w:tcBorders>
                  <w:vAlign w:val="center"/>
                </w:tcPr>
                <w:p w14:paraId="321FD3AC">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监测点名称</w:t>
                  </w:r>
                </w:p>
              </w:tc>
              <w:tc>
                <w:tcPr>
                  <w:tcW w:w="1225" w:type="dxa"/>
                  <w:vMerge w:val="restart"/>
                  <w:tcBorders>
                    <w:tl2br w:val="nil"/>
                    <w:tr2bl w:val="nil"/>
                  </w:tcBorders>
                  <w:vAlign w:val="center"/>
                </w:tcPr>
                <w:p w14:paraId="7724AD7E">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监测因子</w:t>
                  </w:r>
                </w:p>
              </w:tc>
              <w:tc>
                <w:tcPr>
                  <w:tcW w:w="1257" w:type="dxa"/>
                  <w:vMerge w:val="restart"/>
                  <w:tcBorders>
                    <w:tl2br w:val="nil"/>
                    <w:tr2bl w:val="nil"/>
                  </w:tcBorders>
                  <w:vAlign w:val="center"/>
                </w:tcPr>
                <w:p w14:paraId="1297D9D4">
                  <w:pPr>
                    <w:spacing w:line="280" w:lineRule="exact"/>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监测时段</w:t>
                  </w:r>
                </w:p>
              </w:tc>
              <w:tc>
                <w:tcPr>
                  <w:tcW w:w="1044" w:type="dxa"/>
                  <w:vMerge w:val="restart"/>
                  <w:tcBorders>
                    <w:tl2br w:val="nil"/>
                    <w:tr2bl w:val="nil"/>
                  </w:tcBorders>
                  <w:vAlign w:val="center"/>
                </w:tcPr>
                <w:p w14:paraId="200A0043">
                  <w:pPr>
                    <w:spacing w:line="28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相对厂址方位</w:t>
                  </w:r>
                </w:p>
              </w:tc>
              <w:tc>
                <w:tcPr>
                  <w:tcW w:w="1190" w:type="dxa"/>
                  <w:vMerge w:val="restart"/>
                  <w:tcBorders>
                    <w:tl2br w:val="nil"/>
                    <w:tr2bl w:val="nil"/>
                  </w:tcBorders>
                  <w:vAlign w:val="center"/>
                </w:tcPr>
                <w:p w14:paraId="78189840">
                  <w:pPr>
                    <w:spacing w:line="28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相对厂界距离（m）</w:t>
                  </w:r>
                </w:p>
              </w:tc>
            </w:tr>
            <w:tr w14:paraId="6E58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658" w:type="dxa"/>
                  <w:vMerge w:val="continue"/>
                  <w:tcBorders>
                    <w:tl2br w:val="nil"/>
                    <w:tr2bl w:val="nil"/>
                  </w:tcBorders>
                  <w:vAlign w:val="center"/>
                </w:tcPr>
                <w:p w14:paraId="003220D9">
                  <w:pPr>
                    <w:spacing w:line="280" w:lineRule="exact"/>
                    <w:jc w:val="center"/>
                    <w:rPr>
                      <w:color w:val="auto"/>
                    </w:rPr>
                  </w:pPr>
                </w:p>
              </w:tc>
              <w:tc>
                <w:tcPr>
                  <w:tcW w:w="1225" w:type="dxa"/>
                  <w:vMerge w:val="continue"/>
                  <w:tcBorders>
                    <w:tl2br w:val="nil"/>
                    <w:tr2bl w:val="nil"/>
                  </w:tcBorders>
                  <w:vAlign w:val="center"/>
                </w:tcPr>
                <w:p w14:paraId="6BA3DEAC">
                  <w:pPr>
                    <w:spacing w:line="280" w:lineRule="exact"/>
                    <w:jc w:val="center"/>
                    <w:rPr>
                      <w:rFonts w:hint="default" w:ascii="Times New Roman" w:hAnsi="Times New Roman" w:cs="Times New Roman"/>
                      <w:color w:val="auto"/>
                      <w:szCs w:val="21"/>
                    </w:rPr>
                  </w:pPr>
                </w:p>
              </w:tc>
              <w:tc>
                <w:tcPr>
                  <w:tcW w:w="1257" w:type="dxa"/>
                  <w:vMerge w:val="continue"/>
                  <w:tcBorders>
                    <w:tl2br w:val="nil"/>
                    <w:tr2bl w:val="nil"/>
                  </w:tcBorders>
                  <w:vAlign w:val="center"/>
                </w:tcPr>
                <w:p w14:paraId="3CE11D0E">
                  <w:pPr>
                    <w:spacing w:line="280" w:lineRule="exact"/>
                    <w:jc w:val="center"/>
                    <w:rPr>
                      <w:rFonts w:hint="default" w:ascii="Times New Roman" w:hAnsi="Times New Roman" w:cs="Times New Roman"/>
                      <w:color w:val="auto"/>
                      <w:szCs w:val="21"/>
                    </w:rPr>
                  </w:pPr>
                </w:p>
              </w:tc>
              <w:tc>
                <w:tcPr>
                  <w:tcW w:w="1044" w:type="dxa"/>
                  <w:vMerge w:val="continue"/>
                  <w:tcBorders>
                    <w:tl2br w:val="nil"/>
                    <w:tr2bl w:val="nil"/>
                  </w:tcBorders>
                  <w:vAlign w:val="center"/>
                </w:tcPr>
                <w:p w14:paraId="00F57E7E">
                  <w:pPr>
                    <w:spacing w:line="280" w:lineRule="exact"/>
                    <w:jc w:val="center"/>
                    <w:rPr>
                      <w:rFonts w:hint="default" w:ascii="Times New Roman" w:hAnsi="Times New Roman" w:cs="Times New Roman"/>
                      <w:color w:val="auto"/>
                      <w:szCs w:val="21"/>
                    </w:rPr>
                  </w:pPr>
                </w:p>
              </w:tc>
              <w:tc>
                <w:tcPr>
                  <w:tcW w:w="1190" w:type="dxa"/>
                  <w:vMerge w:val="continue"/>
                  <w:tcBorders>
                    <w:tl2br w:val="nil"/>
                    <w:tr2bl w:val="nil"/>
                  </w:tcBorders>
                  <w:vAlign w:val="center"/>
                </w:tcPr>
                <w:p w14:paraId="075443F9">
                  <w:pPr>
                    <w:spacing w:line="280" w:lineRule="exact"/>
                    <w:jc w:val="center"/>
                    <w:rPr>
                      <w:rFonts w:hint="default" w:ascii="Times New Roman" w:hAnsi="Times New Roman" w:cs="Times New Roman"/>
                      <w:color w:val="auto"/>
                      <w:szCs w:val="21"/>
                    </w:rPr>
                  </w:pPr>
                </w:p>
              </w:tc>
            </w:tr>
            <w:tr w14:paraId="5442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0" w:hRule="atLeast"/>
                <w:jc w:val="center"/>
              </w:trPr>
              <w:tc>
                <w:tcPr>
                  <w:tcW w:w="1658" w:type="dxa"/>
                  <w:vMerge w:val="restart"/>
                  <w:tcBorders>
                    <w:tl2br w:val="nil"/>
                    <w:tr2bl w:val="nil"/>
                  </w:tcBorders>
                  <w:vAlign w:val="center"/>
                </w:tcPr>
                <w:p w14:paraId="70AC412B">
                  <w:pPr>
                    <w:spacing w:line="280" w:lineRule="exact"/>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张二庄镇区</w:t>
                  </w:r>
                </w:p>
              </w:tc>
              <w:tc>
                <w:tcPr>
                  <w:tcW w:w="1225" w:type="dxa"/>
                  <w:tcBorders>
                    <w:tl2br w:val="nil"/>
                    <w:tr2bl w:val="nil"/>
                  </w:tcBorders>
                  <w:vAlign w:val="center"/>
                </w:tcPr>
                <w:p w14:paraId="508F27F4">
                  <w:pPr>
                    <w:spacing w:line="280" w:lineRule="exac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t>TSP</w:t>
                  </w:r>
                </w:p>
              </w:tc>
              <w:tc>
                <w:tcPr>
                  <w:tcW w:w="1257" w:type="dxa"/>
                  <w:tcBorders>
                    <w:tl2br w:val="nil"/>
                    <w:tr2bl w:val="nil"/>
                  </w:tcBorders>
                  <w:vAlign w:val="center"/>
                </w:tcPr>
                <w:p w14:paraId="0F92EBB8">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r>
                    <w:rPr>
                      <w:rFonts w:hint="eastAsia" w:cs="Times New Roman"/>
                      <w:color w:val="auto"/>
                      <w:szCs w:val="21"/>
                      <w:lang w:val="en-US" w:eastAsia="zh-CN"/>
                    </w:rPr>
                    <w:t>4小</w:t>
                  </w:r>
                  <w:r>
                    <w:rPr>
                      <w:rFonts w:hint="default" w:ascii="Times New Roman" w:hAnsi="Times New Roman" w:cs="Times New Roman"/>
                      <w:color w:val="auto"/>
                      <w:szCs w:val="21"/>
                    </w:rPr>
                    <w:t>时平均</w:t>
                  </w:r>
                </w:p>
              </w:tc>
              <w:tc>
                <w:tcPr>
                  <w:tcW w:w="1044" w:type="dxa"/>
                  <w:vMerge w:val="restart"/>
                  <w:tcBorders>
                    <w:tl2br w:val="nil"/>
                    <w:tr2bl w:val="nil"/>
                  </w:tcBorders>
                  <w:vAlign w:val="center"/>
                </w:tcPr>
                <w:p w14:paraId="210AB5DD">
                  <w:pPr>
                    <w:spacing w:line="28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SW</w:t>
                  </w:r>
                </w:p>
              </w:tc>
              <w:tc>
                <w:tcPr>
                  <w:tcW w:w="1190" w:type="dxa"/>
                  <w:vMerge w:val="restart"/>
                  <w:tcBorders>
                    <w:tl2br w:val="nil"/>
                    <w:tr2bl w:val="nil"/>
                  </w:tcBorders>
                  <w:vAlign w:val="center"/>
                </w:tcPr>
                <w:p w14:paraId="5C227835">
                  <w:pPr>
                    <w:spacing w:line="28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740</w:t>
                  </w:r>
                </w:p>
              </w:tc>
            </w:tr>
            <w:tr w14:paraId="3EC4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0" w:hRule="atLeast"/>
                <w:jc w:val="center"/>
              </w:trPr>
              <w:tc>
                <w:tcPr>
                  <w:tcW w:w="1658" w:type="dxa"/>
                  <w:vMerge w:val="continue"/>
                  <w:tcBorders>
                    <w:tl2br w:val="nil"/>
                    <w:tr2bl w:val="nil"/>
                  </w:tcBorders>
                  <w:vAlign w:val="center"/>
                </w:tcPr>
                <w:p w14:paraId="306270B2">
                  <w:pPr>
                    <w:spacing w:line="280" w:lineRule="exact"/>
                    <w:jc w:val="center"/>
                    <w:rPr>
                      <w:rFonts w:hint="default" w:ascii="Times New Roman" w:hAnsi="Times New Roman" w:cs="Times New Roman"/>
                      <w:color w:val="auto"/>
                      <w:szCs w:val="21"/>
                    </w:rPr>
                  </w:pPr>
                </w:p>
              </w:tc>
              <w:tc>
                <w:tcPr>
                  <w:tcW w:w="1225" w:type="dxa"/>
                  <w:tcBorders>
                    <w:tl2br w:val="nil"/>
                    <w:tr2bl w:val="nil"/>
                  </w:tcBorders>
                  <w:vAlign w:val="center"/>
                </w:tcPr>
                <w:p w14:paraId="0433AAC7">
                  <w:pPr>
                    <w:spacing w:line="280" w:lineRule="exact"/>
                    <w:jc w:val="center"/>
                    <w:rPr>
                      <w:rFonts w:hint="default" w:ascii="Times New Roman" w:hAnsi="Times New Roman" w:cs="Times New Roman"/>
                      <w:color w:val="auto"/>
                      <w:szCs w:val="21"/>
                    </w:rPr>
                  </w:pPr>
                  <w:r>
                    <w:rPr>
                      <w:rFonts w:hint="eastAsia" w:cs="Times New Roman"/>
                      <w:color w:val="auto"/>
                      <w:szCs w:val="21"/>
                      <w:lang w:val="en-US" w:eastAsia="zh-CN"/>
                    </w:rPr>
                    <w:t>非甲烷总烃</w:t>
                  </w:r>
                </w:p>
              </w:tc>
              <w:tc>
                <w:tcPr>
                  <w:tcW w:w="1257" w:type="dxa"/>
                  <w:tcBorders>
                    <w:tl2br w:val="nil"/>
                    <w:tr2bl w:val="nil"/>
                  </w:tcBorders>
                  <w:vAlign w:val="center"/>
                </w:tcPr>
                <w:p w14:paraId="62DAE5D9">
                  <w:pPr>
                    <w:spacing w:line="280" w:lineRule="exact"/>
                    <w:jc w:val="center"/>
                    <w:rPr>
                      <w:rFonts w:hint="default" w:ascii="Times New Roman" w:hAnsi="Times New Roman" w:cs="Times New Roman"/>
                      <w:color w:val="auto"/>
                      <w:szCs w:val="21"/>
                    </w:rPr>
                  </w:pPr>
                  <w:r>
                    <w:rPr>
                      <w:rFonts w:hint="eastAsia" w:cs="Times New Roman"/>
                      <w:color w:val="auto"/>
                      <w:szCs w:val="21"/>
                      <w:lang w:val="en-US" w:eastAsia="zh-CN"/>
                    </w:rPr>
                    <w:t>1小</w:t>
                  </w:r>
                  <w:r>
                    <w:rPr>
                      <w:rFonts w:hint="default" w:ascii="Times New Roman" w:hAnsi="Times New Roman" w:cs="Times New Roman"/>
                      <w:color w:val="auto"/>
                      <w:szCs w:val="21"/>
                    </w:rPr>
                    <w:t>时平均</w:t>
                  </w:r>
                </w:p>
              </w:tc>
              <w:tc>
                <w:tcPr>
                  <w:tcW w:w="1044" w:type="dxa"/>
                  <w:vMerge w:val="continue"/>
                  <w:tcBorders>
                    <w:tl2br w:val="nil"/>
                    <w:tr2bl w:val="nil"/>
                  </w:tcBorders>
                  <w:vAlign w:val="center"/>
                </w:tcPr>
                <w:p w14:paraId="4E7EB45C">
                  <w:pPr>
                    <w:spacing w:line="280" w:lineRule="exact"/>
                    <w:jc w:val="center"/>
                    <w:rPr>
                      <w:rFonts w:hint="eastAsia" w:cs="Times New Roman"/>
                      <w:color w:val="auto"/>
                      <w:szCs w:val="21"/>
                      <w:lang w:val="en-US" w:eastAsia="zh-CN"/>
                    </w:rPr>
                  </w:pPr>
                </w:p>
              </w:tc>
              <w:tc>
                <w:tcPr>
                  <w:tcW w:w="1190" w:type="dxa"/>
                  <w:vMerge w:val="continue"/>
                  <w:tcBorders>
                    <w:tl2br w:val="nil"/>
                    <w:tr2bl w:val="nil"/>
                  </w:tcBorders>
                  <w:vAlign w:val="center"/>
                </w:tcPr>
                <w:p w14:paraId="51482569">
                  <w:pPr>
                    <w:spacing w:line="280" w:lineRule="exact"/>
                    <w:jc w:val="center"/>
                    <w:rPr>
                      <w:rFonts w:hint="eastAsia" w:cs="Times New Roman"/>
                      <w:color w:val="auto"/>
                      <w:szCs w:val="21"/>
                      <w:lang w:val="en-US" w:eastAsia="zh-CN"/>
                    </w:rPr>
                  </w:pPr>
                </w:p>
              </w:tc>
            </w:tr>
          </w:tbl>
          <w:p w14:paraId="25EB8014">
            <w:pPr>
              <w:pStyle w:val="85"/>
              <w:spacing w:line="480" w:lineRule="exact"/>
              <w:ind w:firstLine="480"/>
              <w:rPr>
                <w:rFonts w:hint="default" w:ascii="Times New Roman" w:hAnsi="Times New Roman" w:cs="Times New Roman"/>
                <w:color w:val="auto"/>
                <w:spacing w:val="5"/>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 2 \* GB3 </w:instrText>
            </w:r>
            <w:r>
              <w:rPr>
                <w:rFonts w:hint="default" w:ascii="Times New Roman" w:hAnsi="Times New Roman" w:cs="Times New Roman"/>
                <w:color w:val="auto"/>
              </w:rPr>
              <w:fldChar w:fldCharType="separate"/>
            </w:r>
            <w:r>
              <w:rPr>
                <w:rFonts w:hint="default" w:ascii="Times New Roman" w:hAnsi="Times New Roman" w:cs="Times New Roman"/>
                <w:color w:val="auto"/>
              </w:rPr>
              <w:t>②</w:t>
            </w:r>
            <w:r>
              <w:rPr>
                <w:rFonts w:hint="default" w:ascii="Times New Roman" w:hAnsi="Times New Roman" w:cs="Times New Roman"/>
                <w:color w:val="auto"/>
              </w:rPr>
              <w:fldChar w:fldCharType="end"/>
            </w:r>
            <w:r>
              <w:rPr>
                <w:rFonts w:hint="default" w:ascii="Times New Roman" w:hAnsi="Times New Roman" w:cs="Times New Roman"/>
                <w:color w:val="auto"/>
              </w:rPr>
              <w:t>引用监测时段及频率</w:t>
            </w:r>
          </w:p>
          <w:p w14:paraId="677F0098">
            <w:pPr>
              <w:pStyle w:val="85"/>
              <w:spacing w:line="480" w:lineRule="exact"/>
              <w:ind w:firstLine="480"/>
              <w:rPr>
                <w:rFonts w:hint="eastAsia" w:ascii="Times New Roman" w:hAnsi="Times New Roman" w:eastAsia="宋体" w:cs="Times New Roman"/>
                <w:color w:val="auto"/>
                <w:lang w:eastAsia="zh-CN"/>
              </w:rPr>
            </w:pPr>
            <w:r>
              <w:rPr>
                <w:rFonts w:hint="eastAsia" w:cs="Times New Roman"/>
                <w:color w:val="auto"/>
                <w:lang w:val="en-US" w:eastAsia="zh-CN"/>
              </w:rPr>
              <w:t>检测</w:t>
            </w:r>
            <w:r>
              <w:rPr>
                <w:rFonts w:hint="default" w:ascii="Times New Roman" w:hAnsi="Times New Roman" w:cs="Times New Roman"/>
                <w:color w:val="auto"/>
              </w:rPr>
              <w:t>时间为202</w:t>
            </w:r>
            <w:r>
              <w:rPr>
                <w:rFonts w:hint="eastAsia" w:cs="Times New Roman"/>
                <w:color w:val="auto"/>
                <w:lang w:val="en-US" w:eastAsia="zh-CN"/>
              </w:rPr>
              <w:t>3</w:t>
            </w:r>
            <w:r>
              <w:rPr>
                <w:rFonts w:hint="default" w:ascii="Times New Roman" w:hAnsi="Times New Roman" w:cs="Times New Roman"/>
                <w:color w:val="auto"/>
              </w:rPr>
              <w:t>年</w:t>
            </w:r>
            <w:r>
              <w:rPr>
                <w:rFonts w:hint="eastAsia" w:cs="Times New Roman"/>
                <w:color w:val="auto"/>
                <w:lang w:val="en-US" w:eastAsia="zh-CN"/>
              </w:rPr>
              <w:t>11</w:t>
            </w:r>
            <w:r>
              <w:rPr>
                <w:rFonts w:hint="default" w:ascii="Times New Roman" w:hAnsi="Times New Roman" w:cs="Times New Roman"/>
                <w:color w:val="auto"/>
              </w:rPr>
              <w:t>月</w:t>
            </w:r>
            <w:r>
              <w:rPr>
                <w:rFonts w:hint="eastAsia" w:cs="Times New Roman"/>
                <w:color w:val="auto"/>
                <w:lang w:val="en-US" w:eastAsia="zh-CN"/>
              </w:rPr>
              <w:t>24</w:t>
            </w:r>
            <w:r>
              <w:rPr>
                <w:rFonts w:hint="default" w:ascii="Times New Roman" w:hAnsi="Times New Roman" w:cs="Times New Roman"/>
                <w:color w:val="auto"/>
              </w:rPr>
              <w:t>日-</w:t>
            </w:r>
            <w:r>
              <w:rPr>
                <w:rFonts w:hint="eastAsia" w:cs="Times New Roman"/>
                <w:color w:val="auto"/>
                <w:lang w:val="en-US" w:eastAsia="zh-CN"/>
              </w:rPr>
              <w:t>30</w:t>
            </w:r>
            <w:r>
              <w:rPr>
                <w:rFonts w:hint="default" w:ascii="Times New Roman" w:hAnsi="Times New Roman" w:cs="Times New Roman"/>
                <w:color w:val="auto"/>
              </w:rPr>
              <w:t>日，由河北</w:t>
            </w:r>
            <w:r>
              <w:rPr>
                <w:rFonts w:hint="eastAsia" w:cs="Times New Roman"/>
                <w:color w:val="auto"/>
                <w:lang w:val="en-US" w:eastAsia="zh-CN"/>
              </w:rPr>
              <w:t>德普</w:t>
            </w:r>
            <w:r>
              <w:rPr>
                <w:rFonts w:hint="default" w:ascii="Times New Roman" w:hAnsi="Times New Roman" w:cs="Times New Roman"/>
                <w:color w:val="auto"/>
              </w:rPr>
              <w:t>环境</w:t>
            </w:r>
            <w:r>
              <w:rPr>
                <w:rFonts w:hint="eastAsia" w:cs="Times New Roman"/>
                <w:color w:val="auto"/>
                <w:lang w:val="en-US" w:eastAsia="zh-CN"/>
              </w:rPr>
              <w:t>监测</w:t>
            </w:r>
            <w:r>
              <w:rPr>
                <w:rFonts w:hint="default" w:ascii="Times New Roman" w:hAnsi="Times New Roman" w:cs="Times New Roman"/>
                <w:color w:val="auto"/>
              </w:rPr>
              <w:t>有限公司负责监测，监测</w:t>
            </w:r>
            <w:r>
              <w:rPr>
                <w:rFonts w:hint="eastAsia" w:cs="Times New Roman"/>
                <w:color w:val="auto"/>
                <w:lang w:val="en-US" w:eastAsia="zh-CN"/>
              </w:rPr>
              <w:t>7</w:t>
            </w:r>
            <w:r>
              <w:rPr>
                <w:rFonts w:hint="default" w:ascii="Times New Roman" w:hAnsi="Times New Roman" w:cs="Times New Roman"/>
                <w:color w:val="auto"/>
              </w:rPr>
              <w:t>天，TSP检测</w:t>
            </w:r>
            <w:r>
              <w:rPr>
                <w:rFonts w:hint="default" w:ascii="Times New Roman" w:hAnsi="Times New Roman" w:cs="Times New Roman"/>
                <w:color w:val="auto"/>
                <w:spacing w:val="-10"/>
              </w:rPr>
              <w:t>24小时平均</w:t>
            </w:r>
            <w:r>
              <w:rPr>
                <w:rFonts w:hint="eastAsia" w:cs="Times New Roman"/>
                <w:color w:val="auto"/>
                <w:spacing w:val="-10"/>
                <w:lang w:eastAsia="zh-CN"/>
              </w:rPr>
              <w:t>，</w:t>
            </w:r>
            <w:r>
              <w:rPr>
                <w:rFonts w:hint="eastAsia" w:cs="Times New Roman"/>
                <w:color w:val="auto"/>
                <w:spacing w:val="-10"/>
                <w:lang w:val="en-US" w:eastAsia="zh-CN"/>
              </w:rPr>
              <w:t>非甲烷总烃</w:t>
            </w:r>
            <w:r>
              <w:rPr>
                <w:rFonts w:hint="default" w:ascii="Times New Roman" w:hAnsi="Times New Roman" w:cs="Times New Roman"/>
                <w:color w:val="auto"/>
              </w:rPr>
              <w:t>检测</w:t>
            </w:r>
            <w:r>
              <w:rPr>
                <w:rFonts w:hint="eastAsia" w:cs="Times New Roman"/>
                <w:color w:val="auto"/>
                <w:lang w:val="en-US" w:eastAsia="zh-CN"/>
              </w:rPr>
              <w:t>1</w:t>
            </w:r>
            <w:r>
              <w:rPr>
                <w:rFonts w:hint="default" w:ascii="Times New Roman" w:hAnsi="Times New Roman" w:cs="Times New Roman"/>
                <w:color w:val="auto"/>
                <w:spacing w:val="-10"/>
              </w:rPr>
              <w:t>小时平均</w:t>
            </w:r>
            <w:r>
              <w:rPr>
                <w:rFonts w:hint="eastAsia" w:cs="Times New Roman"/>
                <w:color w:val="auto"/>
                <w:spacing w:val="-10"/>
                <w:lang w:eastAsia="zh-CN"/>
              </w:rPr>
              <w:t>。</w:t>
            </w:r>
          </w:p>
          <w:p w14:paraId="7339727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default" w:ascii="Times New Roman" w:hAnsi="Times New Roman" w:eastAsia="宋体" w:cs="Times New Roman"/>
                <w:color w:val="auto"/>
                <w:kern w:val="0"/>
                <w:sz w:val="24"/>
                <w:szCs w:val="24"/>
                <w:lang w:val="zh-CN" w:eastAsia="zh-CN" w:bidi="ar-SA"/>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 3 \* GB3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③</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kern w:val="0"/>
                <w:sz w:val="24"/>
                <w:szCs w:val="24"/>
                <w:lang w:val="zh-CN" w:eastAsia="zh-CN" w:bidi="ar-SA"/>
              </w:rPr>
              <w:t>监测结果统计分析</w:t>
            </w:r>
          </w:p>
          <w:p w14:paraId="62940F0C">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cs="Times New Roman"/>
                <w:b/>
                <w:color w:val="auto"/>
                <w:sz w:val="24"/>
                <w:szCs w:val="21"/>
              </w:rPr>
            </w:pPr>
            <w:r>
              <w:rPr>
                <w:rFonts w:hint="default" w:ascii="Times New Roman" w:hAnsi="Times New Roman" w:cs="Times New Roman"/>
                <w:b/>
                <w:color w:val="auto"/>
                <w:sz w:val="24"/>
                <w:szCs w:val="21"/>
              </w:rPr>
              <w:t>表</w:t>
            </w:r>
            <w:r>
              <w:rPr>
                <w:rFonts w:hint="eastAsia" w:cs="Times New Roman"/>
                <w:b/>
                <w:color w:val="auto"/>
                <w:sz w:val="24"/>
                <w:szCs w:val="21"/>
                <w:lang w:val="en-US" w:eastAsia="zh-CN"/>
              </w:rPr>
              <w:t>14   其他污染物环境质量现状监测结果表</w:t>
            </w:r>
          </w:p>
          <w:tbl>
            <w:tblPr>
              <w:tblStyle w:val="28"/>
              <w:tblW w:w="7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90"/>
              <w:gridCol w:w="784"/>
              <w:gridCol w:w="645"/>
              <w:gridCol w:w="1177"/>
              <w:gridCol w:w="1177"/>
              <w:gridCol w:w="884"/>
              <w:gridCol w:w="790"/>
              <w:gridCol w:w="607"/>
            </w:tblGrid>
            <w:tr w14:paraId="759A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3" w:hRule="atLeast"/>
                <w:jc w:val="center"/>
              </w:trPr>
              <w:tc>
                <w:tcPr>
                  <w:tcW w:w="701" w:type="pct"/>
                  <w:vMerge w:val="restart"/>
                  <w:tcBorders>
                    <w:tl2br w:val="nil"/>
                    <w:tr2bl w:val="nil"/>
                  </w:tcBorders>
                  <w:vAlign w:val="center"/>
                </w:tcPr>
                <w:p w14:paraId="54317EA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监测点位</w:t>
                  </w:r>
                </w:p>
              </w:tc>
              <w:tc>
                <w:tcPr>
                  <w:tcW w:w="555" w:type="pct"/>
                  <w:vMerge w:val="restart"/>
                  <w:tcBorders>
                    <w:tl2br w:val="nil"/>
                    <w:tr2bl w:val="nil"/>
                  </w:tcBorders>
                  <w:vAlign w:val="center"/>
                </w:tcPr>
                <w:p w14:paraId="6B3CA2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污染物</w:t>
                  </w:r>
                </w:p>
              </w:tc>
              <w:tc>
                <w:tcPr>
                  <w:tcW w:w="457" w:type="pct"/>
                  <w:vMerge w:val="restart"/>
                  <w:tcBorders>
                    <w:tl2br w:val="nil"/>
                    <w:tr2bl w:val="nil"/>
                  </w:tcBorders>
                  <w:vAlign w:val="center"/>
                </w:tcPr>
                <w:p w14:paraId="4459B62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平均时间</w:t>
                  </w:r>
                </w:p>
              </w:tc>
              <w:tc>
                <w:tcPr>
                  <w:tcW w:w="834" w:type="pct"/>
                  <w:vMerge w:val="restart"/>
                  <w:tcBorders>
                    <w:tl2br w:val="nil"/>
                    <w:tr2bl w:val="nil"/>
                  </w:tcBorders>
                  <w:vAlign w:val="center"/>
                </w:tcPr>
                <w:p w14:paraId="786727C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szCs w:val="21"/>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评价标准</w:t>
                  </w:r>
                </w:p>
              </w:tc>
              <w:tc>
                <w:tcPr>
                  <w:tcW w:w="834" w:type="pct"/>
                  <w:vMerge w:val="restart"/>
                  <w:tcBorders>
                    <w:tl2br w:val="nil"/>
                    <w:tr2bl w:val="nil"/>
                  </w:tcBorders>
                  <w:vAlign w:val="center"/>
                </w:tcPr>
                <w:p w14:paraId="195F7BA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szCs w:val="21"/>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监测</w:t>
                  </w:r>
                  <w:r>
                    <w:rPr>
                      <w:rFonts w:hint="default" w:ascii="Times New Roman" w:hAnsi="Times New Roman" w:cs="Times New Roman"/>
                      <w:color w:val="000000" w:themeColor="text1"/>
                      <w:szCs w:val="21"/>
                      <w14:textFill>
                        <w14:solidFill>
                          <w14:schemeClr w14:val="tx1"/>
                        </w14:solidFill>
                      </w14:textFill>
                    </w:rPr>
                    <w:t>浓度</w:t>
                  </w:r>
                </w:p>
                <w:p w14:paraId="4A88F5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范围</w:t>
                  </w:r>
                </w:p>
              </w:tc>
              <w:tc>
                <w:tcPr>
                  <w:tcW w:w="626" w:type="pct"/>
                  <w:vMerge w:val="restart"/>
                  <w:tcBorders>
                    <w:tl2br w:val="nil"/>
                    <w:tr2bl w:val="nil"/>
                  </w:tcBorders>
                  <w:vAlign w:val="center"/>
                </w:tcPr>
                <w:p w14:paraId="183585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最大浓度占标率（%）</w:t>
                  </w:r>
                </w:p>
              </w:tc>
              <w:tc>
                <w:tcPr>
                  <w:tcW w:w="559" w:type="pct"/>
                  <w:vMerge w:val="restart"/>
                  <w:tcBorders>
                    <w:tl2br w:val="nil"/>
                    <w:tr2bl w:val="nil"/>
                  </w:tcBorders>
                  <w:vAlign w:val="center"/>
                </w:tcPr>
                <w:p w14:paraId="39452B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超标率</w:t>
                  </w:r>
                </w:p>
                <w:p w14:paraId="5AFFBBA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430" w:type="pct"/>
                  <w:vMerge w:val="restart"/>
                  <w:tcBorders>
                    <w:tl2br w:val="nil"/>
                    <w:tr2bl w:val="nil"/>
                  </w:tcBorders>
                  <w:vAlign w:val="center"/>
                </w:tcPr>
                <w:p w14:paraId="5FACB4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达标情况</w:t>
                  </w:r>
                </w:p>
              </w:tc>
            </w:tr>
            <w:tr w14:paraId="50E6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6" w:hRule="atLeast"/>
                <w:jc w:val="center"/>
              </w:trPr>
              <w:tc>
                <w:tcPr>
                  <w:tcW w:w="701" w:type="pct"/>
                  <w:vMerge w:val="continue"/>
                  <w:tcBorders>
                    <w:tl2br w:val="nil"/>
                    <w:tr2bl w:val="nil"/>
                  </w:tcBorders>
                  <w:vAlign w:val="center"/>
                </w:tcPr>
                <w:p w14:paraId="627777D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color w:val="000000" w:themeColor="text1"/>
                      <w14:textFill>
                        <w14:solidFill>
                          <w14:schemeClr w14:val="tx1"/>
                        </w14:solidFill>
                      </w14:textFill>
                    </w:rPr>
                  </w:pPr>
                </w:p>
              </w:tc>
              <w:tc>
                <w:tcPr>
                  <w:tcW w:w="555" w:type="pct"/>
                  <w:vMerge w:val="continue"/>
                  <w:tcBorders>
                    <w:tl2br w:val="nil"/>
                    <w:tr2bl w:val="nil"/>
                  </w:tcBorders>
                  <w:vAlign w:val="center"/>
                </w:tcPr>
                <w:p w14:paraId="5A9171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szCs w:val="21"/>
                      <w14:textFill>
                        <w14:solidFill>
                          <w14:schemeClr w14:val="tx1"/>
                        </w14:solidFill>
                      </w14:textFill>
                    </w:rPr>
                  </w:pPr>
                </w:p>
              </w:tc>
              <w:tc>
                <w:tcPr>
                  <w:tcW w:w="457" w:type="pct"/>
                  <w:vMerge w:val="continue"/>
                  <w:tcBorders>
                    <w:tl2br w:val="nil"/>
                    <w:tr2bl w:val="nil"/>
                  </w:tcBorders>
                  <w:vAlign w:val="center"/>
                </w:tcPr>
                <w:p w14:paraId="571ADF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szCs w:val="21"/>
                      <w14:textFill>
                        <w14:solidFill>
                          <w14:schemeClr w14:val="tx1"/>
                        </w14:solidFill>
                      </w14:textFill>
                    </w:rPr>
                  </w:pPr>
                </w:p>
              </w:tc>
              <w:tc>
                <w:tcPr>
                  <w:tcW w:w="834" w:type="pct"/>
                  <w:vMerge w:val="continue"/>
                  <w:tcBorders>
                    <w:tl2br w:val="nil"/>
                    <w:tr2bl w:val="nil"/>
                  </w:tcBorders>
                  <w:vAlign w:val="center"/>
                </w:tcPr>
                <w:p w14:paraId="6D1E7B4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szCs w:val="21"/>
                      <w14:textFill>
                        <w14:solidFill>
                          <w14:schemeClr w14:val="tx1"/>
                        </w14:solidFill>
                      </w14:textFill>
                    </w:rPr>
                  </w:pPr>
                </w:p>
              </w:tc>
              <w:tc>
                <w:tcPr>
                  <w:tcW w:w="834" w:type="pct"/>
                  <w:vMerge w:val="continue"/>
                  <w:tcBorders>
                    <w:tl2br w:val="nil"/>
                    <w:tr2bl w:val="nil"/>
                  </w:tcBorders>
                  <w:vAlign w:val="center"/>
                </w:tcPr>
                <w:p w14:paraId="2772937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szCs w:val="21"/>
                      <w14:textFill>
                        <w14:solidFill>
                          <w14:schemeClr w14:val="tx1"/>
                        </w14:solidFill>
                      </w14:textFill>
                    </w:rPr>
                  </w:pPr>
                </w:p>
              </w:tc>
              <w:tc>
                <w:tcPr>
                  <w:tcW w:w="626" w:type="pct"/>
                  <w:vMerge w:val="continue"/>
                  <w:tcBorders>
                    <w:tl2br w:val="nil"/>
                    <w:tr2bl w:val="nil"/>
                  </w:tcBorders>
                  <w:vAlign w:val="center"/>
                </w:tcPr>
                <w:p w14:paraId="4549C0F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szCs w:val="21"/>
                      <w14:textFill>
                        <w14:solidFill>
                          <w14:schemeClr w14:val="tx1"/>
                        </w14:solidFill>
                      </w14:textFill>
                    </w:rPr>
                  </w:pPr>
                </w:p>
              </w:tc>
              <w:tc>
                <w:tcPr>
                  <w:tcW w:w="559" w:type="pct"/>
                  <w:vMerge w:val="continue"/>
                  <w:tcBorders>
                    <w:tl2br w:val="nil"/>
                    <w:tr2bl w:val="nil"/>
                  </w:tcBorders>
                  <w:vAlign w:val="center"/>
                </w:tcPr>
                <w:p w14:paraId="134DEBA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szCs w:val="21"/>
                      <w14:textFill>
                        <w14:solidFill>
                          <w14:schemeClr w14:val="tx1"/>
                        </w14:solidFill>
                      </w14:textFill>
                    </w:rPr>
                  </w:pPr>
                </w:p>
              </w:tc>
              <w:tc>
                <w:tcPr>
                  <w:tcW w:w="430" w:type="pct"/>
                  <w:vMerge w:val="continue"/>
                  <w:tcBorders>
                    <w:tl2br w:val="nil"/>
                    <w:tr2bl w:val="nil"/>
                  </w:tcBorders>
                  <w:vAlign w:val="center"/>
                </w:tcPr>
                <w:p w14:paraId="04048F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szCs w:val="21"/>
                      <w14:textFill>
                        <w14:solidFill>
                          <w14:schemeClr w14:val="tx1"/>
                        </w14:solidFill>
                      </w14:textFill>
                    </w:rPr>
                  </w:pPr>
                </w:p>
              </w:tc>
            </w:tr>
            <w:tr w14:paraId="1635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5" w:hRule="atLeast"/>
                <w:jc w:val="center"/>
              </w:trPr>
              <w:tc>
                <w:tcPr>
                  <w:tcW w:w="701" w:type="pct"/>
                  <w:vMerge w:val="restart"/>
                  <w:tcBorders>
                    <w:tl2br w:val="nil"/>
                    <w:tr2bl w:val="nil"/>
                  </w:tcBorders>
                  <w:vAlign w:val="center"/>
                </w:tcPr>
                <w:p w14:paraId="1E055884">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张二庄</w:t>
                  </w:r>
                </w:p>
                <w:p w14:paraId="5C33F3DF">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镇区</w:t>
                  </w:r>
                </w:p>
              </w:tc>
              <w:tc>
                <w:tcPr>
                  <w:tcW w:w="555" w:type="pct"/>
                  <w:tcBorders>
                    <w:tl2br w:val="nil"/>
                    <w:tr2bl w:val="nil"/>
                  </w:tcBorders>
                  <w:vAlign w:val="center"/>
                </w:tcPr>
                <w:p w14:paraId="01118F1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TSP</w:t>
                  </w:r>
                </w:p>
              </w:tc>
              <w:tc>
                <w:tcPr>
                  <w:tcW w:w="457" w:type="pct"/>
                  <w:tcBorders>
                    <w:tl2br w:val="nil"/>
                    <w:tr2bl w:val="nil"/>
                  </w:tcBorders>
                  <w:vAlign w:val="center"/>
                </w:tcPr>
                <w:p w14:paraId="62814DF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24小时平均</w:t>
                  </w:r>
                </w:p>
              </w:tc>
              <w:tc>
                <w:tcPr>
                  <w:tcW w:w="834" w:type="pct"/>
                  <w:tcBorders>
                    <w:tl2br w:val="nil"/>
                    <w:tr2bl w:val="nil"/>
                  </w:tcBorders>
                  <w:vAlign w:val="center"/>
                </w:tcPr>
                <w:p w14:paraId="5CAEF92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300</w:t>
                  </w:r>
                  <w:r>
                    <w:rPr>
                      <w:rFonts w:hint="default" w:ascii="Times New Roman" w:hAnsi="Times New Roman" w:cs="Times New Roman"/>
                      <w:color w:val="000000" w:themeColor="text1"/>
                      <w:szCs w:val="21"/>
                      <w14:textFill>
                        <w14:solidFill>
                          <w14:schemeClr w14:val="tx1"/>
                        </w14:solidFill>
                      </w14:textFill>
                    </w:rPr>
                    <w:t>μg/m</w:t>
                  </w:r>
                  <w:r>
                    <w:rPr>
                      <w:rFonts w:hint="default" w:ascii="Times New Roman" w:hAnsi="Times New Roman" w:cs="Times New Roman"/>
                      <w:color w:val="000000" w:themeColor="text1"/>
                      <w:szCs w:val="21"/>
                      <w:vertAlign w:val="superscript"/>
                      <w14:textFill>
                        <w14:solidFill>
                          <w14:schemeClr w14:val="tx1"/>
                        </w14:solidFill>
                      </w14:textFill>
                    </w:rPr>
                    <w:t>3</w:t>
                  </w:r>
                </w:p>
              </w:tc>
              <w:tc>
                <w:tcPr>
                  <w:tcW w:w="834" w:type="pct"/>
                  <w:tcBorders>
                    <w:tl2br w:val="nil"/>
                    <w:tr2bl w:val="nil"/>
                  </w:tcBorders>
                  <w:vAlign w:val="center"/>
                </w:tcPr>
                <w:p w14:paraId="504F527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59</w:t>
                  </w:r>
                  <w:r>
                    <w:rPr>
                      <w:rFonts w:hint="default" w:ascii="Times New Roman" w:hAnsi="Times New Roman" w:cs="Times New Roman"/>
                      <w:color w:val="000000" w:themeColor="text1"/>
                      <w:szCs w:val="21"/>
                      <w14:textFill>
                        <w14:solidFill>
                          <w14:schemeClr w14:val="tx1"/>
                        </w14:solidFill>
                      </w14:textFill>
                    </w:rPr>
                    <w:t>～</w:t>
                  </w:r>
                  <w:r>
                    <w:rPr>
                      <w:rFonts w:hint="eastAsia" w:cs="Times New Roman"/>
                      <w:color w:val="000000" w:themeColor="text1"/>
                      <w:szCs w:val="21"/>
                      <w:lang w:val="en-US" w:eastAsia="zh-CN"/>
                      <w14:textFill>
                        <w14:solidFill>
                          <w14:schemeClr w14:val="tx1"/>
                        </w14:solidFill>
                      </w14:textFill>
                    </w:rPr>
                    <w:t>185</w:t>
                  </w:r>
                  <w:r>
                    <w:rPr>
                      <w:rFonts w:hint="default" w:ascii="Times New Roman" w:hAnsi="Times New Roman" w:cs="Times New Roman"/>
                      <w:color w:val="000000" w:themeColor="text1"/>
                      <w:szCs w:val="21"/>
                      <w14:textFill>
                        <w14:solidFill>
                          <w14:schemeClr w14:val="tx1"/>
                        </w14:solidFill>
                      </w14:textFill>
                    </w:rPr>
                    <w:t>μg/m</w:t>
                  </w:r>
                  <w:r>
                    <w:rPr>
                      <w:rFonts w:hint="default" w:ascii="Times New Roman" w:hAnsi="Times New Roman" w:cs="Times New Roman"/>
                      <w:color w:val="000000" w:themeColor="text1"/>
                      <w:szCs w:val="21"/>
                      <w:vertAlign w:val="superscript"/>
                      <w14:textFill>
                        <w14:solidFill>
                          <w14:schemeClr w14:val="tx1"/>
                        </w14:solidFill>
                      </w14:textFill>
                    </w:rPr>
                    <w:t>3</w:t>
                  </w:r>
                </w:p>
              </w:tc>
              <w:tc>
                <w:tcPr>
                  <w:tcW w:w="626" w:type="pct"/>
                  <w:tcBorders>
                    <w:tl2br w:val="nil"/>
                    <w:tr2bl w:val="nil"/>
                  </w:tcBorders>
                  <w:vAlign w:val="center"/>
                </w:tcPr>
                <w:p w14:paraId="17163F8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61.7</w:t>
                  </w:r>
                </w:p>
              </w:tc>
              <w:tc>
                <w:tcPr>
                  <w:tcW w:w="559" w:type="pct"/>
                  <w:tcBorders>
                    <w:tl2br w:val="nil"/>
                    <w:tr2bl w:val="nil"/>
                  </w:tcBorders>
                  <w:vAlign w:val="center"/>
                </w:tcPr>
                <w:p w14:paraId="58CC7FF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w:t>
                  </w:r>
                </w:p>
              </w:tc>
              <w:tc>
                <w:tcPr>
                  <w:tcW w:w="430" w:type="pct"/>
                  <w:tcBorders>
                    <w:tl2br w:val="nil"/>
                    <w:tr2bl w:val="nil"/>
                  </w:tcBorders>
                  <w:vAlign w:val="center"/>
                </w:tcPr>
                <w:p w14:paraId="218E5CC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达标</w:t>
                  </w:r>
                </w:p>
              </w:tc>
            </w:tr>
            <w:tr w14:paraId="1D1D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5" w:hRule="atLeast"/>
                <w:jc w:val="center"/>
              </w:trPr>
              <w:tc>
                <w:tcPr>
                  <w:tcW w:w="701" w:type="pct"/>
                  <w:vMerge w:val="continue"/>
                  <w:tcBorders>
                    <w:tl2br w:val="nil"/>
                    <w:tr2bl w:val="nil"/>
                  </w:tcBorders>
                  <w:vAlign w:val="center"/>
                </w:tcPr>
                <w:p w14:paraId="16630EB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szCs w:val="21"/>
                      <w14:textFill>
                        <w14:solidFill>
                          <w14:schemeClr w14:val="tx1"/>
                        </w14:solidFill>
                      </w14:textFill>
                    </w:rPr>
                  </w:pPr>
                </w:p>
              </w:tc>
              <w:tc>
                <w:tcPr>
                  <w:tcW w:w="555" w:type="pct"/>
                  <w:tcBorders>
                    <w:tl2br w:val="nil"/>
                    <w:tr2bl w:val="nil"/>
                  </w:tcBorders>
                  <w:vAlign w:val="center"/>
                </w:tcPr>
                <w:p w14:paraId="306D53C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非甲烷</w:t>
                  </w:r>
                </w:p>
                <w:p w14:paraId="0A0DCE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总烃</w:t>
                  </w:r>
                </w:p>
              </w:tc>
              <w:tc>
                <w:tcPr>
                  <w:tcW w:w="457" w:type="pct"/>
                  <w:tcBorders>
                    <w:tl2br w:val="nil"/>
                    <w:tr2bl w:val="nil"/>
                  </w:tcBorders>
                  <w:vAlign w:val="center"/>
                </w:tcPr>
                <w:p w14:paraId="63BDB0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1小</w:t>
                  </w:r>
                  <w:r>
                    <w:rPr>
                      <w:rFonts w:hint="default" w:ascii="Times New Roman" w:hAnsi="Times New Roman" w:cs="Times New Roman"/>
                      <w:color w:val="000000" w:themeColor="text1"/>
                      <w:szCs w:val="21"/>
                      <w14:textFill>
                        <w14:solidFill>
                          <w14:schemeClr w14:val="tx1"/>
                        </w14:solidFill>
                      </w14:textFill>
                    </w:rPr>
                    <w:t>时平均</w:t>
                  </w:r>
                </w:p>
              </w:tc>
              <w:tc>
                <w:tcPr>
                  <w:tcW w:w="834" w:type="pct"/>
                  <w:tcBorders>
                    <w:tl2br w:val="nil"/>
                    <w:tr2bl w:val="nil"/>
                  </w:tcBorders>
                  <w:vAlign w:val="center"/>
                </w:tcPr>
                <w:p w14:paraId="1227B60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2.0m</w:t>
                  </w:r>
                  <w:r>
                    <w:rPr>
                      <w:rFonts w:hint="default" w:ascii="Times New Roman" w:hAnsi="Times New Roman" w:cs="Times New Roman"/>
                      <w:color w:val="000000" w:themeColor="text1"/>
                      <w:szCs w:val="21"/>
                      <w14:textFill>
                        <w14:solidFill>
                          <w14:schemeClr w14:val="tx1"/>
                        </w14:solidFill>
                      </w14:textFill>
                    </w:rPr>
                    <w:t>g/m</w:t>
                  </w:r>
                  <w:r>
                    <w:rPr>
                      <w:rFonts w:hint="default" w:ascii="Times New Roman" w:hAnsi="Times New Roman" w:cs="Times New Roman"/>
                      <w:color w:val="000000" w:themeColor="text1"/>
                      <w:szCs w:val="21"/>
                      <w:vertAlign w:val="superscript"/>
                      <w14:textFill>
                        <w14:solidFill>
                          <w14:schemeClr w14:val="tx1"/>
                        </w14:solidFill>
                      </w14:textFill>
                    </w:rPr>
                    <w:t>3</w:t>
                  </w:r>
                </w:p>
              </w:tc>
              <w:tc>
                <w:tcPr>
                  <w:tcW w:w="834" w:type="pct"/>
                  <w:tcBorders>
                    <w:tl2br w:val="nil"/>
                    <w:tr2bl w:val="nil"/>
                  </w:tcBorders>
                  <w:vAlign w:val="center"/>
                </w:tcPr>
                <w:p w14:paraId="2A7AA31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0.53-0.72</w:t>
                  </w:r>
                </w:p>
                <w:p w14:paraId="7DC764E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m</w:t>
                  </w:r>
                  <w:r>
                    <w:rPr>
                      <w:rFonts w:hint="default" w:ascii="Times New Roman" w:hAnsi="Times New Roman" w:cs="Times New Roman"/>
                      <w:color w:val="000000" w:themeColor="text1"/>
                      <w:szCs w:val="21"/>
                      <w14:textFill>
                        <w14:solidFill>
                          <w14:schemeClr w14:val="tx1"/>
                        </w14:solidFill>
                      </w14:textFill>
                    </w:rPr>
                    <w:t>g/m</w:t>
                  </w:r>
                  <w:r>
                    <w:rPr>
                      <w:rFonts w:hint="default" w:ascii="Times New Roman" w:hAnsi="Times New Roman" w:cs="Times New Roman"/>
                      <w:color w:val="000000" w:themeColor="text1"/>
                      <w:szCs w:val="21"/>
                      <w:vertAlign w:val="superscript"/>
                      <w14:textFill>
                        <w14:solidFill>
                          <w14:schemeClr w14:val="tx1"/>
                        </w14:solidFill>
                      </w14:textFill>
                    </w:rPr>
                    <w:t>3</w:t>
                  </w:r>
                </w:p>
              </w:tc>
              <w:tc>
                <w:tcPr>
                  <w:tcW w:w="626" w:type="pct"/>
                  <w:tcBorders>
                    <w:tl2br w:val="nil"/>
                    <w:tr2bl w:val="nil"/>
                  </w:tcBorders>
                  <w:vAlign w:val="center"/>
                </w:tcPr>
                <w:p w14:paraId="34BD3EF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36.0</w:t>
                  </w:r>
                </w:p>
              </w:tc>
              <w:tc>
                <w:tcPr>
                  <w:tcW w:w="559" w:type="pct"/>
                  <w:tcBorders>
                    <w:tl2br w:val="nil"/>
                    <w:tr2bl w:val="nil"/>
                  </w:tcBorders>
                  <w:vAlign w:val="center"/>
                </w:tcPr>
                <w:p w14:paraId="2321A0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w:t>
                  </w:r>
                </w:p>
              </w:tc>
              <w:tc>
                <w:tcPr>
                  <w:tcW w:w="430" w:type="pct"/>
                  <w:tcBorders>
                    <w:tl2br w:val="nil"/>
                    <w:tr2bl w:val="nil"/>
                  </w:tcBorders>
                  <w:vAlign w:val="center"/>
                </w:tcPr>
                <w:p w14:paraId="3FFE112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达标</w:t>
                  </w:r>
                </w:p>
              </w:tc>
            </w:tr>
          </w:tbl>
          <w:p w14:paraId="473C2C50">
            <w:pPr>
              <w:pStyle w:val="85"/>
              <w:keepNext w:val="0"/>
              <w:keepLines w:val="0"/>
              <w:pageBreakBefore w:val="0"/>
              <w:kinsoku/>
              <w:wordWrap/>
              <w:overflowPunct/>
              <w:topLinePunct w:val="0"/>
              <w:autoSpaceDE/>
              <w:autoSpaceDN/>
              <w:bidi w:val="0"/>
              <w:adjustRightInd w:val="0"/>
              <w:snapToGrid w:val="0"/>
              <w:spacing w:line="470" w:lineRule="exact"/>
              <w:ind w:firstLine="48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根据表</w:t>
            </w:r>
            <w:r>
              <w:rPr>
                <w:rFonts w:hint="eastAsia" w:cs="Times New Roman"/>
                <w:color w:val="000000" w:themeColor="text1"/>
                <w:lang w:val="en-US" w:eastAsia="zh-CN"/>
                <w14:textFill>
                  <w14:solidFill>
                    <w14:schemeClr w14:val="tx1"/>
                  </w14:solidFill>
                </w14:textFill>
              </w:rPr>
              <w:t>14</w:t>
            </w:r>
            <w:r>
              <w:rPr>
                <w:rFonts w:hint="default" w:ascii="Times New Roman" w:hAnsi="Times New Roman" w:cs="Times New Roman"/>
                <w:color w:val="000000" w:themeColor="text1"/>
                <w14:textFill>
                  <w14:solidFill>
                    <w14:schemeClr w14:val="tx1"/>
                  </w14:solidFill>
                </w14:textFill>
              </w:rPr>
              <w:t>可知，监测期间张二庄镇区现状监测点TSP24小时</w:t>
            </w:r>
            <w:r>
              <w:rPr>
                <w:rFonts w:hint="eastAsia" w:cs="Times New Roman"/>
                <w:color w:val="000000" w:themeColor="text1"/>
                <w:lang w:val="en-US" w:eastAsia="zh-CN"/>
                <w14:textFill>
                  <w14:solidFill>
                    <w14:schemeClr w14:val="tx1"/>
                  </w14:solidFill>
                </w14:textFill>
              </w:rPr>
              <w:t>平均</w:t>
            </w:r>
            <w:r>
              <w:rPr>
                <w:rFonts w:hint="default" w:ascii="Times New Roman" w:hAnsi="Times New Roman" w:cs="Times New Roman"/>
                <w:color w:val="000000" w:themeColor="text1"/>
                <w14:textFill>
                  <w14:solidFill>
                    <w14:schemeClr w14:val="tx1"/>
                  </w14:solidFill>
                </w14:textFill>
              </w:rPr>
              <w:t>浓度监测值均满足《环境空气质量标准》</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GB3095-2012</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及修改单</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生态环境</w:t>
            </w:r>
            <w:r>
              <w:rPr>
                <w:rFonts w:hint="default" w:ascii="Times New Roman" w:hAnsi="Times New Roman" w:cs="Times New Roman"/>
                <w:color w:val="000000" w:themeColor="text1"/>
                <w14:textFill>
                  <w14:solidFill>
                    <w14:schemeClr w14:val="tx1"/>
                  </w14:solidFill>
                </w14:textFill>
              </w:rPr>
              <w:t>部公告2018年第29号</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二级标准要求</w:t>
            </w:r>
            <w:r>
              <w:rPr>
                <w:rFonts w:hint="eastAsia" w:cs="Times New Roman"/>
                <w:color w:val="000000" w:themeColor="text1"/>
                <w:lang w:eastAsia="zh-CN"/>
                <w14:textFill>
                  <w14:solidFill>
                    <w14:schemeClr w14:val="tx1"/>
                  </w14:solidFill>
                </w14:textFill>
              </w:rPr>
              <w:t>，非甲烷总烃1小时平均浓度监测值均满足《环境空气质量 非甲烷总烃限值》（DB13/1577-2012）表1二级标准。</w:t>
            </w:r>
          </w:p>
          <w:p w14:paraId="7524099E">
            <w:pPr>
              <w:keepNext w:val="0"/>
              <w:keepLines w:val="0"/>
              <w:pageBreakBefore w:val="0"/>
              <w:numPr>
                <w:ilvl w:val="0"/>
                <w:numId w:val="0"/>
              </w:numPr>
              <w:kinsoku/>
              <w:wordWrap/>
              <w:overflowPunct/>
              <w:topLinePunct w:val="0"/>
              <w:autoSpaceDE/>
              <w:autoSpaceDN/>
              <w:bidi w:val="0"/>
              <w:adjustRightInd w:val="0"/>
              <w:snapToGrid w:val="0"/>
              <w:spacing w:line="470" w:lineRule="exact"/>
              <w:ind w:leftChars="0" w:firstLine="482" w:firstLineChars="200"/>
              <w:textAlignment w:val="baseline"/>
              <w:rPr>
                <w:rFonts w:hint="default" w:ascii="Times New Roman" w:hAnsi="Times New Roman" w:cs="Times New Roman" w:eastAsiaTheme="minorEastAsia"/>
                <w:b/>
                <w:color w:val="auto"/>
                <w:sz w:val="24"/>
              </w:rPr>
            </w:pPr>
            <w:r>
              <w:rPr>
                <w:rFonts w:hint="eastAsia" w:cs="Times New Roman" w:eastAsiaTheme="minorEastAsia"/>
                <w:b/>
                <w:color w:val="auto"/>
                <w:sz w:val="24"/>
                <w:lang w:val="en-US" w:eastAsia="zh-CN"/>
              </w:rPr>
              <w:t>2</w:t>
            </w:r>
            <w:r>
              <w:rPr>
                <w:rFonts w:hint="default" w:ascii="Times New Roman" w:hAnsi="Times New Roman" w:cs="Times New Roman" w:eastAsiaTheme="minorEastAsia"/>
                <w:b/>
                <w:color w:val="auto"/>
                <w:sz w:val="24"/>
              </w:rPr>
              <w:t>、</w:t>
            </w:r>
            <w:r>
              <w:rPr>
                <w:rFonts w:hint="eastAsia" w:cs="Times New Roman" w:eastAsiaTheme="minorEastAsia"/>
                <w:b/>
                <w:color w:val="auto"/>
                <w:sz w:val="24"/>
                <w:lang w:val="en-US" w:eastAsia="zh-CN"/>
              </w:rPr>
              <w:t>地表水</w:t>
            </w:r>
            <w:r>
              <w:rPr>
                <w:rFonts w:hint="default" w:ascii="Times New Roman" w:hAnsi="Times New Roman" w:cs="Times New Roman" w:eastAsiaTheme="minorEastAsia"/>
                <w:b/>
                <w:color w:val="auto"/>
                <w:sz w:val="24"/>
              </w:rPr>
              <w:t>环境</w:t>
            </w:r>
          </w:p>
          <w:p w14:paraId="032D971D">
            <w:pPr>
              <w:keepNext w:val="0"/>
              <w:keepLines w:val="0"/>
              <w:pageBreakBefore w:val="0"/>
              <w:numPr>
                <w:ilvl w:val="0"/>
                <w:numId w:val="0"/>
              </w:numPr>
              <w:kinsoku/>
              <w:wordWrap/>
              <w:overflowPunct/>
              <w:topLinePunct w:val="0"/>
              <w:autoSpaceDE/>
              <w:autoSpaceDN/>
              <w:bidi w:val="0"/>
              <w:adjustRightInd w:val="0"/>
              <w:snapToGrid w:val="0"/>
              <w:spacing w:line="470" w:lineRule="exact"/>
              <w:ind w:leftChars="0" w:firstLine="480" w:firstLineChars="200"/>
              <w:textAlignment w:val="baseline"/>
              <w:rPr>
                <w:rFonts w:hint="eastAsia" w:cs="Times New Roman" w:eastAsiaTheme="minorEastAsia"/>
                <w:b/>
                <w:color w:val="auto"/>
                <w:sz w:val="24"/>
                <w:lang w:val="en-US" w:eastAsia="zh-CN"/>
              </w:rPr>
            </w:pPr>
            <w:r>
              <w:rPr>
                <w:rFonts w:hint="eastAsia"/>
                <w:color w:val="auto"/>
                <w:sz w:val="24"/>
                <w:szCs w:val="32"/>
                <w:lang w:eastAsia="zh-CN"/>
              </w:rPr>
              <w:t>根据邯郸市生态环境局202</w:t>
            </w:r>
            <w:r>
              <w:rPr>
                <w:rFonts w:hint="eastAsia"/>
                <w:color w:val="auto"/>
                <w:sz w:val="24"/>
                <w:szCs w:val="32"/>
                <w:lang w:val="en-US" w:eastAsia="zh-CN"/>
              </w:rPr>
              <w:t>5</w:t>
            </w:r>
            <w:r>
              <w:rPr>
                <w:rFonts w:hint="eastAsia"/>
                <w:color w:val="auto"/>
                <w:sz w:val="24"/>
                <w:szCs w:val="32"/>
                <w:lang w:eastAsia="zh-CN"/>
              </w:rPr>
              <w:t>年</w:t>
            </w:r>
            <w:r>
              <w:rPr>
                <w:rFonts w:hint="eastAsia"/>
                <w:color w:val="auto"/>
                <w:sz w:val="24"/>
                <w:szCs w:val="32"/>
                <w:lang w:val="en-US" w:eastAsia="zh-CN"/>
              </w:rPr>
              <w:t>7</w:t>
            </w:r>
            <w:r>
              <w:rPr>
                <w:rFonts w:hint="eastAsia"/>
                <w:color w:val="auto"/>
                <w:sz w:val="24"/>
                <w:szCs w:val="32"/>
                <w:lang w:eastAsia="zh-CN"/>
              </w:rPr>
              <w:t>月</w:t>
            </w:r>
            <w:r>
              <w:rPr>
                <w:rFonts w:hint="eastAsia"/>
                <w:color w:val="auto"/>
                <w:sz w:val="24"/>
                <w:szCs w:val="32"/>
                <w:lang w:val="en-US" w:eastAsia="zh-CN"/>
              </w:rPr>
              <w:t>29</w:t>
            </w:r>
            <w:r>
              <w:rPr>
                <w:rFonts w:hint="eastAsia"/>
                <w:color w:val="auto"/>
                <w:sz w:val="24"/>
                <w:szCs w:val="32"/>
                <w:lang w:eastAsia="zh-CN"/>
              </w:rPr>
              <w:t>日发布的《2024年邯郸市生态环境状况公报》</w:t>
            </w:r>
            <w:r>
              <w:rPr>
                <w:rFonts w:hint="default" w:ascii="Times New Roman" w:hAnsi="Times New Roman" w:cs="Times New Roman"/>
                <w:color w:val="auto"/>
                <w:sz w:val="24"/>
                <w:szCs w:val="32"/>
                <w:lang w:eastAsia="zh-CN"/>
              </w:rPr>
              <w:t>，邯郸市18条河流（渠）共54个断面中，Ⅰ~Ⅲ类水质共计53个，达到98.1%，总体水质状况为优。其中Ⅰ类水质断面2个，占3.7%；Ⅱ类水质断面24个，占44.4%；Ⅲ类水质断面27个，占50.0%；Ⅳ类水质断面1个，占1.9%</w:t>
            </w:r>
            <w:r>
              <w:rPr>
                <w:rFonts w:hint="eastAsia" w:ascii="Times New Roman" w:hAnsi="Times New Roman" w:cs="Times New Roman"/>
                <w:color w:val="auto"/>
                <w:sz w:val="24"/>
                <w:szCs w:val="32"/>
                <w:lang w:eastAsia="zh-CN"/>
              </w:rPr>
              <w:t>。岳城水库和东武仕水库2个湖库年度水质目标达标率均为100%。按营养状态分级，处于中营养状态的有2个，占100%</w:t>
            </w:r>
            <w:r>
              <w:rPr>
                <w:rFonts w:hint="default" w:ascii="Times New Roman" w:hAnsi="Times New Roman" w:cs="Times New Roman"/>
                <w:color w:val="auto"/>
                <w:sz w:val="24"/>
                <w:szCs w:val="32"/>
                <w:lang w:eastAsia="zh-CN"/>
              </w:rPr>
              <w:t>。东风渠水质类别为Ⅱ类，水质状况为优</w:t>
            </w:r>
            <w:r>
              <w:rPr>
                <w:rFonts w:hint="eastAsia" w:ascii="Times New Roman" w:hAnsi="Times New Roman" w:cs="Times New Roman"/>
                <w:color w:val="auto"/>
                <w:sz w:val="24"/>
                <w:szCs w:val="32"/>
                <w:lang w:eastAsia="zh-CN"/>
              </w:rPr>
              <w:t>。</w:t>
            </w:r>
          </w:p>
          <w:p w14:paraId="40DFEFC3">
            <w:pPr>
              <w:keepNext w:val="0"/>
              <w:keepLines w:val="0"/>
              <w:pageBreakBefore w:val="0"/>
              <w:numPr>
                <w:ilvl w:val="0"/>
                <w:numId w:val="0"/>
              </w:numPr>
              <w:kinsoku/>
              <w:wordWrap/>
              <w:overflowPunct/>
              <w:topLinePunct w:val="0"/>
              <w:autoSpaceDE/>
              <w:autoSpaceDN/>
              <w:bidi w:val="0"/>
              <w:adjustRightInd w:val="0"/>
              <w:snapToGrid w:val="0"/>
              <w:spacing w:line="470" w:lineRule="exact"/>
              <w:ind w:leftChars="0" w:firstLine="482" w:firstLineChars="200"/>
              <w:textAlignment w:val="baseline"/>
              <w:rPr>
                <w:rFonts w:hint="default" w:ascii="Times New Roman" w:hAnsi="Times New Roman" w:cs="Times New Roman" w:eastAsiaTheme="minorEastAsia"/>
                <w:b/>
                <w:color w:val="000000" w:themeColor="text1"/>
                <w:sz w:val="24"/>
                <w14:textFill>
                  <w14:solidFill>
                    <w14:schemeClr w14:val="tx1"/>
                  </w14:solidFill>
                </w14:textFill>
              </w:rPr>
            </w:pPr>
            <w:r>
              <w:rPr>
                <w:rFonts w:hint="eastAsia" w:cs="Times New Roman" w:eastAsiaTheme="minorEastAsia"/>
                <w:b/>
                <w:color w:val="000000" w:themeColor="text1"/>
                <w:sz w:val="24"/>
                <w:lang w:val="en-US" w:eastAsia="zh-CN"/>
                <w14:textFill>
                  <w14:solidFill>
                    <w14:schemeClr w14:val="tx1"/>
                  </w14:solidFill>
                </w14:textFill>
              </w:rPr>
              <w:t>3</w:t>
            </w:r>
            <w:r>
              <w:rPr>
                <w:rFonts w:hint="default" w:ascii="Times New Roman" w:hAnsi="Times New Roman" w:cs="Times New Roman" w:eastAsiaTheme="minorEastAsia"/>
                <w:b/>
                <w:color w:val="000000" w:themeColor="text1"/>
                <w:sz w:val="24"/>
                <w14:textFill>
                  <w14:solidFill>
                    <w14:schemeClr w14:val="tx1"/>
                  </w14:solidFill>
                </w14:textFill>
              </w:rPr>
              <w:t>、声环境</w:t>
            </w:r>
          </w:p>
          <w:p w14:paraId="21578403">
            <w:pPr>
              <w:keepNext w:val="0"/>
              <w:keepLines w:val="0"/>
              <w:pageBreakBefore w:val="0"/>
              <w:kinsoku/>
              <w:wordWrap/>
              <w:overflowPunct/>
              <w:topLinePunct w:val="0"/>
              <w:autoSpaceDE/>
              <w:autoSpaceDN/>
              <w:bidi w:val="0"/>
              <w:adjustRightInd w:val="0"/>
              <w:snapToGrid w:val="0"/>
              <w:spacing w:line="470" w:lineRule="exact"/>
              <w:ind w:firstLine="480" w:firstLineChars="200"/>
              <w:rPr>
                <w:rFonts w:hint="default" w:ascii="Times New Roman" w:hAnsi="Times New Roman" w:cs="Times New Roman" w:eastAsiaTheme="minorEastAsia"/>
                <w:color w:val="000000" w:themeColor="text1"/>
                <w:kern w:val="0"/>
                <w:sz w:val="24"/>
                <w14:textFill>
                  <w14:solidFill>
                    <w14:schemeClr w14:val="tx1"/>
                  </w14:solidFill>
                </w14:textFill>
              </w:rPr>
            </w:pPr>
            <w:r>
              <w:rPr>
                <w:rFonts w:hint="eastAsia" w:ascii="Times New Roman" w:hAnsi="Times New Roman" w:eastAsia="宋体" w:cs="Times New Roman"/>
                <w:color w:val="000000" w:themeColor="text1"/>
                <w:w w:val="100"/>
                <w:kern w:val="2"/>
                <w:sz w:val="24"/>
                <w:szCs w:val="24"/>
                <w:lang w:val="en-US" w:eastAsia="zh-CN" w:bidi="ar-SA"/>
                <w14:textFill>
                  <w14:solidFill>
                    <w14:schemeClr w14:val="tx1"/>
                  </w14:solidFill>
                </w14:textFill>
              </w:rPr>
              <w:t>项目</w:t>
            </w:r>
            <w:r>
              <w:rPr>
                <w:rFonts w:hint="default" w:ascii="Times New Roman" w:hAnsi="Times New Roman" w:cs="Times New Roman" w:eastAsiaTheme="minorEastAsia"/>
                <w:color w:val="000000" w:themeColor="text1"/>
                <w:kern w:val="0"/>
                <w:sz w:val="24"/>
                <w14:textFill>
                  <w14:solidFill>
                    <w14:schemeClr w14:val="tx1"/>
                  </w14:solidFill>
                </w14:textFill>
              </w:rPr>
              <w:t>厂界外周边50m范围内不存在声环境保护目标</w:t>
            </w:r>
            <w:r>
              <w:rPr>
                <w:rFonts w:hint="eastAsia" w:cs="Times New Roman" w:eastAsiaTheme="minorEastAsia"/>
                <w:color w:val="000000" w:themeColor="text1"/>
                <w:kern w:val="0"/>
                <w:sz w:val="24"/>
                <w:lang w:eastAsia="zh-CN"/>
                <w14:textFill>
                  <w14:solidFill>
                    <w14:schemeClr w14:val="tx1"/>
                  </w14:solidFill>
                </w14:textFill>
              </w:rPr>
              <w:t>，</w:t>
            </w:r>
            <w:r>
              <w:rPr>
                <w:rFonts w:hint="eastAsia" w:cs="Times New Roman" w:eastAsiaTheme="minorEastAsia"/>
                <w:color w:val="000000" w:themeColor="text1"/>
                <w:kern w:val="0"/>
                <w:sz w:val="24"/>
                <w:lang w:val="en-US" w:eastAsia="zh-CN"/>
                <w14:textFill>
                  <w14:solidFill>
                    <w14:schemeClr w14:val="tx1"/>
                  </w14:solidFill>
                </w14:textFill>
              </w:rPr>
              <w:t>无需进行现状监测</w:t>
            </w:r>
            <w:r>
              <w:rPr>
                <w:rFonts w:hint="default" w:ascii="Times New Roman" w:hAnsi="Times New Roman" w:cs="Times New Roman" w:eastAsiaTheme="minorEastAsia"/>
                <w:color w:val="000000" w:themeColor="text1"/>
                <w:kern w:val="0"/>
                <w:sz w:val="24"/>
                <w14:textFill>
                  <w14:solidFill>
                    <w14:schemeClr w14:val="tx1"/>
                  </w14:solidFill>
                </w14:textFill>
              </w:rPr>
              <w:t>。</w:t>
            </w:r>
          </w:p>
          <w:p w14:paraId="7B025072">
            <w:pPr>
              <w:keepNext w:val="0"/>
              <w:keepLines w:val="0"/>
              <w:pageBreakBefore w:val="0"/>
              <w:kinsoku/>
              <w:wordWrap/>
              <w:overflowPunct/>
              <w:topLinePunct w:val="0"/>
              <w:autoSpaceDE/>
              <w:autoSpaceDN/>
              <w:bidi w:val="0"/>
              <w:adjustRightInd w:val="0"/>
              <w:snapToGrid w:val="0"/>
              <w:spacing w:line="470" w:lineRule="exact"/>
              <w:ind w:firstLine="482" w:firstLineChars="200"/>
              <w:rPr>
                <w:rFonts w:hint="default" w:ascii="Times New Roman" w:hAnsi="Times New Roman" w:cs="Times New Roman" w:eastAsiaTheme="minorEastAsia"/>
                <w:b/>
                <w:bCs/>
                <w:color w:val="000000" w:themeColor="text1"/>
                <w:sz w:val="24"/>
                <w14:textFill>
                  <w14:solidFill>
                    <w14:schemeClr w14:val="tx1"/>
                  </w14:solidFill>
                </w14:textFill>
              </w:rPr>
            </w:pPr>
            <w:r>
              <w:rPr>
                <w:rFonts w:hint="eastAsia" w:cs="Times New Roman" w:eastAsiaTheme="minorEastAsia"/>
                <w:b/>
                <w:bCs/>
                <w:color w:val="000000" w:themeColor="text1"/>
                <w:sz w:val="24"/>
                <w:lang w:val="en-US" w:eastAsia="zh-CN"/>
                <w14:textFill>
                  <w14:solidFill>
                    <w14:schemeClr w14:val="tx1"/>
                  </w14:solidFill>
                </w14:textFill>
              </w:rPr>
              <w:t>4</w:t>
            </w:r>
            <w:r>
              <w:rPr>
                <w:rFonts w:hint="default" w:ascii="Times New Roman" w:hAnsi="Times New Roman" w:cs="Times New Roman" w:eastAsiaTheme="minorEastAsia"/>
                <w:b/>
                <w:bCs/>
                <w:color w:val="000000" w:themeColor="text1"/>
                <w:sz w:val="24"/>
                <w14:textFill>
                  <w14:solidFill>
                    <w14:schemeClr w14:val="tx1"/>
                  </w14:solidFill>
                </w14:textFill>
              </w:rPr>
              <w:t>、生态环境</w:t>
            </w:r>
          </w:p>
          <w:p w14:paraId="387AD822">
            <w:pPr>
              <w:keepNext w:val="0"/>
              <w:keepLines w:val="0"/>
              <w:pageBreakBefore w:val="0"/>
              <w:kinsoku/>
              <w:wordWrap/>
              <w:overflowPunct/>
              <w:topLinePunct w:val="0"/>
              <w:autoSpaceDE/>
              <w:autoSpaceDN/>
              <w:bidi w:val="0"/>
              <w:adjustRightInd w:val="0"/>
              <w:snapToGrid w:val="0"/>
              <w:spacing w:line="470" w:lineRule="exact"/>
              <w:ind w:firstLine="480" w:firstLineChars="200"/>
              <w:textAlignment w:val="baseline"/>
              <w:rPr>
                <w:rFonts w:hint="eastAsia" w:cs="Times New Roman" w:eastAsiaTheme="minorEastAsia"/>
                <w:b/>
                <w:color w:val="000000" w:themeColor="text1"/>
                <w:sz w:val="24"/>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4"/>
                <w14:textFill>
                  <w14:solidFill>
                    <w14:schemeClr w14:val="tx1"/>
                  </w14:solidFill>
                </w14:textFill>
              </w:rPr>
              <w:t>本项目</w:t>
            </w:r>
            <w:r>
              <w:rPr>
                <w:rFonts w:hint="eastAsia" w:cs="Times New Roman" w:eastAsiaTheme="minorEastAsia"/>
                <w:bCs/>
                <w:color w:val="000000" w:themeColor="text1"/>
                <w:sz w:val="24"/>
                <w:lang w:val="en-US" w:eastAsia="zh-CN"/>
                <w14:textFill>
                  <w14:solidFill>
                    <w14:schemeClr w14:val="tx1"/>
                  </w14:solidFill>
                </w14:textFill>
              </w:rPr>
              <w:t>位于魏县经济开发区-再生资源循环利用产业园，厂区及</w:t>
            </w:r>
            <w:r>
              <w:rPr>
                <w:rFonts w:hint="default" w:ascii="Times New Roman" w:hAnsi="Times New Roman" w:cs="Times New Roman" w:eastAsiaTheme="minorEastAsia"/>
                <w:bCs/>
                <w:color w:val="000000" w:themeColor="text1"/>
                <w:sz w:val="24"/>
                <w14:textFill>
                  <w14:solidFill>
                    <w14:schemeClr w14:val="tx1"/>
                  </w14:solidFill>
                </w14:textFill>
              </w:rPr>
              <w:t>周边无自然保护区、</w:t>
            </w:r>
            <w:r>
              <w:rPr>
                <w:rFonts w:hint="eastAsia" w:cs="Times New Roman" w:eastAsiaTheme="minorEastAsia"/>
                <w:bCs/>
                <w:color w:val="000000" w:themeColor="text1"/>
                <w:sz w:val="24"/>
                <w:lang w:val="en-US" w:eastAsia="zh-CN"/>
                <w14:textFill>
                  <w14:solidFill>
                    <w14:schemeClr w14:val="tx1"/>
                  </w14:solidFill>
                </w14:textFill>
              </w:rPr>
              <w:t>自然公园</w:t>
            </w:r>
            <w:r>
              <w:rPr>
                <w:rFonts w:hint="default" w:ascii="Times New Roman" w:hAnsi="Times New Roman" w:cs="Times New Roman" w:eastAsiaTheme="minorEastAsia"/>
                <w:bCs/>
                <w:color w:val="000000" w:themeColor="text1"/>
                <w:sz w:val="24"/>
                <w14:textFill>
                  <w14:solidFill>
                    <w14:schemeClr w14:val="tx1"/>
                  </w14:solidFill>
                </w14:textFill>
              </w:rPr>
              <w:t>和珍稀濒危野生动植物等敏感目标</w:t>
            </w:r>
            <w:r>
              <w:rPr>
                <w:rFonts w:hint="eastAsia" w:cs="Times New Roman" w:eastAsiaTheme="minorEastAsia"/>
                <w:bCs/>
                <w:color w:val="000000" w:themeColor="text1"/>
                <w:sz w:val="24"/>
                <w:lang w:eastAsia="zh-CN"/>
                <w14:textFill>
                  <w14:solidFill>
                    <w14:schemeClr w14:val="tx1"/>
                  </w14:solidFill>
                </w14:textFill>
              </w:rPr>
              <w:t>，无需进行生态现状调查</w:t>
            </w:r>
            <w:r>
              <w:rPr>
                <w:rFonts w:hint="default" w:ascii="Times New Roman" w:hAnsi="Times New Roman" w:cs="Times New Roman" w:eastAsiaTheme="minorEastAsia"/>
                <w:bCs/>
                <w:color w:val="000000" w:themeColor="text1"/>
                <w:sz w:val="24"/>
                <w14:textFill>
                  <w14:solidFill>
                    <w14:schemeClr w14:val="tx1"/>
                  </w14:solidFill>
                </w14:textFill>
              </w:rPr>
              <w:t>。</w:t>
            </w:r>
          </w:p>
          <w:p w14:paraId="7CCDBD0A">
            <w:pPr>
              <w:keepNext w:val="0"/>
              <w:keepLines w:val="0"/>
              <w:pageBreakBefore w:val="0"/>
              <w:kinsoku/>
              <w:wordWrap/>
              <w:overflowPunct/>
              <w:topLinePunct w:val="0"/>
              <w:autoSpaceDE/>
              <w:autoSpaceDN/>
              <w:bidi w:val="0"/>
              <w:adjustRightInd w:val="0"/>
              <w:snapToGrid w:val="0"/>
              <w:spacing w:line="470" w:lineRule="exact"/>
              <w:ind w:firstLine="482" w:firstLineChars="200"/>
              <w:textAlignment w:val="baseline"/>
              <w:rPr>
                <w:rFonts w:hint="eastAsia" w:ascii="Times New Roman" w:hAnsi="Times New Roman" w:cs="Times New Roman" w:eastAsiaTheme="minorEastAsia"/>
                <w:b/>
                <w:color w:val="000000" w:themeColor="text1"/>
                <w:sz w:val="24"/>
                <w:lang w:eastAsia="zh-CN"/>
                <w14:textFill>
                  <w14:solidFill>
                    <w14:schemeClr w14:val="tx1"/>
                  </w14:solidFill>
                </w14:textFill>
              </w:rPr>
            </w:pPr>
            <w:r>
              <w:rPr>
                <w:rFonts w:hint="eastAsia" w:cs="Times New Roman" w:eastAsiaTheme="minorEastAsia"/>
                <w:b/>
                <w:color w:val="000000" w:themeColor="text1"/>
                <w:sz w:val="24"/>
                <w:lang w:val="en-US" w:eastAsia="zh-CN"/>
                <w14:textFill>
                  <w14:solidFill>
                    <w14:schemeClr w14:val="tx1"/>
                  </w14:solidFill>
                </w14:textFill>
              </w:rPr>
              <w:t>5</w:t>
            </w:r>
            <w:r>
              <w:rPr>
                <w:rFonts w:hint="default" w:ascii="Times New Roman" w:hAnsi="Times New Roman" w:cs="Times New Roman" w:eastAsiaTheme="minorEastAsia"/>
                <w:b/>
                <w:color w:val="000000" w:themeColor="text1"/>
                <w:sz w:val="24"/>
                <w14:textFill>
                  <w14:solidFill>
                    <w14:schemeClr w14:val="tx1"/>
                  </w14:solidFill>
                </w14:textFill>
              </w:rPr>
              <w:t>、地下水</w:t>
            </w:r>
            <w:r>
              <w:rPr>
                <w:rFonts w:hint="eastAsia" w:cs="Times New Roman" w:eastAsiaTheme="minorEastAsia"/>
                <w:b/>
                <w:color w:val="000000" w:themeColor="text1"/>
                <w:sz w:val="24"/>
                <w:lang w:eastAsia="zh-CN"/>
                <w14:textFill>
                  <w14:solidFill>
                    <w14:schemeClr w14:val="tx1"/>
                  </w14:solidFill>
                </w14:textFill>
              </w:rPr>
              <w:t>、</w:t>
            </w:r>
            <w:r>
              <w:rPr>
                <w:rFonts w:hint="eastAsia" w:cs="Times New Roman" w:eastAsiaTheme="minorEastAsia"/>
                <w:b/>
                <w:color w:val="000000" w:themeColor="text1"/>
                <w:sz w:val="24"/>
                <w:lang w:val="en-US" w:eastAsia="zh-CN"/>
                <w14:textFill>
                  <w14:solidFill>
                    <w14:schemeClr w14:val="tx1"/>
                  </w14:solidFill>
                </w14:textFill>
              </w:rPr>
              <w:t>土壤环境</w:t>
            </w:r>
          </w:p>
          <w:p w14:paraId="6F9D9868">
            <w:pPr>
              <w:keepNext w:val="0"/>
              <w:keepLines w:val="0"/>
              <w:pageBreakBefore w:val="0"/>
              <w:kinsoku/>
              <w:wordWrap/>
              <w:overflowPunct/>
              <w:topLinePunct w:val="0"/>
              <w:autoSpaceDE/>
              <w:autoSpaceDN/>
              <w:bidi w:val="0"/>
              <w:adjustRightInd w:val="0"/>
              <w:snapToGrid w:val="0"/>
              <w:spacing w:line="470" w:lineRule="exact"/>
              <w:ind w:firstLine="480" w:firstLineChars="200"/>
              <w:rPr>
                <w:rFonts w:hint="default" w:cs="Times New Roman" w:eastAsiaTheme="minorEastAsia"/>
                <w:bCs/>
                <w:color w:val="000000" w:themeColor="text1"/>
                <w:sz w:val="24"/>
                <w:lang w:eastAsia="zh-CN"/>
                <w14:textFill>
                  <w14:solidFill>
                    <w14:schemeClr w14:val="tx1"/>
                  </w14:solidFill>
                </w14:textFill>
              </w:rPr>
            </w:pPr>
            <w:r>
              <w:rPr>
                <w:rFonts w:hint="eastAsia" w:cs="Times New Roman" w:eastAsiaTheme="minorEastAsia"/>
                <w:bCs/>
                <w:color w:val="000000" w:themeColor="text1"/>
                <w:sz w:val="24"/>
                <w:lang w:val="en-US" w:eastAsia="zh-CN"/>
                <w14:textFill>
                  <w14:solidFill>
                    <w14:schemeClr w14:val="tx1"/>
                  </w14:solidFill>
                </w14:textFill>
              </w:rPr>
              <w:t>本项目生产车间、危废间等采取了严格的防渗措施，防渗性能满足导则相关要求</w:t>
            </w:r>
            <w:r>
              <w:rPr>
                <w:rFonts w:hint="eastAsia" w:cs="Times New Roman" w:eastAsiaTheme="minorEastAsia"/>
                <w:bCs/>
                <w:color w:val="auto"/>
                <w:sz w:val="24"/>
                <w:lang w:val="en-US" w:eastAsia="zh-CN"/>
              </w:rPr>
              <w:t>。项目冷却工序排水同湿式粉碎、清洗、甩干、压滤废水经沉淀池处理后循环利用，不外排；生活废水直接泼洒抑尘。</w:t>
            </w:r>
            <w:r>
              <w:rPr>
                <w:rFonts w:hint="eastAsia" w:ascii="Times New Roman" w:hAnsi="Times New Roman"/>
                <w:color w:val="auto"/>
                <w:sz w:val="24"/>
                <w:lang w:val="en-US" w:eastAsia="zh-CN"/>
              </w:rPr>
              <w:t>在落实各项防渗措施后，各污染物不会通过垂直入渗、地面径流、大气沉降等</w:t>
            </w:r>
            <w:r>
              <w:rPr>
                <w:rFonts w:hint="eastAsia"/>
                <w:color w:val="auto"/>
                <w:sz w:val="24"/>
                <w:lang w:val="en-US" w:eastAsia="zh-CN"/>
              </w:rPr>
              <w:t>途径污染土壤，进而污染地下水</w:t>
            </w:r>
            <w:r>
              <w:rPr>
                <w:rFonts w:hint="default" w:ascii="Times New Roman" w:hAnsi="Times New Roman" w:cs="Times New Roman" w:eastAsiaTheme="minorEastAsia"/>
                <w:bCs/>
                <w:color w:val="auto"/>
                <w:sz w:val="24"/>
              </w:rPr>
              <w:t>，</w:t>
            </w:r>
            <w:r>
              <w:rPr>
                <w:rFonts w:hint="eastAsia" w:cs="Times New Roman" w:eastAsiaTheme="minorEastAsia"/>
                <w:bCs/>
                <w:color w:val="auto"/>
                <w:sz w:val="24"/>
                <w:lang w:val="en-US" w:eastAsia="zh-CN"/>
              </w:rPr>
              <w:t>因此无需开展</w:t>
            </w:r>
            <w:r>
              <w:rPr>
                <w:rFonts w:hint="default" w:ascii="Times New Roman" w:hAnsi="Times New Roman" w:cs="Times New Roman" w:eastAsiaTheme="minorEastAsia"/>
                <w:bCs/>
                <w:color w:val="auto"/>
                <w:sz w:val="24"/>
              </w:rPr>
              <w:t>地下水</w:t>
            </w:r>
            <w:r>
              <w:rPr>
                <w:rFonts w:hint="eastAsia" w:cs="Times New Roman" w:eastAsiaTheme="minorEastAsia"/>
                <w:bCs/>
                <w:color w:val="auto"/>
                <w:sz w:val="24"/>
                <w:lang w:eastAsia="zh-CN"/>
              </w:rPr>
              <w:t>、</w:t>
            </w:r>
            <w:r>
              <w:rPr>
                <w:rFonts w:hint="eastAsia" w:cs="Times New Roman" w:eastAsiaTheme="minorEastAsia"/>
                <w:bCs/>
                <w:color w:val="auto"/>
                <w:sz w:val="24"/>
                <w:lang w:val="en-US" w:eastAsia="zh-CN"/>
              </w:rPr>
              <w:t>土壤</w:t>
            </w:r>
            <w:r>
              <w:rPr>
                <w:rFonts w:hint="default" w:ascii="Times New Roman" w:hAnsi="Times New Roman" w:cs="Times New Roman" w:eastAsiaTheme="minorEastAsia"/>
                <w:bCs/>
                <w:color w:val="auto"/>
                <w:sz w:val="24"/>
              </w:rPr>
              <w:t>环境现状监测</w:t>
            </w:r>
            <w:r>
              <w:rPr>
                <w:rFonts w:hint="eastAsia" w:cs="Times New Roman" w:eastAsiaTheme="minorEastAsia"/>
                <w:bCs/>
                <w:color w:val="auto"/>
                <w:sz w:val="24"/>
                <w:lang w:eastAsia="zh-CN"/>
              </w:rPr>
              <w:t>。</w:t>
            </w:r>
          </w:p>
        </w:tc>
      </w:tr>
      <w:tr w14:paraId="56533D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vAlign w:val="center"/>
          </w:tcPr>
          <w:p w14:paraId="2BE40E1D">
            <w:pPr>
              <w:adjustRightInd w:val="0"/>
              <w:snapToGrid w:val="0"/>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环境</w:t>
            </w:r>
          </w:p>
          <w:p w14:paraId="0AD90F4D">
            <w:pPr>
              <w:adjustRightInd w:val="0"/>
              <w:snapToGrid w:val="0"/>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保护</w:t>
            </w:r>
          </w:p>
          <w:p w14:paraId="189FEC2B">
            <w:pPr>
              <w:adjustRightInd w:val="0"/>
              <w:snapToGrid w:val="0"/>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目标</w:t>
            </w:r>
          </w:p>
        </w:tc>
        <w:tc>
          <w:tcPr>
            <w:tcW w:w="8190" w:type="dxa"/>
            <w:vAlign w:val="center"/>
          </w:tcPr>
          <w:p w14:paraId="11429B6C">
            <w:pPr>
              <w:adjustRightInd w:val="0"/>
              <w:snapToGrid w:val="0"/>
              <w:spacing w:line="480" w:lineRule="exact"/>
              <w:ind w:firstLine="482" w:firstLineChars="200"/>
              <w:rPr>
                <w:rFonts w:hint="default" w:ascii="Times New Roman" w:hAnsi="Times New Roman" w:cs="Times New Roman" w:eastAsiaTheme="minorEastAsia"/>
                <w:b/>
                <w:bCs/>
                <w:color w:val="auto"/>
                <w:sz w:val="24"/>
              </w:rPr>
            </w:pPr>
            <w:r>
              <w:rPr>
                <w:rFonts w:hint="eastAsia" w:cs="Times New Roman" w:eastAsiaTheme="minorEastAsia"/>
                <w:b/>
                <w:bCs/>
                <w:color w:val="auto"/>
                <w:sz w:val="24"/>
                <w:lang w:val="en-US" w:eastAsia="zh-CN"/>
              </w:rPr>
              <w:t>1</w:t>
            </w:r>
            <w:r>
              <w:rPr>
                <w:rFonts w:hint="default" w:ascii="Times New Roman" w:hAnsi="Times New Roman" w:cs="Times New Roman" w:eastAsiaTheme="minorEastAsia"/>
                <w:b/>
                <w:bCs/>
                <w:color w:val="auto"/>
                <w:sz w:val="24"/>
              </w:rPr>
              <w:t>、</w:t>
            </w:r>
            <w:r>
              <w:rPr>
                <w:b/>
                <w:bCs/>
                <w:snapToGrid w:val="0"/>
                <w:color w:val="auto"/>
                <w:kern w:val="21"/>
                <w:sz w:val="24"/>
                <w:highlight w:val="none"/>
              </w:rPr>
              <w:t>大气环境保护目标</w:t>
            </w:r>
          </w:p>
          <w:p w14:paraId="5EB064AB">
            <w:pPr>
              <w:adjustRightInd w:val="0"/>
              <w:snapToGrid w:val="0"/>
              <w:spacing w:line="480" w:lineRule="exact"/>
              <w:ind w:firstLine="480" w:firstLineChars="200"/>
              <w:rPr>
                <w:rFonts w:hint="default" w:ascii="Times New Roman" w:hAnsi="Times New Roman" w:cs="Times New Roman" w:eastAsiaTheme="minorEastAsia"/>
                <w:color w:val="auto"/>
                <w:kern w:val="0"/>
                <w:sz w:val="24"/>
                <w:lang w:val="en-US" w:eastAsia="zh-CN"/>
              </w:rPr>
            </w:pPr>
            <w:r>
              <w:rPr>
                <w:rFonts w:hint="default" w:ascii="Times New Roman" w:hAnsi="Times New Roman" w:cs="Times New Roman" w:eastAsiaTheme="minorEastAsia"/>
                <w:color w:val="auto"/>
                <w:kern w:val="0"/>
                <w:sz w:val="24"/>
              </w:rPr>
              <w:t>根据《建设项目环境影响报告表编制技术指南</w:t>
            </w:r>
            <w:r>
              <w:rPr>
                <w:rFonts w:hint="eastAsia" w:ascii="Times New Roman" w:hAnsi="Times New Roman" w:cs="Times New Roman" w:eastAsiaTheme="minorEastAsia"/>
                <w:color w:val="auto"/>
                <w:kern w:val="0"/>
                <w:sz w:val="24"/>
                <w:lang w:eastAsia="zh-CN"/>
              </w:rPr>
              <w:t>（</w:t>
            </w:r>
            <w:r>
              <w:rPr>
                <w:rFonts w:hint="default" w:ascii="Times New Roman" w:hAnsi="Times New Roman" w:cs="Times New Roman" w:eastAsiaTheme="minorEastAsia"/>
                <w:color w:val="auto"/>
                <w:kern w:val="0"/>
                <w:sz w:val="24"/>
              </w:rPr>
              <w:t>污染</w:t>
            </w:r>
            <w:r>
              <w:rPr>
                <w:rFonts w:hint="eastAsia" w:cs="Times New Roman" w:eastAsiaTheme="minorEastAsia"/>
                <w:color w:val="auto"/>
                <w:kern w:val="0"/>
                <w:sz w:val="24"/>
                <w:lang w:val="en-US" w:eastAsia="zh-CN"/>
              </w:rPr>
              <w:t>影响</w:t>
            </w:r>
            <w:r>
              <w:rPr>
                <w:rFonts w:hint="default" w:ascii="Times New Roman" w:hAnsi="Times New Roman" w:cs="Times New Roman" w:eastAsiaTheme="minorEastAsia"/>
                <w:color w:val="auto"/>
                <w:kern w:val="0"/>
                <w:sz w:val="24"/>
              </w:rPr>
              <w:t>类</w:t>
            </w:r>
            <w:r>
              <w:rPr>
                <w:rFonts w:hint="eastAsia" w:ascii="Times New Roman" w:hAnsi="Times New Roman" w:cs="Times New Roman" w:eastAsiaTheme="minorEastAsia"/>
                <w:color w:val="auto"/>
                <w:kern w:val="0"/>
                <w:sz w:val="24"/>
                <w:lang w:eastAsia="zh-CN"/>
              </w:rPr>
              <w:t>）（</w:t>
            </w:r>
            <w:r>
              <w:rPr>
                <w:rFonts w:hint="default" w:ascii="Times New Roman" w:hAnsi="Times New Roman" w:cs="Times New Roman" w:eastAsiaTheme="minorEastAsia"/>
                <w:color w:val="auto"/>
                <w:kern w:val="0"/>
                <w:sz w:val="24"/>
              </w:rPr>
              <w:t>试行</w:t>
            </w:r>
            <w:r>
              <w:rPr>
                <w:rFonts w:hint="eastAsia" w:ascii="Times New Roman" w:hAnsi="Times New Roman" w:cs="Times New Roman" w:eastAsiaTheme="minorEastAsia"/>
                <w:color w:val="auto"/>
                <w:kern w:val="0"/>
                <w:sz w:val="24"/>
                <w:lang w:eastAsia="zh-CN"/>
              </w:rPr>
              <w:t>）</w:t>
            </w:r>
            <w:r>
              <w:rPr>
                <w:rFonts w:hint="default" w:ascii="Times New Roman" w:hAnsi="Times New Roman" w:cs="Times New Roman" w:eastAsiaTheme="minorEastAsia"/>
                <w:color w:val="auto"/>
                <w:kern w:val="0"/>
                <w:sz w:val="24"/>
              </w:rPr>
              <w:t>》中</w:t>
            </w:r>
            <w:r>
              <w:rPr>
                <w:rFonts w:hint="eastAsia" w:cs="Times New Roman" w:eastAsiaTheme="minorEastAsia"/>
                <w:color w:val="auto"/>
                <w:kern w:val="0"/>
                <w:sz w:val="24"/>
                <w:lang w:eastAsia="zh-CN"/>
              </w:rPr>
              <w:t>“</w:t>
            </w:r>
            <w:r>
              <w:rPr>
                <w:rFonts w:hint="default" w:ascii="Times New Roman" w:hAnsi="Times New Roman" w:cs="Times New Roman" w:eastAsiaTheme="minorEastAsia"/>
                <w:color w:val="auto"/>
                <w:kern w:val="0"/>
                <w:sz w:val="24"/>
              </w:rPr>
              <w:t>三、具体编制要求</w:t>
            </w:r>
            <w:r>
              <w:rPr>
                <w:rFonts w:hint="eastAsia" w:cs="Times New Roman" w:eastAsiaTheme="minorEastAsia"/>
                <w:color w:val="auto"/>
                <w:kern w:val="0"/>
                <w:sz w:val="24"/>
                <w:lang w:eastAsia="zh-CN"/>
              </w:rPr>
              <w:t>”</w:t>
            </w:r>
            <w:r>
              <w:rPr>
                <w:rFonts w:hint="default" w:ascii="Times New Roman" w:hAnsi="Times New Roman" w:cs="Times New Roman" w:eastAsiaTheme="minorEastAsia"/>
                <w:color w:val="auto"/>
                <w:kern w:val="0"/>
                <w:sz w:val="24"/>
              </w:rPr>
              <w:t>对</w:t>
            </w:r>
            <w:r>
              <w:rPr>
                <w:rFonts w:hint="eastAsia" w:cs="Times New Roman" w:eastAsiaTheme="minorEastAsia"/>
                <w:color w:val="auto"/>
                <w:kern w:val="0"/>
                <w:sz w:val="24"/>
                <w:lang w:eastAsia="zh-CN"/>
              </w:rPr>
              <w:t>“</w:t>
            </w:r>
            <w:r>
              <w:rPr>
                <w:rFonts w:hint="default" w:ascii="Times New Roman" w:hAnsi="Times New Roman" w:cs="Times New Roman" w:eastAsiaTheme="minorEastAsia"/>
                <w:color w:val="auto"/>
                <w:kern w:val="0"/>
                <w:sz w:val="24"/>
              </w:rPr>
              <w:t>环境保护目标</w:t>
            </w:r>
            <w:r>
              <w:rPr>
                <w:rFonts w:hint="eastAsia" w:cs="Times New Roman" w:eastAsiaTheme="minorEastAsia"/>
                <w:color w:val="auto"/>
                <w:kern w:val="0"/>
                <w:sz w:val="24"/>
                <w:lang w:eastAsia="zh-CN"/>
              </w:rPr>
              <w:t>”</w:t>
            </w:r>
            <w:r>
              <w:rPr>
                <w:rFonts w:hint="default" w:ascii="Times New Roman" w:hAnsi="Times New Roman" w:cs="Times New Roman" w:eastAsiaTheme="minorEastAsia"/>
                <w:color w:val="auto"/>
                <w:kern w:val="0"/>
                <w:sz w:val="24"/>
              </w:rPr>
              <w:t>的具体要求，应</w:t>
            </w:r>
            <w:r>
              <w:rPr>
                <w:rFonts w:hint="eastAsia" w:cs="Times New Roman" w:eastAsiaTheme="minorEastAsia"/>
                <w:color w:val="auto"/>
                <w:kern w:val="0"/>
                <w:sz w:val="24"/>
                <w:lang w:eastAsia="zh-CN"/>
              </w:rPr>
              <w:t>“</w:t>
            </w:r>
            <w:r>
              <w:rPr>
                <w:rFonts w:hint="default" w:ascii="Times New Roman" w:hAnsi="Times New Roman" w:cs="Times New Roman" w:eastAsiaTheme="minorEastAsia"/>
                <w:color w:val="auto"/>
                <w:kern w:val="0"/>
                <w:sz w:val="24"/>
              </w:rPr>
              <w:t>明确</w:t>
            </w:r>
            <w:r>
              <w:rPr>
                <w:rFonts w:hint="eastAsia" w:cs="Times New Roman" w:eastAsiaTheme="minorEastAsia"/>
                <w:color w:val="auto"/>
                <w:kern w:val="0"/>
                <w:sz w:val="24"/>
                <w:lang w:val="en-US" w:eastAsia="zh-CN"/>
              </w:rPr>
              <w:t>厂界</w:t>
            </w:r>
            <w:r>
              <w:rPr>
                <w:rFonts w:hint="default" w:ascii="Times New Roman" w:hAnsi="Times New Roman" w:cs="Times New Roman" w:eastAsiaTheme="minorEastAsia"/>
                <w:color w:val="auto"/>
                <w:kern w:val="0"/>
                <w:sz w:val="24"/>
              </w:rPr>
              <w:t>外500米范围内的自然保护区、风景名胜区、居住区、文化区和农村地区中人群较集中区域等保护目标的名称及与建设项目厂界位置关系</w:t>
            </w:r>
            <w:r>
              <w:rPr>
                <w:rFonts w:hint="eastAsia" w:cs="Times New Roman" w:eastAsiaTheme="minorEastAsia"/>
                <w:color w:val="auto"/>
                <w:kern w:val="0"/>
                <w:sz w:val="24"/>
                <w:lang w:eastAsia="zh-CN"/>
              </w:rPr>
              <w:t>”</w:t>
            </w:r>
            <w:r>
              <w:rPr>
                <w:rFonts w:hint="default" w:ascii="Times New Roman" w:hAnsi="Times New Roman" w:cs="Times New Roman" w:eastAsiaTheme="minorEastAsia"/>
                <w:color w:val="auto"/>
                <w:kern w:val="0"/>
                <w:sz w:val="24"/>
              </w:rPr>
              <w:t>。故以公司厂界外扩500m范围内的</w:t>
            </w:r>
            <w:r>
              <w:rPr>
                <w:rFonts w:hint="eastAsia" w:ascii="Times New Roman" w:hAnsi="Times New Roman" w:cs="Times New Roman" w:eastAsiaTheme="minorEastAsia"/>
                <w:color w:val="auto"/>
                <w:kern w:val="0"/>
                <w:sz w:val="24"/>
                <w:lang w:val="en-US" w:eastAsia="zh-CN"/>
              </w:rPr>
              <w:t>居民点</w:t>
            </w:r>
            <w:r>
              <w:rPr>
                <w:rFonts w:hint="eastAsia" w:cs="Times New Roman" w:eastAsiaTheme="minorEastAsia"/>
                <w:color w:val="auto"/>
                <w:kern w:val="0"/>
                <w:sz w:val="24"/>
                <w:lang w:val="en-US" w:eastAsia="zh-CN"/>
              </w:rPr>
              <w:t>、学校、卫生院</w:t>
            </w:r>
            <w:r>
              <w:rPr>
                <w:rFonts w:hint="default" w:ascii="Times New Roman" w:hAnsi="Times New Roman" w:cs="Times New Roman" w:eastAsiaTheme="minorEastAsia"/>
                <w:color w:val="auto"/>
                <w:kern w:val="0"/>
                <w:sz w:val="24"/>
              </w:rPr>
              <w:t>为环境空气保护目标</w:t>
            </w:r>
            <w:r>
              <w:rPr>
                <w:rFonts w:hint="eastAsia" w:cs="Times New Roman" w:eastAsiaTheme="minorEastAsia"/>
                <w:color w:val="auto"/>
                <w:kern w:val="0"/>
                <w:sz w:val="24"/>
                <w:lang w:eastAsia="zh-CN"/>
              </w:rPr>
              <w:t>，</w:t>
            </w:r>
            <w:r>
              <w:rPr>
                <w:rFonts w:hint="eastAsia" w:cs="Times New Roman" w:eastAsiaTheme="minorEastAsia"/>
                <w:color w:val="auto"/>
                <w:kern w:val="0"/>
                <w:sz w:val="24"/>
                <w:lang w:val="en-US" w:eastAsia="zh-CN"/>
              </w:rPr>
              <w:t>见表15。</w:t>
            </w:r>
          </w:p>
          <w:p w14:paraId="22B81BCB">
            <w:pPr>
              <w:adjustRightInd w:val="0"/>
              <w:snapToGrid w:val="0"/>
              <w:spacing w:line="500" w:lineRule="exact"/>
              <w:jc w:val="center"/>
              <w:rPr>
                <w:rFonts w:hint="eastAsia"/>
                <w:b/>
                <w:bCs/>
                <w:color w:val="auto"/>
                <w:sz w:val="24"/>
                <w:szCs w:val="22"/>
                <w:lang w:val="en-US" w:eastAsia="zh-CN"/>
              </w:rPr>
            </w:pPr>
            <w:r>
              <w:rPr>
                <w:rFonts w:ascii="Times New Roman" w:hAnsi="Times New Roman"/>
                <w:b/>
                <w:bCs/>
                <w:color w:val="auto"/>
                <w:sz w:val="24"/>
                <w:szCs w:val="22"/>
              </w:rPr>
              <w:t>表</w:t>
            </w:r>
            <w:r>
              <w:rPr>
                <w:rFonts w:hint="eastAsia"/>
                <w:b/>
                <w:bCs/>
                <w:color w:val="auto"/>
                <w:sz w:val="24"/>
                <w:szCs w:val="22"/>
                <w:lang w:val="en-US" w:eastAsia="zh-CN"/>
              </w:rPr>
              <w:t xml:space="preserve">15   </w:t>
            </w:r>
            <w:r>
              <w:rPr>
                <w:rFonts w:ascii="Times New Roman" w:hAnsi="Times New Roman"/>
                <w:b/>
                <w:bCs/>
                <w:color w:val="auto"/>
                <w:sz w:val="24"/>
                <w:szCs w:val="22"/>
              </w:rPr>
              <w:t>环境</w:t>
            </w:r>
            <w:r>
              <w:rPr>
                <w:rFonts w:hint="eastAsia" w:ascii="Times New Roman" w:hAnsi="Times New Roman"/>
                <w:b/>
                <w:bCs/>
                <w:color w:val="auto"/>
                <w:sz w:val="24"/>
                <w:szCs w:val="22"/>
                <w:lang w:val="en-US" w:eastAsia="zh-CN"/>
              </w:rPr>
              <w:t>空气</w:t>
            </w:r>
            <w:r>
              <w:rPr>
                <w:rFonts w:ascii="Times New Roman" w:hAnsi="Times New Roman"/>
                <w:b/>
                <w:bCs/>
                <w:color w:val="auto"/>
                <w:sz w:val="24"/>
                <w:szCs w:val="22"/>
              </w:rPr>
              <w:t>保护目标</w:t>
            </w:r>
            <w:r>
              <w:rPr>
                <w:rFonts w:hint="eastAsia"/>
                <w:b/>
                <w:bCs/>
                <w:color w:val="auto"/>
                <w:sz w:val="24"/>
                <w:szCs w:val="22"/>
                <w:lang w:val="en-US" w:eastAsia="zh-CN"/>
              </w:rPr>
              <w:t>一览表</w:t>
            </w:r>
          </w:p>
          <w:tbl>
            <w:tblPr>
              <w:tblStyle w:val="28"/>
              <w:tblW w:w="8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46"/>
              <w:gridCol w:w="696"/>
              <w:gridCol w:w="1555"/>
              <w:gridCol w:w="641"/>
              <w:gridCol w:w="848"/>
              <w:gridCol w:w="1020"/>
              <w:gridCol w:w="885"/>
              <w:gridCol w:w="705"/>
              <w:gridCol w:w="1199"/>
            </w:tblGrid>
            <w:tr w14:paraId="3C2ADF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80" w:hRule="atLeast"/>
                <w:jc w:val="center"/>
              </w:trPr>
              <w:tc>
                <w:tcPr>
                  <w:tcW w:w="546" w:type="dxa"/>
                  <w:noWrap w:val="0"/>
                  <w:vAlign w:val="center"/>
                </w:tcPr>
                <w:p w14:paraId="77BB1256">
                  <w:pPr>
                    <w:pStyle w:val="103"/>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color w:val="auto"/>
                      <w:sz w:val="21"/>
                      <w:szCs w:val="21"/>
                    </w:rPr>
                  </w:pPr>
                  <w:r>
                    <w:rPr>
                      <w:rFonts w:hint="default" w:ascii="Times New Roman" w:hAnsi="Times New Roman"/>
                      <w:color w:val="auto"/>
                      <w:sz w:val="21"/>
                      <w:szCs w:val="21"/>
                    </w:rPr>
                    <w:t>环境要素</w:t>
                  </w:r>
                </w:p>
              </w:tc>
              <w:tc>
                <w:tcPr>
                  <w:tcW w:w="696" w:type="dxa"/>
                  <w:noWrap w:val="0"/>
                  <w:vAlign w:val="center"/>
                </w:tcPr>
                <w:p w14:paraId="0487CE31">
                  <w:pPr>
                    <w:pStyle w:val="103"/>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名称</w:t>
                  </w:r>
                </w:p>
              </w:tc>
              <w:tc>
                <w:tcPr>
                  <w:tcW w:w="1555" w:type="dxa"/>
                  <w:noWrap w:val="0"/>
                  <w:vAlign w:val="center"/>
                </w:tcPr>
                <w:p w14:paraId="3D91FFFD">
                  <w:pPr>
                    <w:pStyle w:val="103"/>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color w:val="auto"/>
                      <w:sz w:val="21"/>
                      <w:szCs w:val="21"/>
                      <w:lang w:val="en-US" w:eastAsia="zh-CN"/>
                    </w:rPr>
                  </w:pPr>
                  <w:r>
                    <w:rPr>
                      <w:rFonts w:hint="eastAsia" w:ascii="Times New Roman" w:hAnsi="Times New Roman"/>
                      <w:color w:val="auto"/>
                      <w:sz w:val="21"/>
                      <w:szCs w:val="21"/>
                      <w:lang w:eastAsia="zh-CN"/>
                    </w:rPr>
                    <w:t>坐标</w:t>
                  </w:r>
                  <w:r>
                    <w:rPr>
                      <w:rFonts w:hint="eastAsia"/>
                      <w:color w:val="auto"/>
                      <w:sz w:val="21"/>
                      <w:szCs w:val="21"/>
                      <w:lang w:eastAsia="zh-CN"/>
                    </w:rPr>
                    <w:t>（</w:t>
                  </w:r>
                  <w:r>
                    <w:rPr>
                      <w:rFonts w:hint="eastAsia"/>
                      <w:color w:val="auto"/>
                      <w:sz w:val="21"/>
                      <w:szCs w:val="21"/>
                      <w:lang w:val="en-US" w:eastAsia="zh-CN"/>
                    </w:rPr>
                    <w:t>经纬度</w:t>
                  </w:r>
                  <w:r>
                    <w:rPr>
                      <w:rFonts w:hint="eastAsia"/>
                      <w:color w:val="auto"/>
                      <w:sz w:val="21"/>
                      <w:szCs w:val="21"/>
                      <w:lang w:eastAsia="zh-CN"/>
                    </w:rPr>
                    <w:t>）</w:t>
                  </w:r>
                </w:p>
              </w:tc>
              <w:tc>
                <w:tcPr>
                  <w:tcW w:w="641" w:type="dxa"/>
                  <w:noWrap w:val="0"/>
                  <w:vAlign w:val="center"/>
                </w:tcPr>
                <w:p w14:paraId="3FCCA079">
                  <w:pPr>
                    <w:pStyle w:val="103"/>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保护对象</w:t>
                  </w:r>
                </w:p>
              </w:tc>
              <w:tc>
                <w:tcPr>
                  <w:tcW w:w="848" w:type="dxa"/>
                  <w:noWrap w:val="0"/>
                  <w:vAlign w:val="center"/>
                </w:tcPr>
                <w:p w14:paraId="0C6707F4">
                  <w:pPr>
                    <w:pStyle w:val="103"/>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相对厂址方位</w:t>
                  </w:r>
                </w:p>
              </w:tc>
              <w:tc>
                <w:tcPr>
                  <w:tcW w:w="1020" w:type="dxa"/>
                  <w:noWrap w:val="0"/>
                  <w:vAlign w:val="center"/>
                </w:tcPr>
                <w:p w14:paraId="07F15D4D">
                  <w:pPr>
                    <w:pStyle w:val="103"/>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color w:val="auto"/>
                      <w:sz w:val="21"/>
                      <w:szCs w:val="21"/>
                    </w:rPr>
                  </w:pPr>
                  <w:r>
                    <w:rPr>
                      <w:rFonts w:hint="eastAsia"/>
                      <w:color w:val="auto"/>
                      <w:sz w:val="21"/>
                      <w:szCs w:val="21"/>
                      <w:lang w:val="en-US" w:eastAsia="zh-CN"/>
                    </w:rPr>
                    <w:t>相距厂界</w:t>
                  </w:r>
                  <w:r>
                    <w:rPr>
                      <w:rFonts w:hint="default" w:ascii="Times New Roman" w:hAnsi="Times New Roman"/>
                      <w:color w:val="auto"/>
                      <w:sz w:val="21"/>
                      <w:szCs w:val="21"/>
                    </w:rPr>
                    <w:t>距离（m）</w:t>
                  </w:r>
                </w:p>
              </w:tc>
              <w:tc>
                <w:tcPr>
                  <w:tcW w:w="885" w:type="dxa"/>
                  <w:noWrap w:val="0"/>
                  <w:vAlign w:val="center"/>
                </w:tcPr>
                <w:p w14:paraId="273383E4">
                  <w:pPr>
                    <w:pStyle w:val="103"/>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环境功能区</w:t>
                  </w:r>
                </w:p>
              </w:tc>
              <w:tc>
                <w:tcPr>
                  <w:tcW w:w="705" w:type="dxa"/>
                  <w:noWrap w:val="0"/>
                  <w:vAlign w:val="center"/>
                </w:tcPr>
                <w:p w14:paraId="0043FFD8">
                  <w:pPr>
                    <w:pStyle w:val="103"/>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保护</w:t>
                  </w:r>
                </w:p>
                <w:p w14:paraId="4BFA809B">
                  <w:pPr>
                    <w:pStyle w:val="103"/>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color w:val="auto"/>
                      <w:sz w:val="21"/>
                      <w:szCs w:val="21"/>
                    </w:rPr>
                  </w:pPr>
                  <w:r>
                    <w:rPr>
                      <w:rFonts w:hint="eastAsia" w:ascii="Times New Roman" w:hAnsi="Times New Roman"/>
                      <w:color w:val="auto"/>
                      <w:sz w:val="21"/>
                      <w:szCs w:val="21"/>
                      <w:lang w:val="en-US" w:eastAsia="zh-CN"/>
                    </w:rPr>
                    <w:t>内容</w:t>
                  </w:r>
                </w:p>
              </w:tc>
              <w:tc>
                <w:tcPr>
                  <w:tcW w:w="1199" w:type="dxa"/>
                  <w:noWrap w:val="0"/>
                  <w:vAlign w:val="center"/>
                </w:tcPr>
                <w:p w14:paraId="73771F54">
                  <w:pPr>
                    <w:pStyle w:val="103"/>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imes New Roman" w:hAnsi="Times New Roman"/>
                      <w:color w:val="auto"/>
                      <w:sz w:val="21"/>
                      <w:szCs w:val="21"/>
                      <w:lang w:val="en-US" w:eastAsia="zh-CN"/>
                    </w:rPr>
                  </w:pPr>
                  <w:r>
                    <w:rPr>
                      <w:rFonts w:hint="eastAsia"/>
                      <w:color w:val="auto"/>
                      <w:lang w:val="en-US" w:eastAsia="zh-CN"/>
                    </w:rPr>
                    <w:t>保护级别</w:t>
                  </w:r>
                </w:p>
              </w:tc>
            </w:tr>
            <w:tr w14:paraId="6EA15B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39" w:hRule="atLeast"/>
                <w:jc w:val="center"/>
              </w:trPr>
              <w:tc>
                <w:tcPr>
                  <w:tcW w:w="546" w:type="dxa"/>
                  <w:vMerge w:val="restart"/>
                  <w:noWrap w:val="0"/>
                  <w:vAlign w:val="center"/>
                </w:tcPr>
                <w:p w14:paraId="6887AA02">
                  <w:pPr>
                    <w:pStyle w:val="103"/>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olor w:val="auto"/>
                      <w:sz w:val="21"/>
                      <w:szCs w:val="21"/>
                    </w:rPr>
                  </w:pPr>
                  <w:r>
                    <w:rPr>
                      <w:rFonts w:hint="default" w:ascii="Times New Roman" w:hAnsi="Times New Roman"/>
                      <w:color w:val="auto"/>
                      <w:sz w:val="21"/>
                      <w:szCs w:val="21"/>
                    </w:rPr>
                    <w:t>环境</w:t>
                  </w:r>
                </w:p>
                <w:p w14:paraId="722A9A77">
                  <w:pPr>
                    <w:pStyle w:val="103"/>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olor w:val="auto"/>
                      <w:sz w:val="21"/>
                      <w:szCs w:val="21"/>
                    </w:rPr>
                  </w:pPr>
                  <w:r>
                    <w:rPr>
                      <w:rFonts w:hint="default" w:ascii="Times New Roman" w:hAnsi="Times New Roman"/>
                      <w:color w:val="auto"/>
                      <w:sz w:val="21"/>
                      <w:szCs w:val="21"/>
                    </w:rPr>
                    <w:t>空气</w:t>
                  </w:r>
                </w:p>
              </w:tc>
              <w:tc>
                <w:tcPr>
                  <w:tcW w:w="696" w:type="dxa"/>
                  <w:noWrap w:val="0"/>
                  <w:vAlign w:val="center"/>
                </w:tcPr>
                <w:p w14:paraId="1D9DBA2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color w:val="auto"/>
                      <w:sz w:val="21"/>
                      <w:szCs w:val="21"/>
                      <w:lang w:val="en-US" w:eastAsia="zh-CN"/>
                    </w:rPr>
                  </w:pPr>
                  <w:r>
                    <w:rPr>
                      <w:rFonts w:hint="eastAsia"/>
                      <w:color w:val="auto"/>
                      <w:sz w:val="21"/>
                      <w:szCs w:val="21"/>
                      <w:lang w:val="en-US" w:eastAsia="zh-CN"/>
                    </w:rPr>
                    <w:t>中烟村</w:t>
                  </w:r>
                </w:p>
              </w:tc>
              <w:tc>
                <w:tcPr>
                  <w:tcW w:w="1555" w:type="dxa"/>
                  <w:noWrap w:val="0"/>
                  <w:vAlign w:val="center"/>
                </w:tcPr>
                <w:p w14:paraId="0218FE50">
                  <w:pPr>
                    <w:pStyle w:val="103"/>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olor w:val="auto"/>
                      <w:sz w:val="21"/>
                      <w:szCs w:val="21"/>
                    </w:rPr>
                  </w:pPr>
                  <w:r>
                    <w:rPr>
                      <w:rFonts w:hint="eastAsia"/>
                      <w:color w:val="auto"/>
                      <w:sz w:val="21"/>
                      <w:szCs w:val="21"/>
                      <w:lang w:val="en-US" w:eastAsia="zh-CN"/>
                    </w:rPr>
                    <w:t>北纬</w:t>
                  </w:r>
                  <w:r>
                    <w:rPr>
                      <w:rFonts w:hint="default" w:ascii="Times New Roman" w:hAnsi="Times New Roman"/>
                      <w:color w:val="auto"/>
                      <w:sz w:val="21"/>
                      <w:szCs w:val="21"/>
                    </w:rPr>
                    <w:t>3</w:t>
                  </w:r>
                  <w:r>
                    <w:rPr>
                      <w:rFonts w:hint="eastAsia"/>
                      <w:color w:val="auto"/>
                      <w:sz w:val="21"/>
                      <w:szCs w:val="21"/>
                      <w:lang w:val="en-US" w:eastAsia="zh-CN"/>
                    </w:rPr>
                    <w:t>6</w:t>
                  </w:r>
                  <w:r>
                    <w:rPr>
                      <w:rFonts w:hint="default" w:ascii="Times New Roman" w:hAnsi="Times New Roman"/>
                      <w:color w:val="auto"/>
                      <w:sz w:val="21"/>
                      <w:szCs w:val="21"/>
                    </w:rPr>
                    <w:t>°</w:t>
                  </w:r>
                  <w:r>
                    <w:rPr>
                      <w:rFonts w:hint="eastAsia"/>
                      <w:color w:val="auto"/>
                      <w:sz w:val="21"/>
                      <w:szCs w:val="21"/>
                      <w:lang w:val="en-US" w:eastAsia="zh-CN"/>
                    </w:rPr>
                    <w:t>6</w:t>
                  </w:r>
                  <w:r>
                    <w:rPr>
                      <w:rFonts w:hint="default" w:ascii="Times New Roman" w:hAnsi="Times New Roman"/>
                      <w:color w:val="auto"/>
                      <w:sz w:val="21"/>
                      <w:szCs w:val="21"/>
                    </w:rPr>
                    <w:t>'</w:t>
                  </w:r>
                  <w:r>
                    <w:rPr>
                      <w:rFonts w:hint="eastAsia"/>
                      <w:color w:val="auto"/>
                      <w:sz w:val="21"/>
                      <w:szCs w:val="21"/>
                      <w:lang w:val="en-US" w:eastAsia="zh-CN"/>
                    </w:rPr>
                    <w:t>13.327</w:t>
                  </w:r>
                  <w:r>
                    <w:rPr>
                      <w:rFonts w:hint="default" w:ascii="Times New Roman" w:hAnsi="Times New Roman"/>
                      <w:color w:val="auto"/>
                      <w:sz w:val="21"/>
                      <w:szCs w:val="21"/>
                    </w:rPr>
                    <w:t>"</w:t>
                  </w:r>
                </w:p>
                <w:p w14:paraId="69BAF1A7">
                  <w:pPr>
                    <w:pStyle w:val="103"/>
                    <w:keepNext w:val="0"/>
                    <w:keepLines w:val="0"/>
                    <w:pageBreakBefore w:val="0"/>
                    <w:kinsoku/>
                    <w:wordWrap/>
                    <w:overflowPunct/>
                    <w:topLinePunct w:val="0"/>
                    <w:autoSpaceDE/>
                    <w:autoSpaceDN/>
                    <w:bidi w:val="0"/>
                    <w:adjustRightInd/>
                    <w:snapToGrid/>
                    <w:spacing w:line="320" w:lineRule="exact"/>
                    <w:textAlignment w:val="auto"/>
                    <w:rPr>
                      <w:rFonts w:hint="eastAsia"/>
                      <w:color w:val="auto"/>
                      <w:sz w:val="21"/>
                      <w:szCs w:val="21"/>
                      <w:lang w:val="en-US" w:eastAsia="zh-CN"/>
                    </w:rPr>
                  </w:pPr>
                  <w:r>
                    <w:rPr>
                      <w:rFonts w:hint="eastAsia"/>
                      <w:color w:val="auto"/>
                      <w:sz w:val="21"/>
                      <w:szCs w:val="21"/>
                      <w:lang w:val="en-US" w:eastAsia="zh-CN"/>
                    </w:rPr>
                    <w:t>东经</w:t>
                  </w:r>
                  <w:r>
                    <w:rPr>
                      <w:rFonts w:hint="default" w:ascii="Times New Roman" w:hAnsi="Times New Roman"/>
                      <w:color w:val="auto"/>
                      <w:sz w:val="21"/>
                      <w:szCs w:val="21"/>
                    </w:rPr>
                    <w:t>11</w:t>
                  </w:r>
                  <w:r>
                    <w:rPr>
                      <w:rFonts w:hint="eastAsia"/>
                      <w:color w:val="auto"/>
                      <w:sz w:val="21"/>
                      <w:szCs w:val="21"/>
                      <w:lang w:val="en-US" w:eastAsia="zh-CN"/>
                    </w:rPr>
                    <w:t>4</w:t>
                  </w:r>
                  <w:r>
                    <w:rPr>
                      <w:rFonts w:hint="default" w:ascii="Times New Roman" w:hAnsi="Times New Roman"/>
                      <w:color w:val="auto"/>
                      <w:sz w:val="21"/>
                      <w:szCs w:val="21"/>
                    </w:rPr>
                    <w:t>°</w:t>
                  </w:r>
                  <w:r>
                    <w:rPr>
                      <w:rFonts w:hint="eastAsia"/>
                      <w:color w:val="auto"/>
                      <w:sz w:val="21"/>
                      <w:szCs w:val="21"/>
                      <w:lang w:val="en-US" w:eastAsia="zh-CN"/>
                    </w:rPr>
                    <w:t>57</w:t>
                  </w:r>
                  <w:r>
                    <w:rPr>
                      <w:rFonts w:hint="default" w:ascii="Times New Roman" w:hAnsi="Times New Roman"/>
                      <w:color w:val="auto"/>
                      <w:sz w:val="21"/>
                      <w:szCs w:val="21"/>
                    </w:rPr>
                    <w:t>'</w:t>
                  </w:r>
                  <w:r>
                    <w:rPr>
                      <w:rFonts w:hint="eastAsia"/>
                      <w:color w:val="auto"/>
                      <w:sz w:val="21"/>
                      <w:szCs w:val="21"/>
                      <w:lang w:val="en-US" w:eastAsia="zh-CN"/>
                    </w:rPr>
                    <w:t>3.759</w:t>
                  </w:r>
                  <w:r>
                    <w:rPr>
                      <w:rFonts w:hint="default" w:ascii="Times New Roman" w:hAnsi="Times New Roman"/>
                      <w:color w:val="auto"/>
                      <w:sz w:val="21"/>
                      <w:szCs w:val="21"/>
                    </w:rPr>
                    <w:t>"</w:t>
                  </w:r>
                </w:p>
              </w:tc>
              <w:tc>
                <w:tcPr>
                  <w:tcW w:w="641" w:type="dxa"/>
                  <w:noWrap w:val="0"/>
                  <w:vAlign w:val="center"/>
                </w:tcPr>
                <w:p w14:paraId="7E6B8972">
                  <w:pPr>
                    <w:pStyle w:val="103"/>
                    <w:keepNext w:val="0"/>
                    <w:keepLines w:val="0"/>
                    <w:pageBreakBefore w:val="0"/>
                    <w:kinsoku/>
                    <w:wordWrap/>
                    <w:overflowPunct/>
                    <w:topLinePunct w:val="0"/>
                    <w:autoSpaceDE/>
                    <w:autoSpaceDN/>
                    <w:bidi w:val="0"/>
                    <w:adjustRightInd/>
                    <w:snapToGrid/>
                    <w:spacing w:line="320" w:lineRule="exact"/>
                    <w:textAlignment w:val="auto"/>
                    <w:rPr>
                      <w:rFonts w:hint="eastAsia"/>
                      <w:color w:val="auto"/>
                      <w:sz w:val="21"/>
                      <w:szCs w:val="21"/>
                      <w:lang w:val="en-US" w:eastAsia="zh-CN"/>
                    </w:rPr>
                  </w:pPr>
                  <w:r>
                    <w:rPr>
                      <w:rFonts w:hint="eastAsia"/>
                      <w:color w:val="auto"/>
                      <w:sz w:val="21"/>
                      <w:szCs w:val="21"/>
                      <w:lang w:val="en-US" w:eastAsia="zh-CN"/>
                    </w:rPr>
                    <w:t>村庄</w:t>
                  </w:r>
                </w:p>
              </w:tc>
              <w:tc>
                <w:tcPr>
                  <w:tcW w:w="848" w:type="dxa"/>
                  <w:noWrap w:val="0"/>
                  <w:vAlign w:val="center"/>
                </w:tcPr>
                <w:p w14:paraId="5BB7B60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color w:val="auto"/>
                      <w:sz w:val="21"/>
                      <w:szCs w:val="21"/>
                      <w:lang w:val="en-US" w:eastAsia="zh-CN"/>
                    </w:rPr>
                  </w:pPr>
                  <w:r>
                    <w:rPr>
                      <w:rFonts w:hint="eastAsia"/>
                      <w:color w:val="auto"/>
                      <w:sz w:val="21"/>
                      <w:szCs w:val="21"/>
                      <w:lang w:val="en-US" w:eastAsia="zh-CN"/>
                    </w:rPr>
                    <w:t>E</w:t>
                  </w:r>
                </w:p>
              </w:tc>
              <w:tc>
                <w:tcPr>
                  <w:tcW w:w="1020" w:type="dxa"/>
                  <w:noWrap w:val="0"/>
                  <w:vAlign w:val="center"/>
                </w:tcPr>
                <w:p w14:paraId="159D495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color w:val="auto"/>
                      <w:sz w:val="21"/>
                      <w:szCs w:val="21"/>
                      <w:lang w:val="en-US" w:eastAsia="zh-CN"/>
                    </w:rPr>
                  </w:pPr>
                  <w:r>
                    <w:rPr>
                      <w:rFonts w:hint="eastAsia"/>
                      <w:color w:val="auto"/>
                      <w:sz w:val="21"/>
                      <w:szCs w:val="21"/>
                      <w:lang w:val="en-US" w:eastAsia="zh-CN"/>
                    </w:rPr>
                    <w:t>190</w:t>
                  </w:r>
                </w:p>
              </w:tc>
              <w:tc>
                <w:tcPr>
                  <w:tcW w:w="885" w:type="dxa"/>
                  <w:vMerge w:val="restart"/>
                  <w:noWrap w:val="0"/>
                  <w:vAlign w:val="center"/>
                </w:tcPr>
                <w:p w14:paraId="288F37A6">
                  <w:pPr>
                    <w:pStyle w:val="103"/>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olor w:val="auto"/>
                      <w:sz w:val="21"/>
                      <w:szCs w:val="21"/>
                    </w:rPr>
                  </w:pPr>
                  <w:r>
                    <w:rPr>
                      <w:rFonts w:hint="eastAsia"/>
                      <w:color w:val="auto"/>
                      <w:sz w:val="21"/>
                      <w:szCs w:val="21"/>
                      <w:lang w:val="en-US" w:eastAsia="zh-CN"/>
                    </w:rPr>
                    <w:t>二类区</w:t>
                  </w:r>
                </w:p>
              </w:tc>
              <w:tc>
                <w:tcPr>
                  <w:tcW w:w="705" w:type="dxa"/>
                  <w:noWrap w:val="0"/>
                  <w:vAlign w:val="center"/>
                </w:tcPr>
                <w:p w14:paraId="6196B8EA">
                  <w:pPr>
                    <w:pStyle w:val="103"/>
                    <w:keepNext w:val="0"/>
                    <w:keepLines w:val="0"/>
                    <w:pageBreakBefore w:val="0"/>
                    <w:kinsoku/>
                    <w:wordWrap/>
                    <w:overflowPunct/>
                    <w:topLinePunct w:val="0"/>
                    <w:autoSpaceDE/>
                    <w:autoSpaceDN/>
                    <w:bidi w:val="0"/>
                    <w:adjustRightInd/>
                    <w:snapToGrid/>
                    <w:spacing w:line="320" w:lineRule="exact"/>
                    <w:textAlignment w:val="auto"/>
                    <w:rPr>
                      <w:rFonts w:hint="eastAsia"/>
                      <w:color w:val="auto"/>
                      <w:sz w:val="21"/>
                      <w:szCs w:val="21"/>
                      <w:lang w:val="en-US" w:eastAsia="zh-CN"/>
                    </w:rPr>
                  </w:pPr>
                  <w:r>
                    <w:rPr>
                      <w:rFonts w:hint="eastAsia"/>
                      <w:color w:val="auto"/>
                      <w:sz w:val="21"/>
                      <w:szCs w:val="21"/>
                      <w:lang w:val="en-US" w:eastAsia="zh-CN"/>
                    </w:rPr>
                    <w:t>居民</w:t>
                  </w:r>
                </w:p>
              </w:tc>
              <w:tc>
                <w:tcPr>
                  <w:tcW w:w="1199" w:type="dxa"/>
                  <w:vMerge w:val="restart"/>
                  <w:noWrap w:val="0"/>
                  <w:vAlign w:val="center"/>
                </w:tcPr>
                <w:p w14:paraId="1DF5FA03">
                  <w:pPr>
                    <w:pStyle w:val="103"/>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《环境空气质量标准》</w:t>
                  </w:r>
                  <w:r>
                    <w:rPr>
                      <w:rFonts w:hint="eastAsia"/>
                      <w:color w:val="auto"/>
                      <w:sz w:val="21"/>
                      <w:szCs w:val="21"/>
                      <w:lang w:eastAsia="zh-CN"/>
                    </w:rPr>
                    <w:t>（</w:t>
                  </w:r>
                  <w:r>
                    <w:rPr>
                      <w:rFonts w:hint="eastAsia" w:ascii="Times New Roman" w:hAnsi="Times New Roman"/>
                      <w:color w:val="auto"/>
                      <w:sz w:val="21"/>
                      <w:szCs w:val="21"/>
                      <w:lang w:eastAsia="zh-CN"/>
                    </w:rPr>
                    <w:t>GB3095-2012</w:t>
                  </w:r>
                  <w:r>
                    <w:rPr>
                      <w:rFonts w:hint="eastAsia"/>
                      <w:color w:val="auto"/>
                      <w:sz w:val="21"/>
                      <w:szCs w:val="21"/>
                      <w:lang w:eastAsia="zh-CN"/>
                    </w:rPr>
                    <w:t>）</w:t>
                  </w:r>
                  <w:r>
                    <w:rPr>
                      <w:rFonts w:hint="eastAsia" w:ascii="Times New Roman" w:hAnsi="Times New Roman"/>
                      <w:color w:val="auto"/>
                      <w:sz w:val="21"/>
                      <w:szCs w:val="21"/>
                      <w:lang w:eastAsia="zh-CN"/>
                    </w:rPr>
                    <w:t>及修改单</w:t>
                  </w:r>
                  <w:r>
                    <w:rPr>
                      <w:rFonts w:hint="eastAsia"/>
                      <w:color w:val="auto"/>
                      <w:sz w:val="21"/>
                      <w:szCs w:val="21"/>
                      <w:lang w:eastAsia="zh-CN"/>
                    </w:rPr>
                    <w:t>（生态环境部</w:t>
                  </w:r>
                  <w:r>
                    <w:rPr>
                      <w:rFonts w:hint="eastAsia" w:ascii="Times New Roman" w:hAnsi="Times New Roman"/>
                      <w:color w:val="auto"/>
                      <w:sz w:val="21"/>
                      <w:szCs w:val="21"/>
                      <w:lang w:eastAsia="zh-CN"/>
                    </w:rPr>
                    <w:t>公告2018年第29号</w:t>
                  </w:r>
                  <w:r>
                    <w:rPr>
                      <w:rFonts w:hint="eastAsia"/>
                      <w:color w:val="auto"/>
                      <w:sz w:val="21"/>
                      <w:szCs w:val="21"/>
                      <w:lang w:eastAsia="zh-CN"/>
                    </w:rPr>
                    <w:t>）</w:t>
                  </w:r>
                  <w:r>
                    <w:rPr>
                      <w:rFonts w:hint="eastAsia" w:ascii="Times New Roman" w:hAnsi="Times New Roman"/>
                      <w:color w:val="auto"/>
                      <w:sz w:val="21"/>
                      <w:szCs w:val="21"/>
                      <w:lang w:eastAsia="zh-CN"/>
                    </w:rPr>
                    <w:t>二级标准要求</w:t>
                  </w:r>
                  <w:r>
                    <w:rPr>
                      <w:rFonts w:hint="eastAsia"/>
                      <w:color w:val="auto"/>
                      <w:sz w:val="21"/>
                      <w:szCs w:val="21"/>
                      <w:lang w:eastAsia="zh-CN"/>
                    </w:rPr>
                    <w:t>、</w:t>
                  </w:r>
                  <w:r>
                    <w:rPr>
                      <w:rFonts w:hint="eastAsia" w:cs="Times New Roman"/>
                      <w:color w:val="ED7D31" w:themeColor="accent2"/>
                      <w:lang w:eastAsia="zh-CN"/>
                      <w14:textFill>
                        <w14:solidFill>
                          <w14:schemeClr w14:val="accent2"/>
                        </w14:solidFill>
                      </w14:textFill>
                    </w:rPr>
                    <w:t>《环境空气质量 非甲烷总烃限值》（DB13/1577-2012）表1二级标准</w:t>
                  </w:r>
                </w:p>
              </w:tc>
            </w:tr>
            <w:tr w14:paraId="5E7B20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9" w:hRule="atLeast"/>
                <w:jc w:val="center"/>
              </w:trPr>
              <w:tc>
                <w:tcPr>
                  <w:tcW w:w="546" w:type="dxa"/>
                  <w:vMerge w:val="continue"/>
                  <w:noWrap w:val="0"/>
                  <w:vAlign w:val="center"/>
                </w:tcPr>
                <w:p w14:paraId="36EE24CE">
                  <w:pPr>
                    <w:pStyle w:val="103"/>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olor w:val="auto"/>
                      <w:sz w:val="21"/>
                      <w:szCs w:val="21"/>
                    </w:rPr>
                  </w:pPr>
                </w:p>
              </w:tc>
              <w:tc>
                <w:tcPr>
                  <w:tcW w:w="696" w:type="dxa"/>
                  <w:noWrap w:val="0"/>
                  <w:vAlign w:val="center"/>
                </w:tcPr>
                <w:p w14:paraId="039406E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color w:val="auto"/>
                      <w:sz w:val="21"/>
                      <w:szCs w:val="21"/>
                      <w:lang w:val="en-US" w:eastAsia="zh-CN"/>
                    </w:rPr>
                  </w:pPr>
                  <w:r>
                    <w:rPr>
                      <w:rFonts w:hint="eastAsia"/>
                      <w:color w:val="auto"/>
                      <w:sz w:val="21"/>
                      <w:szCs w:val="21"/>
                      <w:lang w:val="en-US" w:eastAsia="zh-CN"/>
                    </w:rPr>
                    <w:t>张二庄乡卫生院</w:t>
                  </w:r>
                </w:p>
              </w:tc>
              <w:tc>
                <w:tcPr>
                  <w:tcW w:w="1555" w:type="dxa"/>
                  <w:noWrap w:val="0"/>
                  <w:vAlign w:val="center"/>
                </w:tcPr>
                <w:p w14:paraId="2A92C0EF">
                  <w:pPr>
                    <w:pStyle w:val="103"/>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olor w:val="auto"/>
                      <w:sz w:val="21"/>
                      <w:szCs w:val="21"/>
                    </w:rPr>
                  </w:pPr>
                  <w:r>
                    <w:rPr>
                      <w:rFonts w:hint="eastAsia"/>
                      <w:color w:val="auto"/>
                      <w:sz w:val="21"/>
                      <w:szCs w:val="21"/>
                      <w:lang w:val="en-US" w:eastAsia="zh-CN"/>
                    </w:rPr>
                    <w:t>北纬</w:t>
                  </w:r>
                  <w:r>
                    <w:rPr>
                      <w:rFonts w:hint="default" w:ascii="Times New Roman" w:hAnsi="Times New Roman"/>
                      <w:color w:val="auto"/>
                      <w:sz w:val="21"/>
                      <w:szCs w:val="21"/>
                    </w:rPr>
                    <w:t>3</w:t>
                  </w:r>
                  <w:r>
                    <w:rPr>
                      <w:rFonts w:hint="eastAsia"/>
                      <w:color w:val="auto"/>
                      <w:sz w:val="21"/>
                      <w:szCs w:val="21"/>
                      <w:lang w:val="en-US" w:eastAsia="zh-CN"/>
                    </w:rPr>
                    <w:t>6</w:t>
                  </w:r>
                  <w:r>
                    <w:rPr>
                      <w:rFonts w:hint="default" w:ascii="Times New Roman" w:hAnsi="Times New Roman"/>
                      <w:color w:val="auto"/>
                      <w:sz w:val="21"/>
                      <w:szCs w:val="21"/>
                    </w:rPr>
                    <w:t>°</w:t>
                  </w:r>
                  <w:r>
                    <w:rPr>
                      <w:rFonts w:hint="eastAsia"/>
                      <w:color w:val="auto"/>
                      <w:sz w:val="21"/>
                      <w:szCs w:val="21"/>
                      <w:lang w:val="en-US" w:eastAsia="zh-CN"/>
                    </w:rPr>
                    <w:t>6</w:t>
                  </w:r>
                  <w:r>
                    <w:rPr>
                      <w:rFonts w:hint="default" w:ascii="Times New Roman" w:hAnsi="Times New Roman"/>
                      <w:color w:val="auto"/>
                      <w:sz w:val="21"/>
                      <w:szCs w:val="21"/>
                    </w:rPr>
                    <w:t>'</w:t>
                  </w:r>
                  <w:r>
                    <w:rPr>
                      <w:rFonts w:hint="eastAsia"/>
                      <w:color w:val="auto"/>
                      <w:sz w:val="21"/>
                      <w:szCs w:val="21"/>
                      <w:lang w:val="en-US" w:eastAsia="zh-CN"/>
                    </w:rPr>
                    <w:t>0.736</w:t>
                  </w:r>
                  <w:r>
                    <w:rPr>
                      <w:rFonts w:hint="default" w:ascii="Times New Roman" w:hAnsi="Times New Roman"/>
                      <w:color w:val="auto"/>
                      <w:sz w:val="21"/>
                      <w:szCs w:val="21"/>
                    </w:rPr>
                    <w:t>"</w:t>
                  </w:r>
                </w:p>
                <w:p w14:paraId="3C519DFC">
                  <w:pPr>
                    <w:pStyle w:val="103"/>
                    <w:keepNext w:val="0"/>
                    <w:keepLines w:val="0"/>
                    <w:pageBreakBefore w:val="0"/>
                    <w:kinsoku/>
                    <w:wordWrap/>
                    <w:overflowPunct/>
                    <w:topLinePunct w:val="0"/>
                    <w:autoSpaceDE/>
                    <w:autoSpaceDN/>
                    <w:bidi w:val="0"/>
                    <w:adjustRightInd/>
                    <w:snapToGrid/>
                    <w:spacing w:line="320" w:lineRule="exact"/>
                    <w:textAlignment w:val="auto"/>
                    <w:rPr>
                      <w:rFonts w:hint="eastAsia"/>
                      <w:color w:val="auto"/>
                      <w:sz w:val="21"/>
                      <w:szCs w:val="21"/>
                      <w:lang w:val="en-US" w:eastAsia="zh-CN"/>
                    </w:rPr>
                  </w:pPr>
                  <w:r>
                    <w:rPr>
                      <w:rFonts w:hint="eastAsia"/>
                      <w:color w:val="auto"/>
                      <w:sz w:val="21"/>
                      <w:szCs w:val="21"/>
                      <w:lang w:val="en-US" w:eastAsia="zh-CN"/>
                    </w:rPr>
                    <w:t>东经</w:t>
                  </w:r>
                  <w:r>
                    <w:rPr>
                      <w:rFonts w:hint="default" w:ascii="Times New Roman" w:hAnsi="Times New Roman"/>
                      <w:color w:val="auto"/>
                      <w:sz w:val="21"/>
                      <w:szCs w:val="21"/>
                    </w:rPr>
                    <w:t>11</w:t>
                  </w:r>
                  <w:r>
                    <w:rPr>
                      <w:rFonts w:hint="eastAsia"/>
                      <w:color w:val="auto"/>
                      <w:sz w:val="21"/>
                      <w:szCs w:val="21"/>
                      <w:lang w:val="en-US" w:eastAsia="zh-CN"/>
                    </w:rPr>
                    <w:t>4</w:t>
                  </w:r>
                  <w:r>
                    <w:rPr>
                      <w:rFonts w:hint="default" w:ascii="Times New Roman" w:hAnsi="Times New Roman"/>
                      <w:color w:val="auto"/>
                      <w:sz w:val="21"/>
                      <w:szCs w:val="21"/>
                    </w:rPr>
                    <w:t>°</w:t>
                  </w:r>
                  <w:r>
                    <w:rPr>
                      <w:rFonts w:hint="eastAsia"/>
                      <w:color w:val="auto"/>
                      <w:sz w:val="21"/>
                      <w:szCs w:val="21"/>
                      <w:lang w:val="en-US" w:eastAsia="zh-CN"/>
                    </w:rPr>
                    <w:t>56</w:t>
                  </w:r>
                  <w:r>
                    <w:rPr>
                      <w:rFonts w:hint="default" w:ascii="Times New Roman" w:hAnsi="Times New Roman"/>
                      <w:color w:val="auto"/>
                      <w:sz w:val="21"/>
                      <w:szCs w:val="21"/>
                    </w:rPr>
                    <w:t>'</w:t>
                  </w:r>
                  <w:r>
                    <w:rPr>
                      <w:rFonts w:hint="eastAsia"/>
                      <w:color w:val="auto"/>
                      <w:sz w:val="21"/>
                      <w:szCs w:val="21"/>
                      <w:lang w:val="en-US" w:eastAsia="zh-CN"/>
                    </w:rPr>
                    <w:t>40.546</w:t>
                  </w:r>
                  <w:r>
                    <w:rPr>
                      <w:rFonts w:hint="default" w:ascii="Times New Roman" w:hAnsi="Times New Roman"/>
                      <w:color w:val="auto"/>
                      <w:sz w:val="21"/>
                      <w:szCs w:val="21"/>
                    </w:rPr>
                    <w:t>"</w:t>
                  </w:r>
                </w:p>
              </w:tc>
              <w:tc>
                <w:tcPr>
                  <w:tcW w:w="641" w:type="dxa"/>
                  <w:noWrap w:val="0"/>
                  <w:vAlign w:val="center"/>
                </w:tcPr>
                <w:p w14:paraId="2B50F239">
                  <w:pPr>
                    <w:pStyle w:val="103"/>
                    <w:keepNext w:val="0"/>
                    <w:keepLines w:val="0"/>
                    <w:pageBreakBefore w:val="0"/>
                    <w:kinsoku/>
                    <w:wordWrap/>
                    <w:overflowPunct/>
                    <w:topLinePunct w:val="0"/>
                    <w:autoSpaceDE/>
                    <w:autoSpaceDN/>
                    <w:bidi w:val="0"/>
                    <w:adjustRightInd/>
                    <w:snapToGrid/>
                    <w:spacing w:line="320" w:lineRule="exact"/>
                    <w:textAlignment w:val="auto"/>
                    <w:rPr>
                      <w:rFonts w:hint="default"/>
                      <w:color w:val="auto"/>
                      <w:sz w:val="21"/>
                      <w:szCs w:val="21"/>
                      <w:lang w:val="en-US" w:eastAsia="zh-CN"/>
                    </w:rPr>
                  </w:pPr>
                  <w:r>
                    <w:rPr>
                      <w:rFonts w:hint="eastAsia"/>
                      <w:color w:val="auto"/>
                      <w:sz w:val="21"/>
                      <w:szCs w:val="21"/>
                      <w:lang w:val="en-US" w:eastAsia="zh-CN"/>
                    </w:rPr>
                    <w:t>卫生院</w:t>
                  </w:r>
                </w:p>
              </w:tc>
              <w:tc>
                <w:tcPr>
                  <w:tcW w:w="848" w:type="dxa"/>
                  <w:noWrap w:val="0"/>
                  <w:vAlign w:val="center"/>
                </w:tcPr>
                <w:p w14:paraId="6D20242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color w:val="auto"/>
                      <w:sz w:val="21"/>
                      <w:szCs w:val="21"/>
                      <w:lang w:val="en-US" w:eastAsia="zh-CN"/>
                    </w:rPr>
                  </w:pPr>
                  <w:r>
                    <w:rPr>
                      <w:rFonts w:hint="eastAsia"/>
                      <w:color w:val="auto"/>
                      <w:sz w:val="21"/>
                      <w:szCs w:val="21"/>
                      <w:lang w:val="en-US" w:eastAsia="zh-CN"/>
                    </w:rPr>
                    <w:t>SW</w:t>
                  </w:r>
                </w:p>
              </w:tc>
              <w:tc>
                <w:tcPr>
                  <w:tcW w:w="1020" w:type="dxa"/>
                  <w:noWrap w:val="0"/>
                  <w:vAlign w:val="center"/>
                </w:tcPr>
                <w:p w14:paraId="5A08BD8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color w:val="auto"/>
                      <w:sz w:val="21"/>
                      <w:szCs w:val="21"/>
                      <w:lang w:val="en-US" w:eastAsia="zh-CN"/>
                    </w:rPr>
                  </w:pPr>
                  <w:r>
                    <w:rPr>
                      <w:rFonts w:hint="eastAsia"/>
                      <w:color w:val="auto"/>
                      <w:sz w:val="21"/>
                      <w:szCs w:val="21"/>
                      <w:lang w:val="en-US" w:eastAsia="zh-CN"/>
                    </w:rPr>
                    <w:t>430</w:t>
                  </w:r>
                </w:p>
              </w:tc>
              <w:tc>
                <w:tcPr>
                  <w:tcW w:w="885" w:type="dxa"/>
                  <w:vMerge w:val="continue"/>
                  <w:noWrap w:val="0"/>
                  <w:vAlign w:val="center"/>
                </w:tcPr>
                <w:p w14:paraId="6ED82F15">
                  <w:pPr>
                    <w:pStyle w:val="103"/>
                    <w:keepNext w:val="0"/>
                    <w:keepLines w:val="0"/>
                    <w:pageBreakBefore w:val="0"/>
                    <w:kinsoku/>
                    <w:wordWrap/>
                    <w:overflowPunct/>
                    <w:topLinePunct w:val="0"/>
                    <w:autoSpaceDE/>
                    <w:autoSpaceDN/>
                    <w:bidi w:val="0"/>
                    <w:adjustRightInd/>
                    <w:snapToGrid/>
                    <w:spacing w:line="320" w:lineRule="exact"/>
                    <w:textAlignment w:val="auto"/>
                    <w:rPr>
                      <w:rFonts w:hint="eastAsia"/>
                      <w:color w:val="auto"/>
                      <w:sz w:val="21"/>
                      <w:szCs w:val="21"/>
                      <w:lang w:val="en-US" w:eastAsia="zh-CN"/>
                    </w:rPr>
                  </w:pPr>
                </w:p>
              </w:tc>
              <w:tc>
                <w:tcPr>
                  <w:tcW w:w="705" w:type="dxa"/>
                  <w:noWrap w:val="0"/>
                  <w:vAlign w:val="center"/>
                </w:tcPr>
                <w:p w14:paraId="571963F6">
                  <w:pPr>
                    <w:pStyle w:val="103"/>
                    <w:keepNext w:val="0"/>
                    <w:keepLines w:val="0"/>
                    <w:pageBreakBefore w:val="0"/>
                    <w:kinsoku/>
                    <w:wordWrap/>
                    <w:overflowPunct/>
                    <w:topLinePunct w:val="0"/>
                    <w:autoSpaceDE/>
                    <w:autoSpaceDN/>
                    <w:bidi w:val="0"/>
                    <w:adjustRightInd/>
                    <w:snapToGrid/>
                    <w:spacing w:line="320" w:lineRule="exact"/>
                    <w:textAlignment w:val="auto"/>
                    <w:rPr>
                      <w:rFonts w:hint="eastAsia"/>
                      <w:color w:val="auto"/>
                      <w:sz w:val="21"/>
                      <w:szCs w:val="21"/>
                      <w:lang w:val="en-US" w:eastAsia="zh-CN"/>
                    </w:rPr>
                  </w:pPr>
                  <w:r>
                    <w:rPr>
                      <w:rFonts w:hint="eastAsia" w:ascii="Times New Roman" w:hAnsi="Times New Roman"/>
                      <w:color w:val="auto"/>
                      <w:sz w:val="21"/>
                      <w:szCs w:val="21"/>
                      <w:lang w:val="en-US" w:eastAsia="zh-CN"/>
                    </w:rPr>
                    <w:t>医护、病患</w:t>
                  </w:r>
                </w:p>
              </w:tc>
              <w:tc>
                <w:tcPr>
                  <w:tcW w:w="1199" w:type="dxa"/>
                  <w:vMerge w:val="continue"/>
                  <w:noWrap w:val="0"/>
                  <w:vAlign w:val="center"/>
                </w:tcPr>
                <w:p w14:paraId="5A70D650">
                  <w:pPr>
                    <w:pStyle w:val="103"/>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color w:val="auto"/>
                      <w:sz w:val="21"/>
                      <w:szCs w:val="21"/>
                      <w:lang w:eastAsia="zh-CN"/>
                    </w:rPr>
                  </w:pPr>
                </w:p>
              </w:tc>
            </w:tr>
            <w:tr w14:paraId="42ADBA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911" w:hRule="atLeast"/>
                <w:jc w:val="center"/>
              </w:trPr>
              <w:tc>
                <w:tcPr>
                  <w:tcW w:w="546" w:type="dxa"/>
                  <w:vMerge w:val="continue"/>
                  <w:noWrap w:val="0"/>
                  <w:vAlign w:val="center"/>
                </w:tcPr>
                <w:p w14:paraId="19D028A8">
                  <w:pPr>
                    <w:pStyle w:val="103"/>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olor w:val="auto"/>
                      <w:sz w:val="21"/>
                      <w:szCs w:val="21"/>
                    </w:rPr>
                  </w:pPr>
                </w:p>
              </w:tc>
              <w:tc>
                <w:tcPr>
                  <w:tcW w:w="696" w:type="dxa"/>
                  <w:noWrap w:val="0"/>
                  <w:vAlign w:val="center"/>
                </w:tcPr>
                <w:p w14:paraId="0CF7CC5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color w:val="auto"/>
                      <w:sz w:val="21"/>
                      <w:szCs w:val="21"/>
                      <w:lang w:val="en-US" w:eastAsia="zh-CN"/>
                    </w:rPr>
                  </w:pPr>
                  <w:r>
                    <w:rPr>
                      <w:rFonts w:hint="eastAsia"/>
                      <w:color w:val="auto"/>
                      <w:sz w:val="21"/>
                      <w:szCs w:val="21"/>
                      <w:lang w:val="en-US" w:eastAsia="zh-CN"/>
                    </w:rPr>
                    <w:t>金兰国际小区</w:t>
                  </w:r>
                </w:p>
              </w:tc>
              <w:tc>
                <w:tcPr>
                  <w:tcW w:w="1555" w:type="dxa"/>
                  <w:noWrap w:val="0"/>
                  <w:vAlign w:val="center"/>
                </w:tcPr>
                <w:p w14:paraId="3CF5BFF3">
                  <w:pPr>
                    <w:pStyle w:val="103"/>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olor w:val="auto"/>
                      <w:sz w:val="21"/>
                      <w:szCs w:val="21"/>
                    </w:rPr>
                  </w:pPr>
                  <w:r>
                    <w:rPr>
                      <w:rFonts w:hint="eastAsia"/>
                      <w:color w:val="auto"/>
                      <w:sz w:val="21"/>
                      <w:szCs w:val="21"/>
                      <w:lang w:val="en-US" w:eastAsia="zh-CN"/>
                    </w:rPr>
                    <w:t>北纬</w:t>
                  </w:r>
                  <w:r>
                    <w:rPr>
                      <w:rFonts w:hint="default" w:ascii="Times New Roman" w:hAnsi="Times New Roman"/>
                      <w:color w:val="auto"/>
                      <w:sz w:val="21"/>
                      <w:szCs w:val="21"/>
                    </w:rPr>
                    <w:t>3</w:t>
                  </w:r>
                  <w:r>
                    <w:rPr>
                      <w:rFonts w:hint="eastAsia"/>
                      <w:color w:val="auto"/>
                      <w:sz w:val="21"/>
                      <w:szCs w:val="21"/>
                      <w:lang w:val="en-US" w:eastAsia="zh-CN"/>
                    </w:rPr>
                    <w:t>6</w:t>
                  </w:r>
                  <w:r>
                    <w:rPr>
                      <w:rFonts w:hint="default" w:ascii="Times New Roman" w:hAnsi="Times New Roman"/>
                      <w:color w:val="auto"/>
                      <w:sz w:val="21"/>
                      <w:szCs w:val="21"/>
                    </w:rPr>
                    <w:t>°</w:t>
                  </w:r>
                  <w:r>
                    <w:rPr>
                      <w:rFonts w:hint="eastAsia"/>
                      <w:color w:val="auto"/>
                      <w:sz w:val="21"/>
                      <w:szCs w:val="21"/>
                      <w:lang w:val="en-US" w:eastAsia="zh-CN"/>
                    </w:rPr>
                    <w:t>6</w:t>
                  </w:r>
                  <w:r>
                    <w:rPr>
                      <w:rFonts w:hint="default" w:ascii="Times New Roman" w:hAnsi="Times New Roman"/>
                      <w:color w:val="auto"/>
                      <w:sz w:val="21"/>
                      <w:szCs w:val="21"/>
                    </w:rPr>
                    <w:t>'</w:t>
                  </w:r>
                  <w:r>
                    <w:rPr>
                      <w:rFonts w:hint="eastAsia"/>
                      <w:color w:val="auto"/>
                      <w:sz w:val="21"/>
                      <w:szCs w:val="21"/>
                      <w:lang w:val="en-US" w:eastAsia="zh-CN"/>
                    </w:rPr>
                    <w:t>9.040</w:t>
                  </w:r>
                  <w:r>
                    <w:rPr>
                      <w:rFonts w:hint="default" w:ascii="Times New Roman" w:hAnsi="Times New Roman"/>
                      <w:color w:val="auto"/>
                      <w:sz w:val="21"/>
                      <w:szCs w:val="21"/>
                    </w:rPr>
                    <w:t>"</w:t>
                  </w:r>
                </w:p>
                <w:p w14:paraId="5DBADF5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color w:val="auto"/>
                      <w:sz w:val="21"/>
                      <w:szCs w:val="21"/>
                      <w:lang w:val="en-US" w:eastAsia="zh-CN"/>
                    </w:rPr>
                  </w:pPr>
                  <w:r>
                    <w:rPr>
                      <w:rFonts w:hint="eastAsia"/>
                      <w:color w:val="auto"/>
                      <w:sz w:val="21"/>
                      <w:szCs w:val="21"/>
                      <w:lang w:val="en-US" w:eastAsia="zh-CN"/>
                    </w:rPr>
                    <w:t>东经</w:t>
                  </w:r>
                  <w:r>
                    <w:rPr>
                      <w:rFonts w:hint="default" w:ascii="Times New Roman" w:hAnsi="Times New Roman"/>
                      <w:color w:val="auto"/>
                      <w:sz w:val="21"/>
                      <w:szCs w:val="21"/>
                    </w:rPr>
                    <w:t>11</w:t>
                  </w:r>
                  <w:r>
                    <w:rPr>
                      <w:rFonts w:hint="eastAsia"/>
                      <w:color w:val="auto"/>
                      <w:sz w:val="21"/>
                      <w:szCs w:val="21"/>
                      <w:lang w:val="en-US" w:eastAsia="zh-CN"/>
                    </w:rPr>
                    <w:t>4</w:t>
                  </w:r>
                  <w:r>
                    <w:rPr>
                      <w:rFonts w:hint="default" w:ascii="Times New Roman" w:hAnsi="Times New Roman"/>
                      <w:color w:val="auto"/>
                      <w:sz w:val="21"/>
                      <w:szCs w:val="21"/>
                    </w:rPr>
                    <w:t>°</w:t>
                  </w:r>
                  <w:r>
                    <w:rPr>
                      <w:rFonts w:hint="eastAsia"/>
                      <w:color w:val="auto"/>
                      <w:sz w:val="21"/>
                      <w:szCs w:val="21"/>
                      <w:lang w:val="en-US" w:eastAsia="zh-CN"/>
                    </w:rPr>
                    <w:t>56</w:t>
                  </w:r>
                  <w:r>
                    <w:rPr>
                      <w:rFonts w:hint="default" w:ascii="Times New Roman" w:hAnsi="Times New Roman"/>
                      <w:color w:val="auto"/>
                      <w:sz w:val="21"/>
                      <w:szCs w:val="21"/>
                    </w:rPr>
                    <w:t>'</w:t>
                  </w:r>
                  <w:r>
                    <w:rPr>
                      <w:rFonts w:hint="eastAsia"/>
                      <w:color w:val="auto"/>
                      <w:sz w:val="21"/>
                      <w:szCs w:val="21"/>
                      <w:lang w:val="en-US" w:eastAsia="zh-CN"/>
                    </w:rPr>
                    <w:t>37.804</w:t>
                  </w:r>
                  <w:r>
                    <w:rPr>
                      <w:rFonts w:hint="default" w:ascii="Times New Roman" w:hAnsi="Times New Roman"/>
                      <w:color w:val="auto"/>
                      <w:sz w:val="21"/>
                      <w:szCs w:val="21"/>
                    </w:rPr>
                    <w:t>"</w:t>
                  </w:r>
                </w:p>
              </w:tc>
              <w:tc>
                <w:tcPr>
                  <w:tcW w:w="641" w:type="dxa"/>
                  <w:noWrap w:val="0"/>
                  <w:vAlign w:val="center"/>
                </w:tcPr>
                <w:p w14:paraId="41E6341E">
                  <w:pPr>
                    <w:pStyle w:val="103"/>
                    <w:keepNext w:val="0"/>
                    <w:keepLines w:val="0"/>
                    <w:pageBreakBefore w:val="0"/>
                    <w:kinsoku/>
                    <w:wordWrap/>
                    <w:overflowPunct/>
                    <w:topLinePunct w:val="0"/>
                    <w:autoSpaceDE/>
                    <w:autoSpaceDN/>
                    <w:bidi w:val="0"/>
                    <w:adjustRightInd/>
                    <w:snapToGrid/>
                    <w:spacing w:line="320" w:lineRule="exact"/>
                    <w:textAlignment w:val="auto"/>
                    <w:rPr>
                      <w:rFonts w:hint="eastAsia"/>
                      <w:color w:val="auto"/>
                      <w:sz w:val="21"/>
                      <w:szCs w:val="21"/>
                      <w:lang w:val="en-US" w:eastAsia="zh-CN"/>
                    </w:rPr>
                  </w:pPr>
                  <w:r>
                    <w:rPr>
                      <w:rFonts w:hint="eastAsia"/>
                      <w:color w:val="auto"/>
                      <w:sz w:val="21"/>
                      <w:szCs w:val="21"/>
                      <w:lang w:val="en-US" w:eastAsia="zh-CN"/>
                    </w:rPr>
                    <w:t>居住区</w:t>
                  </w:r>
                </w:p>
              </w:tc>
              <w:tc>
                <w:tcPr>
                  <w:tcW w:w="848" w:type="dxa"/>
                  <w:noWrap w:val="0"/>
                  <w:vAlign w:val="center"/>
                </w:tcPr>
                <w:p w14:paraId="1471F86F">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color w:val="auto"/>
                      <w:sz w:val="21"/>
                      <w:szCs w:val="21"/>
                      <w:lang w:val="en-US" w:eastAsia="zh-CN"/>
                    </w:rPr>
                  </w:pPr>
                  <w:r>
                    <w:rPr>
                      <w:rFonts w:hint="eastAsia"/>
                      <w:color w:val="auto"/>
                      <w:sz w:val="21"/>
                      <w:szCs w:val="21"/>
                      <w:lang w:val="en-US" w:eastAsia="zh-CN"/>
                    </w:rPr>
                    <w:t>SW</w:t>
                  </w:r>
                </w:p>
              </w:tc>
              <w:tc>
                <w:tcPr>
                  <w:tcW w:w="1020" w:type="dxa"/>
                  <w:noWrap w:val="0"/>
                  <w:vAlign w:val="center"/>
                </w:tcPr>
                <w:p w14:paraId="66A7F6D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color w:val="auto"/>
                      <w:sz w:val="21"/>
                      <w:szCs w:val="21"/>
                      <w:lang w:val="en-US" w:eastAsia="zh-CN"/>
                    </w:rPr>
                  </w:pPr>
                  <w:r>
                    <w:rPr>
                      <w:rFonts w:hint="eastAsia"/>
                      <w:color w:val="auto"/>
                      <w:sz w:val="21"/>
                      <w:szCs w:val="21"/>
                      <w:lang w:val="en-US" w:eastAsia="zh-CN"/>
                    </w:rPr>
                    <w:t>370</w:t>
                  </w:r>
                </w:p>
              </w:tc>
              <w:tc>
                <w:tcPr>
                  <w:tcW w:w="885" w:type="dxa"/>
                  <w:vMerge w:val="continue"/>
                  <w:noWrap w:val="0"/>
                  <w:vAlign w:val="center"/>
                </w:tcPr>
                <w:p w14:paraId="5C761210">
                  <w:pPr>
                    <w:pStyle w:val="103"/>
                    <w:keepNext w:val="0"/>
                    <w:keepLines w:val="0"/>
                    <w:pageBreakBefore w:val="0"/>
                    <w:kinsoku/>
                    <w:wordWrap/>
                    <w:overflowPunct/>
                    <w:topLinePunct w:val="0"/>
                    <w:autoSpaceDE/>
                    <w:autoSpaceDN/>
                    <w:bidi w:val="0"/>
                    <w:adjustRightInd/>
                    <w:snapToGrid/>
                    <w:spacing w:line="320" w:lineRule="exact"/>
                    <w:textAlignment w:val="auto"/>
                    <w:rPr>
                      <w:rFonts w:hint="eastAsia"/>
                      <w:color w:val="auto"/>
                      <w:sz w:val="21"/>
                      <w:szCs w:val="21"/>
                      <w:lang w:val="en-US" w:eastAsia="zh-CN"/>
                    </w:rPr>
                  </w:pPr>
                </w:p>
              </w:tc>
              <w:tc>
                <w:tcPr>
                  <w:tcW w:w="705" w:type="dxa"/>
                  <w:noWrap w:val="0"/>
                  <w:vAlign w:val="center"/>
                </w:tcPr>
                <w:p w14:paraId="69D8C332">
                  <w:pPr>
                    <w:pStyle w:val="103"/>
                    <w:keepNext w:val="0"/>
                    <w:keepLines w:val="0"/>
                    <w:pageBreakBefore w:val="0"/>
                    <w:kinsoku/>
                    <w:wordWrap/>
                    <w:overflowPunct/>
                    <w:topLinePunct w:val="0"/>
                    <w:autoSpaceDE/>
                    <w:autoSpaceDN/>
                    <w:bidi w:val="0"/>
                    <w:adjustRightInd/>
                    <w:snapToGrid/>
                    <w:spacing w:line="320" w:lineRule="exact"/>
                    <w:textAlignment w:val="auto"/>
                    <w:rPr>
                      <w:rFonts w:hint="eastAsia"/>
                      <w:color w:val="auto"/>
                      <w:sz w:val="21"/>
                      <w:szCs w:val="21"/>
                      <w:lang w:val="en-US" w:eastAsia="zh-CN"/>
                    </w:rPr>
                  </w:pPr>
                  <w:r>
                    <w:rPr>
                      <w:rFonts w:hint="eastAsia"/>
                      <w:color w:val="auto"/>
                      <w:sz w:val="21"/>
                      <w:szCs w:val="21"/>
                      <w:lang w:val="en-US" w:eastAsia="zh-CN"/>
                    </w:rPr>
                    <w:t>居民</w:t>
                  </w:r>
                </w:p>
              </w:tc>
              <w:tc>
                <w:tcPr>
                  <w:tcW w:w="1199" w:type="dxa"/>
                  <w:vMerge w:val="continue"/>
                  <w:noWrap w:val="0"/>
                  <w:vAlign w:val="center"/>
                </w:tcPr>
                <w:p w14:paraId="6CBE2CCE">
                  <w:pPr>
                    <w:pStyle w:val="103"/>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color w:val="auto"/>
                      <w:sz w:val="21"/>
                      <w:szCs w:val="21"/>
                      <w:lang w:eastAsia="zh-CN"/>
                    </w:rPr>
                  </w:pPr>
                </w:p>
              </w:tc>
            </w:tr>
            <w:tr w14:paraId="796414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546" w:type="dxa"/>
                  <w:vMerge w:val="continue"/>
                  <w:noWrap w:val="0"/>
                  <w:vAlign w:val="center"/>
                </w:tcPr>
                <w:p w14:paraId="4AC3D890">
                  <w:pPr>
                    <w:pStyle w:val="103"/>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olor w:val="auto"/>
                      <w:sz w:val="21"/>
                      <w:szCs w:val="21"/>
                    </w:rPr>
                  </w:pPr>
                </w:p>
              </w:tc>
              <w:tc>
                <w:tcPr>
                  <w:tcW w:w="696" w:type="dxa"/>
                  <w:noWrap w:val="0"/>
                  <w:vAlign w:val="center"/>
                </w:tcPr>
                <w:p w14:paraId="6FA4FD1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olor w:val="auto"/>
                      <w:sz w:val="21"/>
                      <w:szCs w:val="21"/>
                      <w:lang w:eastAsia="zh-CN"/>
                    </w:rPr>
                  </w:pPr>
                  <w:r>
                    <w:rPr>
                      <w:rFonts w:hint="eastAsia"/>
                      <w:color w:val="auto"/>
                      <w:sz w:val="21"/>
                      <w:szCs w:val="21"/>
                      <w:lang w:val="en-US" w:eastAsia="zh-CN"/>
                    </w:rPr>
                    <w:t>蓝天实验小学</w:t>
                  </w:r>
                </w:p>
              </w:tc>
              <w:tc>
                <w:tcPr>
                  <w:tcW w:w="1555" w:type="dxa"/>
                  <w:noWrap w:val="0"/>
                  <w:vAlign w:val="center"/>
                </w:tcPr>
                <w:p w14:paraId="35D07D23">
                  <w:pPr>
                    <w:pStyle w:val="103"/>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olor w:val="auto"/>
                      <w:sz w:val="21"/>
                      <w:szCs w:val="21"/>
                    </w:rPr>
                  </w:pPr>
                  <w:r>
                    <w:rPr>
                      <w:rFonts w:hint="eastAsia"/>
                      <w:color w:val="auto"/>
                      <w:sz w:val="21"/>
                      <w:szCs w:val="21"/>
                      <w:lang w:val="en-US" w:eastAsia="zh-CN"/>
                    </w:rPr>
                    <w:t>北纬</w:t>
                  </w:r>
                  <w:r>
                    <w:rPr>
                      <w:rFonts w:hint="default" w:ascii="Times New Roman" w:hAnsi="Times New Roman"/>
                      <w:color w:val="auto"/>
                      <w:sz w:val="21"/>
                      <w:szCs w:val="21"/>
                    </w:rPr>
                    <w:t>3</w:t>
                  </w:r>
                  <w:r>
                    <w:rPr>
                      <w:rFonts w:hint="eastAsia"/>
                      <w:color w:val="auto"/>
                      <w:sz w:val="21"/>
                      <w:szCs w:val="21"/>
                      <w:lang w:val="en-US" w:eastAsia="zh-CN"/>
                    </w:rPr>
                    <w:t>6</w:t>
                  </w:r>
                  <w:r>
                    <w:rPr>
                      <w:rFonts w:hint="default" w:ascii="Times New Roman" w:hAnsi="Times New Roman"/>
                      <w:color w:val="auto"/>
                      <w:sz w:val="21"/>
                      <w:szCs w:val="21"/>
                    </w:rPr>
                    <w:t>°</w:t>
                  </w:r>
                  <w:r>
                    <w:rPr>
                      <w:rFonts w:hint="eastAsia"/>
                      <w:color w:val="auto"/>
                      <w:sz w:val="21"/>
                      <w:szCs w:val="21"/>
                      <w:lang w:val="en-US" w:eastAsia="zh-CN"/>
                    </w:rPr>
                    <w:t>6</w:t>
                  </w:r>
                  <w:r>
                    <w:rPr>
                      <w:rFonts w:hint="default" w:ascii="Times New Roman" w:hAnsi="Times New Roman"/>
                      <w:color w:val="auto"/>
                      <w:sz w:val="21"/>
                      <w:szCs w:val="21"/>
                    </w:rPr>
                    <w:t>'</w:t>
                  </w:r>
                  <w:r>
                    <w:rPr>
                      <w:rFonts w:hint="eastAsia"/>
                      <w:color w:val="auto"/>
                      <w:sz w:val="21"/>
                      <w:szCs w:val="21"/>
                      <w:lang w:val="en-US" w:eastAsia="zh-CN"/>
                    </w:rPr>
                    <w:t>11.976</w:t>
                  </w:r>
                  <w:r>
                    <w:rPr>
                      <w:rFonts w:hint="default" w:ascii="Times New Roman" w:hAnsi="Times New Roman"/>
                      <w:color w:val="auto"/>
                      <w:sz w:val="21"/>
                      <w:szCs w:val="21"/>
                    </w:rPr>
                    <w:t>"</w:t>
                  </w:r>
                </w:p>
                <w:p w14:paraId="5BFFC4EA">
                  <w:pPr>
                    <w:pStyle w:val="103"/>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olor w:val="auto"/>
                      <w:sz w:val="21"/>
                      <w:szCs w:val="21"/>
                    </w:rPr>
                  </w:pPr>
                  <w:r>
                    <w:rPr>
                      <w:rFonts w:hint="eastAsia"/>
                      <w:color w:val="auto"/>
                      <w:sz w:val="21"/>
                      <w:szCs w:val="21"/>
                      <w:lang w:val="en-US" w:eastAsia="zh-CN"/>
                    </w:rPr>
                    <w:t>东经</w:t>
                  </w:r>
                  <w:r>
                    <w:rPr>
                      <w:rFonts w:hint="default" w:ascii="Times New Roman" w:hAnsi="Times New Roman"/>
                      <w:color w:val="auto"/>
                      <w:sz w:val="21"/>
                      <w:szCs w:val="21"/>
                    </w:rPr>
                    <w:t>11</w:t>
                  </w:r>
                  <w:r>
                    <w:rPr>
                      <w:rFonts w:hint="eastAsia"/>
                      <w:color w:val="auto"/>
                      <w:sz w:val="21"/>
                      <w:szCs w:val="21"/>
                      <w:lang w:val="en-US" w:eastAsia="zh-CN"/>
                    </w:rPr>
                    <w:t>4</w:t>
                  </w:r>
                  <w:r>
                    <w:rPr>
                      <w:rFonts w:hint="default" w:ascii="Times New Roman" w:hAnsi="Times New Roman"/>
                      <w:color w:val="auto"/>
                      <w:sz w:val="21"/>
                      <w:szCs w:val="21"/>
                    </w:rPr>
                    <w:t>°</w:t>
                  </w:r>
                  <w:r>
                    <w:rPr>
                      <w:rFonts w:hint="eastAsia"/>
                      <w:color w:val="auto"/>
                      <w:sz w:val="21"/>
                      <w:szCs w:val="21"/>
                      <w:lang w:val="en-US" w:eastAsia="zh-CN"/>
                    </w:rPr>
                    <w:t>56</w:t>
                  </w:r>
                  <w:r>
                    <w:rPr>
                      <w:rFonts w:hint="default" w:ascii="Times New Roman" w:hAnsi="Times New Roman"/>
                      <w:color w:val="auto"/>
                      <w:sz w:val="21"/>
                      <w:szCs w:val="21"/>
                    </w:rPr>
                    <w:t>'</w:t>
                  </w:r>
                  <w:r>
                    <w:rPr>
                      <w:rFonts w:hint="eastAsia"/>
                      <w:color w:val="auto"/>
                      <w:sz w:val="21"/>
                      <w:szCs w:val="21"/>
                      <w:lang w:val="en-US" w:eastAsia="zh-CN"/>
                    </w:rPr>
                    <w:t>36.259</w:t>
                  </w:r>
                  <w:r>
                    <w:rPr>
                      <w:rFonts w:hint="default" w:ascii="Times New Roman" w:hAnsi="Times New Roman"/>
                      <w:color w:val="auto"/>
                      <w:sz w:val="21"/>
                      <w:szCs w:val="21"/>
                    </w:rPr>
                    <w:t>"</w:t>
                  </w:r>
                </w:p>
              </w:tc>
              <w:tc>
                <w:tcPr>
                  <w:tcW w:w="641" w:type="dxa"/>
                  <w:noWrap w:val="0"/>
                  <w:vAlign w:val="center"/>
                </w:tcPr>
                <w:p w14:paraId="39A1FD09">
                  <w:pPr>
                    <w:pStyle w:val="103"/>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color w:val="auto"/>
                      <w:sz w:val="21"/>
                      <w:szCs w:val="21"/>
                      <w:lang w:eastAsia="zh-CN"/>
                    </w:rPr>
                  </w:pPr>
                  <w:r>
                    <w:rPr>
                      <w:rFonts w:hint="eastAsia"/>
                      <w:color w:val="auto"/>
                      <w:sz w:val="21"/>
                      <w:szCs w:val="21"/>
                      <w:lang w:val="en-US" w:eastAsia="zh-CN"/>
                    </w:rPr>
                    <w:t>学校</w:t>
                  </w:r>
                </w:p>
              </w:tc>
              <w:tc>
                <w:tcPr>
                  <w:tcW w:w="848" w:type="dxa"/>
                  <w:noWrap w:val="0"/>
                  <w:vAlign w:val="center"/>
                </w:tcPr>
                <w:p w14:paraId="191A2FE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olor w:val="auto"/>
                      <w:sz w:val="21"/>
                      <w:szCs w:val="21"/>
                      <w:lang w:eastAsia="zh-CN"/>
                    </w:rPr>
                  </w:pPr>
                  <w:r>
                    <w:rPr>
                      <w:rFonts w:hint="eastAsia"/>
                      <w:color w:val="auto"/>
                      <w:sz w:val="21"/>
                      <w:szCs w:val="21"/>
                      <w:lang w:val="en-US" w:eastAsia="zh-CN"/>
                    </w:rPr>
                    <w:t>W</w:t>
                  </w:r>
                </w:p>
              </w:tc>
              <w:tc>
                <w:tcPr>
                  <w:tcW w:w="1020" w:type="dxa"/>
                  <w:noWrap w:val="0"/>
                  <w:vAlign w:val="center"/>
                </w:tcPr>
                <w:p w14:paraId="634A5CD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400</w:t>
                  </w:r>
                </w:p>
              </w:tc>
              <w:tc>
                <w:tcPr>
                  <w:tcW w:w="885" w:type="dxa"/>
                  <w:vMerge w:val="continue"/>
                  <w:noWrap w:val="0"/>
                  <w:vAlign w:val="center"/>
                </w:tcPr>
                <w:p w14:paraId="0872B697">
                  <w:pPr>
                    <w:pStyle w:val="103"/>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olor w:val="auto"/>
                      <w:sz w:val="21"/>
                      <w:szCs w:val="21"/>
                    </w:rPr>
                  </w:pPr>
                </w:p>
              </w:tc>
              <w:tc>
                <w:tcPr>
                  <w:tcW w:w="705" w:type="dxa"/>
                  <w:noWrap w:val="0"/>
                  <w:vAlign w:val="center"/>
                </w:tcPr>
                <w:p w14:paraId="7DE0A902">
                  <w:pPr>
                    <w:pStyle w:val="103"/>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color w:val="auto"/>
                      <w:sz w:val="21"/>
                      <w:szCs w:val="21"/>
                      <w:lang w:eastAsia="zh-CN"/>
                    </w:rPr>
                  </w:pPr>
                  <w:r>
                    <w:rPr>
                      <w:rFonts w:hint="eastAsia"/>
                      <w:color w:val="auto"/>
                      <w:sz w:val="21"/>
                      <w:szCs w:val="21"/>
                      <w:lang w:val="en-US" w:eastAsia="zh-CN"/>
                    </w:rPr>
                    <w:t>师生</w:t>
                  </w:r>
                </w:p>
              </w:tc>
              <w:tc>
                <w:tcPr>
                  <w:tcW w:w="1199" w:type="dxa"/>
                  <w:vMerge w:val="continue"/>
                  <w:noWrap w:val="0"/>
                  <w:vAlign w:val="center"/>
                </w:tcPr>
                <w:p w14:paraId="2AA7C1EA">
                  <w:pPr>
                    <w:pStyle w:val="103"/>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color w:val="auto"/>
                      <w:sz w:val="21"/>
                      <w:szCs w:val="21"/>
                      <w:lang w:eastAsia="zh-CN"/>
                    </w:rPr>
                  </w:pPr>
                </w:p>
              </w:tc>
            </w:tr>
            <w:tr w14:paraId="19935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5" w:hRule="atLeast"/>
                <w:jc w:val="center"/>
              </w:trPr>
              <w:tc>
                <w:tcPr>
                  <w:tcW w:w="546" w:type="dxa"/>
                  <w:vMerge w:val="continue"/>
                  <w:noWrap w:val="0"/>
                  <w:vAlign w:val="center"/>
                </w:tcPr>
                <w:p w14:paraId="7DF0BC03">
                  <w:pPr>
                    <w:pStyle w:val="103"/>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olor w:val="auto"/>
                      <w:sz w:val="21"/>
                      <w:szCs w:val="21"/>
                    </w:rPr>
                  </w:pPr>
                </w:p>
              </w:tc>
              <w:tc>
                <w:tcPr>
                  <w:tcW w:w="696" w:type="dxa"/>
                  <w:noWrap w:val="0"/>
                  <w:vAlign w:val="center"/>
                </w:tcPr>
                <w:p w14:paraId="70648AD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olor w:val="auto"/>
                      <w:sz w:val="21"/>
                      <w:szCs w:val="21"/>
                      <w:lang w:val="en-US" w:eastAsia="zh-CN"/>
                    </w:rPr>
                  </w:pPr>
                  <w:r>
                    <w:rPr>
                      <w:rFonts w:hint="eastAsia"/>
                      <w:color w:val="auto"/>
                      <w:sz w:val="21"/>
                      <w:szCs w:val="21"/>
                      <w:lang w:val="en-US" w:eastAsia="zh-CN"/>
                    </w:rPr>
                    <w:t>西烟村</w:t>
                  </w:r>
                </w:p>
              </w:tc>
              <w:tc>
                <w:tcPr>
                  <w:tcW w:w="1555" w:type="dxa"/>
                  <w:noWrap w:val="0"/>
                  <w:vAlign w:val="center"/>
                </w:tcPr>
                <w:p w14:paraId="2B8C4D30">
                  <w:pPr>
                    <w:pStyle w:val="103"/>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olor w:val="auto"/>
                      <w:sz w:val="21"/>
                      <w:szCs w:val="21"/>
                    </w:rPr>
                  </w:pPr>
                  <w:r>
                    <w:rPr>
                      <w:rFonts w:hint="eastAsia"/>
                      <w:color w:val="auto"/>
                      <w:sz w:val="21"/>
                      <w:szCs w:val="21"/>
                      <w:lang w:val="en-US" w:eastAsia="zh-CN"/>
                    </w:rPr>
                    <w:t>北纬</w:t>
                  </w:r>
                  <w:r>
                    <w:rPr>
                      <w:rFonts w:hint="default" w:ascii="Times New Roman" w:hAnsi="Times New Roman"/>
                      <w:color w:val="auto"/>
                      <w:sz w:val="21"/>
                      <w:szCs w:val="21"/>
                    </w:rPr>
                    <w:t>3</w:t>
                  </w:r>
                  <w:r>
                    <w:rPr>
                      <w:rFonts w:hint="eastAsia"/>
                      <w:color w:val="auto"/>
                      <w:sz w:val="21"/>
                      <w:szCs w:val="21"/>
                      <w:lang w:val="en-US" w:eastAsia="zh-CN"/>
                    </w:rPr>
                    <w:t>6</w:t>
                  </w:r>
                  <w:r>
                    <w:rPr>
                      <w:rFonts w:hint="default" w:ascii="Times New Roman" w:hAnsi="Times New Roman"/>
                      <w:color w:val="auto"/>
                      <w:sz w:val="21"/>
                      <w:szCs w:val="21"/>
                    </w:rPr>
                    <w:t>°</w:t>
                  </w:r>
                  <w:r>
                    <w:rPr>
                      <w:rFonts w:hint="eastAsia"/>
                      <w:color w:val="auto"/>
                      <w:sz w:val="21"/>
                      <w:szCs w:val="21"/>
                      <w:lang w:val="en-US" w:eastAsia="zh-CN"/>
                    </w:rPr>
                    <w:t>6</w:t>
                  </w:r>
                  <w:r>
                    <w:rPr>
                      <w:rFonts w:hint="default" w:ascii="Times New Roman" w:hAnsi="Times New Roman"/>
                      <w:color w:val="auto"/>
                      <w:sz w:val="21"/>
                      <w:szCs w:val="21"/>
                    </w:rPr>
                    <w:t>'</w:t>
                  </w:r>
                  <w:r>
                    <w:rPr>
                      <w:rFonts w:hint="eastAsia"/>
                      <w:color w:val="auto"/>
                      <w:sz w:val="21"/>
                      <w:szCs w:val="21"/>
                      <w:lang w:val="en-US" w:eastAsia="zh-CN"/>
                    </w:rPr>
                    <w:t>19.082</w:t>
                  </w:r>
                  <w:r>
                    <w:rPr>
                      <w:rFonts w:hint="default" w:ascii="Times New Roman" w:hAnsi="Times New Roman"/>
                      <w:color w:val="auto"/>
                      <w:sz w:val="21"/>
                      <w:szCs w:val="21"/>
                    </w:rPr>
                    <w:t>"</w:t>
                  </w:r>
                </w:p>
                <w:p w14:paraId="52AAB46E">
                  <w:pPr>
                    <w:pStyle w:val="103"/>
                    <w:keepNext w:val="0"/>
                    <w:keepLines w:val="0"/>
                    <w:pageBreakBefore w:val="0"/>
                    <w:kinsoku/>
                    <w:wordWrap/>
                    <w:overflowPunct/>
                    <w:topLinePunct w:val="0"/>
                    <w:autoSpaceDE/>
                    <w:autoSpaceDN/>
                    <w:bidi w:val="0"/>
                    <w:adjustRightInd/>
                    <w:snapToGrid/>
                    <w:spacing w:line="320" w:lineRule="exact"/>
                    <w:textAlignment w:val="auto"/>
                    <w:rPr>
                      <w:rFonts w:hint="eastAsia"/>
                      <w:color w:val="auto"/>
                      <w:sz w:val="21"/>
                      <w:szCs w:val="21"/>
                      <w:lang w:val="en-US" w:eastAsia="zh-CN"/>
                    </w:rPr>
                  </w:pPr>
                  <w:r>
                    <w:rPr>
                      <w:rFonts w:hint="eastAsia"/>
                      <w:color w:val="auto"/>
                      <w:sz w:val="21"/>
                      <w:szCs w:val="21"/>
                      <w:lang w:val="en-US" w:eastAsia="zh-CN"/>
                    </w:rPr>
                    <w:t>东经</w:t>
                  </w:r>
                  <w:r>
                    <w:rPr>
                      <w:rFonts w:hint="default" w:ascii="Times New Roman" w:hAnsi="Times New Roman"/>
                      <w:color w:val="auto"/>
                      <w:sz w:val="21"/>
                      <w:szCs w:val="21"/>
                    </w:rPr>
                    <w:t>11</w:t>
                  </w:r>
                  <w:r>
                    <w:rPr>
                      <w:rFonts w:hint="eastAsia"/>
                      <w:color w:val="auto"/>
                      <w:sz w:val="21"/>
                      <w:szCs w:val="21"/>
                      <w:lang w:val="en-US" w:eastAsia="zh-CN"/>
                    </w:rPr>
                    <w:t>4</w:t>
                  </w:r>
                  <w:r>
                    <w:rPr>
                      <w:rFonts w:hint="default" w:ascii="Times New Roman" w:hAnsi="Times New Roman"/>
                      <w:color w:val="auto"/>
                      <w:sz w:val="21"/>
                      <w:szCs w:val="21"/>
                    </w:rPr>
                    <w:t>°</w:t>
                  </w:r>
                  <w:r>
                    <w:rPr>
                      <w:rFonts w:hint="eastAsia"/>
                      <w:color w:val="auto"/>
                      <w:sz w:val="21"/>
                      <w:szCs w:val="21"/>
                      <w:lang w:val="en-US" w:eastAsia="zh-CN"/>
                    </w:rPr>
                    <w:t>56</w:t>
                  </w:r>
                  <w:r>
                    <w:rPr>
                      <w:rFonts w:hint="default" w:ascii="Times New Roman" w:hAnsi="Times New Roman"/>
                      <w:color w:val="auto"/>
                      <w:sz w:val="21"/>
                      <w:szCs w:val="21"/>
                    </w:rPr>
                    <w:t>'</w:t>
                  </w:r>
                  <w:r>
                    <w:rPr>
                      <w:rFonts w:hint="eastAsia"/>
                      <w:color w:val="auto"/>
                      <w:sz w:val="21"/>
                      <w:szCs w:val="21"/>
                      <w:lang w:val="en-US" w:eastAsia="zh-CN"/>
                    </w:rPr>
                    <w:t>40.546</w:t>
                  </w:r>
                  <w:r>
                    <w:rPr>
                      <w:rFonts w:hint="default" w:ascii="Times New Roman" w:hAnsi="Times New Roman"/>
                      <w:color w:val="auto"/>
                      <w:sz w:val="21"/>
                      <w:szCs w:val="21"/>
                    </w:rPr>
                    <w:t>"</w:t>
                  </w:r>
                </w:p>
              </w:tc>
              <w:tc>
                <w:tcPr>
                  <w:tcW w:w="641" w:type="dxa"/>
                  <w:noWrap w:val="0"/>
                  <w:vAlign w:val="center"/>
                </w:tcPr>
                <w:p w14:paraId="1DC779A2">
                  <w:pPr>
                    <w:pStyle w:val="103"/>
                    <w:keepNext w:val="0"/>
                    <w:keepLines w:val="0"/>
                    <w:pageBreakBefore w:val="0"/>
                    <w:kinsoku/>
                    <w:wordWrap/>
                    <w:overflowPunct/>
                    <w:topLinePunct w:val="0"/>
                    <w:autoSpaceDE/>
                    <w:autoSpaceDN/>
                    <w:bidi w:val="0"/>
                    <w:adjustRightInd/>
                    <w:snapToGrid/>
                    <w:spacing w:line="320" w:lineRule="exact"/>
                    <w:textAlignment w:val="auto"/>
                    <w:rPr>
                      <w:rFonts w:hint="eastAsia"/>
                      <w:color w:val="auto"/>
                      <w:sz w:val="21"/>
                      <w:szCs w:val="21"/>
                      <w:lang w:val="en-US" w:eastAsia="zh-CN"/>
                    </w:rPr>
                  </w:pPr>
                  <w:r>
                    <w:rPr>
                      <w:rFonts w:hint="eastAsia"/>
                      <w:color w:val="auto"/>
                      <w:sz w:val="21"/>
                      <w:szCs w:val="21"/>
                      <w:lang w:val="en-US" w:eastAsia="zh-CN"/>
                    </w:rPr>
                    <w:t>村庄</w:t>
                  </w:r>
                </w:p>
              </w:tc>
              <w:tc>
                <w:tcPr>
                  <w:tcW w:w="848" w:type="dxa"/>
                  <w:noWrap w:val="0"/>
                  <w:vAlign w:val="center"/>
                </w:tcPr>
                <w:p w14:paraId="79E7180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color w:val="auto"/>
                      <w:sz w:val="21"/>
                      <w:szCs w:val="21"/>
                      <w:lang w:val="en-US" w:eastAsia="zh-CN"/>
                    </w:rPr>
                  </w:pPr>
                  <w:r>
                    <w:rPr>
                      <w:rFonts w:hint="eastAsia"/>
                      <w:color w:val="auto"/>
                      <w:sz w:val="21"/>
                      <w:szCs w:val="21"/>
                      <w:lang w:val="en-US" w:eastAsia="zh-CN"/>
                    </w:rPr>
                    <w:t>NW</w:t>
                  </w:r>
                </w:p>
              </w:tc>
              <w:tc>
                <w:tcPr>
                  <w:tcW w:w="1020" w:type="dxa"/>
                  <w:noWrap w:val="0"/>
                  <w:vAlign w:val="center"/>
                </w:tcPr>
                <w:p w14:paraId="5B32057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330</w:t>
                  </w:r>
                </w:p>
              </w:tc>
              <w:tc>
                <w:tcPr>
                  <w:tcW w:w="885" w:type="dxa"/>
                  <w:vMerge w:val="continue"/>
                  <w:noWrap w:val="0"/>
                  <w:vAlign w:val="center"/>
                </w:tcPr>
                <w:p w14:paraId="5788DD48">
                  <w:pPr>
                    <w:pStyle w:val="103"/>
                    <w:keepNext w:val="0"/>
                    <w:keepLines w:val="0"/>
                    <w:pageBreakBefore w:val="0"/>
                    <w:kinsoku/>
                    <w:wordWrap/>
                    <w:overflowPunct/>
                    <w:topLinePunct w:val="0"/>
                    <w:autoSpaceDE/>
                    <w:autoSpaceDN/>
                    <w:bidi w:val="0"/>
                    <w:adjustRightInd/>
                    <w:snapToGrid/>
                    <w:spacing w:line="320" w:lineRule="exact"/>
                    <w:textAlignment w:val="auto"/>
                    <w:rPr>
                      <w:rFonts w:hint="eastAsia"/>
                      <w:color w:val="auto"/>
                      <w:sz w:val="21"/>
                      <w:szCs w:val="21"/>
                      <w:lang w:val="en-US" w:eastAsia="zh-CN"/>
                    </w:rPr>
                  </w:pPr>
                </w:p>
              </w:tc>
              <w:tc>
                <w:tcPr>
                  <w:tcW w:w="705" w:type="dxa"/>
                  <w:noWrap w:val="0"/>
                  <w:vAlign w:val="center"/>
                </w:tcPr>
                <w:p w14:paraId="09F863C4">
                  <w:pPr>
                    <w:pStyle w:val="103"/>
                    <w:keepNext w:val="0"/>
                    <w:keepLines w:val="0"/>
                    <w:pageBreakBefore w:val="0"/>
                    <w:kinsoku/>
                    <w:wordWrap/>
                    <w:overflowPunct/>
                    <w:topLinePunct w:val="0"/>
                    <w:autoSpaceDE/>
                    <w:autoSpaceDN/>
                    <w:bidi w:val="0"/>
                    <w:adjustRightInd/>
                    <w:snapToGrid/>
                    <w:spacing w:line="320" w:lineRule="exact"/>
                    <w:textAlignment w:val="auto"/>
                    <w:rPr>
                      <w:rFonts w:hint="default"/>
                      <w:color w:val="auto"/>
                      <w:sz w:val="21"/>
                      <w:szCs w:val="21"/>
                      <w:lang w:val="en-US" w:eastAsia="zh-CN"/>
                    </w:rPr>
                  </w:pPr>
                  <w:r>
                    <w:rPr>
                      <w:rFonts w:hint="eastAsia"/>
                      <w:color w:val="auto"/>
                      <w:sz w:val="21"/>
                      <w:szCs w:val="21"/>
                      <w:lang w:val="en-US" w:eastAsia="zh-CN"/>
                    </w:rPr>
                    <w:t>居民</w:t>
                  </w:r>
                </w:p>
              </w:tc>
              <w:tc>
                <w:tcPr>
                  <w:tcW w:w="1199" w:type="dxa"/>
                  <w:vMerge w:val="continue"/>
                  <w:noWrap w:val="0"/>
                  <w:vAlign w:val="center"/>
                </w:tcPr>
                <w:p w14:paraId="133FA649">
                  <w:pPr>
                    <w:pStyle w:val="103"/>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color w:val="auto"/>
                      <w:sz w:val="21"/>
                      <w:szCs w:val="21"/>
                      <w:lang w:eastAsia="zh-CN"/>
                    </w:rPr>
                  </w:pPr>
                </w:p>
              </w:tc>
            </w:tr>
          </w:tbl>
          <w:p w14:paraId="45742C88">
            <w:pPr>
              <w:adjustRightInd w:val="0"/>
              <w:snapToGrid w:val="0"/>
              <w:spacing w:line="480" w:lineRule="exact"/>
              <w:ind w:firstLine="482" w:firstLineChars="200"/>
              <w:rPr>
                <w:rFonts w:hint="default" w:ascii="Times New Roman" w:hAnsi="Times New Roman" w:cs="Times New Roman" w:eastAsiaTheme="minorEastAsia"/>
                <w:b/>
                <w:bCs/>
                <w:color w:val="auto"/>
                <w:sz w:val="24"/>
              </w:rPr>
            </w:pPr>
            <w:r>
              <w:rPr>
                <w:rFonts w:hint="eastAsia" w:cs="Times New Roman" w:eastAsiaTheme="minorEastAsia"/>
                <w:b/>
                <w:bCs/>
                <w:color w:val="auto"/>
                <w:sz w:val="24"/>
                <w:lang w:val="en-US" w:eastAsia="zh-CN"/>
              </w:rPr>
              <w:t>2</w:t>
            </w:r>
            <w:r>
              <w:rPr>
                <w:rFonts w:hint="default" w:ascii="Times New Roman" w:hAnsi="Times New Roman" w:cs="Times New Roman" w:eastAsiaTheme="minorEastAsia"/>
                <w:b/>
                <w:bCs/>
                <w:color w:val="auto"/>
                <w:sz w:val="24"/>
              </w:rPr>
              <w:t>、</w:t>
            </w:r>
            <w:r>
              <w:rPr>
                <w:rFonts w:hint="eastAsia"/>
                <w:b/>
                <w:bCs/>
                <w:snapToGrid w:val="0"/>
                <w:color w:val="auto"/>
                <w:kern w:val="21"/>
                <w:sz w:val="24"/>
                <w:highlight w:val="none"/>
              </w:rPr>
              <w:t>声环境保护目标</w:t>
            </w:r>
          </w:p>
          <w:p w14:paraId="37D152E4">
            <w:pPr>
              <w:adjustRightInd w:val="0"/>
              <w:snapToGrid w:val="0"/>
              <w:spacing w:line="480" w:lineRule="exact"/>
              <w:ind w:firstLine="480" w:firstLineChars="200"/>
              <w:rPr>
                <w:rFonts w:hint="eastAsia" w:ascii="Times New Roman" w:hAnsi="Times New Roman" w:cs="Times New Roman" w:eastAsiaTheme="minorEastAsia"/>
                <w:color w:val="auto"/>
                <w:kern w:val="0"/>
                <w:sz w:val="24"/>
                <w:lang w:eastAsia="zh-CN"/>
              </w:rPr>
            </w:pPr>
            <w:r>
              <w:rPr>
                <w:rFonts w:hint="default" w:ascii="Times New Roman" w:hAnsi="Times New Roman" w:cs="Times New Roman" w:eastAsiaTheme="minorEastAsia"/>
                <w:color w:val="auto"/>
                <w:kern w:val="0"/>
                <w:sz w:val="24"/>
              </w:rPr>
              <w:t>公司厂界周围50m范围内无声环境敏感点，因此本评价不再设置声环境保护目标</w:t>
            </w:r>
            <w:r>
              <w:rPr>
                <w:rFonts w:hint="eastAsia" w:cs="Times New Roman" w:eastAsiaTheme="minorEastAsia"/>
                <w:color w:val="auto"/>
                <w:kern w:val="0"/>
                <w:sz w:val="24"/>
                <w:lang w:eastAsia="zh-CN"/>
              </w:rPr>
              <w:t>。</w:t>
            </w:r>
          </w:p>
          <w:p w14:paraId="3C575758">
            <w:pPr>
              <w:adjustRightInd w:val="0"/>
              <w:snapToGrid w:val="0"/>
              <w:spacing w:line="480" w:lineRule="exact"/>
              <w:ind w:firstLine="482" w:firstLineChars="200"/>
              <w:rPr>
                <w:rFonts w:hint="default" w:ascii="Times New Roman" w:hAnsi="Times New Roman" w:cs="Times New Roman" w:eastAsiaTheme="minorEastAsia"/>
                <w:b/>
                <w:bCs/>
                <w:color w:val="auto"/>
                <w:sz w:val="24"/>
              </w:rPr>
            </w:pPr>
            <w:r>
              <w:rPr>
                <w:rFonts w:hint="eastAsia" w:cs="Times New Roman" w:eastAsiaTheme="minorEastAsia"/>
                <w:b/>
                <w:bCs/>
                <w:color w:val="auto"/>
                <w:sz w:val="24"/>
                <w:lang w:val="en-US" w:eastAsia="zh-CN"/>
              </w:rPr>
              <w:t>3</w:t>
            </w:r>
            <w:r>
              <w:rPr>
                <w:rFonts w:hint="default" w:ascii="Times New Roman" w:hAnsi="Times New Roman" w:cs="Times New Roman" w:eastAsiaTheme="minorEastAsia"/>
                <w:b/>
                <w:bCs/>
                <w:color w:val="auto"/>
                <w:sz w:val="24"/>
              </w:rPr>
              <w:t>、</w:t>
            </w:r>
            <w:r>
              <w:rPr>
                <w:rFonts w:hint="eastAsia"/>
                <w:b/>
                <w:bCs/>
                <w:snapToGrid w:val="0"/>
                <w:color w:val="auto"/>
                <w:kern w:val="21"/>
                <w:sz w:val="24"/>
                <w:highlight w:val="none"/>
              </w:rPr>
              <w:t>地下水环境保护目标</w:t>
            </w:r>
          </w:p>
          <w:p w14:paraId="289C7B8D">
            <w:pPr>
              <w:adjustRightInd w:val="0"/>
              <w:snapToGrid w:val="0"/>
              <w:spacing w:line="480" w:lineRule="exact"/>
              <w:ind w:firstLine="480" w:firstLineChars="200"/>
              <w:rPr>
                <w:rFonts w:hint="eastAsia" w:ascii="Times New Roman" w:hAnsi="Times New Roman" w:cs="Times New Roman" w:eastAsiaTheme="minorEastAsia"/>
                <w:color w:val="auto"/>
                <w:kern w:val="0"/>
                <w:sz w:val="24"/>
                <w:lang w:eastAsia="zh-CN"/>
              </w:rPr>
            </w:pPr>
            <w:r>
              <w:rPr>
                <w:rFonts w:hint="default" w:ascii="Times New Roman" w:hAnsi="Times New Roman" w:cs="Times New Roman" w:eastAsiaTheme="minorEastAsia"/>
                <w:color w:val="auto"/>
                <w:kern w:val="0"/>
                <w:sz w:val="24"/>
              </w:rPr>
              <w:t>公司厂界周围500m范围内不涉及地下水集中式饮用水水源和热水、矿泉水、温泉等特殊地下水资源，因此不再设置地下水保护目标</w:t>
            </w:r>
            <w:r>
              <w:rPr>
                <w:rFonts w:hint="eastAsia" w:cs="Times New Roman" w:eastAsiaTheme="minorEastAsia"/>
                <w:color w:val="auto"/>
                <w:kern w:val="0"/>
                <w:sz w:val="24"/>
                <w:lang w:eastAsia="zh-CN"/>
              </w:rPr>
              <w:t>。</w:t>
            </w:r>
          </w:p>
          <w:p w14:paraId="493016D2">
            <w:pPr>
              <w:adjustRightInd w:val="0"/>
              <w:snapToGrid w:val="0"/>
              <w:spacing w:line="480" w:lineRule="exact"/>
              <w:ind w:firstLine="482" w:firstLineChars="200"/>
              <w:rPr>
                <w:rFonts w:hint="default" w:ascii="Times New Roman" w:hAnsi="Times New Roman" w:cs="Times New Roman" w:eastAsiaTheme="minorEastAsia"/>
                <w:b/>
                <w:bCs/>
                <w:color w:val="auto"/>
                <w:sz w:val="24"/>
              </w:rPr>
            </w:pPr>
            <w:r>
              <w:rPr>
                <w:rFonts w:hint="eastAsia" w:cs="Times New Roman" w:eastAsiaTheme="minorEastAsia"/>
                <w:b/>
                <w:bCs/>
                <w:color w:val="auto"/>
                <w:sz w:val="24"/>
                <w:lang w:val="en-US" w:eastAsia="zh-CN"/>
              </w:rPr>
              <w:t>4</w:t>
            </w:r>
            <w:r>
              <w:rPr>
                <w:rFonts w:hint="default" w:ascii="Times New Roman" w:hAnsi="Times New Roman" w:cs="Times New Roman" w:eastAsiaTheme="minorEastAsia"/>
                <w:b/>
                <w:bCs/>
                <w:color w:val="auto"/>
                <w:sz w:val="24"/>
              </w:rPr>
              <w:t>、</w:t>
            </w:r>
            <w:r>
              <w:rPr>
                <w:rFonts w:hint="eastAsia"/>
                <w:b/>
                <w:bCs/>
                <w:snapToGrid w:val="0"/>
                <w:color w:val="auto"/>
                <w:kern w:val="21"/>
                <w:sz w:val="24"/>
                <w:highlight w:val="none"/>
              </w:rPr>
              <w:t>生态环境保护目标</w:t>
            </w:r>
          </w:p>
          <w:p w14:paraId="1785055E">
            <w:pPr>
              <w:adjustRightInd w:val="0"/>
              <w:snapToGrid w:val="0"/>
              <w:spacing w:line="480" w:lineRule="exact"/>
              <w:ind w:firstLine="480" w:firstLineChars="200"/>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项目位于魏县经济开发区-再生资源循环利用产业园，</w:t>
            </w:r>
            <w:r>
              <w:rPr>
                <w:rFonts w:hint="eastAsia" w:cs="Times New Roman" w:eastAsiaTheme="minorEastAsia"/>
                <w:color w:val="auto"/>
                <w:kern w:val="0"/>
                <w:sz w:val="24"/>
                <w:lang w:val="en-US" w:eastAsia="zh-CN"/>
              </w:rPr>
              <w:t>占地类型为工业用地，</w:t>
            </w:r>
            <w:r>
              <w:rPr>
                <w:rFonts w:hint="default" w:ascii="Times New Roman" w:hAnsi="Times New Roman" w:cs="Times New Roman" w:eastAsiaTheme="minorEastAsia"/>
                <w:color w:val="auto"/>
                <w:kern w:val="0"/>
                <w:sz w:val="24"/>
              </w:rPr>
              <w:t>不涉及生态环境保护目标，因此本评价不再设置生态环境保护目标。</w:t>
            </w:r>
          </w:p>
        </w:tc>
      </w:tr>
      <w:tr w14:paraId="2B6230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31" w:hRule="atLeast"/>
          <w:jc w:val="center"/>
        </w:trPr>
        <w:tc>
          <w:tcPr>
            <w:tcW w:w="800" w:type="dxa"/>
            <w:tcMar>
              <w:left w:w="28" w:type="dxa"/>
              <w:right w:w="28" w:type="dxa"/>
            </w:tcMar>
            <w:vAlign w:val="center"/>
          </w:tcPr>
          <w:p w14:paraId="7726A63A">
            <w:pPr>
              <w:adjustRightInd w:val="0"/>
              <w:snapToGrid w:val="0"/>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污染</w:t>
            </w:r>
          </w:p>
          <w:p w14:paraId="7EE8DB57">
            <w:pPr>
              <w:adjustRightInd w:val="0"/>
              <w:snapToGrid w:val="0"/>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物排</w:t>
            </w:r>
          </w:p>
          <w:p w14:paraId="0C6A8EA0">
            <w:pPr>
              <w:adjustRightInd w:val="0"/>
              <w:snapToGrid w:val="0"/>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放控</w:t>
            </w:r>
          </w:p>
          <w:p w14:paraId="0D60BCEF">
            <w:pPr>
              <w:adjustRightInd w:val="0"/>
              <w:snapToGrid w:val="0"/>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制标</w:t>
            </w:r>
          </w:p>
          <w:p w14:paraId="3521E1CD">
            <w:pPr>
              <w:adjustRightInd w:val="0"/>
              <w:snapToGrid w:val="0"/>
              <w:jc w:val="center"/>
              <w:rPr>
                <w:rFonts w:hint="default" w:ascii="Times New Roman" w:hAnsi="Times New Roman" w:cs="Times New Roman" w:eastAsiaTheme="minorEastAsia"/>
                <w:color w:val="auto"/>
                <w:kern w:val="0"/>
                <w:sz w:val="24"/>
                <w:highlight w:val="yellow"/>
              </w:rPr>
            </w:pPr>
            <w:r>
              <w:rPr>
                <w:rFonts w:hint="default" w:ascii="Times New Roman" w:hAnsi="Times New Roman" w:cs="Times New Roman" w:eastAsiaTheme="minorEastAsia"/>
                <w:color w:val="auto"/>
                <w:kern w:val="0"/>
                <w:sz w:val="24"/>
              </w:rPr>
              <w:t>准</w:t>
            </w:r>
          </w:p>
        </w:tc>
        <w:tc>
          <w:tcPr>
            <w:tcW w:w="8190" w:type="dxa"/>
            <w:vAlign w:val="center"/>
          </w:tcPr>
          <w:p w14:paraId="70CC8F5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cs="Times New Roman"/>
                <w:b/>
                <w:color w:val="auto"/>
                <w:sz w:val="24"/>
              </w:rPr>
            </w:pPr>
            <w:r>
              <w:rPr>
                <w:rFonts w:hint="default" w:ascii="Times New Roman" w:hAnsi="Times New Roman" w:cs="Times New Roman"/>
                <w:b/>
                <w:color w:val="auto"/>
                <w:sz w:val="24"/>
              </w:rPr>
              <w:t>1、施工期</w:t>
            </w:r>
          </w:p>
          <w:p w14:paraId="00C5BF5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bCs/>
                <w:color w:val="auto"/>
                <w:sz w:val="24"/>
              </w:rPr>
            </w:pPr>
            <w:r>
              <w:rPr>
                <w:rFonts w:hint="eastAsia" w:cs="Times New Roman"/>
                <w:color w:val="auto"/>
                <w:sz w:val="24"/>
                <w:lang w:eastAsia="zh-CN"/>
              </w:rPr>
              <w:t>（</w:t>
            </w:r>
            <w:r>
              <w:rPr>
                <w:rFonts w:hint="eastAsia" w:cs="Times New Roman"/>
                <w:color w:val="auto"/>
                <w:sz w:val="24"/>
                <w:lang w:val="en-US" w:eastAsia="zh-CN"/>
              </w:rPr>
              <w:t>1</w:t>
            </w:r>
            <w:r>
              <w:rPr>
                <w:rFonts w:hint="eastAsia" w:cs="Times New Roman"/>
                <w:color w:val="auto"/>
                <w:sz w:val="24"/>
                <w:lang w:eastAsia="zh-CN"/>
              </w:rPr>
              <w:t>）</w:t>
            </w:r>
            <w:r>
              <w:rPr>
                <w:rFonts w:hint="default" w:ascii="Times New Roman" w:hAnsi="Times New Roman" w:cs="Times New Roman"/>
                <w:color w:val="auto"/>
                <w:sz w:val="24"/>
              </w:rPr>
              <w:t>施工期扬尘：执行</w:t>
            </w:r>
            <w:r>
              <w:rPr>
                <w:rFonts w:hint="default" w:ascii="Times New Roman" w:hAnsi="Times New Roman" w:cs="Times New Roman"/>
                <w:bCs/>
                <w:color w:val="auto"/>
                <w:sz w:val="24"/>
              </w:rPr>
              <w:t>《施工场地扬尘排放标准》（DB13/2934-2019）表1扬尘排放浓度限值。</w:t>
            </w:r>
          </w:p>
          <w:p w14:paraId="5C413783">
            <w:pPr>
              <w:pStyle w:val="9"/>
              <w:keepNext w:val="0"/>
              <w:keepLines w:val="0"/>
              <w:pageBreakBefore w:val="0"/>
              <w:widowControl w:val="0"/>
              <w:kinsoku/>
              <w:wordWrap/>
              <w:overflowPunct/>
              <w:topLinePunct w:val="0"/>
              <w:autoSpaceDE/>
              <w:autoSpaceDN/>
              <w:bidi w:val="0"/>
              <w:adjustRightInd/>
              <w:snapToGrid/>
              <w:spacing w:line="480" w:lineRule="exact"/>
              <w:ind w:firstLine="482"/>
              <w:jc w:val="center"/>
              <w:textAlignment w:val="auto"/>
              <w:rPr>
                <w:rFonts w:hint="default" w:ascii="Times New Roman" w:hAnsi="Times New Roman" w:cs="Times New Roman"/>
                <w:b/>
                <w:color w:val="auto"/>
                <w:sz w:val="24"/>
                <w:szCs w:val="21"/>
              </w:rPr>
            </w:pPr>
            <w:r>
              <w:rPr>
                <w:rFonts w:hint="default" w:ascii="Times New Roman" w:hAnsi="Times New Roman" w:cs="Times New Roman"/>
                <w:b/>
                <w:color w:val="auto"/>
                <w:sz w:val="24"/>
                <w:szCs w:val="21"/>
              </w:rPr>
              <w:t>表</w:t>
            </w:r>
            <w:r>
              <w:rPr>
                <w:rFonts w:hint="eastAsia" w:cs="Times New Roman"/>
                <w:b/>
                <w:color w:val="auto"/>
                <w:sz w:val="24"/>
                <w:szCs w:val="21"/>
                <w:lang w:val="en-US" w:eastAsia="zh-CN"/>
              </w:rPr>
              <w:t xml:space="preserve">16   </w:t>
            </w:r>
            <w:r>
              <w:rPr>
                <w:rFonts w:hint="default" w:ascii="Times New Roman" w:hAnsi="Times New Roman" w:cs="Times New Roman"/>
                <w:b/>
                <w:color w:val="auto"/>
                <w:sz w:val="24"/>
                <w:szCs w:val="21"/>
              </w:rPr>
              <w:t>扬尘排放浓度限值</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3"/>
              <w:gridCol w:w="3054"/>
              <w:gridCol w:w="3114"/>
            </w:tblGrid>
            <w:tr w14:paraId="15D6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26" w:type="pct"/>
                  <w:tcBorders>
                    <w:tl2br w:val="nil"/>
                    <w:tr2bl w:val="nil"/>
                  </w:tcBorders>
                  <w:vAlign w:val="center"/>
                </w:tcPr>
                <w:p w14:paraId="2057F2AC">
                  <w:pPr>
                    <w:adjustRightInd w:val="0"/>
                    <w:snapToGrid w:val="0"/>
                    <w:spacing w:before="48" w:beforeLines="20" w:after="48" w:afterLines="2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控制项目</w:t>
                  </w:r>
                </w:p>
              </w:tc>
              <w:tc>
                <w:tcPr>
                  <w:tcW w:w="1918" w:type="pct"/>
                  <w:tcBorders>
                    <w:tl2br w:val="nil"/>
                    <w:tr2bl w:val="nil"/>
                  </w:tcBorders>
                  <w:vAlign w:val="center"/>
                </w:tcPr>
                <w:p w14:paraId="2DD0789A">
                  <w:pPr>
                    <w:widowControl/>
                    <w:spacing w:before="48" w:beforeLines="20" w:after="48" w:afterLines="2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监测点浓度限值</w:t>
                  </w:r>
                  <w:r>
                    <w:rPr>
                      <w:rFonts w:hint="default" w:ascii="Times New Roman" w:hAnsi="Times New Roman" w:cs="Times New Roman"/>
                      <w:b/>
                      <w:bCs/>
                      <w:color w:val="auto"/>
                      <w:szCs w:val="21"/>
                      <w:vertAlign w:val="superscript"/>
                    </w:rPr>
                    <w:t>a</w:t>
                  </w:r>
                  <w:r>
                    <w:rPr>
                      <w:rFonts w:hint="default" w:ascii="Times New Roman" w:hAnsi="Times New Roman" w:cs="Times New Roman"/>
                      <w:b/>
                      <w:bCs/>
                      <w:color w:val="auto"/>
                      <w:szCs w:val="21"/>
                    </w:rPr>
                    <w:t>（µg/m</w:t>
                  </w:r>
                  <w:r>
                    <w:rPr>
                      <w:rFonts w:hint="default" w:ascii="Times New Roman" w:hAnsi="Times New Roman" w:cs="Times New Roman"/>
                      <w:b/>
                      <w:bCs/>
                      <w:color w:val="auto"/>
                      <w:szCs w:val="21"/>
                      <w:vertAlign w:val="superscript"/>
                    </w:rPr>
                    <w:t>3</w:t>
                  </w:r>
                  <w:r>
                    <w:rPr>
                      <w:rFonts w:hint="default" w:ascii="Times New Roman" w:hAnsi="Times New Roman" w:cs="Times New Roman"/>
                      <w:b/>
                      <w:bCs/>
                      <w:color w:val="auto"/>
                      <w:szCs w:val="21"/>
                    </w:rPr>
                    <w:t>）</w:t>
                  </w:r>
                </w:p>
              </w:tc>
              <w:tc>
                <w:tcPr>
                  <w:tcW w:w="1955" w:type="pct"/>
                  <w:tcBorders>
                    <w:tl2br w:val="nil"/>
                    <w:tr2bl w:val="nil"/>
                  </w:tcBorders>
                  <w:vAlign w:val="center"/>
                </w:tcPr>
                <w:p w14:paraId="4DC05531">
                  <w:pPr>
                    <w:adjustRightInd w:val="0"/>
                    <w:snapToGrid w:val="0"/>
                    <w:spacing w:before="48" w:beforeLines="20" w:after="48" w:afterLines="2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达标判定依据（次/天）</w:t>
                  </w:r>
                </w:p>
              </w:tc>
            </w:tr>
            <w:tr w14:paraId="6766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26" w:type="pct"/>
                  <w:tcBorders>
                    <w:tl2br w:val="nil"/>
                    <w:tr2bl w:val="nil"/>
                  </w:tcBorders>
                  <w:vAlign w:val="center"/>
                </w:tcPr>
                <w:p w14:paraId="3771E7F6">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PM</w:t>
                  </w:r>
                  <w:r>
                    <w:rPr>
                      <w:rFonts w:hint="default" w:ascii="Times New Roman" w:hAnsi="Times New Roman" w:cs="Times New Roman"/>
                      <w:color w:val="auto"/>
                      <w:szCs w:val="21"/>
                      <w:vertAlign w:val="subscript"/>
                    </w:rPr>
                    <w:t>10</w:t>
                  </w:r>
                </w:p>
              </w:tc>
              <w:tc>
                <w:tcPr>
                  <w:tcW w:w="1918" w:type="pct"/>
                  <w:tcBorders>
                    <w:tl2br w:val="nil"/>
                    <w:tr2bl w:val="nil"/>
                  </w:tcBorders>
                  <w:vAlign w:val="center"/>
                </w:tcPr>
                <w:p w14:paraId="10B78FB6">
                  <w:pPr>
                    <w:widowControl/>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80</w:t>
                  </w:r>
                </w:p>
              </w:tc>
              <w:tc>
                <w:tcPr>
                  <w:tcW w:w="1955" w:type="pct"/>
                  <w:tcBorders>
                    <w:tl2br w:val="nil"/>
                    <w:tr2bl w:val="nil"/>
                  </w:tcBorders>
                  <w:vAlign w:val="center"/>
                </w:tcPr>
                <w:p w14:paraId="02CEE4BD">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r>
            <w:tr w14:paraId="28E2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000" w:type="pct"/>
                  <w:gridSpan w:val="3"/>
                  <w:tcBorders>
                    <w:tl2br w:val="nil"/>
                    <w:tr2bl w:val="nil"/>
                  </w:tcBorders>
                  <w:vAlign w:val="center"/>
                </w:tcPr>
                <w:p w14:paraId="5FFE31C9">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vertAlign w:val="superscript"/>
                    </w:rPr>
                    <w:t>a</w:t>
                  </w:r>
                  <w:r>
                    <w:rPr>
                      <w:rFonts w:hint="default" w:ascii="Times New Roman" w:hAnsi="Times New Roman" w:cs="Times New Roman"/>
                      <w:color w:val="auto"/>
                      <w:szCs w:val="21"/>
                    </w:rPr>
                    <w:t>指监测点PM</w:t>
                  </w:r>
                  <w:r>
                    <w:rPr>
                      <w:rFonts w:hint="default" w:ascii="Times New Roman" w:hAnsi="Times New Roman" w:cs="Times New Roman"/>
                      <w:color w:val="auto"/>
                      <w:szCs w:val="21"/>
                      <w:vertAlign w:val="subscript"/>
                    </w:rPr>
                    <w:t>10</w:t>
                  </w:r>
                  <w:r>
                    <w:rPr>
                      <w:rFonts w:hint="default" w:ascii="Times New Roman" w:hAnsi="Times New Roman" w:cs="Times New Roman"/>
                      <w:color w:val="auto"/>
                      <w:szCs w:val="21"/>
                    </w:rPr>
                    <w:t>小时平均浓度实测值与同时段所属县（市、区）PM</w:t>
                  </w:r>
                  <w:r>
                    <w:rPr>
                      <w:rFonts w:hint="default" w:ascii="Times New Roman" w:hAnsi="Times New Roman" w:cs="Times New Roman"/>
                      <w:color w:val="auto"/>
                      <w:szCs w:val="21"/>
                      <w:vertAlign w:val="subscript"/>
                    </w:rPr>
                    <w:t>10</w:t>
                  </w:r>
                  <w:r>
                    <w:rPr>
                      <w:rFonts w:hint="default" w:ascii="Times New Roman" w:hAnsi="Times New Roman" w:cs="Times New Roman"/>
                      <w:color w:val="auto"/>
                      <w:szCs w:val="21"/>
                    </w:rPr>
                    <w:t>小时平均浓度的差值。当县（市、区）PM</w:t>
                  </w:r>
                  <w:r>
                    <w:rPr>
                      <w:rFonts w:hint="default" w:ascii="Times New Roman" w:hAnsi="Times New Roman" w:cs="Times New Roman"/>
                      <w:color w:val="auto"/>
                      <w:szCs w:val="21"/>
                      <w:vertAlign w:val="subscript"/>
                    </w:rPr>
                    <w:t>10</w:t>
                  </w:r>
                  <w:r>
                    <w:rPr>
                      <w:rFonts w:hint="default" w:ascii="Times New Roman" w:hAnsi="Times New Roman" w:cs="Times New Roman"/>
                      <w:color w:val="auto"/>
                      <w:szCs w:val="21"/>
                    </w:rPr>
                    <w:t>小时平均浓度值大于150µg/m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时，以</w:t>
                  </w:r>
                  <w:r>
                    <w:rPr>
                      <w:rFonts w:hint="eastAsia" w:cs="Times New Roman"/>
                      <w:color w:val="auto"/>
                      <w:szCs w:val="21"/>
                      <w:lang w:val="en-US" w:eastAsia="zh-CN"/>
                    </w:rPr>
                    <w:t>150</w:t>
                  </w:r>
                  <w:r>
                    <w:rPr>
                      <w:rFonts w:hint="default" w:ascii="Times New Roman" w:hAnsi="Times New Roman" w:cs="Times New Roman"/>
                      <w:color w:val="auto"/>
                      <w:szCs w:val="21"/>
                    </w:rPr>
                    <w:t>µg/m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计。</w:t>
                  </w:r>
                </w:p>
              </w:tc>
            </w:tr>
          </w:tbl>
          <w:p w14:paraId="713398A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bCs/>
                <w:color w:val="auto"/>
                <w:sz w:val="24"/>
              </w:rPr>
            </w:pPr>
            <w:r>
              <w:rPr>
                <w:rFonts w:hint="eastAsia" w:cs="Times New Roman"/>
                <w:color w:val="auto"/>
                <w:sz w:val="24"/>
                <w:lang w:eastAsia="zh-CN"/>
              </w:rPr>
              <w:t>（</w:t>
            </w:r>
            <w:r>
              <w:rPr>
                <w:rFonts w:hint="eastAsia" w:cs="Times New Roman"/>
                <w:color w:val="auto"/>
                <w:sz w:val="24"/>
                <w:lang w:val="en-US" w:eastAsia="zh-CN"/>
              </w:rPr>
              <w:t>2</w:t>
            </w:r>
            <w:r>
              <w:rPr>
                <w:rFonts w:hint="eastAsia" w:cs="Times New Roman"/>
                <w:color w:val="auto"/>
                <w:sz w:val="24"/>
                <w:lang w:eastAsia="zh-CN"/>
              </w:rPr>
              <w:t>）</w:t>
            </w:r>
            <w:r>
              <w:rPr>
                <w:rFonts w:hint="default" w:ascii="Times New Roman" w:hAnsi="Times New Roman" w:cs="Times New Roman"/>
                <w:color w:val="auto"/>
                <w:kern w:val="24"/>
                <w:sz w:val="24"/>
              </w:rPr>
              <w:t>施工期噪声：执行《建筑施工场界环境噪声排放标准》（GB 12523-2011）标准：昼间</w:t>
            </w:r>
            <w:r>
              <w:rPr>
                <w:rFonts w:hint="default" w:ascii="Times New Roman" w:hAnsi="Times New Roman" w:cs="Times New Roman"/>
                <w:color w:val="auto"/>
                <w:kern w:val="24"/>
                <w:sz w:val="24"/>
                <w:lang w:val="zh-CN"/>
              </w:rPr>
              <w:t>≤</w:t>
            </w:r>
            <w:r>
              <w:rPr>
                <w:rFonts w:hint="default" w:ascii="Times New Roman" w:hAnsi="Times New Roman" w:cs="Times New Roman"/>
                <w:color w:val="auto"/>
                <w:kern w:val="24"/>
                <w:sz w:val="24"/>
              </w:rPr>
              <w:t>70dB（A），夜间</w:t>
            </w:r>
            <w:r>
              <w:rPr>
                <w:rFonts w:hint="default" w:ascii="Times New Roman" w:hAnsi="Times New Roman" w:cs="Times New Roman"/>
                <w:color w:val="auto"/>
                <w:kern w:val="24"/>
                <w:sz w:val="24"/>
                <w:lang w:val="zh-CN"/>
              </w:rPr>
              <w:t>≤</w:t>
            </w:r>
            <w:r>
              <w:rPr>
                <w:rFonts w:hint="default" w:ascii="Times New Roman" w:hAnsi="Times New Roman" w:cs="Times New Roman"/>
                <w:color w:val="auto"/>
                <w:kern w:val="24"/>
                <w:sz w:val="24"/>
              </w:rPr>
              <w:t>55dB（A）；</w:t>
            </w:r>
          </w:p>
          <w:p w14:paraId="260F11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kern w:val="24"/>
                <w:sz w:val="24"/>
              </w:rPr>
            </w:pPr>
            <w:r>
              <w:rPr>
                <w:rFonts w:hint="eastAsia" w:cs="Times New Roman"/>
                <w:color w:val="auto"/>
                <w:sz w:val="24"/>
                <w:lang w:eastAsia="zh-CN"/>
              </w:rPr>
              <w:t>（</w:t>
            </w:r>
            <w:r>
              <w:rPr>
                <w:rFonts w:hint="eastAsia" w:cs="Times New Roman"/>
                <w:color w:val="auto"/>
                <w:sz w:val="24"/>
                <w:lang w:val="en-US" w:eastAsia="zh-CN"/>
              </w:rPr>
              <w:t>3</w:t>
            </w:r>
            <w:r>
              <w:rPr>
                <w:rFonts w:hint="eastAsia" w:cs="Times New Roman"/>
                <w:color w:val="auto"/>
                <w:sz w:val="24"/>
                <w:lang w:eastAsia="zh-CN"/>
              </w:rPr>
              <w:t>）</w:t>
            </w:r>
            <w:r>
              <w:rPr>
                <w:rFonts w:hint="default" w:ascii="Times New Roman" w:hAnsi="Times New Roman" w:cs="Times New Roman"/>
                <w:color w:val="auto"/>
                <w:kern w:val="24"/>
                <w:sz w:val="24"/>
              </w:rPr>
              <w:t>施工期固体废物处置：执行</w:t>
            </w:r>
            <w:r>
              <w:rPr>
                <w:rFonts w:hint="default" w:ascii="Times New Roman" w:hAnsi="Times New Roman" w:cs="Times New Roman"/>
                <w:bCs/>
                <w:color w:val="auto"/>
                <w:sz w:val="24"/>
              </w:rPr>
              <w:t>《一般工业固体废物贮存和填埋污染控制标准》（GB18599-2020）规定</w:t>
            </w:r>
            <w:r>
              <w:rPr>
                <w:rFonts w:hint="default" w:ascii="Times New Roman" w:hAnsi="Times New Roman" w:cs="Times New Roman"/>
                <w:color w:val="auto"/>
                <w:kern w:val="24"/>
                <w:sz w:val="24"/>
              </w:rPr>
              <w:t>。</w:t>
            </w:r>
          </w:p>
          <w:p w14:paraId="798302D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cs="Times New Roman"/>
                <w:b/>
                <w:color w:val="auto"/>
                <w:sz w:val="24"/>
              </w:rPr>
            </w:pPr>
            <w:r>
              <w:rPr>
                <w:rFonts w:hint="default" w:ascii="Times New Roman" w:hAnsi="Times New Roman" w:cs="Times New Roman"/>
                <w:b/>
                <w:color w:val="auto"/>
                <w:sz w:val="24"/>
              </w:rPr>
              <w:t>2、营运期</w:t>
            </w:r>
          </w:p>
          <w:p w14:paraId="14369722">
            <w:pPr>
              <w:keepNext w:val="0"/>
              <w:keepLines w:val="0"/>
              <w:pageBreakBefore w:val="0"/>
              <w:widowControl w:val="0"/>
              <w:kinsoku/>
              <w:wordWrap/>
              <w:overflowPunct/>
              <w:topLinePunct w:val="0"/>
              <w:autoSpaceDE/>
              <w:autoSpaceDN/>
              <w:bidi w:val="0"/>
              <w:adjustRightInd/>
              <w:snapToGrid/>
              <w:spacing w:line="500" w:lineRule="exact"/>
              <w:ind w:firstLine="496" w:firstLineChars="207"/>
              <w:textAlignment w:val="auto"/>
              <w:rPr>
                <w:rFonts w:hint="default" w:ascii="Times New Roman" w:hAnsi="Times New Roman" w:cs="Times New Roman"/>
                <w:color w:val="auto"/>
                <w:sz w:val="24"/>
              </w:rPr>
            </w:pPr>
            <w:r>
              <w:rPr>
                <w:rFonts w:hint="default" w:ascii="Times New Roman" w:hAnsi="Times New Roman" w:cs="Times New Roman"/>
                <w:color w:val="auto"/>
                <w:sz w:val="24"/>
              </w:rPr>
              <w:t>（1）废气：</w:t>
            </w:r>
          </w:p>
          <w:p w14:paraId="644174A8">
            <w:pPr>
              <w:keepNext w:val="0"/>
              <w:keepLines w:val="0"/>
              <w:pageBreakBefore w:val="0"/>
              <w:widowControl w:val="0"/>
              <w:kinsoku/>
              <w:wordWrap/>
              <w:overflowPunct/>
              <w:topLinePunct w:val="0"/>
              <w:autoSpaceDE/>
              <w:autoSpaceDN/>
              <w:bidi w:val="0"/>
              <w:adjustRightInd/>
              <w:snapToGrid/>
              <w:spacing w:line="500" w:lineRule="exact"/>
              <w:ind w:firstLine="496" w:firstLineChars="207"/>
              <w:textAlignment w:val="auto"/>
              <w:rPr>
                <w:rFonts w:hint="default" w:ascii="Times New Roman" w:hAnsi="Times New Roman" w:cs="Times New Roman"/>
                <w:b/>
                <w:bCs/>
                <w:color w:val="auto"/>
                <w:sz w:val="24"/>
              </w:rPr>
            </w:pPr>
            <w:r>
              <w:rPr>
                <w:rFonts w:hint="eastAsia" w:cs="Times New Roman"/>
                <w:color w:val="auto"/>
                <w:sz w:val="24"/>
                <w:lang w:val="en-US" w:eastAsia="zh-CN"/>
              </w:rPr>
              <w:t>干式粉碎、挤出工序产生的废气执行《合成树脂工业污染物排放标准》（GB31572-2015，含2024年修改单）表5大气污染物特别排放限值；无组织非甲烷总烃执行《工业企业挥发性有机物排放控制标准》（DB13/ 2322-2025）表2厂区内挥发性有机物无组织排放限值及《合成树脂工业污染物排放标准》（GB31572-2015，含2024年修改单）表9企业边界大气污染物浓度限值，厂界臭气浓度执行《恶臭污染物排放标准》（GB14554-93）表1二级新扩改建标准要求，厂界颗粒物执行《合成树脂工业污染物排放标准》（GB31572-2015，含2024年修改单）表9企业边界大气污染物浓度限值。</w:t>
            </w:r>
          </w:p>
          <w:p w14:paraId="7149D23A">
            <w:pPr>
              <w:adjustRightInd w:val="0"/>
              <w:snapToGrid w:val="0"/>
              <w:ind w:firstLine="2409" w:firstLineChars="1000"/>
              <w:textAlignment w:val="baseline"/>
              <w:rPr>
                <w:rFonts w:hint="default" w:ascii="Times New Roman" w:hAnsi="Times New Roman" w:cs="Times New Roman"/>
                <w:b/>
                <w:bCs/>
                <w:color w:val="auto"/>
                <w:sz w:val="24"/>
              </w:rPr>
            </w:pPr>
          </w:p>
          <w:p w14:paraId="28AA16FC">
            <w:pPr>
              <w:adjustRightInd w:val="0"/>
              <w:snapToGrid w:val="0"/>
              <w:ind w:firstLine="2409" w:firstLineChars="1000"/>
              <w:textAlignment w:val="baseline"/>
              <w:rPr>
                <w:rFonts w:hint="default" w:ascii="Times New Roman" w:hAnsi="Times New Roman" w:cs="Times New Roman"/>
                <w:b/>
                <w:bCs/>
                <w:color w:val="auto"/>
                <w:sz w:val="24"/>
              </w:rPr>
            </w:pPr>
          </w:p>
          <w:p w14:paraId="794A5C8D">
            <w:pPr>
              <w:adjustRightInd w:val="0"/>
              <w:snapToGrid w:val="0"/>
              <w:ind w:firstLine="2409" w:firstLineChars="1000"/>
              <w:textAlignment w:val="baseline"/>
              <w:rPr>
                <w:rFonts w:hint="default" w:ascii="Times New Roman" w:hAnsi="Times New Roman" w:cs="Times New Roman"/>
                <w:b/>
                <w:bCs/>
                <w:color w:val="auto"/>
                <w:sz w:val="24"/>
              </w:rPr>
            </w:pPr>
            <w:r>
              <w:rPr>
                <w:rFonts w:hint="default" w:ascii="Times New Roman" w:hAnsi="Times New Roman" w:cs="Times New Roman"/>
                <w:b/>
                <w:bCs/>
                <w:color w:val="auto"/>
                <w:sz w:val="24"/>
              </w:rPr>
              <w:t>表</w:t>
            </w:r>
            <w:r>
              <w:rPr>
                <w:rFonts w:hint="eastAsia" w:cs="Times New Roman"/>
                <w:b/>
                <w:bCs/>
                <w:color w:val="auto"/>
                <w:sz w:val="24"/>
                <w:lang w:val="en-US" w:eastAsia="zh-CN"/>
              </w:rPr>
              <w:t>17   废气</w:t>
            </w:r>
            <w:r>
              <w:rPr>
                <w:rFonts w:hint="default" w:ascii="Times New Roman" w:hAnsi="Times New Roman" w:cs="Times New Roman"/>
                <w:b/>
                <w:bCs/>
                <w:color w:val="auto"/>
                <w:sz w:val="24"/>
              </w:rPr>
              <w:t>污染物排放标准</w:t>
            </w:r>
          </w:p>
          <w:tbl>
            <w:tblPr>
              <w:tblStyle w:val="28"/>
              <w:tblW w:w="8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05"/>
              <w:gridCol w:w="704"/>
              <w:gridCol w:w="795"/>
              <w:gridCol w:w="1921"/>
              <w:gridCol w:w="4134"/>
            </w:tblGrid>
            <w:tr w14:paraId="0BA18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3" w:hRule="atLeast"/>
                <w:jc w:val="center"/>
              </w:trPr>
              <w:tc>
                <w:tcPr>
                  <w:tcW w:w="505" w:type="dxa"/>
                  <w:noWrap w:val="0"/>
                  <w:vAlign w:val="center"/>
                </w:tcPr>
                <w:p w14:paraId="3D592330">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ascii="宋体" w:hAnsi="宋体" w:cs="宋体"/>
                      <w:color w:val="auto"/>
                      <w:szCs w:val="21"/>
                    </w:rPr>
                  </w:pPr>
                  <w:r>
                    <w:rPr>
                      <w:rFonts w:hint="eastAsia" w:ascii="宋体" w:hAnsi="宋体" w:cs="宋体"/>
                      <w:color w:val="auto"/>
                      <w:szCs w:val="21"/>
                    </w:rPr>
                    <w:t>项目</w:t>
                  </w:r>
                </w:p>
              </w:tc>
              <w:tc>
                <w:tcPr>
                  <w:tcW w:w="1499" w:type="dxa"/>
                  <w:gridSpan w:val="2"/>
                  <w:noWrap w:val="0"/>
                  <w:vAlign w:val="center"/>
                </w:tcPr>
                <w:p w14:paraId="663CC64F">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color w:val="auto"/>
                      <w:szCs w:val="21"/>
                    </w:rPr>
                  </w:pPr>
                  <w:r>
                    <w:rPr>
                      <w:rFonts w:hint="eastAsia" w:ascii="宋体" w:hAnsi="宋体" w:cs="宋体"/>
                      <w:color w:val="auto"/>
                      <w:szCs w:val="21"/>
                    </w:rPr>
                    <w:t>评价因子</w:t>
                  </w:r>
                </w:p>
              </w:tc>
              <w:tc>
                <w:tcPr>
                  <w:tcW w:w="1921" w:type="dxa"/>
                  <w:noWrap w:val="0"/>
                  <w:vAlign w:val="center"/>
                </w:tcPr>
                <w:p w14:paraId="28372077">
                  <w:pPr>
                    <w:keepNext w:val="0"/>
                    <w:keepLines w:val="0"/>
                    <w:pageBreakBefore w:val="0"/>
                    <w:widowControl w:val="0"/>
                    <w:kinsoku/>
                    <w:wordWrap/>
                    <w:overflowPunct/>
                    <w:topLinePunct w:val="0"/>
                    <w:autoSpaceDE/>
                    <w:autoSpaceDN/>
                    <w:bidi w:val="0"/>
                    <w:adjustRightInd w:val="0"/>
                    <w:snapToGrid w:val="0"/>
                    <w:spacing w:line="300" w:lineRule="exact"/>
                    <w:ind w:left="735" w:leftChars="0" w:hanging="735" w:hangingChars="350"/>
                    <w:jc w:val="center"/>
                    <w:textAlignment w:val="auto"/>
                    <w:rPr>
                      <w:rFonts w:hint="eastAsia"/>
                      <w:color w:val="auto"/>
                      <w:szCs w:val="21"/>
                    </w:rPr>
                  </w:pPr>
                  <w:r>
                    <w:rPr>
                      <w:rFonts w:hint="eastAsia" w:ascii="宋体" w:hAnsi="宋体" w:cs="宋体"/>
                      <w:color w:val="auto"/>
                      <w:szCs w:val="21"/>
                    </w:rPr>
                    <w:t>标准值</w:t>
                  </w:r>
                </w:p>
              </w:tc>
              <w:tc>
                <w:tcPr>
                  <w:tcW w:w="4134" w:type="dxa"/>
                  <w:noWrap w:val="0"/>
                  <w:vAlign w:val="center"/>
                </w:tcPr>
                <w:p w14:paraId="6282849C">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color w:val="auto"/>
                      <w:szCs w:val="21"/>
                    </w:rPr>
                  </w:pPr>
                  <w:r>
                    <w:rPr>
                      <w:rFonts w:hint="eastAsia" w:ascii="宋体" w:hAnsi="宋体" w:cs="宋体"/>
                      <w:color w:val="auto"/>
                      <w:szCs w:val="21"/>
                    </w:rPr>
                    <w:t>标准名称</w:t>
                  </w:r>
                </w:p>
              </w:tc>
            </w:tr>
            <w:tr w14:paraId="2228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5" w:hRule="atLeast"/>
                <w:jc w:val="center"/>
              </w:trPr>
              <w:tc>
                <w:tcPr>
                  <w:tcW w:w="505" w:type="dxa"/>
                  <w:vMerge w:val="restart"/>
                  <w:noWrap w:val="0"/>
                  <w:vAlign w:val="center"/>
                </w:tcPr>
                <w:p w14:paraId="12FDA42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bCs/>
                      <w:color w:val="auto"/>
                      <w:szCs w:val="21"/>
                    </w:rPr>
                  </w:pPr>
                  <w:r>
                    <w:rPr>
                      <w:rFonts w:hint="eastAsia"/>
                      <w:bCs/>
                      <w:color w:val="auto"/>
                      <w:szCs w:val="21"/>
                    </w:rPr>
                    <w:t>废气</w:t>
                  </w:r>
                </w:p>
              </w:tc>
              <w:tc>
                <w:tcPr>
                  <w:tcW w:w="704" w:type="dxa"/>
                  <w:noWrap w:val="0"/>
                  <w:vAlign w:val="center"/>
                </w:tcPr>
                <w:p w14:paraId="2DD0546B">
                  <w:pPr>
                    <w:pStyle w:val="87"/>
                    <w:spacing w:line="280" w:lineRule="exact"/>
                    <w:ind w:firstLine="0" w:firstLineChars="0"/>
                    <w:jc w:val="center"/>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干式</w:t>
                  </w:r>
                </w:p>
                <w:p w14:paraId="4BF6A1AB">
                  <w:pPr>
                    <w:pStyle w:val="87"/>
                    <w:spacing w:line="280" w:lineRule="exact"/>
                    <w:ind w:firstLine="0" w:firstLineChars="0"/>
                    <w:jc w:val="center"/>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粉碎</w:t>
                  </w:r>
                </w:p>
              </w:tc>
              <w:tc>
                <w:tcPr>
                  <w:tcW w:w="795" w:type="dxa"/>
                  <w:noWrap w:val="0"/>
                  <w:vAlign w:val="center"/>
                </w:tcPr>
                <w:p w14:paraId="02674C8A">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ascii="宋体" w:hAnsi="宋体" w:eastAsia="宋体" w:cs="宋体"/>
                      <w:bCs/>
                      <w:color w:val="auto"/>
                      <w:szCs w:val="21"/>
                      <w:lang w:eastAsia="zh-CN"/>
                    </w:rPr>
                  </w:pPr>
                  <w:r>
                    <w:rPr>
                      <w:rFonts w:hint="eastAsia" w:ascii="宋体" w:hAnsi="宋体" w:cs="宋体"/>
                      <w:bCs/>
                      <w:color w:val="000000" w:themeColor="text1"/>
                      <w:szCs w:val="21"/>
                      <w:lang w:val="en-US" w:eastAsia="zh-CN"/>
                      <w14:textFill>
                        <w14:solidFill>
                          <w14:schemeClr w14:val="tx1"/>
                        </w14:solidFill>
                      </w14:textFill>
                    </w:rPr>
                    <w:t>颗粒物</w:t>
                  </w:r>
                </w:p>
              </w:tc>
              <w:tc>
                <w:tcPr>
                  <w:tcW w:w="1921" w:type="dxa"/>
                  <w:vMerge w:val="restart"/>
                  <w:noWrap w:val="0"/>
                  <w:vAlign w:val="center"/>
                </w:tcPr>
                <w:p w14:paraId="1D2A52F3">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bCs/>
                      <w:color w:val="auto"/>
                      <w:szCs w:val="21"/>
                    </w:rPr>
                  </w:pPr>
                  <w:r>
                    <w:rPr>
                      <w:rFonts w:hint="eastAsia"/>
                      <w:bCs/>
                      <w:color w:val="auto"/>
                      <w:szCs w:val="21"/>
                      <w:lang w:val="en-US" w:eastAsia="zh-CN"/>
                    </w:rPr>
                    <w:t>2</w:t>
                  </w:r>
                  <w:r>
                    <w:rPr>
                      <w:rFonts w:hint="eastAsia"/>
                      <w:bCs/>
                      <w:color w:val="auto"/>
                      <w:szCs w:val="21"/>
                    </w:rPr>
                    <w:t>0mg/m</w:t>
                  </w:r>
                  <w:r>
                    <w:rPr>
                      <w:rFonts w:hint="eastAsia"/>
                      <w:bCs/>
                      <w:color w:val="auto"/>
                      <w:szCs w:val="21"/>
                      <w:vertAlign w:val="superscript"/>
                    </w:rPr>
                    <w:t>3</w:t>
                  </w:r>
                </w:p>
              </w:tc>
              <w:tc>
                <w:tcPr>
                  <w:tcW w:w="4134" w:type="dxa"/>
                  <w:vMerge w:val="restart"/>
                  <w:noWrap w:val="0"/>
                  <w:vAlign w:val="center"/>
                </w:tcPr>
                <w:p w14:paraId="36E75EFD">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color w:val="auto"/>
                      <w:szCs w:val="21"/>
                    </w:rPr>
                  </w:pPr>
                  <w:r>
                    <w:rPr>
                      <w:rFonts w:hint="eastAsia"/>
                      <w:color w:val="auto"/>
                      <w:szCs w:val="21"/>
                    </w:rPr>
                    <w:t>《合成树脂工业污染物排放标准》（GB31572-2015，含2024年修改单）表5大气污染物特别排放限值</w:t>
                  </w:r>
                </w:p>
              </w:tc>
            </w:tr>
            <w:tr w14:paraId="34E0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6" w:hRule="atLeast"/>
                <w:jc w:val="center"/>
              </w:trPr>
              <w:tc>
                <w:tcPr>
                  <w:tcW w:w="505" w:type="dxa"/>
                  <w:vMerge w:val="continue"/>
                  <w:noWrap w:val="0"/>
                  <w:vAlign w:val="center"/>
                </w:tcPr>
                <w:p w14:paraId="5D6F5FBA">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pPr>
                </w:p>
              </w:tc>
              <w:tc>
                <w:tcPr>
                  <w:tcW w:w="704" w:type="dxa"/>
                  <w:vMerge w:val="restart"/>
                  <w:noWrap w:val="0"/>
                  <w:vAlign w:val="center"/>
                </w:tcPr>
                <w:p w14:paraId="36753697">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eastAsia="宋体"/>
                      <w:lang w:val="en-US" w:eastAsia="zh-CN"/>
                    </w:rPr>
                  </w:pPr>
                  <w:r>
                    <w:rPr>
                      <w:rFonts w:hint="eastAsia"/>
                      <w:lang w:val="en-US" w:eastAsia="zh-CN"/>
                    </w:rPr>
                    <w:t>挤出</w:t>
                  </w:r>
                </w:p>
              </w:tc>
              <w:tc>
                <w:tcPr>
                  <w:tcW w:w="795" w:type="dxa"/>
                  <w:noWrap w:val="0"/>
                  <w:vAlign w:val="center"/>
                </w:tcPr>
                <w:p w14:paraId="3DD15F0C">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pPr>
                  <w:r>
                    <w:rPr>
                      <w:rFonts w:hint="eastAsia" w:ascii="宋体" w:hAnsi="宋体" w:cs="宋体"/>
                      <w:bCs/>
                      <w:color w:val="000000" w:themeColor="text1"/>
                      <w:szCs w:val="21"/>
                      <w:lang w:val="en-US" w:eastAsia="zh-CN"/>
                      <w14:textFill>
                        <w14:solidFill>
                          <w14:schemeClr w14:val="tx1"/>
                        </w14:solidFill>
                      </w14:textFill>
                    </w:rPr>
                    <w:t>颗粒物</w:t>
                  </w:r>
                </w:p>
              </w:tc>
              <w:tc>
                <w:tcPr>
                  <w:tcW w:w="1921" w:type="dxa"/>
                  <w:vMerge w:val="continue"/>
                  <w:noWrap w:val="0"/>
                  <w:vAlign w:val="center"/>
                </w:tcPr>
                <w:p w14:paraId="31CBEC95">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bCs/>
                      <w:color w:val="auto"/>
                      <w:szCs w:val="21"/>
                      <w:lang w:val="en-US" w:eastAsia="zh-CN"/>
                    </w:rPr>
                  </w:pPr>
                </w:p>
              </w:tc>
              <w:tc>
                <w:tcPr>
                  <w:tcW w:w="4134" w:type="dxa"/>
                  <w:vMerge w:val="continue"/>
                  <w:noWrap w:val="0"/>
                  <w:vAlign w:val="center"/>
                </w:tcPr>
                <w:p w14:paraId="1D2DB5B4">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bCs/>
                      <w:color w:val="auto"/>
                      <w:szCs w:val="21"/>
                      <w:lang w:val="en-US" w:eastAsia="zh-CN"/>
                    </w:rPr>
                  </w:pPr>
                </w:p>
              </w:tc>
            </w:tr>
            <w:tr w14:paraId="48A4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4" w:hRule="atLeast"/>
                <w:jc w:val="center"/>
              </w:trPr>
              <w:tc>
                <w:tcPr>
                  <w:tcW w:w="505" w:type="dxa"/>
                  <w:vMerge w:val="continue"/>
                  <w:noWrap w:val="0"/>
                  <w:vAlign w:val="center"/>
                </w:tcPr>
                <w:p w14:paraId="103740F2">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pPr>
                </w:p>
              </w:tc>
              <w:tc>
                <w:tcPr>
                  <w:tcW w:w="704" w:type="dxa"/>
                  <w:vMerge w:val="continue"/>
                  <w:noWrap w:val="0"/>
                  <w:vAlign w:val="center"/>
                </w:tcPr>
                <w:p w14:paraId="55B5C661">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pPr>
                </w:p>
              </w:tc>
              <w:tc>
                <w:tcPr>
                  <w:tcW w:w="795" w:type="dxa"/>
                  <w:vMerge w:val="restart"/>
                  <w:noWrap w:val="0"/>
                  <w:vAlign w:val="center"/>
                </w:tcPr>
                <w:p w14:paraId="636E810C">
                  <w:pPr>
                    <w:keepNext w:val="0"/>
                    <w:keepLines w:val="0"/>
                    <w:pageBreakBefore w:val="0"/>
                    <w:widowControl w:val="0"/>
                    <w:tabs>
                      <w:tab w:val="left" w:pos="415"/>
                    </w:tabs>
                    <w:kinsoku/>
                    <w:wordWrap/>
                    <w:overflowPunct/>
                    <w:topLinePunct w:val="0"/>
                    <w:autoSpaceDE/>
                    <w:autoSpaceDN/>
                    <w:bidi w:val="0"/>
                    <w:adjustRightInd w:val="0"/>
                    <w:snapToGrid w:val="0"/>
                    <w:spacing w:line="300" w:lineRule="exact"/>
                    <w:ind w:left="0" w:leftChars="0"/>
                    <w:jc w:val="center"/>
                    <w:textAlignment w:val="auto"/>
                    <w:rPr>
                      <w:rFonts w:hint="eastAsia" w:ascii="宋体" w:hAnsi="宋体" w:cs="宋体"/>
                      <w:bCs/>
                      <w:color w:val="000000" w:themeColor="text1"/>
                      <w:szCs w:val="21"/>
                      <w:lang w:eastAsia="zh-CN"/>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非甲烷</w:t>
                  </w:r>
                </w:p>
                <w:p w14:paraId="71719AD5">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eastAsia="宋体"/>
                      <w:lang w:val="en-US" w:eastAsia="zh-CN"/>
                    </w:rPr>
                  </w:pPr>
                  <w:r>
                    <w:rPr>
                      <w:rFonts w:hint="eastAsia" w:ascii="宋体" w:hAnsi="宋体" w:cs="宋体"/>
                      <w:bCs/>
                      <w:color w:val="000000" w:themeColor="text1"/>
                      <w:szCs w:val="21"/>
                      <w:lang w:eastAsia="zh-CN"/>
                      <w14:textFill>
                        <w14:solidFill>
                          <w14:schemeClr w14:val="tx1"/>
                        </w14:solidFill>
                      </w14:textFill>
                    </w:rPr>
                    <w:t>总</w:t>
                  </w:r>
                  <w:r>
                    <w:rPr>
                      <w:rFonts w:hint="eastAsia" w:ascii="宋体" w:hAnsi="宋体" w:eastAsia="宋体" w:cs="宋体"/>
                      <w:bCs/>
                      <w:color w:val="000000" w:themeColor="text1"/>
                      <w:szCs w:val="21"/>
                      <w:lang w:eastAsia="zh-CN"/>
                      <w14:textFill>
                        <w14:solidFill>
                          <w14:schemeClr w14:val="tx1"/>
                        </w14:solidFill>
                      </w14:textFill>
                    </w:rPr>
                    <w:t>烃</w:t>
                  </w:r>
                </w:p>
              </w:tc>
              <w:tc>
                <w:tcPr>
                  <w:tcW w:w="1921" w:type="dxa"/>
                  <w:noWrap w:val="0"/>
                  <w:vAlign w:val="center"/>
                </w:tcPr>
                <w:p w14:paraId="61D95945">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bCs/>
                      <w:color w:val="auto"/>
                      <w:szCs w:val="21"/>
                      <w:lang w:val="en-US" w:eastAsia="zh-CN"/>
                    </w:rPr>
                  </w:pPr>
                  <w:r>
                    <w:rPr>
                      <w:rFonts w:hint="eastAsia"/>
                      <w:bCs/>
                      <w:color w:val="auto"/>
                      <w:szCs w:val="21"/>
                      <w:lang w:val="en-US" w:eastAsia="zh-CN"/>
                    </w:rPr>
                    <w:t>6</w:t>
                  </w:r>
                  <w:r>
                    <w:rPr>
                      <w:rFonts w:hint="eastAsia"/>
                      <w:bCs/>
                      <w:color w:val="auto"/>
                      <w:szCs w:val="21"/>
                    </w:rPr>
                    <w:t>0mg/m</w:t>
                  </w:r>
                  <w:r>
                    <w:rPr>
                      <w:rFonts w:hint="eastAsia"/>
                      <w:bCs/>
                      <w:color w:val="auto"/>
                      <w:szCs w:val="21"/>
                      <w:vertAlign w:val="superscript"/>
                    </w:rPr>
                    <w:t>3</w:t>
                  </w:r>
                </w:p>
              </w:tc>
              <w:tc>
                <w:tcPr>
                  <w:tcW w:w="4134" w:type="dxa"/>
                  <w:vMerge w:val="continue"/>
                  <w:noWrap w:val="0"/>
                  <w:vAlign w:val="center"/>
                </w:tcPr>
                <w:p w14:paraId="59AE9AA5">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bCs/>
                      <w:color w:val="auto"/>
                      <w:szCs w:val="21"/>
                      <w:lang w:val="en-US" w:eastAsia="zh-CN"/>
                    </w:rPr>
                  </w:pPr>
                </w:p>
              </w:tc>
            </w:tr>
            <w:tr w14:paraId="6BFB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5" w:hRule="atLeast"/>
                <w:jc w:val="center"/>
              </w:trPr>
              <w:tc>
                <w:tcPr>
                  <w:tcW w:w="505" w:type="dxa"/>
                  <w:vMerge w:val="continue"/>
                  <w:noWrap w:val="0"/>
                  <w:vAlign w:val="center"/>
                </w:tcPr>
                <w:p w14:paraId="33B51D2A">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pPr>
                </w:p>
              </w:tc>
              <w:tc>
                <w:tcPr>
                  <w:tcW w:w="704" w:type="dxa"/>
                  <w:vMerge w:val="continue"/>
                  <w:noWrap w:val="0"/>
                  <w:vAlign w:val="center"/>
                </w:tcPr>
                <w:p w14:paraId="58601527">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pPr>
                </w:p>
              </w:tc>
              <w:tc>
                <w:tcPr>
                  <w:tcW w:w="795" w:type="dxa"/>
                  <w:vMerge w:val="continue"/>
                  <w:noWrap w:val="0"/>
                  <w:vAlign w:val="center"/>
                </w:tcPr>
                <w:p w14:paraId="2AA8686B">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pPr>
                </w:p>
              </w:tc>
              <w:tc>
                <w:tcPr>
                  <w:tcW w:w="1921" w:type="dxa"/>
                  <w:noWrap w:val="0"/>
                  <w:vAlign w:val="center"/>
                </w:tcPr>
                <w:p w14:paraId="448D4803">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default"/>
                      <w:bCs/>
                      <w:color w:val="auto"/>
                      <w:szCs w:val="21"/>
                      <w:lang w:val="en-US" w:eastAsia="zh-CN"/>
                    </w:rPr>
                  </w:pPr>
                  <w:r>
                    <w:rPr>
                      <w:rFonts w:hint="eastAsia"/>
                      <w:bCs/>
                      <w:color w:val="auto"/>
                      <w:szCs w:val="21"/>
                      <w:lang w:val="en-US" w:eastAsia="zh-CN"/>
                    </w:rPr>
                    <w:t>单位产品非甲烷总烃排放量：0.3kg/t</w:t>
                  </w:r>
                </w:p>
              </w:tc>
              <w:tc>
                <w:tcPr>
                  <w:tcW w:w="4134" w:type="dxa"/>
                  <w:vMerge w:val="continue"/>
                  <w:noWrap w:val="0"/>
                  <w:vAlign w:val="center"/>
                </w:tcPr>
                <w:p w14:paraId="5704EE5B">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bCs/>
                      <w:color w:val="auto"/>
                      <w:szCs w:val="21"/>
                      <w:lang w:val="en-US" w:eastAsia="zh-CN"/>
                    </w:rPr>
                  </w:pPr>
                </w:p>
              </w:tc>
            </w:tr>
            <w:tr w14:paraId="09DF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5" w:hRule="atLeast"/>
                <w:jc w:val="center"/>
              </w:trPr>
              <w:tc>
                <w:tcPr>
                  <w:tcW w:w="505" w:type="dxa"/>
                  <w:vMerge w:val="continue"/>
                  <w:noWrap w:val="0"/>
                  <w:vAlign w:val="center"/>
                </w:tcPr>
                <w:p w14:paraId="7713855A">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102" w:firstLineChars="49"/>
                    <w:jc w:val="center"/>
                    <w:textAlignment w:val="auto"/>
                    <w:rPr>
                      <w:rFonts w:hint="eastAsia"/>
                      <w:bCs/>
                      <w:color w:val="auto"/>
                      <w:szCs w:val="21"/>
                    </w:rPr>
                  </w:pPr>
                </w:p>
              </w:tc>
              <w:tc>
                <w:tcPr>
                  <w:tcW w:w="704" w:type="dxa"/>
                  <w:vMerge w:val="restart"/>
                  <w:noWrap w:val="0"/>
                  <w:vAlign w:val="center"/>
                </w:tcPr>
                <w:p w14:paraId="437B76F7">
                  <w:pPr>
                    <w:pStyle w:val="87"/>
                    <w:spacing w:line="280" w:lineRule="exact"/>
                    <w:ind w:firstLine="0" w:firstLineChars="0"/>
                    <w:jc w:val="center"/>
                    <w:rPr>
                      <w:rFonts w:hint="default"/>
                      <w:bCs/>
                      <w:color w:val="auto"/>
                      <w:szCs w:val="21"/>
                      <w:lang w:val="en-US" w:eastAsia="zh-CN"/>
                    </w:rPr>
                  </w:pPr>
                  <w:r>
                    <w:rPr>
                      <w:rFonts w:hint="eastAsia"/>
                      <w:bCs/>
                      <w:color w:val="auto"/>
                      <w:sz w:val="21"/>
                      <w:szCs w:val="21"/>
                      <w:lang w:val="en-US" w:eastAsia="zh-CN"/>
                    </w:rPr>
                    <w:t>厂界</w:t>
                  </w:r>
                </w:p>
              </w:tc>
              <w:tc>
                <w:tcPr>
                  <w:tcW w:w="795" w:type="dxa"/>
                  <w:noWrap w:val="0"/>
                  <w:vAlign w:val="center"/>
                </w:tcPr>
                <w:p w14:paraId="75BB94D1">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ascii="宋体" w:hAnsi="宋体" w:cs="宋体"/>
                      <w:bCs/>
                      <w:color w:val="auto"/>
                      <w:szCs w:val="21"/>
                      <w:lang w:val="en-US" w:eastAsia="zh-CN"/>
                    </w:rPr>
                  </w:pPr>
                  <w:r>
                    <w:rPr>
                      <w:rFonts w:hint="eastAsia" w:ascii="宋体" w:hAnsi="宋体" w:cs="宋体"/>
                      <w:bCs/>
                      <w:color w:val="auto"/>
                      <w:szCs w:val="21"/>
                      <w:lang w:val="en-US" w:eastAsia="zh-CN"/>
                    </w:rPr>
                    <w:t>臭气</w:t>
                  </w:r>
                </w:p>
                <w:p w14:paraId="4FD362EA">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ascii="宋体" w:hAnsi="宋体" w:cs="宋体"/>
                      <w:bCs/>
                      <w:color w:val="auto"/>
                      <w:szCs w:val="21"/>
                    </w:rPr>
                  </w:pPr>
                  <w:r>
                    <w:rPr>
                      <w:rFonts w:hint="eastAsia" w:ascii="宋体" w:hAnsi="宋体" w:cs="宋体"/>
                      <w:bCs/>
                      <w:color w:val="auto"/>
                      <w:szCs w:val="21"/>
                      <w:lang w:val="en-US" w:eastAsia="zh-CN"/>
                    </w:rPr>
                    <w:t>浓度</w:t>
                  </w:r>
                </w:p>
              </w:tc>
              <w:tc>
                <w:tcPr>
                  <w:tcW w:w="1921" w:type="dxa"/>
                  <w:noWrap w:val="0"/>
                  <w:vAlign w:val="center"/>
                </w:tcPr>
                <w:p w14:paraId="31DFF36E">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default" w:eastAsia="宋体"/>
                      <w:bCs/>
                      <w:color w:val="auto"/>
                      <w:szCs w:val="21"/>
                      <w:lang w:val="en-US" w:eastAsia="zh-CN"/>
                    </w:rPr>
                  </w:pPr>
                  <w:r>
                    <w:rPr>
                      <w:rFonts w:hint="eastAsia"/>
                      <w:bCs/>
                      <w:color w:val="000000" w:themeColor="text1"/>
                      <w:szCs w:val="21"/>
                      <w:lang w:val="en-US" w:eastAsia="zh-CN"/>
                      <w14:textFill>
                        <w14:solidFill>
                          <w14:schemeClr w14:val="tx1"/>
                        </w14:solidFill>
                      </w14:textFill>
                    </w:rPr>
                    <w:t>20（无量纲）</w:t>
                  </w:r>
                </w:p>
              </w:tc>
              <w:tc>
                <w:tcPr>
                  <w:tcW w:w="4134" w:type="dxa"/>
                  <w:noWrap w:val="0"/>
                  <w:vAlign w:val="center"/>
                </w:tcPr>
                <w:p w14:paraId="096286A5">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color w:val="auto"/>
                      <w:szCs w:val="21"/>
                    </w:rPr>
                  </w:pPr>
                  <w:r>
                    <w:rPr>
                      <w:rFonts w:hint="eastAsia"/>
                      <w:color w:val="auto"/>
                      <w:szCs w:val="21"/>
                    </w:rPr>
                    <w:t>《恶臭污染物排放标准》（GB14554-93）表1二级新扩改建标准要求</w:t>
                  </w:r>
                </w:p>
              </w:tc>
            </w:tr>
            <w:tr w14:paraId="259A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6" w:hRule="atLeast"/>
                <w:jc w:val="center"/>
              </w:trPr>
              <w:tc>
                <w:tcPr>
                  <w:tcW w:w="505" w:type="dxa"/>
                  <w:vMerge w:val="continue"/>
                  <w:noWrap w:val="0"/>
                  <w:vAlign w:val="center"/>
                </w:tcPr>
                <w:p w14:paraId="12DD2D9D">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102" w:firstLineChars="49"/>
                    <w:jc w:val="center"/>
                    <w:textAlignment w:val="auto"/>
                    <w:rPr>
                      <w:rFonts w:hint="eastAsia"/>
                      <w:bCs/>
                      <w:color w:val="auto"/>
                      <w:szCs w:val="21"/>
                    </w:rPr>
                  </w:pPr>
                </w:p>
              </w:tc>
              <w:tc>
                <w:tcPr>
                  <w:tcW w:w="704" w:type="dxa"/>
                  <w:vMerge w:val="continue"/>
                  <w:noWrap w:val="0"/>
                  <w:vAlign w:val="center"/>
                </w:tcPr>
                <w:p w14:paraId="6593A57E">
                  <w:pPr>
                    <w:pStyle w:val="87"/>
                    <w:spacing w:line="280" w:lineRule="exact"/>
                    <w:ind w:firstLine="0" w:firstLineChars="0"/>
                    <w:jc w:val="center"/>
                    <w:rPr>
                      <w:rFonts w:hint="eastAsia"/>
                      <w:bCs/>
                      <w:color w:val="auto"/>
                      <w:szCs w:val="21"/>
                      <w:lang w:val="en-US" w:eastAsia="zh-CN"/>
                    </w:rPr>
                  </w:pPr>
                </w:p>
              </w:tc>
              <w:tc>
                <w:tcPr>
                  <w:tcW w:w="795" w:type="dxa"/>
                  <w:vMerge w:val="restart"/>
                  <w:noWrap w:val="0"/>
                  <w:vAlign w:val="center"/>
                </w:tcPr>
                <w:p w14:paraId="407ACB85">
                  <w:pPr>
                    <w:keepNext w:val="0"/>
                    <w:keepLines w:val="0"/>
                    <w:pageBreakBefore w:val="0"/>
                    <w:widowControl w:val="0"/>
                    <w:tabs>
                      <w:tab w:val="left" w:pos="415"/>
                    </w:tabs>
                    <w:kinsoku/>
                    <w:wordWrap/>
                    <w:overflowPunct/>
                    <w:topLinePunct w:val="0"/>
                    <w:autoSpaceDE/>
                    <w:autoSpaceDN/>
                    <w:bidi w:val="0"/>
                    <w:adjustRightInd w:val="0"/>
                    <w:snapToGrid w:val="0"/>
                    <w:spacing w:line="300" w:lineRule="exact"/>
                    <w:ind w:left="0" w:leftChars="0"/>
                    <w:jc w:val="center"/>
                    <w:textAlignment w:val="auto"/>
                    <w:rPr>
                      <w:rFonts w:hint="eastAsia" w:ascii="宋体" w:hAnsi="宋体" w:cs="宋体"/>
                      <w:bCs/>
                      <w:color w:val="000000" w:themeColor="text1"/>
                      <w:szCs w:val="21"/>
                      <w:lang w:eastAsia="zh-CN"/>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非甲烷</w:t>
                  </w:r>
                </w:p>
                <w:p w14:paraId="1FE255AE">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ascii="宋体" w:hAnsi="宋体" w:cs="宋体"/>
                      <w:bCs/>
                      <w:color w:val="auto"/>
                      <w:szCs w:val="21"/>
                    </w:rPr>
                  </w:pPr>
                  <w:r>
                    <w:rPr>
                      <w:rFonts w:hint="eastAsia" w:ascii="宋体" w:hAnsi="宋体" w:cs="宋体"/>
                      <w:bCs/>
                      <w:color w:val="000000" w:themeColor="text1"/>
                      <w:szCs w:val="21"/>
                      <w:lang w:eastAsia="zh-CN"/>
                      <w14:textFill>
                        <w14:solidFill>
                          <w14:schemeClr w14:val="tx1"/>
                        </w14:solidFill>
                      </w14:textFill>
                    </w:rPr>
                    <w:t>总</w:t>
                  </w:r>
                  <w:r>
                    <w:rPr>
                      <w:rFonts w:hint="eastAsia" w:ascii="宋体" w:hAnsi="宋体" w:eastAsia="宋体" w:cs="宋体"/>
                      <w:bCs/>
                      <w:color w:val="000000" w:themeColor="text1"/>
                      <w:szCs w:val="21"/>
                      <w:lang w:eastAsia="zh-CN"/>
                      <w14:textFill>
                        <w14:solidFill>
                          <w14:schemeClr w14:val="tx1"/>
                        </w14:solidFill>
                      </w14:textFill>
                    </w:rPr>
                    <w:t>烃</w:t>
                  </w:r>
                </w:p>
              </w:tc>
              <w:tc>
                <w:tcPr>
                  <w:tcW w:w="1921" w:type="dxa"/>
                  <w:noWrap w:val="0"/>
                  <w:vAlign w:val="center"/>
                </w:tcPr>
                <w:p w14:paraId="64960014">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default"/>
                      <w:bCs/>
                      <w:color w:val="auto"/>
                      <w:szCs w:val="21"/>
                      <w:lang w:val="en-US"/>
                    </w:rPr>
                  </w:pPr>
                  <w:r>
                    <w:rPr>
                      <w:rFonts w:hint="eastAsia"/>
                      <w:bCs/>
                      <w:color w:val="000000" w:themeColor="text1"/>
                      <w:szCs w:val="21"/>
                      <w:lang w:val="en-US" w:eastAsia="zh-CN"/>
                      <w14:textFill>
                        <w14:solidFill>
                          <w14:schemeClr w14:val="tx1"/>
                        </w14:solidFill>
                      </w14:textFill>
                    </w:rPr>
                    <w:t>4.0</w:t>
                  </w:r>
                  <w:r>
                    <w:rPr>
                      <w:rFonts w:hint="eastAsia"/>
                      <w:bCs/>
                      <w:color w:val="000000" w:themeColor="text1"/>
                      <w:szCs w:val="21"/>
                      <w14:textFill>
                        <w14:solidFill>
                          <w14:schemeClr w14:val="tx1"/>
                        </w14:solidFill>
                      </w14:textFill>
                    </w:rPr>
                    <w:t>mg/m</w:t>
                  </w:r>
                  <w:r>
                    <w:rPr>
                      <w:rFonts w:hint="eastAsia"/>
                      <w:bCs/>
                      <w:color w:val="000000" w:themeColor="text1"/>
                      <w:szCs w:val="21"/>
                      <w:vertAlign w:val="superscript"/>
                      <w14:textFill>
                        <w14:solidFill>
                          <w14:schemeClr w14:val="tx1"/>
                        </w14:solidFill>
                      </w14:textFill>
                    </w:rPr>
                    <w:t>3</w:t>
                  </w:r>
                </w:p>
              </w:tc>
              <w:tc>
                <w:tcPr>
                  <w:tcW w:w="4134" w:type="dxa"/>
                  <w:noWrap w:val="0"/>
                  <w:vAlign w:val="center"/>
                </w:tcPr>
                <w:p w14:paraId="06B91786">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color w:val="auto"/>
                      <w:szCs w:val="21"/>
                    </w:rPr>
                  </w:pPr>
                  <w:r>
                    <w:rPr>
                      <w:rFonts w:hint="eastAsia"/>
                      <w:color w:val="auto"/>
                      <w:szCs w:val="21"/>
                    </w:rPr>
                    <w:t>《合成树脂工业污染物排放标准》（GB31572-2015，含2024年修改单）表9企业边界大气污染物浓度限值</w:t>
                  </w:r>
                </w:p>
              </w:tc>
            </w:tr>
            <w:tr w14:paraId="0424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6" w:hRule="atLeast"/>
                <w:jc w:val="center"/>
              </w:trPr>
              <w:tc>
                <w:tcPr>
                  <w:tcW w:w="505" w:type="dxa"/>
                  <w:vMerge w:val="continue"/>
                  <w:noWrap w:val="0"/>
                  <w:vAlign w:val="center"/>
                </w:tcPr>
                <w:p w14:paraId="468150A3">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102" w:firstLineChars="49"/>
                    <w:jc w:val="center"/>
                    <w:textAlignment w:val="auto"/>
                    <w:rPr>
                      <w:rFonts w:hint="eastAsia"/>
                      <w:bCs/>
                      <w:color w:val="auto"/>
                      <w:szCs w:val="21"/>
                    </w:rPr>
                  </w:pPr>
                </w:p>
              </w:tc>
              <w:tc>
                <w:tcPr>
                  <w:tcW w:w="704" w:type="dxa"/>
                  <w:vMerge w:val="restart"/>
                  <w:noWrap w:val="0"/>
                  <w:vAlign w:val="center"/>
                </w:tcPr>
                <w:p w14:paraId="1ED88A66">
                  <w:pPr>
                    <w:pStyle w:val="87"/>
                    <w:spacing w:line="280" w:lineRule="exact"/>
                    <w:ind w:firstLine="0" w:firstLineChars="0"/>
                    <w:jc w:val="center"/>
                    <w:rPr>
                      <w:rFonts w:hint="eastAsia"/>
                      <w:bCs/>
                      <w:color w:val="auto"/>
                      <w:szCs w:val="21"/>
                      <w:lang w:val="en-US" w:eastAsia="zh-CN"/>
                    </w:rPr>
                  </w:pPr>
                  <w:r>
                    <w:rPr>
                      <w:rFonts w:hint="eastAsia" w:ascii="宋体" w:hAnsi="宋体" w:eastAsia="宋体" w:cs="宋体"/>
                      <w:bCs/>
                      <w:color w:val="000000" w:themeColor="text1"/>
                      <w:kern w:val="2"/>
                      <w:sz w:val="21"/>
                      <w:szCs w:val="21"/>
                      <w:lang w:val="en-US" w:eastAsia="zh-CN" w:bidi="ar-SA"/>
                      <w14:textFill>
                        <w14:solidFill>
                          <w14:schemeClr w14:val="tx1"/>
                        </w14:solidFill>
                      </w14:textFill>
                    </w:rPr>
                    <w:t>厂房外监控点</w:t>
                  </w:r>
                </w:p>
              </w:tc>
              <w:tc>
                <w:tcPr>
                  <w:tcW w:w="795" w:type="dxa"/>
                  <w:vMerge w:val="continue"/>
                  <w:noWrap w:val="0"/>
                  <w:vAlign w:val="center"/>
                </w:tcPr>
                <w:p w14:paraId="5D3BFC3B">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cs="Times New Roman"/>
                      <w:bCs/>
                      <w:color w:val="auto"/>
                      <w:szCs w:val="21"/>
                      <w:lang w:val="en-US" w:eastAsia="zh-CN"/>
                    </w:rPr>
                  </w:pPr>
                </w:p>
              </w:tc>
              <w:tc>
                <w:tcPr>
                  <w:tcW w:w="1921" w:type="dxa"/>
                  <w:noWrap w:val="0"/>
                  <w:vAlign w:val="center"/>
                </w:tcPr>
                <w:p w14:paraId="61FCD89B">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bCs/>
                      <w:color w:val="auto"/>
                      <w:szCs w:val="21"/>
                      <w:lang w:val="en-US" w:eastAsia="zh-CN"/>
                    </w:rPr>
                  </w:pPr>
                  <w:r>
                    <w:rPr>
                      <w:rFonts w:hint="eastAsia"/>
                      <w:bCs/>
                      <w:color w:val="000000" w:themeColor="text1"/>
                      <w:szCs w:val="21"/>
                      <w:lang w:val="en-US" w:eastAsia="zh-CN"/>
                      <w14:textFill>
                        <w14:solidFill>
                          <w14:schemeClr w14:val="tx1"/>
                        </w14:solidFill>
                      </w14:textFill>
                    </w:rPr>
                    <w:t>2.0</w:t>
                  </w:r>
                  <w:r>
                    <w:rPr>
                      <w:rFonts w:hint="eastAsia"/>
                      <w:bCs/>
                      <w:color w:val="000000" w:themeColor="text1"/>
                      <w:szCs w:val="21"/>
                      <w14:textFill>
                        <w14:solidFill>
                          <w14:schemeClr w14:val="tx1"/>
                        </w14:solidFill>
                      </w14:textFill>
                    </w:rPr>
                    <w:t>mg/m</w:t>
                  </w:r>
                  <w:r>
                    <w:rPr>
                      <w:rFonts w:hint="eastAsia"/>
                      <w:bCs/>
                      <w:color w:val="000000" w:themeColor="text1"/>
                      <w:szCs w:val="21"/>
                      <w:vertAlign w:val="superscript"/>
                      <w14:textFill>
                        <w14:solidFill>
                          <w14:schemeClr w14:val="tx1"/>
                        </w14:solidFill>
                      </w14:textFill>
                    </w:rPr>
                    <w:t>3</w:t>
                  </w:r>
                  <w:r>
                    <w:rPr>
                      <w:rFonts w:hint="eastAsia"/>
                      <w:color w:val="000000" w:themeColor="text1"/>
                      <w:lang w:eastAsia="zh-CN"/>
                      <w14:textFill>
                        <w14:solidFill>
                          <w14:schemeClr w14:val="tx1"/>
                        </w14:solidFill>
                      </w14:textFill>
                    </w:rPr>
                    <w:t>（监控点处1h平均浓度值）</w:t>
                  </w:r>
                </w:p>
              </w:tc>
              <w:tc>
                <w:tcPr>
                  <w:tcW w:w="4134" w:type="dxa"/>
                  <w:vMerge w:val="restart"/>
                  <w:noWrap w:val="0"/>
                  <w:vAlign w:val="center"/>
                </w:tcPr>
                <w:p w14:paraId="196AA061">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color w:val="auto"/>
                      <w:szCs w:val="21"/>
                    </w:rPr>
                  </w:pPr>
                  <w:r>
                    <w:rPr>
                      <w:rFonts w:hint="eastAsia"/>
                      <w:color w:val="auto"/>
                      <w:szCs w:val="21"/>
                    </w:rPr>
                    <w:t>《工业企业挥发性有机物排放控制标准》（DB13/ 2322-2025）表2厂区内挥发性有机物无组织排放限值</w:t>
                  </w:r>
                </w:p>
              </w:tc>
            </w:tr>
            <w:tr w14:paraId="12D7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6" w:hRule="atLeast"/>
                <w:jc w:val="center"/>
              </w:trPr>
              <w:tc>
                <w:tcPr>
                  <w:tcW w:w="505" w:type="dxa"/>
                  <w:vMerge w:val="continue"/>
                  <w:noWrap w:val="0"/>
                  <w:vAlign w:val="center"/>
                </w:tcPr>
                <w:p w14:paraId="36728304">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102" w:firstLineChars="49"/>
                    <w:jc w:val="center"/>
                    <w:textAlignment w:val="auto"/>
                    <w:rPr>
                      <w:rFonts w:hint="eastAsia"/>
                      <w:bCs/>
                      <w:color w:val="auto"/>
                      <w:szCs w:val="21"/>
                    </w:rPr>
                  </w:pPr>
                </w:p>
              </w:tc>
              <w:tc>
                <w:tcPr>
                  <w:tcW w:w="704" w:type="dxa"/>
                  <w:vMerge w:val="continue"/>
                  <w:noWrap w:val="0"/>
                  <w:vAlign w:val="center"/>
                </w:tcPr>
                <w:p w14:paraId="481B1A7C">
                  <w:pPr>
                    <w:pStyle w:val="87"/>
                    <w:spacing w:line="280" w:lineRule="exact"/>
                    <w:ind w:firstLine="0" w:firstLineChars="0"/>
                    <w:jc w:val="center"/>
                    <w:rPr>
                      <w:rFonts w:hint="eastAsia"/>
                      <w:bCs/>
                      <w:color w:val="auto"/>
                      <w:szCs w:val="21"/>
                      <w:lang w:val="en-US" w:eastAsia="zh-CN"/>
                    </w:rPr>
                  </w:pPr>
                </w:p>
              </w:tc>
              <w:tc>
                <w:tcPr>
                  <w:tcW w:w="795" w:type="dxa"/>
                  <w:vMerge w:val="continue"/>
                  <w:noWrap w:val="0"/>
                  <w:vAlign w:val="center"/>
                </w:tcPr>
                <w:p w14:paraId="756B5FB6">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cs="Times New Roman"/>
                      <w:bCs/>
                      <w:color w:val="auto"/>
                      <w:szCs w:val="21"/>
                      <w:lang w:val="en-US" w:eastAsia="zh-CN"/>
                    </w:rPr>
                  </w:pPr>
                </w:p>
              </w:tc>
              <w:tc>
                <w:tcPr>
                  <w:tcW w:w="1921" w:type="dxa"/>
                  <w:noWrap w:val="0"/>
                  <w:vAlign w:val="center"/>
                </w:tcPr>
                <w:p w14:paraId="13962EB3">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bCs/>
                      <w:color w:val="auto"/>
                      <w:szCs w:val="21"/>
                      <w:lang w:val="en-US" w:eastAsia="zh-CN"/>
                    </w:rPr>
                  </w:pPr>
                  <w:r>
                    <w:rPr>
                      <w:rFonts w:hint="eastAsia"/>
                      <w:bCs/>
                      <w:color w:val="000000" w:themeColor="text1"/>
                      <w:szCs w:val="21"/>
                      <w:lang w:val="en-US" w:eastAsia="zh-CN"/>
                      <w14:textFill>
                        <w14:solidFill>
                          <w14:schemeClr w14:val="tx1"/>
                        </w14:solidFill>
                      </w14:textFill>
                    </w:rPr>
                    <w:t>10</w:t>
                  </w:r>
                  <w:r>
                    <w:rPr>
                      <w:rFonts w:hint="eastAsia"/>
                      <w:bCs/>
                      <w:color w:val="000000" w:themeColor="text1"/>
                      <w:szCs w:val="21"/>
                      <w14:textFill>
                        <w14:solidFill>
                          <w14:schemeClr w14:val="tx1"/>
                        </w14:solidFill>
                      </w14:textFill>
                    </w:rPr>
                    <w:t>mg/m</w:t>
                  </w:r>
                  <w:r>
                    <w:rPr>
                      <w:rFonts w:hint="eastAsia"/>
                      <w:bCs/>
                      <w:color w:val="000000" w:themeColor="text1"/>
                      <w:szCs w:val="21"/>
                      <w:vertAlign w:val="superscript"/>
                      <w14:textFill>
                        <w14:solidFill>
                          <w14:schemeClr w14:val="tx1"/>
                        </w14:solidFill>
                      </w14:textFill>
                    </w:rPr>
                    <w:t>3</w:t>
                  </w:r>
                  <w:r>
                    <w:rPr>
                      <w:rFonts w:hint="eastAsia"/>
                      <w:color w:val="000000" w:themeColor="text1"/>
                      <w:lang w:eastAsia="zh-CN"/>
                      <w14:textFill>
                        <w14:solidFill>
                          <w14:schemeClr w14:val="tx1"/>
                        </w14:solidFill>
                      </w14:textFill>
                    </w:rPr>
                    <w:t>（监控点处任意一次浓度值）</w:t>
                  </w:r>
                </w:p>
              </w:tc>
              <w:tc>
                <w:tcPr>
                  <w:tcW w:w="4134" w:type="dxa"/>
                  <w:vMerge w:val="continue"/>
                  <w:noWrap w:val="0"/>
                  <w:vAlign w:val="center"/>
                </w:tcPr>
                <w:p w14:paraId="72F22403">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color w:val="auto"/>
                      <w:szCs w:val="21"/>
                    </w:rPr>
                  </w:pPr>
                </w:p>
              </w:tc>
            </w:tr>
            <w:tr w14:paraId="20C0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6" w:hRule="atLeast"/>
                <w:jc w:val="center"/>
              </w:trPr>
              <w:tc>
                <w:tcPr>
                  <w:tcW w:w="505" w:type="dxa"/>
                  <w:vMerge w:val="continue"/>
                  <w:noWrap w:val="0"/>
                  <w:vAlign w:val="center"/>
                </w:tcPr>
                <w:p w14:paraId="0341A4AB">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102" w:firstLineChars="49"/>
                    <w:jc w:val="center"/>
                    <w:textAlignment w:val="auto"/>
                    <w:rPr>
                      <w:rFonts w:hint="eastAsia"/>
                      <w:bCs/>
                      <w:color w:val="auto"/>
                      <w:szCs w:val="21"/>
                    </w:rPr>
                  </w:pPr>
                </w:p>
              </w:tc>
              <w:tc>
                <w:tcPr>
                  <w:tcW w:w="704" w:type="dxa"/>
                  <w:noWrap w:val="0"/>
                  <w:vAlign w:val="center"/>
                </w:tcPr>
                <w:p w14:paraId="2589A20B">
                  <w:pPr>
                    <w:pStyle w:val="87"/>
                    <w:spacing w:line="280" w:lineRule="exact"/>
                    <w:ind w:firstLine="0" w:firstLineChars="0"/>
                    <w:jc w:val="center"/>
                    <w:rPr>
                      <w:rFonts w:hint="default"/>
                      <w:bCs/>
                      <w:color w:val="auto"/>
                      <w:szCs w:val="21"/>
                      <w:lang w:val="en-US" w:eastAsia="zh-CN"/>
                    </w:rPr>
                  </w:pPr>
                  <w:r>
                    <w:rPr>
                      <w:rFonts w:hint="eastAsia" w:ascii="宋体" w:hAnsi="宋体" w:eastAsia="宋体" w:cs="宋体"/>
                      <w:bCs/>
                      <w:color w:val="000000" w:themeColor="text1"/>
                      <w:kern w:val="2"/>
                      <w:sz w:val="21"/>
                      <w:szCs w:val="21"/>
                      <w:lang w:val="en-US" w:eastAsia="zh-CN" w:bidi="ar-SA"/>
                      <w14:textFill>
                        <w14:solidFill>
                          <w14:schemeClr w14:val="tx1"/>
                        </w14:solidFill>
                      </w14:textFill>
                    </w:rPr>
                    <w:t>厂界</w:t>
                  </w:r>
                </w:p>
              </w:tc>
              <w:tc>
                <w:tcPr>
                  <w:tcW w:w="795" w:type="dxa"/>
                  <w:noWrap w:val="0"/>
                  <w:vAlign w:val="center"/>
                </w:tcPr>
                <w:p w14:paraId="0521D332">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default" w:cs="Times New Roman"/>
                      <w:bCs/>
                      <w:color w:val="auto"/>
                      <w:szCs w:val="21"/>
                      <w:lang w:val="en-US" w:eastAsia="zh-CN"/>
                    </w:rPr>
                  </w:pPr>
                  <w:r>
                    <w:rPr>
                      <w:rFonts w:hint="eastAsia" w:cs="Times New Roman"/>
                      <w:bCs/>
                      <w:color w:val="auto"/>
                      <w:szCs w:val="21"/>
                      <w:lang w:val="en-US" w:eastAsia="zh-CN"/>
                    </w:rPr>
                    <w:t>颗粒物</w:t>
                  </w:r>
                </w:p>
              </w:tc>
              <w:tc>
                <w:tcPr>
                  <w:tcW w:w="1921" w:type="dxa"/>
                  <w:noWrap w:val="0"/>
                  <w:vAlign w:val="center"/>
                </w:tcPr>
                <w:p w14:paraId="7945E7AF">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1.0</w:t>
                  </w:r>
                  <w:r>
                    <w:rPr>
                      <w:rFonts w:hint="eastAsia"/>
                      <w:bCs/>
                      <w:color w:val="000000" w:themeColor="text1"/>
                      <w:szCs w:val="21"/>
                      <w14:textFill>
                        <w14:solidFill>
                          <w14:schemeClr w14:val="tx1"/>
                        </w14:solidFill>
                      </w14:textFill>
                    </w:rPr>
                    <w:t>mg/m</w:t>
                  </w:r>
                  <w:r>
                    <w:rPr>
                      <w:rFonts w:hint="eastAsia"/>
                      <w:bCs/>
                      <w:color w:val="000000" w:themeColor="text1"/>
                      <w:szCs w:val="21"/>
                      <w:vertAlign w:val="superscript"/>
                      <w14:textFill>
                        <w14:solidFill>
                          <w14:schemeClr w14:val="tx1"/>
                        </w14:solidFill>
                      </w14:textFill>
                    </w:rPr>
                    <w:t>3</w:t>
                  </w:r>
                </w:p>
              </w:tc>
              <w:tc>
                <w:tcPr>
                  <w:tcW w:w="4134" w:type="dxa"/>
                  <w:noWrap w:val="0"/>
                  <w:vAlign w:val="center"/>
                </w:tcPr>
                <w:p w14:paraId="2F3BB6D6">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color w:val="auto"/>
                      <w:szCs w:val="21"/>
                    </w:rPr>
                  </w:pPr>
                  <w:r>
                    <w:rPr>
                      <w:rFonts w:hint="eastAsia"/>
                      <w:color w:val="auto"/>
                      <w:szCs w:val="21"/>
                    </w:rPr>
                    <w:t>《合成树脂工业污染物排放标准》（GB31572-2015，含2024年修改单）表9企业边界大气污染物浓度限值</w:t>
                  </w:r>
                </w:p>
              </w:tc>
            </w:tr>
          </w:tbl>
          <w:p w14:paraId="1486908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snapToGrid w:val="0"/>
                <w:color w:val="auto"/>
                <w:kern w:val="0"/>
                <w:sz w:val="24"/>
              </w:rPr>
            </w:pPr>
            <w:r>
              <w:rPr>
                <w:rFonts w:hint="eastAsia" w:cs="Times New Roman"/>
                <w:color w:val="auto"/>
                <w:sz w:val="24"/>
                <w:lang w:eastAsia="zh-CN"/>
              </w:rPr>
              <w:t>（</w:t>
            </w:r>
            <w:r>
              <w:rPr>
                <w:rFonts w:hint="eastAsia" w:cs="Times New Roman"/>
                <w:color w:val="auto"/>
                <w:sz w:val="24"/>
                <w:lang w:val="en-US" w:eastAsia="zh-CN"/>
              </w:rPr>
              <w:t>2</w:t>
            </w:r>
            <w:r>
              <w:rPr>
                <w:rFonts w:hint="eastAsia" w:cs="Times New Roman"/>
                <w:color w:val="auto"/>
                <w:sz w:val="24"/>
                <w:lang w:eastAsia="zh-CN"/>
              </w:rPr>
              <w:t>）</w:t>
            </w:r>
            <w:r>
              <w:rPr>
                <w:rFonts w:hint="default" w:ascii="Times New Roman" w:hAnsi="Times New Roman" w:cs="Times New Roman"/>
                <w:color w:val="auto"/>
                <w:sz w:val="24"/>
              </w:rPr>
              <w:t>噪声：</w:t>
            </w:r>
            <w:r>
              <w:rPr>
                <w:rFonts w:hint="eastAsia" w:cs="Times New Roman"/>
                <w:color w:val="auto"/>
                <w:sz w:val="24"/>
                <w:lang w:val="en-US" w:eastAsia="zh-CN"/>
              </w:rPr>
              <w:t>厂界</w:t>
            </w:r>
            <w:r>
              <w:rPr>
                <w:rFonts w:hint="default" w:ascii="Times New Roman" w:hAnsi="Times New Roman" w:cs="Times New Roman"/>
                <w:color w:val="auto"/>
                <w:sz w:val="24"/>
              </w:rPr>
              <w:t>执行《</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"http://www.zhb.gov.cn/tech/hjbz/bzwb/wlhj/hjzspfbz/200809/W020080918374635562601.pdf" </w:instrText>
            </w:r>
            <w:r>
              <w:rPr>
                <w:rFonts w:hint="default" w:ascii="Times New Roman" w:hAnsi="Times New Roman" w:cs="Times New Roman"/>
                <w:color w:val="auto"/>
              </w:rPr>
              <w:fldChar w:fldCharType="separate"/>
            </w:r>
            <w:r>
              <w:rPr>
                <w:rFonts w:hint="default" w:ascii="Times New Roman" w:hAnsi="Times New Roman" w:cs="Times New Roman"/>
                <w:color w:val="auto"/>
                <w:sz w:val="24"/>
              </w:rPr>
              <w:t>工业企业厂界环境噪声排放标准</w:t>
            </w:r>
            <w:r>
              <w:rPr>
                <w:rFonts w:hint="default" w:ascii="Times New Roman" w:hAnsi="Times New Roman" w:cs="Times New Roman"/>
                <w:color w:val="auto"/>
                <w:sz w:val="24"/>
              </w:rPr>
              <w:fldChar w:fldCharType="end"/>
            </w:r>
            <w:r>
              <w:rPr>
                <w:rFonts w:hint="default" w:ascii="Times New Roman" w:hAnsi="Times New Roman" w:cs="Times New Roman"/>
                <w:color w:val="auto"/>
                <w:sz w:val="24"/>
              </w:rPr>
              <w:t>》（GB 12348-2008）中的</w:t>
            </w:r>
            <w:r>
              <w:rPr>
                <w:rFonts w:hint="eastAsia" w:cs="Times New Roman"/>
                <w:color w:val="auto"/>
                <w:sz w:val="24"/>
                <w:lang w:val="en-US" w:eastAsia="zh-CN"/>
              </w:rPr>
              <w:t>3</w:t>
            </w:r>
            <w:r>
              <w:rPr>
                <w:rFonts w:hint="default" w:ascii="Times New Roman" w:hAnsi="Times New Roman" w:cs="Times New Roman"/>
                <w:color w:val="auto"/>
                <w:sz w:val="24"/>
              </w:rPr>
              <w:t>类标准（昼间≤6</w:t>
            </w:r>
            <w:r>
              <w:rPr>
                <w:rFonts w:hint="eastAsia" w:cs="Times New Roman"/>
                <w:color w:val="auto"/>
                <w:sz w:val="24"/>
                <w:lang w:val="en-US" w:eastAsia="zh-CN"/>
              </w:rPr>
              <w:t>5</w:t>
            </w:r>
            <w:r>
              <w:rPr>
                <w:rFonts w:hint="default" w:ascii="Times New Roman" w:hAnsi="Times New Roman" w:cs="Times New Roman"/>
                <w:snapToGrid w:val="0"/>
                <w:color w:val="auto"/>
                <w:kern w:val="0"/>
                <w:sz w:val="24"/>
              </w:rPr>
              <w:t>dB(A)</w:t>
            </w:r>
            <w:r>
              <w:rPr>
                <w:rFonts w:hint="eastAsia" w:cs="Times New Roman"/>
                <w:snapToGrid w:val="0"/>
                <w:color w:val="auto"/>
                <w:kern w:val="0"/>
                <w:sz w:val="24"/>
                <w:lang w:eastAsia="zh-CN"/>
              </w:rPr>
              <w:t>、</w:t>
            </w:r>
            <w:r>
              <w:rPr>
                <w:rFonts w:hint="eastAsia" w:ascii="Times New Roman" w:hAnsi="Times New Roman" w:cs="Times New Roman"/>
                <w:color w:val="auto"/>
                <w:sz w:val="24"/>
                <w:lang w:val="en-US" w:eastAsia="zh-CN"/>
              </w:rPr>
              <w:t>夜</w:t>
            </w:r>
            <w:r>
              <w:rPr>
                <w:rFonts w:hint="default" w:ascii="Times New Roman" w:hAnsi="Times New Roman" w:cs="Times New Roman"/>
                <w:color w:val="auto"/>
                <w:sz w:val="24"/>
              </w:rPr>
              <w:t>间≤</w:t>
            </w:r>
            <w:r>
              <w:rPr>
                <w:rFonts w:hint="eastAsia" w:ascii="Times New Roman" w:hAnsi="Times New Roman" w:cs="Times New Roman"/>
                <w:color w:val="auto"/>
                <w:sz w:val="24"/>
                <w:lang w:val="en-US" w:eastAsia="zh-CN"/>
              </w:rPr>
              <w:t>5</w:t>
            </w:r>
            <w:r>
              <w:rPr>
                <w:rFonts w:hint="eastAsia" w:cs="Times New Roman"/>
                <w:color w:val="auto"/>
                <w:sz w:val="24"/>
                <w:lang w:val="en-US" w:eastAsia="zh-CN"/>
              </w:rPr>
              <w:t>5</w:t>
            </w:r>
            <w:r>
              <w:rPr>
                <w:rFonts w:hint="default" w:ascii="Times New Roman" w:hAnsi="Times New Roman" w:cs="Times New Roman"/>
                <w:snapToGrid w:val="0"/>
                <w:color w:val="auto"/>
                <w:kern w:val="0"/>
                <w:sz w:val="24"/>
              </w:rPr>
              <w:t>dB(A)</w:t>
            </w:r>
            <w:r>
              <w:rPr>
                <w:rFonts w:hint="default" w:ascii="Times New Roman" w:hAnsi="Times New Roman" w:cs="Times New Roman"/>
                <w:color w:val="auto"/>
                <w:sz w:val="24"/>
              </w:rPr>
              <w:t>）</w:t>
            </w:r>
            <w:r>
              <w:rPr>
                <w:rFonts w:hint="default" w:ascii="Times New Roman" w:hAnsi="Times New Roman" w:cs="Times New Roman"/>
                <w:snapToGrid w:val="0"/>
                <w:color w:val="auto"/>
                <w:kern w:val="0"/>
                <w:sz w:val="24"/>
              </w:rPr>
              <w:t>。</w:t>
            </w:r>
          </w:p>
          <w:p w14:paraId="39DA02C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snapToGrid w:val="0"/>
                <w:color w:val="auto"/>
                <w:kern w:val="21"/>
                <w:sz w:val="24"/>
                <w:highlight w:val="none"/>
                <w:lang w:eastAsia="zh-CN"/>
              </w:rPr>
            </w:pPr>
            <w:r>
              <w:rPr>
                <w:rFonts w:hint="default" w:ascii="Times New Roman" w:hAnsi="Times New Roman" w:cs="Times New Roman"/>
                <w:snapToGrid w:val="0"/>
                <w:color w:val="auto"/>
                <w:kern w:val="0"/>
                <w:sz w:val="24"/>
              </w:rPr>
              <w:t>（</w:t>
            </w:r>
            <w:r>
              <w:rPr>
                <w:rFonts w:hint="eastAsia" w:cs="Times New Roman"/>
                <w:snapToGrid w:val="0"/>
                <w:color w:val="auto"/>
                <w:kern w:val="0"/>
                <w:sz w:val="24"/>
                <w:lang w:val="en-US" w:eastAsia="zh-CN"/>
              </w:rPr>
              <w:t>3</w:t>
            </w:r>
            <w:r>
              <w:rPr>
                <w:rFonts w:hint="default" w:ascii="Times New Roman" w:hAnsi="Times New Roman" w:cs="Times New Roman"/>
                <w:snapToGrid w:val="0"/>
                <w:color w:val="auto"/>
                <w:kern w:val="0"/>
                <w:sz w:val="24"/>
              </w:rPr>
              <w:t>）固体废物：</w:t>
            </w:r>
            <w:r>
              <w:rPr>
                <w:rFonts w:hint="default" w:ascii="Times New Roman" w:hAnsi="Times New Roman" w:cs="Times New Roman"/>
                <w:bCs/>
                <w:color w:val="auto"/>
                <w:sz w:val="24"/>
              </w:rPr>
              <w:t>一般工业固体废物执行《一般工业固体废物贮存和填埋污染控制标准》（GB18599-2020）的相关要求</w:t>
            </w:r>
            <w:r>
              <w:rPr>
                <w:rFonts w:hint="eastAsia" w:cs="Times New Roman"/>
                <w:bCs/>
                <w:color w:val="auto"/>
                <w:sz w:val="24"/>
                <w:lang w:eastAsia="zh-CN"/>
              </w:rPr>
              <w:t>；危险废物暂存执行《危险废物贮存污染控制标准》（GB18597-20</w:t>
            </w:r>
            <w:r>
              <w:rPr>
                <w:rFonts w:hint="eastAsia" w:cs="Times New Roman"/>
                <w:bCs/>
                <w:color w:val="auto"/>
                <w:sz w:val="24"/>
                <w:lang w:val="en-US" w:eastAsia="zh-CN"/>
              </w:rPr>
              <w:t>23</w:t>
            </w:r>
            <w:r>
              <w:rPr>
                <w:rFonts w:hint="eastAsia" w:cs="Times New Roman"/>
                <w:bCs/>
                <w:color w:val="auto"/>
                <w:sz w:val="24"/>
                <w:lang w:eastAsia="zh-CN"/>
              </w:rPr>
              <w:t>）</w:t>
            </w:r>
            <w:r>
              <w:rPr>
                <w:rFonts w:hint="default" w:ascii="Times New Roman" w:hAnsi="Times New Roman" w:cs="Times New Roman"/>
                <w:bCs/>
                <w:color w:val="auto"/>
                <w:sz w:val="24"/>
              </w:rPr>
              <w:t>的相关要求</w:t>
            </w:r>
            <w:r>
              <w:rPr>
                <w:rFonts w:hint="eastAsia" w:cs="Times New Roman"/>
                <w:bCs/>
                <w:color w:val="auto"/>
                <w:sz w:val="24"/>
                <w:lang w:eastAsia="zh-CN"/>
              </w:rPr>
              <w:t>；</w:t>
            </w:r>
            <w:r>
              <w:rPr>
                <w:rFonts w:hint="default" w:ascii="Times New Roman" w:hAnsi="Times New Roman" w:eastAsia="宋体" w:cs="Times New Roman"/>
                <w:snapToGrid w:val="0"/>
                <w:color w:val="auto"/>
                <w:kern w:val="21"/>
                <w:sz w:val="24"/>
                <w:highlight w:val="none"/>
              </w:rPr>
              <w:t>生活垃圾处置参照执行《中华人民共和国固体废物污染环境防治法》（2020年9月实施）第四章中的相关</w:t>
            </w:r>
            <w:r>
              <w:rPr>
                <w:rFonts w:hint="default" w:ascii="Times New Roman" w:hAnsi="Times New Roman" w:cs="Times New Roman"/>
                <w:bCs/>
                <w:color w:val="auto"/>
                <w:sz w:val="24"/>
              </w:rPr>
              <w:t>要求</w:t>
            </w:r>
            <w:r>
              <w:rPr>
                <w:rFonts w:hint="eastAsia" w:cs="Times New Roman"/>
                <w:bCs/>
                <w:color w:val="auto"/>
                <w:sz w:val="24"/>
                <w:lang w:eastAsia="zh-CN"/>
              </w:rPr>
              <w:t>。</w:t>
            </w:r>
          </w:p>
        </w:tc>
      </w:tr>
      <w:tr w14:paraId="1C46CF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800" w:type="dxa"/>
            <w:vAlign w:val="center"/>
          </w:tcPr>
          <w:p w14:paraId="02B52AE6">
            <w:pPr>
              <w:adjustRightInd w:val="0"/>
              <w:snapToGrid w:val="0"/>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总量</w:t>
            </w:r>
          </w:p>
          <w:p w14:paraId="4BE7BC25">
            <w:pPr>
              <w:adjustRightInd w:val="0"/>
              <w:snapToGrid w:val="0"/>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控制</w:t>
            </w:r>
          </w:p>
          <w:p w14:paraId="2564C509">
            <w:pPr>
              <w:adjustRightInd w:val="0"/>
              <w:snapToGrid w:val="0"/>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指标</w:t>
            </w:r>
          </w:p>
        </w:tc>
        <w:tc>
          <w:tcPr>
            <w:tcW w:w="8190" w:type="dxa"/>
            <w:vAlign w:val="center"/>
          </w:tcPr>
          <w:p w14:paraId="41A1D35C">
            <w:pPr>
              <w:keepNext w:val="0"/>
              <w:keepLines w:val="0"/>
              <w:pageBreakBefore w:val="0"/>
              <w:widowControl w:val="0"/>
              <w:kinsoku/>
              <w:wordWrap/>
              <w:overflowPunct/>
              <w:topLinePunct w:val="0"/>
              <w:bidi w:val="0"/>
              <w:spacing w:line="500" w:lineRule="exact"/>
              <w:ind w:firstLine="480" w:firstLineChars="200"/>
              <w:jc w:val="left"/>
              <w:rPr>
                <w:rFonts w:hint="eastAsia" w:ascii="Times New Roman" w:hAnsi="Times New Roman" w:cs="Times New Roman" w:eastAsiaTheme="minorEastAsia"/>
                <w:color w:val="000000" w:themeColor="text1"/>
                <w:sz w:val="24"/>
                <w:lang w:val="en-US" w:eastAsia="zh-CN"/>
                <w14:textFill>
                  <w14:solidFill>
                    <w14:schemeClr w14:val="tx1"/>
                  </w14:solidFill>
                </w14:textFill>
              </w:rPr>
            </w:pPr>
            <w:r>
              <w:rPr>
                <w:rFonts w:hint="eastAsia" w:ascii="Times New Roman" w:hAnsi="Times New Roman" w:cs="Times New Roman" w:eastAsiaTheme="minorEastAsia"/>
                <w:color w:val="000000" w:themeColor="text1"/>
                <w:sz w:val="24"/>
                <w:lang w:val="en-US" w:eastAsia="zh-CN"/>
                <w14:textFill>
                  <w14:solidFill>
                    <w14:schemeClr w14:val="tx1"/>
                  </w14:solidFill>
                </w14:textFill>
              </w:rPr>
              <w:t>根据“十四五”主要污染物总量减排文件，结合当地的环境质量现状及建设项目污染物排放特征，按照最大限度减少污染物排放量及区域污染物排放总量原则，确定本项目实行总量控制的污染物为SO</w:t>
            </w:r>
            <w:r>
              <w:rPr>
                <w:rFonts w:hint="eastAsia" w:ascii="Times New Roman" w:hAnsi="Times New Roman" w:cs="Times New Roman" w:eastAsiaTheme="minorEastAsia"/>
                <w:color w:val="000000" w:themeColor="text1"/>
                <w:sz w:val="24"/>
                <w:vertAlign w:val="subscript"/>
                <w:lang w:val="en-US" w:eastAsia="zh-CN"/>
                <w14:textFill>
                  <w14:solidFill>
                    <w14:schemeClr w14:val="tx1"/>
                  </w14:solidFill>
                </w14:textFill>
              </w:rPr>
              <w:t>2</w:t>
            </w:r>
            <w:r>
              <w:rPr>
                <w:rFonts w:hint="eastAsia" w:ascii="Times New Roman" w:hAnsi="Times New Roman" w:cs="Times New Roman" w:eastAsiaTheme="minorEastAsia"/>
                <w:color w:val="000000" w:themeColor="text1"/>
                <w:sz w:val="24"/>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NOx</w:t>
            </w:r>
            <w:r>
              <w:rPr>
                <w:rFonts w:hint="eastAsia" w:cs="Times New Roman" w:eastAsiaTheme="minorEastAsia"/>
                <w:color w:val="000000" w:themeColor="text1"/>
                <w:sz w:val="24"/>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COD</w:t>
            </w:r>
            <w:r>
              <w:rPr>
                <w:rFonts w:hint="eastAsia" w:ascii="Times New Roman" w:hAnsi="Times New Roman" w:cs="Times New Roman" w:eastAsiaTheme="minorEastAsia"/>
                <w:color w:val="000000" w:themeColor="text1"/>
                <w:sz w:val="24"/>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NH</w:t>
            </w:r>
            <w:r>
              <w:rPr>
                <w:rFonts w:hint="default" w:ascii="Times New Roman" w:hAnsi="Times New Roman" w:cs="Times New Roman" w:eastAsiaTheme="minorEastAsia"/>
                <w:color w:val="000000" w:themeColor="text1"/>
                <w:sz w:val="24"/>
                <w:vertAlign w:val="subscript"/>
                <w:lang w:val="en-US" w:eastAsia="zh-CN"/>
                <w14:textFill>
                  <w14:solidFill>
                    <w14:schemeClr w14:val="tx1"/>
                  </w14:solidFill>
                </w14:textFill>
              </w:rPr>
              <w:t>3</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-N</w:t>
            </w:r>
            <w:r>
              <w:rPr>
                <w:rFonts w:hint="eastAsia" w:ascii="Times New Roman" w:hAnsi="Times New Roman" w:cs="Times New Roman" w:eastAsiaTheme="minorEastAsia"/>
                <w:color w:val="000000" w:themeColor="text1"/>
                <w:sz w:val="24"/>
                <w:lang w:val="en-US" w:eastAsia="zh-CN"/>
                <w14:textFill>
                  <w14:solidFill>
                    <w14:schemeClr w14:val="tx1"/>
                  </w14:solidFill>
                </w14:textFill>
              </w:rPr>
              <w:t>。</w:t>
            </w:r>
          </w:p>
          <w:p w14:paraId="06B916F3">
            <w:pPr>
              <w:spacing w:line="480" w:lineRule="exact"/>
              <w:ind w:firstLine="480" w:firstLineChars="200"/>
              <w:rPr>
                <w:rFonts w:hint="eastAsia" w:ascii="Times New Roman" w:hAnsi="Times New Roman" w:eastAsia="宋体" w:cs="Times New Roman"/>
                <w:color w:val="auto"/>
                <w:lang w:val="en-US" w:eastAsia="zh-CN"/>
              </w:rPr>
            </w:pPr>
            <w:r>
              <w:rPr>
                <w:rFonts w:hint="default" w:ascii="Times New Roman" w:hAnsi="Times New Roman" w:cs="Times New Roman" w:eastAsiaTheme="minorEastAsia"/>
                <w:color w:val="auto"/>
                <w:sz w:val="24"/>
              </w:rPr>
              <w:t>本项目不涉及SO</w:t>
            </w:r>
            <w:r>
              <w:rPr>
                <w:rFonts w:hint="default" w:ascii="Times New Roman" w:hAnsi="Times New Roman" w:cs="Times New Roman" w:eastAsiaTheme="minorEastAsia"/>
                <w:color w:val="auto"/>
                <w:sz w:val="24"/>
                <w:vertAlign w:val="subscript"/>
              </w:rPr>
              <w:t>2</w:t>
            </w:r>
            <w:r>
              <w:rPr>
                <w:rFonts w:hint="default" w:ascii="Times New Roman" w:hAnsi="Times New Roman" w:cs="Times New Roman" w:eastAsiaTheme="minorEastAsia"/>
                <w:color w:val="auto"/>
                <w:sz w:val="24"/>
              </w:rPr>
              <w:t>、NOx排放，</w:t>
            </w:r>
            <w:r>
              <w:rPr>
                <w:rFonts w:hint="eastAsia" w:cs="Times New Roman" w:eastAsiaTheme="minorEastAsia"/>
                <w:color w:val="auto"/>
                <w:sz w:val="24"/>
                <w:lang w:val="en-US" w:eastAsia="zh-CN"/>
              </w:rPr>
              <w:t>无废水外排</w:t>
            </w:r>
            <w:r>
              <w:rPr>
                <w:rFonts w:hint="eastAsia" w:cs="Times New Roman" w:eastAsiaTheme="minorEastAsia"/>
                <w:color w:val="auto"/>
                <w:sz w:val="24"/>
                <w:lang w:eastAsia="zh-CN"/>
              </w:rPr>
              <w:t>。</w:t>
            </w:r>
            <w:r>
              <w:rPr>
                <w:rFonts w:hint="default" w:ascii="Times New Roman" w:hAnsi="Times New Roman" w:cs="Times New Roman" w:eastAsiaTheme="minorEastAsia"/>
                <w:color w:val="auto"/>
                <w:sz w:val="24"/>
              </w:rPr>
              <w:t>因此，本评价建议项目实施后，全厂主要污染物总量控制指标为：</w:t>
            </w:r>
            <w:r>
              <w:rPr>
                <w:color w:val="auto"/>
                <w:sz w:val="24"/>
              </w:rPr>
              <w:t>COD：</w:t>
            </w:r>
            <w:r>
              <w:rPr>
                <w:rFonts w:hint="eastAsia"/>
                <w:color w:val="auto"/>
                <w:sz w:val="24"/>
                <w:lang w:val="en-US" w:eastAsia="zh-CN"/>
              </w:rPr>
              <w:t>0</w:t>
            </w:r>
            <w:r>
              <w:rPr>
                <w:color w:val="auto"/>
                <w:sz w:val="24"/>
              </w:rPr>
              <w:t>t/a</w:t>
            </w:r>
            <w:r>
              <w:rPr>
                <w:rFonts w:hint="eastAsia"/>
                <w:color w:val="auto"/>
                <w:sz w:val="24"/>
              </w:rPr>
              <w:t>；</w:t>
            </w:r>
            <w:r>
              <w:rPr>
                <w:color w:val="auto"/>
                <w:sz w:val="24"/>
              </w:rPr>
              <w:t>NH</w:t>
            </w:r>
            <w:r>
              <w:rPr>
                <w:color w:val="auto"/>
                <w:sz w:val="24"/>
                <w:vertAlign w:val="subscript"/>
              </w:rPr>
              <w:t>3</w:t>
            </w:r>
            <w:r>
              <w:rPr>
                <w:color w:val="auto"/>
                <w:sz w:val="24"/>
              </w:rPr>
              <w:t>-N</w:t>
            </w:r>
            <w:r>
              <w:rPr>
                <w:rFonts w:hint="eastAsia"/>
                <w:color w:val="auto"/>
                <w:sz w:val="24"/>
              </w:rPr>
              <w:t>：</w:t>
            </w:r>
            <w:r>
              <w:rPr>
                <w:rFonts w:hint="eastAsia"/>
                <w:color w:val="auto"/>
                <w:sz w:val="24"/>
                <w:lang w:val="en-US" w:eastAsia="zh-CN"/>
              </w:rPr>
              <w:t>0</w:t>
            </w:r>
            <w:r>
              <w:rPr>
                <w:color w:val="auto"/>
                <w:sz w:val="24"/>
              </w:rPr>
              <w:t>t/a</w:t>
            </w:r>
            <w:r>
              <w:rPr>
                <w:rFonts w:hint="eastAsia"/>
                <w:color w:val="auto"/>
                <w:sz w:val="24"/>
              </w:rPr>
              <w:t>；SO</w:t>
            </w:r>
            <w:r>
              <w:rPr>
                <w:rFonts w:hint="eastAsia"/>
                <w:color w:val="auto"/>
                <w:sz w:val="24"/>
                <w:vertAlign w:val="subscript"/>
              </w:rPr>
              <w:t>2</w:t>
            </w:r>
            <w:r>
              <w:rPr>
                <w:rFonts w:hint="eastAsia"/>
                <w:color w:val="auto"/>
                <w:sz w:val="24"/>
              </w:rPr>
              <w:t>：</w:t>
            </w:r>
            <w:r>
              <w:rPr>
                <w:rFonts w:hint="eastAsia"/>
                <w:color w:val="auto"/>
                <w:sz w:val="24"/>
                <w:lang w:val="en-US" w:eastAsia="zh-CN"/>
              </w:rPr>
              <w:t>0</w:t>
            </w:r>
            <w:r>
              <w:rPr>
                <w:rFonts w:hint="eastAsia"/>
                <w:color w:val="auto"/>
                <w:sz w:val="24"/>
              </w:rPr>
              <w:t>t/a；NO</w:t>
            </w:r>
            <w:r>
              <w:rPr>
                <w:rFonts w:hint="eastAsia"/>
                <w:color w:val="auto"/>
                <w:sz w:val="24"/>
                <w:vertAlign w:val="subscript"/>
              </w:rPr>
              <w:t>x</w:t>
            </w:r>
            <w:r>
              <w:rPr>
                <w:rFonts w:hint="eastAsia"/>
                <w:color w:val="auto"/>
                <w:sz w:val="24"/>
              </w:rPr>
              <w:t>：</w:t>
            </w:r>
            <w:r>
              <w:rPr>
                <w:rFonts w:hint="eastAsia"/>
                <w:color w:val="auto"/>
                <w:sz w:val="24"/>
                <w:lang w:val="en-US" w:eastAsia="zh-CN"/>
              </w:rPr>
              <w:t>0</w:t>
            </w:r>
            <w:r>
              <w:rPr>
                <w:rFonts w:hint="eastAsia"/>
                <w:color w:val="auto"/>
                <w:sz w:val="24"/>
              </w:rPr>
              <w:t>t/a</w:t>
            </w:r>
            <w:r>
              <w:rPr>
                <w:rFonts w:hint="eastAsia"/>
                <w:color w:val="auto"/>
                <w:sz w:val="24"/>
                <w:lang w:eastAsia="zh-CN"/>
              </w:rPr>
              <w:t>。</w:t>
            </w:r>
          </w:p>
        </w:tc>
      </w:tr>
    </w:tbl>
    <w:p w14:paraId="7E35D04F">
      <w:pPr>
        <w:pStyle w:val="23"/>
        <w:spacing w:before="0" w:beforeAutospacing="0" w:after="0" w:afterAutospacing="0"/>
        <w:jc w:val="center"/>
        <w:outlineLvl w:val="0"/>
        <w:rPr>
          <w:rFonts w:hint="default" w:ascii="Times New Roman" w:hAnsi="Times New Roman" w:eastAsia="黑体" w:cs="Times New Roman"/>
          <w:snapToGrid w:val="0"/>
          <w:color w:val="auto"/>
          <w:sz w:val="30"/>
          <w:szCs w:val="30"/>
          <w:highlight w:val="yellow"/>
        </w:rPr>
      </w:pPr>
      <w:r>
        <w:rPr>
          <w:rFonts w:hint="default" w:ascii="Times New Roman" w:hAnsi="Times New Roman" w:eastAsia="黑体" w:cs="Times New Roman"/>
          <w:snapToGrid w:val="0"/>
          <w:color w:val="auto"/>
          <w:sz w:val="36"/>
          <w:szCs w:val="36"/>
          <w:highlight w:val="yellow"/>
        </w:rPr>
        <w:br w:type="page"/>
      </w:r>
      <w:r>
        <w:rPr>
          <w:rFonts w:hint="default" w:ascii="Times New Roman" w:hAnsi="Times New Roman" w:eastAsia="黑体" w:cs="Times New Roman"/>
          <w:snapToGrid w:val="0"/>
          <w:color w:val="auto"/>
          <w:sz w:val="32"/>
          <w:szCs w:val="32"/>
        </w:rPr>
        <w:t>四、主要环境影响和保护措施</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94"/>
        <w:gridCol w:w="8531"/>
      </w:tblGrid>
      <w:tr w14:paraId="1084C4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294" w:type="dxa"/>
            <w:tcMar>
              <w:left w:w="28" w:type="dxa"/>
              <w:right w:w="28" w:type="dxa"/>
            </w:tcMar>
            <w:vAlign w:val="center"/>
          </w:tcPr>
          <w:p w14:paraId="5DB4FD65">
            <w:pPr>
              <w:pStyle w:val="23"/>
              <w:adjustRightInd w:val="0"/>
              <w:snapToGrid w:val="0"/>
              <w:spacing w:before="0" w:beforeAutospacing="0" w:after="0" w:afterAutospacing="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施工</w:t>
            </w:r>
          </w:p>
          <w:p w14:paraId="6F259F66">
            <w:pPr>
              <w:pStyle w:val="23"/>
              <w:adjustRightInd w:val="0"/>
              <w:snapToGrid w:val="0"/>
              <w:spacing w:before="0" w:beforeAutospacing="0" w:after="0" w:afterAutospacing="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期环</w:t>
            </w:r>
          </w:p>
          <w:p w14:paraId="374DDA18">
            <w:pPr>
              <w:pStyle w:val="23"/>
              <w:adjustRightInd w:val="0"/>
              <w:snapToGrid w:val="0"/>
              <w:spacing w:before="0" w:beforeAutospacing="0" w:after="0" w:afterAutospacing="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境保</w:t>
            </w:r>
          </w:p>
          <w:p w14:paraId="1A30539D">
            <w:pPr>
              <w:pStyle w:val="23"/>
              <w:adjustRightInd w:val="0"/>
              <w:snapToGrid w:val="0"/>
              <w:spacing w:before="0" w:beforeAutospacing="0" w:after="0" w:afterAutospacing="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护措</w:t>
            </w:r>
          </w:p>
          <w:p w14:paraId="7E09179A">
            <w:pPr>
              <w:pStyle w:val="23"/>
              <w:adjustRightInd w:val="0"/>
              <w:snapToGrid w:val="0"/>
              <w:spacing w:before="0" w:beforeAutospacing="0" w:after="0" w:afterAutospacing="0"/>
              <w:jc w:val="center"/>
              <w:rPr>
                <w:rFonts w:hint="default" w:ascii="Times New Roman" w:hAnsi="Times New Roman" w:cs="Times New Roman"/>
                <w:bCs/>
                <w:color w:val="auto"/>
                <w:kern w:val="2"/>
                <w:sz w:val="21"/>
                <w:szCs w:val="21"/>
              </w:rPr>
            </w:pPr>
            <w:r>
              <w:rPr>
                <w:rFonts w:hint="default" w:ascii="Times New Roman" w:hAnsi="Times New Roman" w:cs="Times New Roman"/>
                <w:color w:val="auto"/>
                <w:kern w:val="2"/>
                <w:sz w:val="21"/>
                <w:szCs w:val="21"/>
              </w:rPr>
              <w:t>施</w:t>
            </w:r>
          </w:p>
        </w:tc>
        <w:tc>
          <w:tcPr>
            <w:tcW w:w="8531" w:type="dxa"/>
          </w:tcPr>
          <w:p w14:paraId="767BC6F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cs="Times New Roman"/>
                <w:color w:val="auto"/>
                <w:sz w:val="24"/>
                <w:lang w:val="en-US" w:eastAsia="zh-CN"/>
              </w:rPr>
              <w:t>本</w:t>
            </w:r>
            <w:r>
              <w:rPr>
                <w:rFonts w:hint="eastAsia" w:cs="Times New Roman" w:eastAsiaTheme="minorEastAsia"/>
                <w:color w:val="auto"/>
                <w:sz w:val="24"/>
                <w:lang w:val="en-US" w:eastAsia="zh-CN"/>
              </w:rPr>
              <w:t>项目对原环评涉及的生产线进行拆除并对园区现有闲置生产车间进行扩建</w:t>
            </w:r>
            <w:r>
              <w:rPr>
                <w:rFonts w:hint="eastAsia" w:cs="Times New Roman" w:eastAsiaTheme="minorEastAsia"/>
                <w:color w:val="auto"/>
                <w:sz w:val="24"/>
                <w:szCs w:val="24"/>
                <w:lang w:val="en-US" w:eastAsia="zh-CN"/>
              </w:rPr>
              <w:t>（扩建车间</w:t>
            </w:r>
            <w:r>
              <w:rPr>
                <w:rFonts w:hint="eastAsia" w:cs="Times New Roman"/>
                <w:color w:val="auto"/>
                <w:sz w:val="24"/>
                <w:szCs w:val="24"/>
                <w:vertAlign w:val="baseline"/>
                <w:lang w:val="en-US" w:eastAsia="zh-CN"/>
              </w:rPr>
              <w:t>建筑面积仅179.33</w:t>
            </w:r>
            <w:r>
              <w:rPr>
                <w:rFonts w:hint="default" w:ascii="Times New Roman" w:hAnsi="Times New Roman" w:cs="Times New Roman"/>
                <w:color w:val="auto"/>
                <w:sz w:val="24"/>
                <w:szCs w:val="24"/>
                <w:vertAlign w:val="baseline"/>
                <w:lang w:val="en-US" w:eastAsia="zh-CN"/>
              </w:rPr>
              <w:t>m</w:t>
            </w:r>
            <w:r>
              <w:rPr>
                <w:rFonts w:hint="default" w:ascii="Times New Roman" w:hAnsi="Times New Roman" w:cs="Times New Roman"/>
                <w:color w:val="auto"/>
                <w:sz w:val="24"/>
                <w:szCs w:val="24"/>
                <w:vertAlign w:val="superscript"/>
                <w:lang w:val="en-US" w:eastAsia="zh-CN"/>
              </w:rPr>
              <w:t>2</w:t>
            </w:r>
            <w:r>
              <w:rPr>
                <w:rFonts w:hint="eastAsia" w:cs="Times New Roman" w:eastAsiaTheme="minorEastAsia"/>
                <w:color w:val="auto"/>
                <w:sz w:val="24"/>
                <w:szCs w:val="24"/>
                <w:lang w:val="en-US" w:eastAsia="zh-CN"/>
              </w:rPr>
              <w:t>），</w:t>
            </w:r>
            <w:r>
              <w:rPr>
                <w:rFonts w:hint="eastAsia" w:cs="Times New Roman" w:eastAsiaTheme="minorEastAsia"/>
                <w:color w:val="auto"/>
                <w:sz w:val="24"/>
                <w:lang w:val="en-US" w:eastAsia="zh-CN"/>
              </w:rPr>
              <w:t>施工量较小，</w:t>
            </w:r>
            <w:r>
              <w:rPr>
                <w:rFonts w:hint="default" w:ascii="Times New Roman" w:hAnsi="Times New Roman" w:cs="Times New Roman"/>
                <w:color w:val="auto"/>
                <w:sz w:val="24"/>
              </w:rPr>
              <w:t>施工期主要为设备的运输、安装、调试</w:t>
            </w:r>
            <w:r>
              <w:rPr>
                <w:rFonts w:hint="eastAsia" w:cs="Times New Roman"/>
                <w:color w:val="auto"/>
                <w:sz w:val="24"/>
                <w:lang w:eastAsia="zh-CN"/>
              </w:rPr>
              <w:t>。</w:t>
            </w:r>
          </w:p>
          <w:p w14:paraId="7FCDD21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1、施工期扬尘防治措施</w:t>
            </w:r>
          </w:p>
          <w:p w14:paraId="453B58B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为了减少施工现场扬尘的影响，施工过程中可采取如下防治措施：</w:t>
            </w:r>
          </w:p>
          <w:p w14:paraId="33F4CE1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①施工现场必须封闭围挡，严禁围挡不严或敞开式施工。</w:t>
            </w:r>
          </w:p>
          <w:p w14:paraId="3B61FEE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②工程施工前，施工现场出入口和场内主要道路必须混凝土硬化，严禁使用其他软质材料铺设。</w:t>
            </w:r>
          </w:p>
          <w:p w14:paraId="4EDCF24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③施工现场必须设置垃圾存放点，集中堆放并覆盖，及时清运，严禁随意丢弃。</w:t>
            </w:r>
          </w:p>
          <w:p w14:paraId="491356A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④施工现场的水泥和易飞扬的细颗粒建筑材料必须密闭存放或覆盖，严禁露天放置。</w:t>
            </w:r>
          </w:p>
          <w:p w14:paraId="425D970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采取如上防尘治理措施后，将降低施工扬尘量50～70%，可有效减少对环境的影响，施工场地扬尘能够满足《施工场地扬尘排放标准》（DB13/2934-2019）</w:t>
            </w:r>
            <w:r>
              <w:rPr>
                <w:rFonts w:hint="eastAsia" w:cs="Times New Roman"/>
                <w:color w:val="auto"/>
                <w:sz w:val="24"/>
                <w:szCs w:val="24"/>
                <w:lang w:val="en-US" w:eastAsia="zh-CN"/>
              </w:rPr>
              <w:t>表1</w:t>
            </w:r>
            <w:r>
              <w:rPr>
                <w:rFonts w:hint="default" w:ascii="Times New Roman" w:hAnsi="Times New Roman" w:cs="Times New Roman"/>
                <w:color w:val="auto"/>
                <w:sz w:val="24"/>
                <w:szCs w:val="24"/>
              </w:rPr>
              <w:t>标准要求，施工期废气对周围环境空气影响较小。</w:t>
            </w:r>
          </w:p>
          <w:p w14:paraId="58B5FFE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2、施工期废水防治措施</w:t>
            </w:r>
          </w:p>
          <w:p w14:paraId="5EE32CD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本项目施工期产生的废水主要为施工人员产生的生活污水，由于其用量较小，就地泼洒蒸发，施工人员所使用的厕所为防渗旱厕，设专人及时打扫清理，保证厕所在正常使用的情况下不会对环境产生明显影响。</w:t>
            </w:r>
          </w:p>
          <w:p w14:paraId="3DC5236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color w:val="auto"/>
                <w:sz w:val="24"/>
                <w:szCs w:val="24"/>
              </w:rPr>
              <w:t>因此，项目对周围水环境影响较小。</w:t>
            </w:r>
          </w:p>
          <w:p w14:paraId="29893A6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b/>
                <w:bCs/>
                <w:color w:val="auto"/>
                <w:sz w:val="24"/>
                <w:highlight w:val="none"/>
              </w:rPr>
            </w:pPr>
            <w:r>
              <w:rPr>
                <w:rFonts w:hint="eastAsia"/>
                <w:b/>
                <w:color w:val="auto"/>
                <w:sz w:val="24"/>
                <w:highlight w:val="none"/>
                <w:lang w:val="en-US" w:eastAsia="zh-CN"/>
              </w:rPr>
              <w:t>3、</w:t>
            </w:r>
            <w:r>
              <w:rPr>
                <w:b/>
                <w:color w:val="auto"/>
                <w:sz w:val="24"/>
                <w:highlight w:val="none"/>
              </w:rPr>
              <w:t>施工期噪声</w:t>
            </w:r>
            <w:r>
              <w:rPr>
                <w:rFonts w:hint="eastAsia"/>
                <w:b/>
                <w:bCs/>
                <w:color w:val="auto"/>
                <w:sz w:val="24"/>
                <w:highlight w:val="none"/>
              </w:rPr>
              <w:t>防治</w:t>
            </w:r>
            <w:r>
              <w:rPr>
                <w:b/>
                <w:bCs/>
                <w:color w:val="auto"/>
                <w:sz w:val="24"/>
                <w:highlight w:val="none"/>
              </w:rPr>
              <w:t>措施</w:t>
            </w:r>
          </w:p>
          <w:p w14:paraId="6A8EBBF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rPr>
            </w:pPr>
            <w:r>
              <w:rPr>
                <w:rFonts w:hint="eastAsia"/>
                <w:color w:val="auto"/>
                <w:sz w:val="24"/>
              </w:rPr>
              <w:t>本项目施工期噪声来源主要为设备的安装、调试过程，声级值在65-75dB（A）左右，噪声较小，施工期较短，施工设备噪声不会对周围人群产生影响。为了减少施工现场噪声污染的影响，施工过程中可采取如下技术措施：</w:t>
            </w:r>
          </w:p>
          <w:p w14:paraId="6684C74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rPr>
            </w:pPr>
            <w:r>
              <w:rPr>
                <w:rFonts w:hint="eastAsia"/>
                <w:color w:val="auto"/>
                <w:sz w:val="24"/>
              </w:rPr>
              <w:t>（1）尽量采用低噪声设备；</w:t>
            </w:r>
          </w:p>
          <w:p w14:paraId="5A5FC27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rPr>
            </w:pPr>
            <w:r>
              <w:rPr>
                <w:rFonts w:hint="eastAsia"/>
                <w:color w:val="auto"/>
                <w:sz w:val="24"/>
              </w:rPr>
              <w:t>（2）合理制定施工计划，一定要严格控制和管理产生噪声的设备的使用时间，尽可能避免在同一区段安排大量强噪声设备同时施工；</w:t>
            </w:r>
          </w:p>
          <w:p w14:paraId="5FDDC73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auto"/>
                <w:sz w:val="24"/>
              </w:rPr>
            </w:pPr>
            <w:r>
              <w:rPr>
                <w:rFonts w:hint="eastAsia"/>
                <w:color w:val="auto"/>
                <w:sz w:val="24"/>
              </w:rPr>
              <w:t>本项目施工期较短，夜间禁止施工，施工噪声经厂房屏蔽及距离衰减后满足《建筑施工场界环境噪声排放标准》（GB12523-2011）的规定，施工完毕后影响消失。</w:t>
            </w:r>
          </w:p>
          <w:p w14:paraId="086914BF">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b/>
                <w:bCs/>
                <w:color w:val="auto"/>
                <w:sz w:val="24"/>
              </w:rPr>
            </w:pPr>
            <w:r>
              <w:rPr>
                <w:b/>
                <w:bCs/>
                <w:color w:val="auto"/>
                <w:sz w:val="24"/>
              </w:rPr>
              <w:t>4、</w:t>
            </w:r>
            <w:r>
              <w:rPr>
                <w:rFonts w:hint="eastAsia"/>
                <w:b/>
                <w:bCs/>
                <w:color w:val="auto"/>
                <w:sz w:val="24"/>
                <w:lang w:val="en-US" w:eastAsia="zh-CN"/>
              </w:rPr>
              <w:t>施工期</w:t>
            </w:r>
            <w:r>
              <w:rPr>
                <w:b/>
                <w:bCs/>
                <w:color w:val="auto"/>
                <w:sz w:val="24"/>
              </w:rPr>
              <w:t>固体废物</w:t>
            </w:r>
            <w:r>
              <w:rPr>
                <w:rFonts w:hint="eastAsia"/>
                <w:b/>
                <w:bCs/>
                <w:color w:val="auto"/>
                <w:sz w:val="24"/>
                <w:highlight w:val="none"/>
              </w:rPr>
              <w:t>防治</w:t>
            </w:r>
            <w:r>
              <w:rPr>
                <w:b/>
                <w:bCs/>
                <w:color w:val="auto"/>
                <w:sz w:val="24"/>
                <w:highlight w:val="none"/>
              </w:rPr>
              <w:t>措施</w:t>
            </w:r>
          </w:p>
          <w:p w14:paraId="3A5264F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color w:val="auto"/>
                <w:sz w:val="24"/>
              </w:rPr>
            </w:pPr>
            <w:r>
              <w:rPr>
                <w:rFonts w:hint="eastAsia"/>
                <w:color w:val="auto"/>
                <w:sz w:val="24"/>
              </w:rPr>
              <w:t>本项目施工期固废主要为生活垃圾及包装废料。施工人员产生的生活垃圾集中收集后送当地环卫部门指定地点处理，在外运过程中采用密闭垃圾运输车，避免沿途遗洒，并按环卫部门指定路线行驶；各类包装箱、袋等包装废料应派专人负责收集分类存放，统一运往废品收购站回收利用。</w:t>
            </w:r>
          </w:p>
          <w:p w14:paraId="3DA74B2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bCs/>
                <w:color w:val="auto"/>
                <w:spacing w:val="-10"/>
                <w:sz w:val="24"/>
              </w:rPr>
            </w:pPr>
            <w:r>
              <w:rPr>
                <w:rFonts w:hint="eastAsia"/>
                <w:color w:val="auto"/>
                <w:sz w:val="24"/>
              </w:rPr>
              <w:t>综上所述，施工期产生的固体废物全部得到妥善处置，不会对周围环境产生明显影响</w:t>
            </w:r>
            <w:r>
              <w:rPr>
                <w:color w:val="auto"/>
                <w:sz w:val="24"/>
              </w:rPr>
              <w:t>。</w:t>
            </w:r>
          </w:p>
        </w:tc>
      </w:tr>
      <w:tr w14:paraId="5BC0F4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34" w:hRule="atLeast"/>
          <w:jc w:val="center"/>
        </w:trPr>
        <w:tc>
          <w:tcPr>
            <w:tcW w:w="294" w:type="dxa"/>
            <w:tcMar>
              <w:left w:w="28" w:type="dxa"/>
              <w:right w:w="28" w:type="dxa"/>
            </w:tcMar>
            <w:vAlign w:val="center"/>
          </w:tcPr>
          <w:p w14:paraId="6AA0E90E">
            <w:pPr>
              <w:adjustRightInd w:val="0"/>
              <w:snapToGrid w:val="0"/>
              <w:jc w:val="center"/>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运营</w:t>
            </w:r>
          </w:p>
          <w:p w14:paraId="5EAB7C31">
            <w:pPr>
              <w:adjustRightInd w:val="0"/>
              <w:snapToGrid w:val="0"/>
              <w:jc w:val="center"/>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期环</w:t>
            </w:r>
          </w:p>
          <w:p w14:paraId="445B4CC0">
            <w:pPr>
              <w:adjustRightInd w:val="0"/>
              <w:snapToGrid w:val="0"/>
              <w:jc w:val="center"/>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境影</w:t>
            </w:r>
          </w:p>
          <w:p w14:paraId="5F240CB8">
            <w:pPr>
              <w:adjustRightInd w:val="0"/>
              <w:snapToGrid w:val="0"/>
              <w:jc w:val="center"/>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响和</w:t>
            </w:r>
          </w:p>
          <w:p w14:paraId="7C74AC87">
            <w:pPr>
              <w:adjustRightInd w:val="0"/>
              <w:snapToGrid w:val="0"/>
              <w:jc w:val="center"/>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保护</w:t>
            </w:r>
          </w:p>
          <w:p w14:paraId="1483732C">
            <w:pPr>
              <w:adjustRightInd w:val="0"/>
              <w:snapToGrid w:val="0"/>
              <w:jc w:val="center"/>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措施</w:t>
            </w:r>
          </w:p>
        </w:tc>
        <w:tc>
          <w:tcPr>
            <w:tcW w:w="8531" w:type="dxa"/>
            <w:vAlign w:val="center"/>
          </w:tcPr>
          <w:p w14:paraId="206D3DFD">
            <w:pPr>
              <w:spacing w:line="480" w:lineRule="exact"/>
              <w:ind w:firstLine="482" w:firstLineChars="200"/>
              <w:rPr>
                <w:rFonts w:hint="default" w:ascii="Times New Roman" w:hAnsi="Times New Roman" w:cs="Times New Roman" w:eastAsiaTheme="minorEastAsia"/>
                <w:b/>
                <w:snapToGrid w:val="0"/>
                <w:color w:val="auto"/>
                <w:kern w:val="0"/>
                <w:sz w:val="24"/>
              </w:rPr>
            </w:pPr>
            <w:r>
              <w:rPr>
                <w:rFonts w:hint="default" w:ascii="Times New Roman" w:hAnsi="Times New Roman" w:cs="Times New Roman" w:eastAsiaTheme="minorEastAsia"/>
                <w:b/>
                <w:snapToGrid w:val="0"/>
                <w:color w:val="auto"/>
                <w:kern w:val="0"/>
                <w:sz w:val="24"/>
              </w:rPr>
              <w:t>1、废气</w:t>
            </w:r>
          </w:p>
          <w:p w14:paraId="02A862FC">
            <w:pPr>
              <w:spacing w:line="480" w:lineRule="exact"/>
              <w:ind w:firstLine="480" w:firstLineChars="200"/>
              <w:rPr>
                <w:rFonts w:hint="default" w:ascii="Times New Roman" w:hAnsi="Times New Roman" w:cs="Times New Roman" w:eastAsiaTheme="minorEastAsia"/>
                <w:snapToGrid w:val="0"/>
                <w:color w:val="auto"/>
                <w:kern w:val="0"/>
                <w:sz w:val="24"/>
              </w:rPr>
            </w:pPr>
            <w:r>
              <w:rPr>
                <w:rFonts w:hint="default" w:ascii="Times New Roman" w:hAnsi="Times New Roman" w:cs="Times New Roman" w:eastAsiaTheme="minorEastAsia"/>
                <w:snapToGrid w:val="0"/>
                <w:color w:val="000000" w:themeColor="text1"/>
                <w:kern w:val="0"/>
                <w:sz w:val="24"/>
                <w14:textFill>
                  <w14:solidFill>
                    <w14:schemeClr w14:val="tx1"/>
                  </w14:solidFill>
                </w14:textFill>
              </w:rPr>
              <w:t>本项目运营过程中的废气主要为</w:t>
            </w:r>
            <w:r>
              <w:rPr>
                <w:rFonts w:hint="eastAsia" w:cs="Times New Roman" w:eastAsiaTheme="minorEastAsia"/>
                <w:snapToGrid w:val="0"/>
                <w:color w:val="auto"/>
                <w:kern w:val="0"/>
                <w:sz w:val="24"/>
                <w:lang w:val="en-US" w:eastAsia="zh-CN"/>
              </w:rPr>
              <w:t>干式粉碎、挤出</w:t>
            </w:r>
            <w:r>
              <w:rPr>
                <w:rFonts w:hint="eastAsia" w:cs="Times New Roman" w:eastAsiaTheme="minorEastAsia"/>
                <w:snapToGrid w:val="0"/>
                <w:color w:val="000000" w:themeColor="text1"/>
                <w:kern w:val="0"/>
                <w:sz w:val="24"/>
                <w:lang w:val="en-US" w:eastAsia="zh-CN"/>
                <w14:textFill>
                  <w14:solidFill>
                    <w14:schemeClr w14:val="tx1"/>
                  </w14:solidFill>
                </w14:textFill>
              </w:rPr>
              <w:t>工序产生的有组织废气</w:t>
            </w:r>
            <w:r>
              <w:rPr>
                <w:rFonts w:hint="eastAsia" w:cs="Times New Roman"/>
                <w:color w:val="000000" w:themeColor="text1"/>
                <w:sz w:val="24"/>
                <w:lang w:val="en-US" w:eastAsia="zh-CN"/>
                <w14:textFill>
                  <w14:solidFill>
                    <w14:schemeClr w14:val="tx1"/>
                  </w14:solidFill>
                </w14:textFill>
              </w:rPr>
              <w:t>和</w:t>
            </w:r>
            <w:r>
              <w:rPr>
                <w:rFonts w:hint="eastAsia" w:cs="Times New Roman" w:eastAsiaTheme="minorEastAsia"/>
                <w:snapToGrid w:val="0"/>
                <w:color w:val="000000" w:themeColor="text1"/>
                <w:kern w:val="0"/>
                <w:sz w:val="24"/>
                <w:lang w:val="en-US" w:eastAsia="zh-CN"/>
                <w14:textFill>
                  <w14:solidFill>
                    <w14:schemeClr w14:val="tx1"/>
                  </w14:solidFill>
                </w14:textFill>
              </w:rPr>
              <w:t>压滤等过程产生的无组织废气</w:t>
            </w:r>
            <w:r>
              <w:rPr>
                <w:rFonts w:hint="eastAsia" w:cs="Times New Roman" w:eastAsiaTheme="minorEastAsia"/>
                <w:snapToGrid w:val="0"/>
                <w:color w:val="auto"/>
                <w:kern w:val="0"/>
                <w:sz w:val="24"/>
                <w:lang w:val="en-US" w:eastAsia="zh-CN"/>
              </w:rPr>
              <w:t>。</w:t>
            </w:r>
          </w:p>
          <w:p w14:paraId="3C8AEBFB">
            <w:pPr>
              <w:pStyle w:val="9"/>
              <w:spacing w:line="480" w:lineRule="exact"/>
              <w:ind w:firstLine="482"/>
              <w:rPr>
                <w:rFonts w:hint="eastAsia" w:ascii="Times New Roman" w:hAnsi="Times New Roman" w:eastAsia="宋体" w:cs="Times New Roman"/>
                <w:b w:val="0"/>
                <w:bCs w:val="0"/>
                <w:color w:val="auto"/>
                <w:sz w:val="24"/>
                <w:lang w:eastAsia="zh-CN"/>
              </w:rPr>
            </w:pPr>
            <w:r>
              <w:rPr>
                <w:rFonts w:hint="default" w:ascii="Times New Roman" w:hAnsi="Times New Roman" w:cs="Times New Roman"/>
                <w:b w:val="0"/>
                <w:bCs w:val="0"/>
                <w:color w:val="auto"/>
                <w:sz w:val="24"/>
              </w:rPr>
              <w:t>（1）废气源强</w:t>
            </w:r>
            <w:r>
              <w:rPr>
                <w:rFonts w:hint="eastAsia" w:cs="Times New Roman"/>
                <w:b w:val="0"/>
                <w:bCs w:val="0"/>
                <w:color w:val="auto"/>
                <w:sz w:val="24"/>
                <w:lang w:val="en-US" w:eastAsia="zh-CN"/>
              </w:rPr>
              <w:t>核算</w:t>
            </w:r>
          </w:p>
          <w:p w14:paraId="482480DE">
            <w:pPr>
              <w:adjustRightInd w:val="0"/>
              <w:snapToGrid w:val="0"/>
              <w:spacing w:line="480" w:lineRule="exact"/>
              <w:ind w:firstLine="480" w:firstLineChars="200"/>
              <w:jc w:val="left"/>
              <w:rPr>
                <w:rFonts w:hint="eastAsia" w:ascii="Times New Roman" w:hAnsi="Times New Roman" w:eastAsia="宋体" w:cs="Times New Roman"/>
                <w:color w:val="4472C4" w:themeColor="accent5"/>
                <w:sz w:val="24"/>
                <w:lang w:val="en-US" w:eastAsia="zh-CN"/>
                <w14:textFill>
                  <w14:solidFill>
                    <w14:schemeClr w14:val="accent5"/>
                  </w14:solidFill>
                </w14:textFill>
              </w:rPr>
            </w:pPr>
            <w:r>
              <w:rPr>
                <w:rFonts w:hint="default" w:ascii="Times New Roman" w:hAnsi="Times New Roman" w:cs="Times New Roman"/>
                <w:color w:val="4472C4" w:themeColor="accent5"/>
                <w:sz w:val="24"/>
                <w14:textFill>
                  <w14:solidFill>
                    <w14:schemeClr w14:val="accent5"/>
                  </w14:solidFill>
                </w14:textFill>
              </w:rPr>
              <w:t>①</w:t>
            </w:r>
            <w:r>
              <w:rPr>
                <w:rFonts w:hint="eastAsia" w:cs="Times New Roman" w:eastAsiaTheme="minorEastAsia"/>
                <w:snapToGrid w:val="0"/>
                <w:color w:val="4472C4" w:themeColor="accent5"/>
                <w:kern w:val="0"/>
                <w:sz w:val="24"/>
                <w:lang w:val="en-US" w:eastAsia="zh-CN"/>
                <w14:textFill>
                  <w14:solidFill>
                    <w14:schemeClr w14:val="accent5"/>
                  </w14:solidFill>
                </w14:textFill>
              </w:rPr>
              <w:t>挤出</w:t>
            </w:r>
          </w:p>
          <w:p w14:paraId="7DBC938A">
            <w:pPr>
              <w:adjustRightInd w:val="0"/>
              <w:snapToGrid w:val="0"/>
              <w:spacing w:line="480" w:lineRule="exact"/>
              <w:ind w:firstLine="480" w:firstLineChars="200"/>
              <w:jc w:val="left"/>
              <w:rPr>
                <w:rFonts w:hint="default" w:ascii="Times New Roman" w:hAnsi="Times New Roman" w:eastAsia="宋体" w:cs="Times New Roman"/>
                <w:color w:val="4472C4" w:themeColor="accent5"/>
                <w:sz w:val="24"/>
                <w:lang w:val="en-US" w:eastAsia="zh-CN"/>
                <w14:textFill>
                  <w14:solidFill>
                    <w14:schemeClr w14:val="accent5"/>
                  </w14:solidFill>
                </w14:textFill>
              </w:rPr>
            </w:pPr>
            <w:r>
              <w:rPr>
                <w:rFonts w:hint="eastAsia" w:cs="Times New Roman"/>
                <w:color w:val="4472C4" w:themeColor="accent5"/>
                <w:sz w:val="24"/>
                <w:lang w:val="en-US" w:eastAsia="zh-CN"/>
                <w14:textFill>
                  <w14:solidFill>
                    <w14:schemeClr w14:val="accent5"/>
                  </w14:solidFill>
                </w14:textFill>
              </w:rPr>
              <w:t>项目挤出工序温</w:t>
            </w:r>
            <w:r>
              <w:rPr>
                <w:rFonts w:hint="default" w:ascii="Times New Roman" w:hAnsi="Times New Roman" w:cs="Times New Roman"/>
                <w:color w:val="4472C4" w:themeColor="accent5"/>
                <w:sz w:val="24"/>
                <w:lang w:val="en-US" w:eastAsia="zh-CN"/>
                <w14:textFill>
                  <w14:solidFill>
                    <w14:schemeClr w14:val="accent5"/>
                  </w14:solidFill>
                </w14:textFill>
              </w:rPr>
              <w:t>度在180℃</w:t>
            </w:r>
            <w:r>
              <w:rPr>
                <w:rFonts w:hint="eastAsia" w:ascii="Times New Roman" w:hAnsi="Times New Roman" w:cs="Times New Roman"/>
                <w:color w:val="4472C4" w:themeColor="accent5"/>
                <w:sz w:val="24"/>
                <w:lang w:val="en-US" w:eastAsia="zh-CN"/>
                <w14:textFill>
                  <w14:solidFill>
                    <w14:schemeClr w14:val="accent5"/>
                  </w14:solidFill>
                </w14:textFill>
              </w:rPr>
              <w:t>左右，远低于原料的分解温度</w:t>
            </w:r>
            <w:r>
              <w:rPr>
                <w:rFonts w:hint="default" w:ascii="Times New Roman" w:hAnsi="Times New Roman" w:cs="Times New Roman"/>
                <w:color w:val="4472C4" w:themeColor="accent5"/>
                <w:sz w:val="24"/>
                <w:lang w:eastAsia="zh-CN"/>
                <w14:textFill>
                  <w14:solidFill>
                    <w14:schemeClr w14:val="accent5"/>
                  </w14:solidFill>
                </w14:textFill>
              </w:rPr>
              <w:t>，不会产生分解废气</w:t>
            </w:r>
            <w:r>
              <w:rPr>
                <w:rFonts w:hint="eastAsia" w:cs="Times New Roman"/>
                <w:color w:val="4472C4" w:themeColor="accent5"/>
                <w:sz w:val="24"/>
                <w:lang w:eastAsia="zh-CN"/>
                <w14:textFill>
                  <w14:solidFill>
                    <w14:schemeClr w14:val="accent5"/>
                  </w14:solidFill>
                </w14:textFill>
              </w:rPr>
              <w:t>，</w:t>
            </w:r>
            <w:r>
              <w:rPr>
                <w:rFonts w:hint="eastAsia" w:cs="Times New Roman"/>
                <w:color w:val="4472C4" w:themeColor="accent5"/>
                <w:sz w:val="24"/>
                <w:lang w:val="en-US" w:eastAsia="zh-CN"/>
                <w14:textFill>
                  <w14:solidFill>
                    <w14:schemeClr w14:val="accent5"/>
                  </w14:solidFill>
                </w14:textFill>
              </w:rPr>
              <w:t>同时</w:t>
            </w:r>
            <w:r>
              <w:rPr>
                <w:rFonts w:hint="eastAsia" w:ascii="Times New Roman" w:hAnsi="Times New Roman" w:cs="Times New Roman"/>
                <w:color w:val="4472C4" w:themeColor="accent5"/>
                <w:sz w:val="24"/>
                <w:lang w:val="en-US" w:eastAsia="zh-CN"/>
                <w14:textFill>
                  <w14:solidFill>
                    <w14:schemeClr w14:val="accent5"/>
                  </w14:solidFill>
                </w14:textFill>
              </w:rPr>
              <w:t>参照</w:t>
            </w:r>
            <w:r>
              <w:rPr>
                <w:rFonts w:hint="eastAsia" w:ascii="Times New Roman" w:hAnsi="Times New Roman" w:cs="Times New Roman"/>
                <w:color w:val="4472C4" w:themeColor="accent5"/>
                <w:sz w:val="24"/>
                <w:lang w:eastAsia="zh-CN"/>
                <w14:textFill>
                  <w14:solidFill>
                    <w14:schemeClr w14:val="accent5"/>
                  </w14:solidFill>
                </w14:textFill>
              </w:rPr>
              <w:t>《排污许可证申请与核发技术规范</w:t>
            </w:r>
            <w:r>
              <w:rPr>
                <w:rFonts w:hint="eastAsia" w:ascii="Times New Roman" w:hAnsi="Times New Roman" w:cs="Times New Roman"/>
                <w:color w:val="4472C4" w:themeColor="accent5"/>
                <w:sz w:val="24"/>
                <w:lang w:val="en-US" w:eastAsia="zh-CN"/>
                <w14:textFill>
                  <w14:solidFill>
                    <w14:schemeClr w14:val="accent5"/>
                  </w14:solidFill>
                </w14:textFill>
              </w:rPr>
              <w:t xml:space="preserve"> </w:t>
            </w:r>
            <w:r>
              <w:rPr>
                <w:rFonts w:hint="eastAsia" w:ascii="Times New Roman" w:hAnsi="Times New Roman" w:cs="Times New Roman"/>
                <w:color w:val="4472C4" w:themeColor="accent5"/>
                <w:sz w:val="24"/>
                <w:lang w:eastAsia="zh-CN"/>
                <w14:textFill>
                  <w14:solidFill>
                    <w14:schemeClr w14:val="accent5"/>
                  </w14:solidFill>
                </w14:textFill>
              </w:rPr>
              <w:t>废弃资源加工工业》（HJ1034-2019），</w:t>
            </w:r>
            <w:r>
              <w:rPr>
                <w:rFonts w:hint="eastAsia" w:ascii="Times New Roman" w:hAnsi="Times New Roman" w:cs="Times New Roman"/>
                <w:color w:val="4472C4" w:themeColor="accent5"/>
                <w:sz w:val="24"/>
                <w:lang w:val="en-US" w:eastAsia="zh-CN"/>
                <w14:textFill>
                  <w14:solidFill>
                    <w14:schemeClr w14:val="accent5"/>
                  </w14:solidFill>
                </w14:textFill>
              </w:rPr>
              <w:t>挤出工序污染物为非甲烷</w:t>
            </w:r>
            <w:r>
              <w:rPr>
                <w:rFonts w:hint="eastAsia" w:cs="Times New Roman"/>
                <w:color w:val="4472C4" w:themeColor="accent5"/>
                <w:sz w:val="24"/>
                <w:lang w:val="en-US" w:eastAsia="zh-CN"/>
                <w14:textFill>
                  <w14:solidFill>
                    <w14:schemeClr w14:val="accent5"/>
                  </w14:solidFill>
                </w14:textFill>
              </w:rPr>
              <w:t>总烃</w:t>
            </w:r>
            <w:r>
              <w:rPr>
                <w:rFonts w:hint="eastAsia" w:ascii="Times New Roman" w:hAnsi="Times New Roman" w:cs="Times New Roman"/>
                <w:color w:val="4472C4" w:themeColor="accent5"/>
                <w:sz w:val="24"/>
                <w:lang w:val="en-US" w:eastAsia="zh-CN"/>
                <w14:textFill>
                  <w14:solidFill>
                    <w14:schemeClr w14:val="accent5"/>
                  </w14:solidFill>
                </w14:textFill>
              </w:rPr>
              <w:t>，颗粒物。</w:t>
            </w:r>
            <w:r>
              <w:rPr>
                <w:rFonts w:hint="eastAsia" w:cs="Times New Roman"/>
                <w:color w:val="4472C4" w:themeColor="accent5"/>
                <w:sz w:val="24"/>
                <w:lang w:val="en-US" w:eastAsia="zh-CN"/>
                <w14:textFill>
                  <w14:solidFill>
                    <w14:schemeClr w14:val="accent5"/>
                  </w14:solidFill>
                </w14:textFill>
              </w:rPr>
              <w:t>根</w:t>
            </w:r>
            <w:r>
              <w:rPr>
                <w:rFonts w:hint="default" w:cs="Times New Roman"/>
                <w:color w:val="4472C4" w:themeColor="accent5"/>
                <w:sz w:val="24"/>
                <w:lang w:val="en-US" w:eastAsia="zh-CN"/>
                <w14:textFill>
                  <w14:solidFill>
                    <w14:schemeClr w14:val="accent5"/>
                  </w14:solidFill>
                </w14:textFill>
              </w:rPr>
              <w:t>据生态环境部2021年6月发布的《排放源统计调查产排污核算方法和系数手册》（公告2021年第24号）中</w:t>
            </w:r>
            <w:r>
              <w:rPr>
                <w:rFonts w:hint="default" w:ascii="Times New Roman" w:hAnsi="Times New Roman" w:cs="Times New Roman"/>
                <w:color w:val="4472C4" w:themeColor="accent5"/>
                <w:sz w:val="24"/>
                <w14:textFill>
                  <w14:solidFill>
                    <w14:schemeClr w14:val="accent5"/>
                  </w14:solidFill>
                </w14:textFill>
              </w:rPr>
              <w:t>4220非金属废料和碎屑加工处理行业系数表</w:t>
            </w:r>
            <w:r>
              <w:rPr>
                <w:rFonts w:hint="eastAsia" w:cs="Times New Roman"/>
                <w:color w:val="4472C4" w:themeColor="accent5"/>
                <w:sz w:val="24"/>
                <w:lang w:eastAsia="zh-CN"/>
                <w14:textFill>
                  <w14:solidFill>
                    <w14:schemeClr w14:val="accent5"/>
                  </w14:solidFill>
                </w14:textFill>
              </w:rPr>
              <w:t>，</w:t>
            </w:r>
            <w:r>
              <w:rPr>
                <w:rFonts w:hint="eastAsia" w:cs="Times New Roman"/>
                <w:color w:val="4472C4" w:themeColor="accent5"/>
                <w:sz w:val="24"/>
                <w:lang w:val="en-US" w:eastAsia="zh-CN"/>
                <w14:textFill>
                  <w14:solidFill>
                    <w14:schemeClr w14:val="accent5"/>
                  </w14:solidFill>
                </w14:textFill>
              </w:rPr>
              <w:t>PE/PP挤出工序产污系数为挥发性有机物（本次以非甲烷总烃计）-350g/吨-原料，ABS挤出工序产污系数为挥发性有机物（本次以非甲烷总烃计）-957g/吨-原料，项目PP、PE原料用量为10070t/a，ABS原料用量为2020t/a，则非甲烷总烃产生量为5.46t/a（有组织非甲烷总烃产生量5.19t/a，产生速率为1.08kg/h，无组织非甲烷总烃产生量0.27t/a）；</w:t>
            </w:r>
            <w:r>
              <w:rPr>
                <w:rFonts w:hint="eastAsia" w:cs="Times New Roman"/>
                <w:color w:val="FF0000"/>
                <w:sz w:val="24"/>
                <w:lang w:val="en-US" w:eastAsia="zh-CN"/>
              </w:rPr>
              <w:t>挤出工序颗粒物产生较少，参照干式粉碎产污系数的5%，即PE/PP挤出工序产污系数为颗粒物18.75克/吨-原料，ABS挤出工序产污系数为颗粒物21.25克/吨-原料，则颗粒物产生量为0.23t/a（有组织颗粒物产生量0.22t/a，无组织颗粒物产生量0.01t/a）。</w:t>
            </w:r>
          </w:p>
          <w:p w14:paraId="420506A2">
            <w:pPr>
              <w:keepNext w:val="0"/>
              <w:keepLines w:val="0"/>
              <w:pageBreakBefore w:val="0"/>
              <w:widowControl w:val="0"/>
              <w:tabs>
                <w:tab w:val="left" w:pos="2838"/>
              </w:tabs>
              <w:kinsoku/>
              <w:wordWrap/>
              <w:overflowPunct/>
              <w:topLinePunct w:val="0"/>
              <w:autoSpaceDE/>
              <w:autoSpaceDN/>
              <w:bidi w:val="0"/>
              <w:adjustRightInd/>
              <w:snapToGrid/>
              <w:spacing w:line="500" w:lineRule="exact"/>
              <w:ind w:left="0" w:leftChars="0" w:firstLine="480" w:firstLineChars="200"/>
              <w:textAlignment w:val="auto"/>
              <w:rPr>
                <w:rFonts w:hint="default" w:cs="Times New Roman"/>
                <w:color w:val="4472C4" w:themeColor="accent5"/>
                <w:sz w:val="24"/>
                <w:lang w:val="en-US" w:eastAsia="zh-CN"/>
                <w14:textFill>
                  <w14:solidFill>
                    <w14:schemeClr w14:val="accent5"/>
                  </w14:solidFill>
                </w14:textFill>
              </w:rPr>
            </w:pPr>
            <w:r>
              <w:rPr>
                <w:rFonts w:hint="eastAsia" w:cs="Times New Roman"/>
                <w:color w:val="4472C4" w:themeColor="accent5"/>
                <w:sz w:val="24"/>
                <w:lang w:val="en-US" w:eastAsia="zh-CN"/>
                <w14:textFill>
                  <w14:solidFill>
                    <w14:schemeClr w14:val="accent5"/>
                  </w14:solidFill>
                </w14:textFill>
              </w:rPr>
              <w:t>项目喷淋塔+干式过滤+活性炭吸附脱附+催化燃烧设有3个活性炭箱，2吸1脱，</w:t>
            </w:r>
            <w:r>
              <w:rPr>
                <w:rFonts w:hint="eastAsia"/>
                <w:color w:val="4472C4" w:themeColor="accent5"/>
                <w:kern w:val="0"/>
                <w:sz w:val="24"/>
                <w:highlight w:val="none"/>
                <w:lang w:bidi="ar"/>
                <w14:textFill>
                  <w14:solidFill>
                    <w14:schemeClr w14:val="accent5"/>
                  </w14:solidFill>
                </w14:textFill>
              </w:rPr>
              <w:t>轮流吸附和脱附，当吸附废气的活性炭接近饱和后，进行脱附再生，加热方式为电加热。脱附后的</w:t>
            </w:r>
            <w:r>
              <w:rPr>
                <w:rFonts w:hint="eastAsia"/>
                <w:color w:val="4472C4" w:themeColor="accent5"/>
                <w:kern w:val="0"/>
                <w:sz w:val="24"/>
                <w:highlight w:val="none"/>
                <w:lang w:val="en-US" w:eastAsia="zh-CN" w:bidi="ar"/>
                <w14:textFill>
                  <w14:solidFill>
                    <w14:schemeClr w14:val="accent5"/>
                  </w14:solidFill>
                </w14:textFill>
              </w:rPr>
              <w:t>非甲烷总烃</w:t>
            </w:r>
            <w:r>
              <w:rPr>
                <w:rFonts w:hint="eastAsia"/>
                <w:color w:val="4472C4" w:themeColor="accent5"/>
                <w:kern w:val="0"/>
                <w:sz w:val="24"/>
                <w:highlight w:val="none"/>
                <w:lang w:bidi="ar"/>
                <w14:textFill>
                  <w14:solidFill>
                    <w14:schemeClr w14:val="accent5"/>
                  </w14:solidFill>
                </w14:textFill>
              </w:rPr>
              <w:t>通过催化燃烧床燃烧后，通过排气筒</w:t>
            </w:r>
            <w:r>
              <w:rPr>
                <w:rFonts w:hint="eastAsia" w:ascii="Times New Roman" w:hAnsi="Times New Roman" w:eastAsia="宋体" w:cs="Times New Roman"/>
                <w:bCs/>
                <w:color w:val="4472C4" w:themeColor="accent5"/>
                <w:sz w:val="24"/>
                <w:szCs w:val="24"/>
                <w:highlight w:val="none"/>
                <w:lang w:val="en-US" w:eastAsia="zh-CN"/>
                <w14:textFill>
                  <w14:solidFill>
                    <w14:schemeClr w14:val="accent5"/>
                  </w14:solidFill>
                </w14:textFill>
              </w:rPr>
              <w:t>DA001</w:t>
            </w:r>
            <w:r>
              <w:rPr>
                <w:rFonts w:hint="eastAsia"/>
                <w:color w:val="4472C4" w:themeColor="accent5"/>
                <w:kern w:val="0"/>
                <w:sz w:val="24"/>
                <w:highlight w:val="none"/>
                <w:lang w:bidi="ar"/>
                <w14:textFill>
                  <w14:solidFill>
                    <w14:schemeClr w14:val="accent5"/>
                  </w14:solidFill>
                </w14:textFill>
              </w:rPr>
              <w:t>排放。根据《吸附法工业有机废气治理工程技术规范》</w:t>
            </w:r>
            <w:r>
              <w:rPr>
                <w:rFonts w:hint="eastAsia"/>
                <w:color w:val="4472C4" w:themeColor="accent5"/>
                <w:kern w:val="0"/>
                <w:sz w:val="24"/>
                <w:highlight w:val="none"/>
                <w:lang w:eastAsia="zh-CN" w:bidi="ar"/>
                <w14:textFill>
                  <w14:solidFill>
                    <w14:schemeClr w14:val="accent5"/>
                  </w14:solidFill>
                </w14:textFill>
              </w:rPr>
              <w:t>（</w:t>
            </w:r>
            <w:r>
              <w:rPr>
                <w:rFonts w:hint="eastAsia"/>
                <w:color w:val="4472C4" w:themeColor="accent5"/>
                <w:kern w:val="0"/>
                <w:sz w:val="24"/>
                <w:highlight w:val="none"/>
                <w:lang w:bidi="ar"/>
                <w14:textFill>
                  <w14:solidFill>
                    <w14:schemeClr w14:val="accent5"/>
                  </w14:solidFill>
                </w14:textFill>
              </w:rPr>
              <w:t>HJ2026-2013</w:t>
            </w:r>
            <w:r>
              <w:rPr>
                <w:rFonts w:hint="eastAsia"/>
                <w:color w:val="4472C4" w:themeColor="accent5"/>
                <w:kern w:val="0"/>
                <w:sz w:val="24"/>
                <w:highlight w:val="none"/>
                <w:lang w:eastAsia="zh-CN" w:bidi="ar"/>
                <w14:textFill>
                  <w14:solidFill>
                    <w14:schemeClr w14:val="accent5"/>
                  </w14:solidFill>
                </w14:textFill>
              </w:rPr>
              <w:t>）</w:t>
            </w:r>
            <w:r>
              <w:rPr>
                <w:rFonts w:hint="eastAsia"/>
                <w:color w:val="4472C4" w:themeColor="accent5"/>
                <w:kern w:val="0"/>
                <w:sz w:val="24"/>
                <w:highlight w:val="none"/>
                <w:lang w:bidi="ar"/>
                <w14:textFill>
                  <w14:solidFill>
                    <w14:schemeClr w14:val="accent5"/>
                  </w14:solidFill>
                </w14:textFill>
              </w:rPr>
              <w:t>中规定，活性炭吸附效率可达到90%，本次环评活性炭对</w:t>
            </w:r>
            <w:r>
              <w:rPr>
                <w:rFonts w:hint="eastAsia"/>
                <w:color w:val="4472C4" w:themeColor="accent5"/>
                <w:kern w:val="0"/>
                <w:sz w:val="24"/>
                <w:highlight w:val="none"/>
                <w:lang w:val="en-US" w:eastAsia="zh-CN" w:bidi="ar"/>
                <w14:textFill>
                  <w14:solidFill>
                    <w14:schemeClr w14:val="accent5"/>
                  </w14:solidFill>
                </w14:textFill>
              </w:rPr>
              <w:t>非甲烷总烃</w:t>
            </w:r>
            <w:r>
              <w:rPr>
                <w:rFonts w:hint="eastAsia"/>
                <w:color w:val="4472C4" w:themeColor="accent5"/>
                <w:kern w:val="0"/>
                <w:sz w:val="24"/>
                <w:highlight w:val="none"/>
                <w:lang w:bidi="ar"/>
                <w14:textFill>
                  <w14:solidFill>
                    <w14:schemeClr w14:val="accent5"/>
                  </w14:solidFill>
                </w14:textFill>
              </w:rPr>
              <w:t>的吸附效率按</w:t>
            </w:r>
            <w:r>
              <w:rPr>
                <w:rFonts w:hint="eastAsia"/>
                <w:color w:val="4472C4" w:themeColor="accent5"/>
                <w:kern w:val="0"/>
                <w:sz w:val="24"/>
                <w:highlight w:val="none"/>
                <w:lang w:val="en-US" w:eastAsia="zh-CN" w:bidi="ar"/>
                <w14:textFill>
                  <w14:solidFill>
                    <w14:schemeClr w14:val="accent5"/>
                  </w14:solidFill>
                </w14:textFill>
              </w:rPr>
              <w:t>90</w:t>
            </w:r>
            <w:r>
              <w:rPr>
                <w:rFonts w:hint="eastAsia"/>
                <w:color w:val="4472C4" w:themeColor="accent5"/>
                <w:kern w:val="0"/>
                <w:sz w:val="24"/>
                <w:highlight w:val="none"/>
                <w:lang w:bidi="ar"/>
                <w14:textFill>
                  <w14:solidFill>
                    <w14:schemeClr w14:val="accent5"/>
                  </w14:solidFill>
                </w14:textFill>
              </w:rPr>
              <w:t>%计，根据《催化燃烧法</w:t>
            </w:r>
            <w:r>
              <w:rPr>
                <w:rFonts w:hint="eastAsia"/>
                <w:color w:val="4472C4" w:themeColor="accent5"/>
                <w:kern w:val="0"/>
                <w:sz w:val="24"/>
                <w:highlight w:val="none"/>
                <w:lang w:val="en-US" w:eastAsia="zh-CN" w:bidi="ar"/>
                <w14:textFill>
                  <w14:solidFill>
                    <w14:schemeClr w14:val="accent5"/>
                  </w14:solidFill>
                </w14:textFill>
              </w:rPr>
              <w:t>工业</w:t>
            </w:r>
            <w:r>
              <w:rPr>
                <w:rFonts w:hint="eastAsia"/>
                <w:color w:val="4472C4" w:themeColor="accent5"/>
                <w:kern w:val="0"/>
                <w:sz w:val="24"/>
                <w:highlight w:val="none"/>
                <w:lang w:bidi="ar"/>
                <w14:textFill>
                  <w14:solidFill>
                    <w14:schemeClr w14:val="accent5"/>
                  </w14:solidFill>
                </w14:textFill>
              </w:rPr>
              <w:t>有机废气治理工程技术规范》</w:t>
            </w:r>
            <w:r>
              <w:rPr>
                <w:rFonts w:hint="eastAsia"/>
                <w:color w:val="4472C4" w:themeColor="accent5"/>
                <w:kern w:val="0"/>
                <w:sz w:val="24"/>
                <w:highlight w:val="none"/>
                <w:lang w:eastAsia="zh-CN" w:bidi="ar"/>
                <w14:textFill>
                  <w14:solidFill>
                    <w14:schemeClr w14:val="accent5"/>
                  </w14:solidFill>
                </w14:textFill>
              </w:rPr>
              <w:t>（</w:t>
            </w:r>
            <w:r>
              <w:rPr>
                <w:rFonts w:hint="eastAsia"/>
                <w:color w:val="4472C4" w:themeColor="accent5"/>
                <w:kern w:val="0"/>
                <w:sz w:val="24"/>
                <w:highlight w:val="none"/>
                <w:lang w:bidi="ar"/>
                <w14:textFill>
                  <w14:solidFill>
                    <w14:schemeClr w14:val="accent5"/>
                  </w14:solidFill>
                </w14:textFill>
              </w:rPr>
              <w:t>HJ2027-2013</w:t>
            </w:r>
            <w:r>
              <w:rPr>
                <w:rFonts w:hint="eastAsia"/>
                <w:color w:val="4472C4" w:themeColor="accent5"/>
                <w:kern w:val="0"/>
                <w:sz w:val="24"/>
                <w:highlight w:val="none"/>
                <w:lang w:eastAsia="zh-CN" w:bidi="ar"/>
                <w14:textFill>
                  <w14:solidFill>
                    <w14:schemeClr w14:val="accent5"/>
                  </w14:solidFill>
                </w14:textFill>
              </w:rPr>
              <w:t>）</w:t>
            </w:r>
            <w:r>
              <w:rPr>
                <w:rFonts w:hint="eastAsia"/>
                <w:color w:val="4472C4" w:themeColor="accent5"/>
                <w:kern w:val="0"/>
                <w:sz w:val="24"/>
                <w:highlight w:val="none"/>
                <w:lang w:bidi="ar"/>
                <w14:textFill>
                  <w14:solidFill>
                    <w14:schemeClr w14:val="accent5"/>
                  </w14:solidFill>
                </w14:textFill>
              </w:rPr>
              <w:t>中规定，本项目催化燃烧对</w:t>
            </w:r>
            <w:r>
              <w:rPr>
                <w:rFonts w:hint="eastAsia"/>
                <w:color w:val="4472C4" w:themeColor="accent5"/>
                <w:kern w:val="0"/>
                <w:sz w:val="24"/>
                <w:highlight w:val="none"/>
                <w:lang w:val="en-US" w:eastAsia="zh-CN" w:bidi="ar"/>
                <w14:textFill>
                  <w14:solidFill>
                    <w14:schemeClr w14:val="accent5"/>
                  </w14:solidFill>
                </w14:textFill>
              </w:rPr>
              <w:t>非甲烷总烃</w:t>
            </w:r>
            <w:r>
              <w:rPr>
                <w:rFonts w:hint="eastAsia"/>
                <w:color w:val="4472C4" w:themeColor="accent5"/>
                <w:kern w:val="0"/>
                <w:sz w:val="24"/>
                <w:highlight w:val="none"/>
                <w:lang w:bidi="ar"/>
                <w14:textFill>
                  <w14:solidFill>
                    <w14:schemeClr w14:val="accent5"/>
                  </w14:solidFill>
                </w14:textFill>
              </w:rPr>
              <w:t>处理效率按97%计，吸附风机风量为</w:t>
            </w:r>
            <w:r>
              <w:rPr>
                <w:rFonts w:hint="eastAsia"/>
                <w:color w:val="4472C4" w:themeColor="accent5"/>
                <w:kern w:val="0"/>
                <w:sz w:val="24"/>
                <w:highlight w:val="none"/>
                <w:lang w:val="en-US" w:eastAsia="zh-CN" w:bidi="ar"/>
                <w14:textFill>
                  <w14:solidFill>
                    <w14:schemeClr w14:val="accent5"/>
                  </w14:solidFill>
                </w14:textFill>
              </w:rPr>
              <w:t>10000m</w:t>
            </w:r>
            <w:r>
              <w:rPr>
                <w:rFonts w:hint="eastAsia"/>
                <w:color w:val="4472C4" w:themeColor="accent5"/>
                <w:kern w:val="0"/>
                <w:sz w:val="24"/>
                <w:highlight w:val="none"/>
                <w:vertAlign w:val="superscript"/>
                <w:lang w:val="en-US" w:eastAsia="zh-CN" w:bidi="ar"/>
                <w14:textFill>
                  <w14:solidFill>
                    <w14:schemeClr w14:val="accent5"/>
                  </w14:solidFill>
                </w14:textFill>
              </w:rPr>
              <w:t>3</w:t>
            </w:r>
            <w:r>
              <w:rPr>
                <w:rFonts w:hint="eastAsia"/>
                <w:color w:val="4472C4" w:themeColor="accent5"/>
                <w:kern w:val="0"/>
                <w:sz w:val="24"/>
                <w:highlight w:val="none"/>
                <w:lang w:val="en-US" w:eastAsia="zh-CN" w:bidi="ar"/>
                <w14:textFill>
                  <w14:solidFill>
                    <w14:schemeClr w14:val="accent5"/>
                  </w14:solidFill>
                </w14:textFill>
              </w:rPr>
              <w:t>/h</w:t>
            </w:r>
            <w:r>
              <w:rPr>
                <w:rFonts w:hint="eastAsia"/>
                <w:color w:val="4472C4" w:themeColor="accent5"/>
                <w:kern w:val="0"/>
                <w:sz w:val="24"/>
                <w:highlight w:val="none"/>
                <w:lang w:bidi="ar"/>
                <w14:textFill>
                  <w14:solidFill>
                    <w14:schemeClr w14:val="accent5"/>
                  </w14:solidFill>
                </w14:textFill>
              </w:rPr>
              <w:t>，脱附风机风量为</w:t>
            </w:r>
            <w:r>
              <w:rPr>
                <w:rFonts w:hint="eastAsia"/>
                <w:color w:val="4472C4" w:themeColor="accent5"/>
                <w:kern w:val="0"/>
                <w:sz w:val="24"/>
                <w:highlight w:val="none"/>
                <w:lang w:val="en-US" w:eastAsia="zh-CN" w:bidi="ar"/>
                <w14:textFill>
                  <w14:solidFill>
                    <w14:schemeClr w14:val="accent5"/>
                  </w14:solidFill>
                </w14:textFill>
              </w:rPr>
              <w:t>2</w:t>
            </w:r>
            <w:r>
              <w:rPr>
                <w:rFonts w:hint="eastAsia"/>
                <w:color w:val="4472C4" w:themeColor="accent5"/>
                <w:kern w:val="0"/>
                <w:sz w:val="24"/>
                <w:highlight w:val="none"/>
                <w:lang w:eastAsia="zh-CN" w:bidi="ar"/>
                <w14:textFill>
                  <w14:solidFill>
                    <w14:schemeClr w14:val="accent5"/>
                  </w14:solidFill>
                </w14:textFill>
              </w:rPr>
              <w:t>000m</w:t>
            </w:r>
            <w:r>
              <w:rPr>
                <w:rFonts w:hint="eastAsia"/>
                <w:color w:val="4472C4" w:themeColor="accent5"/>
                <w:kern w:val="0"/>
                <w:sz w:val="24"/>
                <w:highlight w:val="none"/>
                <w:vertAlign w:val="superscript"/>
                <w:lang w:eastAsia="zh-CN" w:bidi="ar"/>
                <w14:textFill>
                  <w14:solidFill>
                    <w14:schemeClr w14:val="accent5"/>
                  </w14:solidFill>
                </w14:textFill>
              </w:rPr>
              <w:t>3</w:t>
            </w:r>
            <w:r>
              <w:rPr>
                <w:rFonts w:hint="eastAsia"/>
                <w:color w:val="4472C4" w:themeColor="accent5"/>
                <w:kern w:val="0"/>
                <w:sz w:val="24"/>
                <w:highlight w:val="none"/>
                <w:lang w:eastAsia="zh-CN" w:bidi="ar"/>
                <w14:textFill>
                  <w14:solidFill>
                    <w14:schemeClr w14:val="accent5"/>
                  </w14:solidFill>
                </w14:textFill>
              </w:rPr>
              <w:t>/h</w:t>
            </w:r>
            <w:r>
              <w:rPr>
                <w:rFonts w:hint="eastAsia"/>
                <w:color w:val="4472C4" w:themeColor="accent5"/>
                <w:kern w:val="0"/>
                <w:sz w:val="24"/>
                <w:highlight w:val="none"/>
                <w:lang w:bidi="ar"/>
                <w14:textFill>
                  <w14:solidFill>
                    <w14:schemeClr w14:val="accent5"/>
                  </w14:solidFill>
                </w14:textFill>
              </w:rPr>
              <w:t>，同时运行时风量为</w:t>
            </w:r>
            <w:r>
              <w:rPr>
                <w:rFonts w:hint="eastAsia"/>
                <w:color w:val="4472C4" w:themeColor="accent5"/>
                <w:kern w:val="0"/>
                <w:sz w:val="24"/>
                <w:highlight w:val="none"/>
                <w:lang w:val="en-US" w:eastAsia="zh-CN" w:bidi="ar"/>
                <w14:textFill>
                  <w14:solidFill>
                    <w14:schemeClr w14:val="accent5"/>
                  </w14:solidFill>
                </w14:textFill>
              </w:rPr>
              <w:t>12000m</w:t>
            </w:r>
            <w:r>
              <w:rPr>
                <w:rFonts w:hint="eastAsia"/>
                <w:color w:val="4472C4" w:themeColor="accent5"/>
                <w:kern w:val="0"/>
                <w:sz w:val="24"/>
                <w:highlight w:val="none"/>
                <w:vertAlign w:val="superscript"/>
                <w:lang w:val="en-US" w:eastAsia="zh-CN" w:bidi="ar"/>
                <w14:textFill>
                  <w14:solidFill>
                    <w14:schemeClr w14:val="accent5"/>
                  </w14:solidFill>
                </w14:textFill>
              </w:rPr>
              <w:t>3</w:t>
            </w:r>
            <w:r>
              <w:rPr>
                <w:rFonts w:hint="eastAsia"/>
                <w:color w:val="4472C4" w:themeColor="accent5"/>
                <w:kern w:val="0"/>
                <w:sz w:val="24"/>
                <w:highlight w:val="none"/>
                <w:lang w:val="en-US" w:eastAsia="zh-CN" w:bidi="ar"/>
                <w14:textFill>
                  <w14:solidFill>
                    <w14:schemeClr w14:val="accent5"/>
                  </w14:solidFill>
                </w14:textFill>
              </w:rPr>
              <w:t>/h</w:t>
            </w:r>
            <w:r>
              <w:rPr>
                <w:rFonts w:hint="eastAsia"/>
                <w:bCs/>
                <w:color w:val="4472C4" w:themeColor="accent5"/>
                <w:sz w:val="24"/>
                <w:highlight w:val="none"/>
                <w:lang w:val="en-US" w:eastAsia="zh-CN"/>
                <w14:textFill>
                  <w14:solidFill>
                    <w14:schemeClr w14:val="accent5"/>
                  </w14:solidFill>
                </w14:textFill>
              </w:rPr>
              <w:t>。</w:t>
            </w:r>
          </w:p>
          <w:p w14:paraId="3A50D6A1">
            <w:pPr>
              <w:keepNext w:val="0"/>
              <w:keepLines w:val="0"/>
              <w:pageBreakBefore w:val="0"/>
              <w:widowControl w:val="0"/>
              <w:tabs>
                <w:tab w:val="left" w:pos="2838"/>
              </w:tabs>
              <w:kinsoku/>
              <w:wordWrap/>
              <w:overflowPunct/>
              <w:topLinePunct w:val="0"/>
              <w:autoSpaceDE/>
              <w:autoSpaceDN/>
              <w:bidi w:val="0"/>
              <w:adjustRightInd/>
              <w:snapToGrid/>
              <w:spacing w:line="500" w:lineRule="exact"/>
              <w:ind w:left="0" w:leftChars="0" w:firstLine="480" w:firstLineChars="200"/>
              <w:textAlignment w:val="auto"/>
              <w:rPr>
                <w:rFonts w:hint="eastAsia" w:cs="Times New Roman"/>
                <w:color w:val="4472C4" w:themeColor="accent5"/>
                <w:sz w:val="24"/>
                <w:lang w:val="en-US" w:eastAsia="zh-CN"/>
                <w14:textFill>
                  <w14:solidFill>
                    <w14:schemeClr w14:val="accent5"/>
                  </w14:solidFill>
                </w14:textFill>
              </w:rPr>
            </w:pPr>
            <w:r>
              <w:rPr>
                <w:rFonts w:hint="eastAsia" w:cs="Times New Roman"/>
                <w:color w:val="4472C4" w:themeColor="accent5"/>
                <w:sz w:val="24"/>
                <w:lang w:val="en-US" w:eastAsia="zh-CN"/>
                <w14:textFill>
                  <w14:solidFill>
                    <w14:schemeClr w14:val="accent5"/>
                  </w14:solidFill>
                </w14:textFill>
              </w:rPr>
              <w:t>本项目</w:t>
            </w:r>
            <w:r>
              <w:rPr>
                <w:rFonts w:hint="eastAsia"/>
                <w:color w:val="4472C4" w:themeColor="accent5"/>
                <w:kern w:val="0"/>
                <w:sz w:val="24"/>
                <w:highlight w:val="none"/>
                <w:lang w:val="en-US" w:eastAsia="zh-CN" w:bidi="ar"/>
                <w14:textFill>
                  <w14:solidFill>
                    <w14:schemeClr w14:val="accent5"/>
                  </w14:solidFill>
                </w14:textFill>
              </w:rPr>
              <w:t>非甲烷总烃</w:t>
            </w:r>
            <w:r>
              <w:rPr>
                <w:rFonts w:hint="eastAsia" w:cs="Times New Roman"/>
                <w:color w:val="4472C4" w:themeColor="accent5"/>
                <w:sz w:val="24"/>
                <w:lang w:val="en-US" w:eastAsia="zh-CN"/>
                <w14:textFill>
                  <w14:solidFill>
                    <w14:schemeClr w14:val="accent5"/>
                  </w14:solidFill>
                </w14:textFill>
              </w:rPr>
              <w:t>有2种排放情况：仅吸附（正常运行，</w:t>
            </w:r>
            <w:r>
              <w:rPr>
                <w:rFonts w:hint="eastAsia" w:cs="Times New Roman"/>
                <w:color w:val="FF0000"/>
                <w:sz w:val="24"/>
                <w:lang w:val="en-US" w:eastAsia="zh-CN"/>
              </w:rPr>
              <w:t>3600h/a</w:t>
            </w:r>
            <w:r>
              <w:rPr>
                <w:rFonts w:hint="eastAsia" w:cs="Times New Roman"/>
                <w:color w:val="4472C4" w:themeColor="accent5"/>
                <w:sz w:val="24"/>
                <w:lang w:val="en-US" w:eastAsia="zh-CN"/>
                <w14:textFill>
                  <w14:solidFill>
                    <w14:schemeClr w14:val="accent5"/>
                  </w14:solidFill>
                </w14:textFill>
              </w:rPr>
              <w:t>）和吸附、脱附同时进行（最大排放，</w:t>
            </w:r>
            <w:r>
              <w:rPr>
                <w:rFonts w:hint="eastAsia" w:cs="Times New Roman"/>
                <w:color w:val="FF0000"/>
                <w:sz w:val="24"/>
                <w:lang w:val="en-US" w:eastAsia="zh-CN"/>
              </w:rPr>
              <w:t>1200h/a</w:t>
            </w:r>
            <w:r>
              <w:rPr>
                <w:rFonts w:hint="eastAsia" w:cs="Times New Roman"/>
                <w:color w:val="4472C4" w:themeColor="accent5"/>
                <w:sz w:val="24"/>
                <w:lang w:val="en-US" w:eastAsia="zh-CN"/>
                <w14:textFill>
                  <w14:solidFill>
                    <w14:schemeClr w14:val="accent5"/>
                  </w14:solidFill>
                </w14:textFill>
              </w:rPr>
              <w:t>）。</w:t>
            </w:r>
          </w:p>
          <w:p w14:paraId="6AD046DB">
            <w:pPr>
              <w:keepNext w:val="0"/>
              <w:keepLines w:val="0"/>
              <w:pageBreakBefore w:val="0"/>
              <w:widowControl w:val="0"/>
              <w:tabs>
                <w:tab w:val="left" w:pos="2838"/>
              </w:tabs>
              <w:kinsoku/>
              <w:wordWrap/>
              <w:overflowPunct/>
              <w:topLinePunct w:val="0"/>
              <w:autoSpaceDE/>
              <w:autoSpaceDN/>
              <w:bidi w:val="0"/>
              <w:adjustRightInd/>
              <w:snapToGrid/>
              <w:spacing w:line="500" w:lineRule="exact"/>
              <w:ind w:left="0" w:leftChars="0" w:firstLine="480" w:firstLineChars="200"/>
              <w:textAlignment w:val="auto"/>
              <w:rPr>
                <w:rFonts w:hint="eastAsia" w:cs="Times New Roman"/>
                <w:color w:val="4472C4" w:themeColor="accent5"/>
                <w:sz w:val="24"/>
                <w:lang w:val="en-US" w:eastAsia="zh-CN"/>
                <w14:textFill>
                  <w14:solidFill>
                    <w14:schemeClr w14:val="accent5"/>
                  </w14:solidFill>
                </w14:textFill>
              </w:rPr>
            </w:pPr>
            <w:r>
              <w:rPr>
                <w:rFonts w:hint="eastAsia" w:cs="Times New Roman"/>
                <w:color w:val="4472C4" w:themeColor="accent5"/>
                <w:sz w:val="24"/>
                <w:lang w:val="en-US" w:eastAsia="zh-CN"/>
                <w14:textFill>
                  <w14:solidFill>
                    <w14:schemeClr w14:val="accent5"/>
                  </w14:solidFill>
                </w14:textFill>
              </w:rPr>
              <w:t>本项目非甲烷总烃排放量如下：</w:t>
            </w:r>
          </w:p>
          <w:p w14:paraId="2950C34E">
            <w:pPr>
              <w:keepNext w:val="0"/>
              <w:keepLines w:val="0"/>
              <w:pageBreakBefore w:val="0"/>
              <w:widowControl w:val="0"/>
              <w:tabs>
                <w:tab w:val="left" w:pos="2838"/>
              </w:tabs>
              <w:kinsoku/>
              <w:wordWrap/>
              <w:overflowPunct/>
              <w:topLinePunct w:val="0"/>
              <w:autoSpaceDE/>
              <w:autoSpaceDN/>
              <w:bidi w:val="0"/>
              <w:adjustRightInd/>
              <w:snapToGrid/>
              <w:spacing w:line="500" w:lineRule="exact"/>
              <w:ind w:left="0" w:leftChars="0" w:firstLine="480" w:firstLineChars="200"/>
              <w:textAlignment w:val="auto"/>
              <w:rPr>
                <w:rFonts w:hint="default" w:cs="Times New Roman"/>
                <w:color w:val="4472C4" w:themeColor="accent5"/>
                <w:sz w:val="24"/>
                <w:lang w:val="en-US" w:eastAsia="zh-CN"/>
                <w14:textFill>
                  <w14:solidFill>
                    <w14:schemeClr w14:val="accent5"/>
                  </w14:solidFill>
                </w14:textFill>
              </w:rPr>
            </w:pPr>
            <w:r>
              <w:rPr>
                <w:rFonts w:hint="eastAsia" w:cs="Times New Roman"/>
                <w:color w:val="4472C4" w:themeColor="accent5"/>
                <w:sz w:val="24"/>
                <w:lang w:val="en-US" w:eastAsia="zh-CN"/>
                <w14:textFill>
                  <w14:solidFill>
                    <w14:schemeClr w14:val="accent5"/>
                  </w14:solidFill>
                </w14:textFill>
              </w:rPr>
              <w:t>1）仅吸附过程</w:t>
            </w:r>
          </w:p>
          <w:p w14:paraId="48E345B7">
            <w:pPr>
              <w:spacing w:line="480" w:lineRule="exact"/>
              <w:jc w:val="center"/>
              <w:rPr>
                <w:rFonts w:hint="eastAsia" w:ascii="Times New Roman" w:hAnsi="Times New Roman" w:eastAsia="宋体" w:cs="Times New Roman"/>
                <w:b/>
                <w:bCs/>
                <w:color w:val="4472C4" w:themeColor="accent5"/>
                <w:sz w:val="24"/>
                <w:lang w:val="en-US" w:eastAsia="zh-CN"/>
                <w14:textFill>
                  <w14:solidFill>
                    <w14:schemeClr w14:val="accent5"/>
                  </w14:solidFill>
                </w14:textFill>
              </w:rPr>
            </w:pPr>
            <w:r>
              <w:rPr>
                <w:rFonts w:hint="eastAsia" w:ascii="Times New Roman" w:hAnsi="Times New Roman" w:eastAsia="宋体" w:cs="Times New Roman"/>
                <w:b/>
                <w:bCs/>
                <w:color w:val="4472C4" w:themeColor="accent5"/>
                <w:sz w:val="24"/>
                <w:lang w:val="en-US" w:eastAsia="zh-CN"/>
                <w14:textFill>
                  <w14:solidFill>
                    <w14:schemeClr w14:val="accent5"/>
                  </w14:solidFill>
                </w14:textFill>
              </w:rPr>
              <w:t>表</w:t>
            </w:r>
            <w:r>
              <w:rPr>
                <w:rFonts w:hint="eastAsia" w:cs="Times New Roman"/>
                <w:b/>
                <w:bCs/>
                <w:color w:val="4472C4" w:themeColor="accent5"/>
                <w:sz w:val="24"/>
                <w:lang w:val="en-US" w:eastAsia="zh-CN"/>
                <w14:textFill>
                  <w14:solidFill>
                    <w14:schemeClr w14:val="accent5"/>
                  </w14:solidFill>
                </w14:textFill>
              </w:rPr>
              <w:t>18</w:t>
            </w:r>
            <w:r>
              <w:rPr>
                <w:rFonts w:hint="eastAsia" w:ascii="Times New Roman" w:hAnsi="Times New Roman" w:eastAsia="宋体" w:cs="Times New Roman"/>
                <w:b/>
                <w:bCs/>
                <w:color w:val="4472C4" w:themeColor="accent5"/>
                <w:sz w:val="24"/>
                <w:lang w:val="en-US" w:eastAsia="zh-CN"/>
                <w14:textFill>
                  <w14:solidFill>
                    <w14:schemeClr w14:val="accent5"/>
                  </w14:solidFill>
                </w14:textFill>
              </w:rPr>
              <w:t>-</w:t>
            </w:r>
            <w:r>
              <w:rPr>
                <w:rFonts w:hint="eastAsia" w:cs="Times New Roman"/>
                <w:b/>
                <w:bCs/>
                <w:color w:val="4472C4" w:themeColor="accent5"/>
                <w:sz w:val="24"/>
                <w:lang w:val="en-US" w:eastAsia="zh-CN"/>
                <w14:textFill>
                  <w14:solidFill>
                    <w14:schemeClr w14:val="accent5"/>
                  </w14:solidFill>
                </w14:textFill>
              </w:rPr>
              <w:t>1</w:t>
            </w:r>
            <w:r>
              <w:rPr>
                <w:rFonts w:hint="eastAsia" w:ascii="Times New Roman" w:hAnsi="Times New Roman" w:eastAsia="宋体" w:cs="Times New Roman"/>
                <w:b/>
                <w:bCs/>
                <w:color w:val="4472C4" w:themeColor="accent5"/>
                <w:sz w:val="24"/>
                <w:lang w:val="en-US" w:eastAsia="zh-CN"/>
                <w14:textFill>
                  <w14:solidFill>
                    <w14:schemeClr w14:val="accent5"/>
                  </w14:solidFill>
                </w14:textFill>
              </w:rPr>
              <w:t xml:space="preserve">  仅吸附过程污染物产生排放情况</w:t>
            </w:r>
          </w:p>
          <w:tbl>
            <w:tblPr>
              <w:tblStyle w:val="28"/>
              <w:tblW w:w="4999" w:type="pct"/>
              <w:tblInd w:w="-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02"/>
              <w:gridCol w:w="1098"/>
              <w:gridCol w:w="1482"/>
              <w:gridCol w:w="1012"/>
              <w:gridCol w:w="1726"/>
              <w:gridCol w:w="1777"/>
            </w:tblGrid>
            <w:tr w14:paraId="44BE0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trPr>
              <w:tc>
                <w:tcPr>
                  <w:tcW w:w="1202" w:type="dxa"/>
                  <w:vMerge w:val="restart"/>
                  <w:tcBorders>
                    <w:tl2br w:val="nil"/>
                    <w:tr2bl w:val="nil"/>
                  </w:tcBorders>
                  <w:noWrap w:val="0"/>
                  <w:vAlign w:val="center"/>
                </w:tcPr>
                <w:p w14:paraId="311B4BBC">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r>
                    <w:rPr>
                      <w:rFonts w:hint="eastAsia"/>
                      <w:color w:val="4472C4" w:themeColor="accent5"/>
                      <w:szCs w:val="21"/>
                      <w:highlight w:val="none"/>
                      <w14:textFill>
                        <w14:solidFill>
                          <w14:schemeClr w14:val="accent5"/>
                        </w14:solidFill>
                      </w14:textFill>
                    </w:rPr>
                    <w:t>污染物</w:t>
                  </w:r>
                </w:p>
              </w:tc>
              <w:tc>
                <w:tcPr>
                  <w:tcW w:w="1098" w:type="dxa"/>
                  <w:tcBorders>
                    <w:tl2br w:val="nil"/>
                    <w:tr2bl w:val="nil"/>
                  </w:tcBorders>
                  <w:noWrap w:val="0"/>
                  <w:vAlign w:val="center"/>
                </w:tcPr>
                <w:p w14:paraId="0E131F32">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r>
                    <w:rPr>
                      <w:rFonts w:hint="eastAsia"/>
                      <w:color w:val="4472C4" w:themeColor="accent5"/>
                      <w:szCs w:val="21"/>
                      <w:highlight w:val="none"/>
                      <w14:textFill>
                        <w14:solidFill>
                          <w14:schemeClr w14:val="accent5"/>
                        </w14:solidFill>
                      </w14:textFill>
                    </w:rPr>
                    <w:t>产生情况</w:t>
                  </w:r>
                </w:p>
              </w:tc>
              <w:tc>
                <w:tcPr>
                  <w:tcW w:w="1483" w:type="dxa"/>
                  <w:vMerge w:val="restart"/>
                  <w:tcBorders>
                    <w:tl2br w:val="nil"/>
                    <w:tr2bl w:val="nil"/>
                  </w:tcBorders>
                  <w:noWrap w:val="0"/>
                  <w:vAlign w:val="center"/>
                </w:tcPr>
                <w:p w14:paraId="3CF55B86">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r>
                    <w:rPr>
                      <w:rFonts w:hint="eastAsia"/>
                      <w:color w:val="4472C4" w:themeColor="accent5"/>
                      <w:szCs w:val="21"/>
                      <w:highlight w:val="none"/>
                      <w14:textFill>
                        <w14:solidFill>
                          <w14:schemeClr w14:val="accent5"/>
                        </w14:solidFill>
                      </w14:textFill>
                    </w:rPr>
                    <w:t>风量</w:t>
                  </w:r>
                </w:p>
              </w:tc>
              <w:tc>
                <w:tcPr>
                  <w:tcW w:w="1012" w:type="dxa"/>
                  <w:vMerge w:val="restart"/>
                  <w:tcBorders>
                    <w:tl2br w:val="nil"/>
                    <w:tr2bl w:val="nil"/>
                  </w:tcBorders>
                  <w:noWrap w:val="0"/>
                  <w:vAlign w:val="center"/>
                </w:tcPr>
                <w:p w14:paraId="539E4BAB">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r>
                    <w:rPr>
                      <w:rFonts w:hint="eastAsia"/>
                      <w:color w:val="4472C4" w:themeColor="accent5"/>
                      <w:szCs w:val="21"/>
                      <w:highlight w:val="none"/>
                      <w14:textFill>
                        <w14:solidFill>
                          <w14:schemeClr w14:val="accent5"/>
                        </w14:solidFill>
                      </w14:textFill>
                    </w:rPr>
                    <w:t>去除率</w:t>
                  </w:r>
                </w:p>
              </w:tc>
              <w:tc>
                <w:tcPr>
                  <w:tcW w:w="3505" w:type="dxa"/>
                  <w:gridSpan w:val="2"/>
                  <w:tcBorders>
                    <w:tl2br w:val="nil"/>
                    <w:tr2bl w:val="nil"/>
                  </w:tcBorders>
                  <w:noWrap w:val="0"/>
                  <w:vAlign w:val="center"/>
                </w:tcPr>
                <w:p w14:paraId="4DD5F0FA">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r>
                    <w:rPr>
                      <w:rFonts w:hint="eastAsia"/>
                      <w:color w:val="4472C4" w:themeColor="accent5"/>
                      <w:szCs w:val="21"/>
                      <w:highlight w:val="none"/>
                      <w14:textFill>
                        <w14:solidFill>
                          <w14:schemeClr w14:val="accent5"/>
                        </w14:solidFill>
                      </w14:textFill>
                    </w:rPr>
                    <w:t>排放情况</w:t>
                  </w:r>
                </w:p>
              </w:tc>
            </w:tr>
            <w:tr w14:paraId="7A3C2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1202" w:type="dxa"/>
                  <w:vMerge w:val="continue"/>
                  <w:tcBorders>
                    <w:tl2br w:val="nil"/>
                    <w:tr2bl w:val="nil"/>
                  </w:tcBorders>
                  <w:noWrap w:val="0"/>
                  <w:vAlign w:val="center"/>
                </w:tcPr>
                <w:p w14:paraId="3C4F471E">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p>
              </w:tc>
              <w:tc>
                <w:tcPr>
                  <w:tcW w:w="1098" w:type="dxa"/>
                  <w:tcBorders>
                    <w:tl2br w:val="nil"/>
                    <w:tr2bl w:val="nil"/>
                  </w:tcBorders>
                  <w:noWrap w:val="0"/>
                  <w:vAlign w:val="center"/>
                </w:tcPr>
                <w:p w14:paraId="6E754CA5">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r>
                    <w:rPr>
                      <w:rFonts w:hint="eastAsia"/>
                      <w:color w:val="4472C4" w:themeColor="accent5"/>
                      <w:szCs w:val="21"/>
                      <w:highlight w:val="none"/>
                      <w14:textFill>
                        <w14:solidFill>
                          <w14:schemeClr w14:val="accent5"/>
                        </w14:solidFill>
                      </w14:textFill>
                    </w:rPr>
                    <w:t>产生速率</w:t>
                  </w:r>
                </w:p>
              </w:tc>
              <w:tc>
                <w:tcPr>
                  <w:tcW w:w="1483" w:type="dxa"/>
                  <w:vMerge w:val="continue"/>
                  <w:tcBorders>
                    <w:tl2br w:val="nil"/>
                    <w:tr2bl w:val="nil"/>
                  </w:tcBorders>
                  <w:noWrap w:val="0"/>
                  <w:vAlign w:val="center"/>
                </w:tcPr>
                <w:p w14:paraId="36A12ADF">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p>
              </w:tc>
              <w:tc>
                <w:tcPr>
                  <w:tcW w:w="1012" w:type="dxa"/>
                  <w:vMerge w:val="continue"/>
                  <w:tcBorders>
                    <w:tl2br w:val="nil"/>
                    <w:tr2bl w:val="nil"/>
                  </w:tcBorders>
                  <w:noWrap w:val="0"/>
                  <w:vAlign w:val="center"/>
                </w:tcPr>
                <w:p w14:paraId="2D318152">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p>
              </w:tc>
              <w:tc>
                <w:tcPr>
                  <w:tcW w:w="1727" w:type="dxa"/>
                  <w:tcBorders>
                    <w:tl2br w:val="nil"/>
                    <w:tr2bl w:val="nil"/>
                  </w:tcBorders>
                  <w:noWrap w:val="0"/>
                  <w:vAlign w:val="center"/>
                </w:tcPr>
                <w:p w14:paraId="11A2975D">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r>
                    <w:rPr>
                      <w:rFonts w:hint="eastAsia"/>
                      <w:color w:val="4472C4" w:themeColor="accent5"/>
                      <w:szCs w:val="21"/>
                      <w:highlight w:val="none"/>
                      <w14:textFill>
                        <w14:solidFill>
                          <w14:schemeClr w14:val="accent5"/>
                        </w14:solidFill>
                      </w14:textFill>
                    </w:rPr>
                    <w:t>排放速率</w:t>
                  </w:r>
                </w:p>
              </w:tc>
              <w:tc>
                <w:tcPr>
                  <w:tcW w:w="1778" w:type="dxa"/>
                  <w:tcBorders>
                    <w:tl2br w:val="nil"/>
                    <w:tr2bl w:val="nil"/>
                  </w:tcBorders>
                  <w:noWrap w:val="0"/>
                  <w:vAlign w:val="center"/>
                </w:tcPr>
                <w:p w14:paraId="7EFFA7B3">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r>
                    <w:rPr>
                      <w:rFonts w:hint="eastAsia"/>
                      <w:color w:val="4472C4" w:themeColor="accent5"/>
                      <w:szCs w:val="21"/>
                      <w:highlight w:val="none"/>
                      <w14:textFill>
                        <w14:solidFill>
                          <w14:schemeClr w14:val="accent5"/>
                        </w14:solidFill>
                      </w14:textFill>
                    </w:rPr>
                    <w:t>排放浓度</w:t>
                  </w:r>
                </w:p>
              </w:tc>
            </w:tr>
            <w:tr w14:paraId="6C16F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1202" w:type="dxa"/>
                  <w:tcBorders>
                    <w:tl2br w:val="nil"/>
                    <w:tr2bl w:val="nil"/>
                  </w:tcBorders>
                  <w:noWrap w:val="0"/>
                  <w:vAlign w:val="center"/>
                </w:tcPr>
                <w:p w14:paraId="4E5904B2">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pacing w:val="-20"/>
                      <w:szCs w:val="21"/>
                      <w:highlight w:val="none"/>
                      <w14:textFill>
                        <w14:solidFill>
                          <w14:schemeClr w14:val="accent5"/>
                        </w14:solidFill>
                      </w14:textFill>
                    </w:rPr>
                  </w:pPr>
                  <w:r>
                    <w:rPr>
                      <w:rFonts w:hint="default" w:ascii="Times New Roman" w:hAnsi="Times New Roman" w:eastAsia="宋体" w:cs="Times New Roman"/>
                      <w:color w:val="4472C4" w:themeColor="accent5"/>
                      <w:spacing w:val="0"/>
                      <w:kern w:val="2"/>
                      <w:sz w:val="21"/>
                      <w:szCs w:val="21"/>
                      <w:highlight w:val="none"/>
                      <w:lang w:val="en-US" w:eastAsia="zh-CN" w:bidi="ar-SA"/>
                      <w14:textFill>
                        <w14:solidFill>
                          <w14:schemeClr w14:val="accent5"/>
                        </w14:solidFill>
                      </w14:textFill>
                    </w:rPr>
                    <w:t>非甲烷总烃</w:t>
                  </w:r>
                </w:p>
              </w:tc>
              <w:tc>
                <w:tcPr>
                  <w:tcW w:w="1098" w:type="dxa"/>
                  <w:tcBorders>
                    <w:tl2br w:val="nil"/>
                    <w:tr2bl w:val="nil"/>
                  </w:tcBorders>
                  <w:noWrap w:val="0"/>
                  <w:vAlign w:val="center"/>
                </w:tcPr>
                <w:p w14:paraId="45772D40">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r>
                    <w:rPr>
                      <w:rFonts w:hint="eastAsia"/>
                      <w:color w:val="4472C4" w:themeColor="accent5"/>
                      <w:szCs w:val="21"/>
                      <w:highlight w:val="none"/>
                      <w:lang w:val="en-US" w:eastAsia="zh-CN"/>
                      <w14:textFill>
                        <w14:solidFill>
                          <w14:schemeClr w14:val="accent5"/>
                        </w14:solidFill>
                      </w14:textFill>
                    </w:rPr>
                    <w:t>1.08</w:t>
                  </w:r>
                  <w:r>
                    <w:rPr>
                      <w:color w:val="4472C4" w:themeColor="accent5"/>
                      <w:szCs w:val="21"/>
                      <w:highlight w:val="none"/>
                      <w14:textFill>
                        <w14:solidFill>
                          <w14:schemeClr w14:val="accent5"/>
                        </w14:solidFill>
                      </w14:textFill>
                    </w:rPr>
                    <w:t>kg/h</w:t>
                  </w:r>
                </w:p>
              </w:tc>
              <w:tc>
                <w:tcPr>
                  <w:tcW w:w="1483" w:type="dxa"/>
                  <w:tcBorders>
                    <w:tl2br w:val="nil"/>
                    <w:tr2bl w:val="nil"/>
                  </w:tcBorders>
                  <w:noWrap w:val="0"/>
                  <w:vAlign w:val="center"/>
                </w:tcPr>
                <w:p w14:paraId="1B418C56">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r>
                    <w:rPr>
                      <w:rFonts w:hint="eastAsia"/>
                      <w:color w:val="4472C4" w:themeColor="accent5"/>
                      <w:szCs w:val="21"/>
                      <w:highlight w:val="none"/>
                      <w:lang w:val="en-US" w:eastAsia="zh-CN"/>
                      <w14:textFill>
                        <w14:solidFill>
                          <w14:schemeClr w14:val="accent5"/>
                        </w14:solidFill>
                      </w14:textFill>
                    </w:rPr>
                    <w:t>10000m</w:t>
                  </w:r>
                  <w:r>
                    <w:rPr>
                      <w:rFonts w:hint="eastAsia"/>
                      <w:color w:val="4472C4" w:themeColor="accent5"/>
                      <w:szCs w:val="21"/>
                      <w:highlight w:val="none"/>
                      <w:vertAlign w:val="superscript"/>
                      <w:lang w:val="en-US" w:eastAsia="zh-CN"/>
                      <w14:textFill>
                        <w14:solidFill>
                          <w14:schemeClr w14:val="accent5"/>
                        </w14:solidFill>
                      </w14:textFill>
                    </w:rPr>
                    <w:t>3</w:t>
                  </w:r>
                  <w:r>
                    <w:rPr>
                      <w:rFonts w:hint="eastAsia"/>
                      <w:color w:val="4472C4" w:themeColor="accent5"/>
                      <w:szCs w:val="21"/>
                      <w:highlight w:val="none"/>
                      <w:lang w:val="en-US" w:eastAsia="zh-CN"/>
                      <w14:textFill>
                        <w14:solidFill>
                          <w14:schemeClr w14:val="accent5"/>
                        </w14:solidFill>
                      </w14:textFill>
                    </w:rPr>
                    <w:t>/h</w:t>
                  </w:r>
                </w:p>
              </w:tc>
              <w:tc>
                <w:tcPr>
                  <w:tcW w:w="1012" w:type="dxa"/>
                  <w:tcBorders>
                    <w:tl2br w:val="nil"/>
                    <w:tr2bl w:val="nil"/>
                  </w:tcBorders>
                  <w:noWrap w:val="0"/>
                  <w:vAlign w:val="center"/>
                </w:tcPr>
                <w:p w14:paraId="62126926">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r>
                    <w:rPr>
                      <w:rFonts w:hint="eastAsia"/>
                      <w:color w:val="4472C4" w:themeColor="accent5"/>
                      <w:szCs w:val="21"/>
                      <w:highlight w:val="none"/>
                      <w:lang w:val="en-US" w:eastAsia="zh-CN"/>
                      <w14:textFill>
                        <w14:solidFill>
                          <w14:schemeClr w14:val="accent5"/>
                        </w14:solidFill>
                      </w14:textFill>
                    </w:rPr>
                    <w:t>90</w:t>
                  </w:r>
                  <w:r>
                    <w:rPr>
                      <w:rFonts w:hint="eastAsia"/>
                      <w:color w:val="4472C4" w:themeColor="accent5"/>
                      <w:szCs w:val="21"/>
                      <w:highlight w:val="none"/>
                      <w14:textFill>
                        <w14:solidFill>
                          <w14:schemeClr w14:val="accent5"/>
                        </w14:solidFill>
                      </w14:textFill>
                    </w:rPr>
                    <w:t>%</w:t>
                  </w:r>
                </w:p>
              </w:tc>
              <w:tc>
                <w:tcPr>
                  <w:tcW w:w="1727" w:type="dxa"/>
                  <w:tcBorders>
                    <w:tl2br w:val="nil"/>
                    <w:tr2bl w:val="nil"/>
                  </w:tcBorders>
                  <w:noWrap w:val="0"/>
                  <w:vAlign w:val="center"/>
                </w:tcPr>
                <w:p w14:paraId="65635D7F">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r>
                    <w:rPr>
                      <w:rFonts w:hint="eastAsia"/>
                      <w:color w:val="4472C4" w:themeColor="accent5"/>
                      <w:szCs w:val="21"/>
                      <w:highlight w:val="none"/>
                      <w:lang w:val="en-US" w:eastAsia="zh-CN"/>
                      <w14:textFill>
                        <w14:solidFill>
                          <w14:schemeClr w14:val="accent5"/>
                        </w14:solidFill>
                      </w14:textFill>
                    </w:rPr>
                    <w:t>0.11</w:t>
                  </w:r>
                  <w:r>
                    <w:rPr>
                      <w:color w:val="4472C4" w:themeColor="accent5"/>
                      <w:szCs w:val="21"/>
                      <w:highlight w:val="none"/>
                      <w14:textFill>
                        <w14:solidFill>
                          <w14:schemeClr w14:val="accent5"/>
                        </w14:solidFill>
                      </w14:textFill>
                    </w:rPr>
                    <w:t>kg/h</w:t>
                  </w:r>
                </w:p>
              </w:tc>
              <w:tc>
                <w:tcPr>
                  <w:tcW w:w="1778" w:type="dxa"/>
                  <w:tcBorders>
                    <w:tl2br w:val="nil"/>
                    <w:tr2bl w:val="nil"/>
                  </w:tcBorders>
                  <w:noWrap w:val="0"/>
                  <w:vAlign w:val="center"/>
                </w:tcPr>
                <w:p w14:paraId="622365E2">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r>
                    <w:rPr>
                      <w:rFonts w:hint="eastAsia"/>
                      <w:color w:val="4472C4" w:themeColor="accent5"/>
                      <w:szCs w:val="21"/>
                      <w:highlight w:val="none"/>
                      <w:lang w:val="en-US" w:eastAsia="zh-CN"/>
                      <w14:textFill>
                        <w14:solidFill>
                          <w14:schemeClr w14:val="accent5"/>
                        </w14:solidFill>
                      </w14:textFill>
                    </w:rPr>
                    <w:t>11</w:t>
                  </w:r>
                  <w:r>
                    <w:rPr>
                      <w:rFonts w:hint="eastAsia"/>
                      <w:color w:val="4472C4" w:themeColor="accent5"/>
                      <w:szCs w:val="21"/>
                      <w:highlight w:val="none"/>
                      <w14:textFill>
                        <w14:solidFill>
                          <w14:schemeClr w14:val="accent5"/>
                        </w14:solidFill>
                      </w14:textFill>
                    </w:rPr>
                    <w:t>mg/m</w:t>
                  </w:r>
                  <w:r>
                    <w:rPr>
                      <w:rFonts w:hint="eastAsia"/>
                      <w:color w:val="4472C4" w:themeColor="accent5"/>
                      <w:szCs w:val="21"/>
                      <w:highlight w:val="none"/>
                      <w:vertAlign w:val="superscript"/>
                      <w14:textFill>
                        <w14:solidFill>
                          <w14:schemeClr w14:val="accent5"/>
                        </w14:solidFill>
                      </w14:textFill>
                    </w:rPr>
                    <w:t>3</w:t>
                  </w:r>
                </w:p>
              </w:tc>
            </w:tr>
          </w:tbl>
          <w:p w14:paraId="0C06A3CD">
            <w:pPr>
              <w:keepNext w:val="0"/>
              <w:keepLines w:val="0"/>
              <w:pageBreakBefore w:val="0"/>
              <w:widowControl w:val="0"/>
              <w:tabs>
                <w:tab w:val="left" w:pos="2838"/>
              </w:tabs>
              <w:kinsoku/>
              <w:wordWrap/>
              <w:overflowPunct/>
              <w:topLinePunct w:val="0"/>
              <w:autoSpaceDE/>
              <w:autoSpaceDN/>
              <w:bidi w:val="0"/>
              <w:adjustRightInd/>
              <w:snapToGrid/>
              <w:spacing w:line="500" w:lineRule="exact"/>
              <w:ind w:left="0" w:leftChars="0" w:firstLine="480" w:firstLineChars="200"/>
              <w:textAlignment w:val="auto"/>
              <w:rPr>
                <w:rFonts w:hint="default" w:cs="Times New Roman"/>
                <w:color w:val="4472C4" w:themeColor="accent5"/>
                <w:sz w:val="24"/>
                <w:lang w:val="en-US" w:eastAsia="zh-CN"/>
                <w14:textFill>
                  <w14:solidFill>
                    <w14:schemeClr w14:val="accent5"/>
                  </w14:solidFill>
                </w14:textFill>
              </w:rPr>
            </w:pPr>
            <w:r>
              <w:rPr>
                <w:rFonts w:hint="eastAsia" w:cs="Times New Roman"/>
                <w:color w:val="4472C4" w:themeColor="accent5"/>
                <w:sz w:val="24"/>
                <w:lang w:val="en-US" w:eastAsia="zh-CN"/>
                <w14:textFill>
                  <w14:solidFill>
                    <w14:schemeClr w14:val="accent5"/>
                  </w14:solidFill>
                </w14:textFill>
              </w:rPr>
              <w:t>2）吸附、脱附同时进行过程</w:t>
            </w:r>
          </w:p>
          <w:p w14:paraId="73ECDB72">
            <w:pPr>
              <w:spacing w:line="480" w:lineRule="exact"/>
              <w:jc w:val="center"/>
              <w:rPr>
                <w:rFonts w:hint="eastAsia" w:ascii="Times New Roman" w:hAnsi="Times New Roman" w:eastAsia="宋体" w:cs="Times New Roman"/>
                <w:b/>
                <w:bCs/>
                <w:color w:val="4472C4" w:themeColor="accent5"/>
                <w:sz w:val="24"/>
                <w:lang w:val="en-US" w:eastAsia="zh-CN"/>
                <w14:textFill>
                  <w14:solidFill>
                    <w14:schemeClr w14:val="accent5"/>
                  </w14:solidFill>
                </w14:textFill>
              </w:rPr>
            </w:pPr>
            <w:r>
              <w:rPr>
                <w:rFonts w:hint="eastAsia" w:ascii="Times New Roman" w:hAnsi="Times New Roman" w:eastAsia="宋体" w:cs="Times New Roman"/>
                <w:b/>
                <w:bCs/>
                <w:color w:val="4472C4" w:themeColor="accent5"/>
                <w:sz w:val="24"/>
                <w:lang w:val="en-US" w:eastAsia="zh-CN"/>
                <w14:textFill>
                  <w14:solidFill>
                    <w14:schemeClr w14:val="accent5"/>
                  </w14:solidFill>
                </w14:textFill>
              </w:rPr>
              <w:t>表</w:t>
            </w:r>
            <w:r>
              <w:rPr>
                <w:rFonts w:hint="eastAsia" w:cs="Times New Roman"/>
                <w:b/>
                <w:bCs/>
                <w:color w:val="4472C4" w:themeColor="accent5"/>
                <w:sz w:val="24"/>
                <w:lang w:val="en-US" w:eastAsia="zh-CN"/>
                <w14:textFill>
                  <w14:solidFill>
                    <w14:schemeClr w14:val="accent5"/>
                  </w14:solidFill>
                </w14:textFill>
              </w:rPr>
              <w:t>18</w:t>
            </w:r>
            <w:r>
              <w:rPr>
                <w:rFonts w:hint="eastAsia" w:ascii="Times New Roman" w:hAnsi="Times New Roman" w:eastAsia="宋体" w:cs="Times New Roman"/>
                <w:b/>
                <w:bCs/>
                <w:color w:val="4472C4" w:themeColor="accent5"/>
                <w:sz w:val="24"/>
                <w:lang w:val="en-US" w:eastAsia="zh-CN"/>
                <w14:textFill>
                  <w14:solidFill>
                    <w14:schemeClr w14:val="accent5"/>
                  </w14:solidFill>
                </w14:textFill>
              </w:rPr>
              <w:t>-</w:t>
            </w:r>
            <w:r>
              <w:rPr>
                <w:rFonts w:hint="eastAsia" w:cs="Times New Roman"/>
                <w:b/>
                <w:bCs/>
                <w:color w:val="4472C4" w:themeColor="accent5"/>
                <w:sz w:val="24"/>
                <w:lang w:val="en-US" w:eastAsia="zh-CN"/>
                <w14:textFill>
                  <w14:solidFill>
                    <w14:schemeClr w14:val="accent5"/>
                  </w14:solidFill>
                </w14:textFill>
              </w:rPr>
              <w:t>2</w:t>
            </w:r>
            <w:r>
              <w:rPr>
                <w:rFonts w:hint="eastAsia" w:ascii="Times New Roman" w:hAnsi="Times New Roman" w:eastAsia="宋体" w:cs="Times New Roman"/>
                <w:b/>
                <w:bCs/>
                <w:color w:val="4472C4" w:themeColor="accent5"/>
                <w:sz w:val="24"/>
                <w:lang w:val="en-US" w:eastAsia="zh-CN"/>
                <w14:textFill>
                  <w14:solidFill>
                    <w14:schemeClr w14:val="accent5"/>
                  </w14:solidFill>
                </w14:textFill>
              </w:rPr>
              <w:t xml:space="preserve">  吸附、脱附同时进行污染物产生排放情况</w:t>
            </w:r>
          </w:p>
          <w:tbl>
            <w:tblPr>
              <w:tblStyle w:val="28"/>
              <w:tblW w:w="4998" w:type="pct"/>
              <w:tblInd w:w="-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06"/>
              <w:gridCol w:w="1179"/>
              <w:gridCol w:w="1553"/>
              <w:gridCol w:w="1427"/>
              <w:gridCol w:w="1321"/>
              <w:gridCol w:w="1710"/>
            </w:tblGrid>
            <w:tr w14:paraId="44A4D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1106" w:type="dxa"/>
                  <w:vMerge w:val="restart"/>
                  <w:tcBorders>
                    <w:tl2br w:val="nil"/>
                    <w:tr2bl w:val="nil"/>
                  </w:tcBorders>
                  <w:noWrap w:val="0"/>
                  <w:vAlign w:val="center"/>
                </w:tcPr>
                <w:p w14:paraId="1E365540">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r>
                    <w:rPr>
                      <w:rFonts w:hint="eastAsia"/>
                      <w:color w:val="4472C4" w:themeColor="accent5"/>
                      <w:szCs w:val="21"/>
                      <w:highlight w:val="none"/>
                      <w14:textFill>
                        <w14:solidFill>
                          <w14:schemeClr w14:val="accent5"/>
                        </w14:solidFill>
                      </w14:textFill>
                    </w:rPr>
                    <w:t>污染物</w:t>
                  </w:r>
                </w:p>
              </w:tc>
              <w:tc>
                <w:tcPr>
                  <w:tcW w:w="1179" w:type="dxa"/>
                  <w:tcBorders>
                    <w:tl2br w:val="nil"/>
                    <w:tr2bl w:val="nil"/>
                  </w:tcBorders>
                  <w:noWrap w:val="0"/>
                  <w:vAlign w:val="center"/>
                </w:tcPr>
                <w:p w14:paraId="4345BD87">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r>
                    <w:rPr>
                      <w:rFonts w:hint="eastAsia"/>
                      <w:color w:val="4472C4" w:themeColor="accent5"/>
                      <w:szCs w:val="21"/>
                      <w:highlight w:val="none"/>
                      <w14:textFill>
                        <w14:solidFill>
                          <w14:schemeClr w14:val="accent5"/>
                        </w14:solidFill>
                      </w14:textFill>
                    </w:rPr>
                    <w:t>产生情况</w:t>
                  </w:r>
                </w:p>
              </w:tc>
              <w:tc>
                <w:tcPr>
                  <w:tcW w:w="1554" w:type="dxa"/>
                  <w:vMerge w:val="restart"/>
                  <w:tcBorders>
                    <w:tl2br w:val="nil"/>
                    <w:tr2bl w:val="nil"/>
                  </w:tcBorders>
                  <w:noWrap w:val="0"/>
                  <w:vAlign w:val="center"/>
                </w:tcPr>
                <w:p w14:paraId="3F7B999D">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r>
                    <w:rPr>
                      <w:rFonts w:hint="eastAsia"/>
                      <w:color w:val="4472C4" w:themeColor="accent5"/>
                      <w:szCs w:val="21"/>
                      <w:highlight w:val="none"/>
                      <w14:textFill>
                        <w14:solidFill>
                          <w14:schemeClr w14:val="accent5"/>
                        </w14:solidFill>
                      </w14:textFill>
                    </w:rPr>
                    <w:t>风量</w:t>
                  </w:r>
                </w:p>
              </w:tc>
              <w:tc>
                <w:tcPr>
                  <w:tcW w:w="1428" w:type="dxa"/>
                  <w:vMerge w:val="restart"/>
                  <w:tcBorders>
                    <w:tl2br w:val="nil"/>
                    <w:tr2bl w:val="nil"/>
                  </w:tcBorders>
                  <w:noWrap w:val="0"/>
                  <w:vAlign w:val="center"/>
                </w:tcPr>
                <w:p w14:paraId="0DA625B8">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r>
                    <w:rPr>
                      <w:rFonts w:hint="eastAsia"/>
                      <w:color w:val="4472C4" w:themeColor="accent5"/>
                      <w:szCs w:val="21"/>
                      <w:highlight w:val="none"/>
                      <w14:textFill>
                        <w14:solidFill>
                          <w14:schemeClr w14:val="accent5"/>
                        </w14:solidFill>
                      </w14:textFill>
                    </w:rPr>
                    <w:t>去除率</w:t>
                  </w:r>
                </w:p>
              </w:tc>
              <w:tc>
                <w:tcPr>
                  <w:tcW w:w="3032" w:type="dxa"/>
                  <w:gridSpan w:val="2"/>
                  <w:tcBorders>
                    <w:tl2br w:val="nil"/>
                    <w:tr2bl w:val="nil"/>
                  </w:tcBorders>
                  <w:noWrap w:val="0"/>
                  <w:vAlign w:val="center"/>
                </w:tcPr>
                <w:p w14:paraId="40C1F043">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r>
                    <w:rPr>
                      <w:rFonts w:hint="eastAsia"/>
                      <w:color w:val="4472C4" w:themeColor="accent5"/>
                      <w:szCs w:val="21"/>
                      <w:highlight w:val="none"/>
                      <w14:textFill>
                        <w14:solidFill>
                          <w14:schemeClr w14:val="accent5"/>
                        </w14:solidFill>
                      </w14:textFill>
                    </w:rPr>
                    <w:t>排放情况</w:t>
                  </w:r>
                </w:p>
              </w:tc>
            </w:tr>
            <w:tr w14:paraId="60C5C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1106" w:type="dxa"/>
                  <w:vMerge w:val="continue"/>
                  <w:tcBorders>
                    <w:tl2br w:val="nil"/>
                    <w:tr2bl w:val="nil"/>
                  </w:tcBorders>
                  <w:noWrap w:val="0"/>
                  <w:vAlign w:val="center"/>
                </w:tcPr>
                <w:p w14:paraId="044510EB">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p>
              </w:tc>
              <w:tc>
                <w:tcPr>
                  <w:tcW w:w="1179" w:type="dxa"/>
                  <w:tcBorders>
                    <w:tl2br w:val="nil"/>
                    <w:tr2bl w:val="nil"/>
                  </w:tcBorders>
                  <w:noWrap w:val="0"/>
                  <w:vAlign w:val="center"/>
                </w:tcPr>
                <w:p w14:paraId="61D30E87">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r>
                    <w:rPr>
                      <w:rFonts w:hint="eastAsia"/>
                      <w:color w:val="4472C4" w:themeColor="accent5"/>
                      <w:szCs w:val="21"/>
                      <w:highlight w:val="none"/>
                      <w14:textFill>
                        <w14:solidFill>
                          <w14:schemeClr w14:val="accent5"/>
                        </w14:solidFill>
                      </w14:textFill>
                    </w:rPr>
                    <w:t>产生速率</w:t>
                  </w:r>
                </w:p>
              </w:tc>
              <w:tc>
                <w:tcPr>
                  <w:tcW w:w="1554" w:type="dxa"/>
                  <w:vMerge w:val="continue"/>
                  <w:tcBorders>
                    <w:tl2br w:val="nil"/>
                    <w:tr2bl w:val="nil"/>
                  </w:tcBorders>
                  <w:noWrap w:val="0"/>
                  <w:vAlign w:val="center"/>
                </w:tcPr>
                <w:p w14:paraId="024060D6">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p>
              </w:tc>
              <w:tc>
                <w:tcPr>
                  <w:tcW w:w="1428" w:type="dxa"/>
                  <w:vMerge w:val="continue"/>
                  <w:tcBorders>
                    <w:tl2br w:val="nil"/>
                    <w:tr2bl w:val="nil"/>
                  </w:tcBorders>
                  <w:noWrap w:val="0"/>
                  <w:vAlign w:val="center"/>
                </w:tcPr>
                <w:p w14:paraId="5985B1AB">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p>
              </w:tc>
              <w:tc>
                <w:tcPr>
                  <w:tcW w:w="1321" w:type="dxa"/>
                  <w:tcBorders>
                    <w:tl2br w:val="nil"/>
                    <w:tr2bl w:val="nil"/>
                  </w:tcBorders>
                  <w:noWrap w:val="0"/>
                  <w:vAlign w:val="center"/>
                </w:tcPr>
                <w:p w14:paraId="353C9B25">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r>
                    <w:rPr>
                      <w:rFonts w:hint="eastAsia"/>
                      <w:color w:val="4472C4" w:themeColor="accent5"/>
                      <w:szCs w:val="21"/>
                      <w:highlight w:val="none"/>
                      <w14:textFill>
                        <w14:solidFill>
                          <w14:schemeClr w14:val="accent5"/>
                        </w14:solidFill>
                      </w14:textFill>
                    </w:rPr>
                    <w:t>排放速率</w:t>
                  </w:r>
                </w:p>
              </w:tc>
              <w:tc>
                <w:tcPr>
                  <w:tcW w:w="1711" w:type="dxa"/>
                  <w:tcBorders>
                    <w:tl2br w:val="nil"/>
                    <w:tr2bl w:val="nil"/>
                  </w:tcBorders>
                  <w:noWrap w:val="0"/>
                  <w:vAlign w:val="center"/>
                </w:tcPr>
                <w:p w14:paraId="16FAC8E2">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r>
                    <w:rPr>
                      <w:rFonts w:hint="eastAsia"/>
                      <w:color w:val="4472C4" w:themeColor="accent5"/>
                      <w:szCs w:val="21"/>
                      <w:highlight w:val="none"/>
                      <w14:textFill>
                        <w14:solidFill>
                          <w14:schemeClr w14:val="accent5"/>
                        </w14:solidFill>
                      </w14:textFill>
                    </w:rPr>
                    <w:t>排放浓度</w:t>
                  </w:r>
                </w:p>
              </w:tc>
            </w:tr>
            <w:tr w14:paraId="2A113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1106" w:type="dxa"/>
                  <w:tcBorders>
                    <w:tl2br w:val="nil"/>
                    <w:tr2bl w:val="nil"/>
                  </w:tcBorders>
                  <w:noWrap w:val="0"/>
                  <w:vAlign w:val="center"/>
                </w:tcPr>
                <w:p w14:paraId="58F58F99">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pacing w:val="-20"/>
                      <w:szCs w:val="21"/>
                      <w:highlight w:val="none"/>
                      <w14:textFill>
                        <w14:solidFill>
                          <w14:schemeClr w14:val="accent5"/>
                        </w14:solidFill>
                      </w14:textFill>
                    </w:rPr>
                  </w:pPr>
                  <w:r>
                    <w:rPr>
                      <w:rFonts w:hint="default" w:ascii="Times New Roman" w:hAnsi="Times New Roman" w:eastAsia="宋体" w:cs="Times New Roman"/>
                      <w:color w:val="4472C4" w:themeColor="accent5"/>
                      <w:spacing w:val="0"/>
                      <w:kern w:val="2"/>
                      <w:sz w:val="21"/>
                      <w:szCs w:val="21"/>
                      <w:highlight w:val="none"/>
                      <w:lang w:val="en-US" w:eastAsia="zh-CN" w:bidi="ar-SA"/>
                      <w14:textFill>
                        <w14:solidFill>
                          <w14:schemeClr w14:val="accent5"/>
                        </w14:solidFill>
                      </w14:textFill>
                    </w:rPr>
                    <w:t>非甲烷总烃</w:t>
                  </w:r>
                </w:p>
              </w:tc>
              <w:tc>
                <w:tcPr>
                  <w:tcW w:w="1179" w:type="dxa"/>
                  <w:tcBorders>
                    <w:tl2br w:val="nil"/>
                    <w:tr2bl w:val="nil"/>
                  </w:tcBorders>
                  <w:noWrap w:val="0"/>
                  <w:vAlign w:val="center"/>
                </w:tcPr>
                <w:p w14:paraId="35D15743">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r>
                    <w:rPr>
                      <w:rFonts w:hint="eastAsia"/>
                      <w:color w:val="4472C4" w:themeColor="accent5"/>
                      <w:szCs w:val="21"/>
                      <w:highlight w:val="none"/>
                      <w:lang w:val="en-US" w:eastAsia="zh-CN"/>
                      <w14:textFill>
                        <w14:solidFill>
                          <w14:schemeClr w14:val="accent5"/>
                        </w14:solidFill>
                      </w14:textFill>
                    </w:rPr>
                    <w:t>1.08</w:t>
                  </w:r>
                  <w:r>
                    <w:rPr>
                      <w:color w:val="4472C4" w:themeColor="accent5"/>
                      <w:szCs w:val="21"/>
                      <w:highlight w:val="none"/>
                      <w14:textFill>
                        <w14:solidFill>
                          <w14:schemeClr w14:val="accent5"/>
                        </w14:solidFill>
                      </w14:textFill>
                    </w:rPr>
                    <w:t>kg/h</w:t>
                  </w:r>
                </w:p>
              </w:tc>
              <w:tc>
                <w:tcPr>
                  <w:tcW w:w="1554" w:type="dxa"/>
                  <w:tcBorders>
                    <w:tl2br w:val="nil"/>
                    <w:tr2bl w:val="nil"/>
                  </w:tcBorders>
                  <w:noWrap w:val="0"/>
                  <w:vAlign w:val="center"/>
                </w:tcPr>
                <w:p w14:paraId="1622B53C">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r>
                    <w:rPr>
                      <w:rFonts w:hint="eastAsia"/>
                      <w:color w:val="4472C4" w:themeColor="accent5"/>
                      <w:szCs w:val="21"/>
                      <w:highlight w:val="none"/>
                      <w:lang w:val="en-US" w:eastAsia="zh-CN"/>
                      <w14:textFill>
                        <w14:solidFill>
                          <w14:schemeClr w14:val="accent5"/>
                        </w14:solidFill>
                      </w14:textFill>
                    </w:rPr>
                    <w:t>12000m</w:t>
                  </w:r>
                  <w:r>
                    <w:rPr>
                      <w:rFonts w:hint="eastAsia"/>
                      <w:color w:val="4472C4" w:themeColor="accent5"/>
                      <w:szCs w:val="21"/>
                      <w:highlight w:val="none"/>
                      <w:vertAlign w:val="superscript"/>
                      <w:lang w:val="en-US" w:eastAsia="zh-CN"/>
                      <w14:textFill>
                        <w14:solidFill>
                          <w14:schemeClr w14:val="accent5"/>
                        </w14:solidFill>
                      </w14:textFill>
                    </w:rPr>
                    <w:t>3</w:t>
                  </w:r>
                  <w:r>
                    <w:rPr>
                      <w:rFonts w:hint="eastAsia"/>
                      <w:color w:val="4472C4" w:themeColor="accent5"/>
                      <w:szCs w:val="21"/>
                      <w:highlight w:val="none"/>
                      <w:lang w:val="en-US" w:eastAsia="zh-CN"/>
                      <w14:textFill>
                        <w14:solidFill>
                          <w14:schemeClr w14:val="accent5"/>
                        </w14:solidFill>
                      </w14:textFill>
                    </w:rPr>
                    <w:t>/h</w:t>
                  </w:r>
                </w:p>
              </w:tc>
              <w:tc>
                <w:tcPr>
                  <w:tcW w:w="1428" w:type="dxa"/>
                  <w:tcBorders>
                    <w:tl2br w:val="nil"/>
                    <w:tr2bl w:val="nil"/>
                  </w:tcBorders>
                  <w:noWrap w:val="0"/>
                  <w:vAlign w:val="center"/>
                </w:tcPr>
                <w:p w14:paraId="68E727B0">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r>
                    <w:rPr>
                      <w:rFonts w:hint="eastAsia"/>
                      <w:color w:val="4472C4" w:themeColor="accent5"/>
                      <w:szCs w:val="21"/>
                      <w:highlight w:val="none"/>
                      <w14:textFill>
                        <w14:solidFill>
                          <w14:schemeClr w14:val="accent5"/>
                        </w14:solidFill>
                      </w14:textFill>
                    </w:rPr>
                    <w:t>吸附</w:t>
                  </w:r>
                  <w:r>
                    <w:rPr>
                      <w:rFonts w:hint="eastAsia"/>
                      <w:color w:val="4472C4" w:themeColor="accent5"/>
                      <w:szCs w:val="21"/>
                      <w:highlight w:val="none"/>
                      <w:lang w:val="en-US" w:eastAsia="zh-CN"/>
                      <w14:textFill>
                        <w14:solidFill>
                          <w14:schemeClr w14:val="accent5"/>
                        </w14:solidFill>
                      </w14:textFill>
                    </w:rPr>
                    <w:t>90</w:t>
                  </w:r>
                  <w:r>
                    <w:rPr>
                      <w:rFonts w:hint="eastAsia"/>
                      <w:color w:val="4472C4" w:themeColor="accent5"/>
                      <w:szCs w:val="21"/>
                      <w:highlight w:val="none"/>
                      <w14:textFill>
                        <w14:solidFill>
                          <w14:schemeClr w14:val="accent5"/>
                        </w14:solidFill>
                      </w14:textFill>
                    </w:rPr>
                    <w:t>%</w:t>
                  </w:r>
                </w:p>
                <w:p w14:paraId="56E5441D">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r>
                    <w:rPr>
                      <w:rFonts w:hint="eastAsia"/>
                      <w:color w:val="4472C4" w:themeColor="accent5"/>
                      <w:szCs w:val="21"/>
                      <w:highlight w:val="none"/>
                      <w14:textFill>
                        <w14:solidFill>
                          <w14:schemeClr w14:val="accent5"/>
                        </w14:solidFill>
                      </w14:textFill>
                    </w:rPr>
                    <w:t>催化燃烧97%</w:t>
                  </w:r>
                </w:p>
              </w:tc>
              <w:tc>
                <w:tcPr>
                  <w:tcW w:w="1321" w:type="dxa"/>
                  <w:tcBorders>
                    <w:tl2br w:val="nil"/>
                    <w:tr2bl w:val="nil"/>
                  </w:tcBorders>
                  <w:noWrap w:val="0"/>
                  <w:vAlign w:val="center"/>
                </w:tcPr>
                <w:p w14:paraId="5A14FF75">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r>
                    <w:rPr>
                      <w:rFonts w:hint="eastAsia"/>
                      <w:color w:val="4472C4" w:themeColor="accent5"/>
                      <w:szCs w:val="21"/>
                      <w:highlight w:val="none"/>
                      <w:lang w:eastAsia="zh-CN"/>
                      <w14:textFill>
                        <w14:solidFill>
                          <w14:schemeClr w14:val="accent5"/>
                        </w14:solidFill>
                      </w14:textFill>
                    </w:rPr>
                    <w:t>0.</w:t>
                  </w:r>
                  <w:r>
                    <w:rPr>
                      <w:rFonts w:hint="eastAsia"/>
                      <w:color w:val="4472C4" w:themeColor="accent5"/>
                      <w:szCs w:val="21"/>
                      <w:highlight w:val="none"/>
                      <w:lang w:val="en-US" w:eastAsia="zh-CN"/>
                      <w14:textFill>
                        <w14:solidFill>
                          <w14:schemeClr w14:val="accent5"/>
                        </w14:solidFill>
                      </w14:textFill>
                    </w:rPr>
                    <w:t>22</w:t>
                  </w:r>
                  <w:r>
                    <w:rPr>
                      <w:color w:val="4472C4" w:themeColor="accent5"/>
                      <w:szCs w:val="21"/>
                      <w:highlight w:val="none"/>
                      <w14:textFill>
                        <w14:solidFill>
                          <w14:schemeClr w14:val="accent5"/>
                        </w14:solidFill>
                      </w14:textFill>
                    </w:rPr>
                    <w:t>kg/h</w:t>
                  </w:r>
                </w:p>
              </w:tc>
              <w:tc>
                <w:tcPr>
                  <w:tcW w:w="1711" w:type="dxa"/>
                  <w:tcBorders>
                    <w:tl2br w:val="nil"/>
                    <w:tr2bl w:val="nil"/>
                  </w:tcBorders>
                  <w:noWrap w:val="0"/>
                  <w:vAlign w:val="center"/>
                </w:tcPr>
                <w:p w14:paraId="7D3FE5F8">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olor w:val="4472C4" w:themeColor="accent5"/>
                      <w:szCs w:val="21"/>
                      <w:highlight w:val="none"/>
                      <w14:textFill>
                        <w14:solidFill>
                          <w14:schemeClr w14:val="accent5"/>
                        </w14:solidFill>
                      </w14:textFill>
                    </w:rPr>
                  </w:pPr>
                  <w:r>
                    <w:rPr>
                      <w:rFonts w:hint="eastAsia"/>
                      <w:color w:val="4472C4" w:themeColor="accent5"/>
                      <w:szCs w:val="21"/>
                      <w:highlight w:val="none"/>
                      <w:lang w:val="en-US" w:eastAsia="zh-CN"/>
                      <w14:textFill>
                        <w14:solidFill>
                          <w14:schemeClr w14:val="accent5"/>
                        </w14:solidFill>
                      </w14:textFill>
                    </w:rPr>
                    <w:t>18.33</w:t>
                  </w:r>
                  <w:r>
                    <w:rPr>
                      <w:rFonts w:hint="eastAsia"/>
                      <w:color w:val="4472C4" w:themeColor="accent5"/>
                      <w:szCs w:val="21"/>
                      <w:highlight w:val="none"/>
                      <w14:textFill>
                        <w14:solidFill>
                          <w14:schemeClr w14:val="accent5"/>
                        </w14:solidFill>
                      </w14:textFill>
                    </w:rPr>
                    <w:t>mg/m</w:t>
                  </w:r>
                  <w:r>
                    <w:rPr>
                      <w:rFonts w:hint="eastAsia"/>
                      <w:color w:val="4472C4" w:themeColor="accent5"/>
                      <w:szCs w:val="21"/>
                      <w:highlight w:val="none"/>
                      <w:vertAlign w:val="superscript"/>
                      <w14:textFill>
                        <w14:solidFill>
                          <w14:schemeClr w14:val="accent5"/>
                        </w14:solidFill>
                      </w14:textFill>
                    </w:rPr>
                    <w:t>3</w:t>
                  </w:r>
                </w:p>
              </w:tc>
            </w:tr>
            <w:tr w14:paraId="533D0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8299" w:type="dxa"/>
                  <w:gridSpan w:val="6"/>
                  <w:tcBorders>
                    <w:tl2br w:val="nil"/>
                    <w:tr2bl w:val="nil"/>
                  </w:tcBorders>
                  <w:noWrap w:val="0"/>
                  <w:vAlign w:val="center"/>
                </w:tcPr>
                <w:p w14:paraId="76FF4371">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color w:val="4472C4" w:themeColor="accent5"/>
                      <w:highlight w:val="none"/>
                      <w:lang w:eastAsia="zh-CN"/>
                      <w14:textFill>
                        <w14:solidFill>
                          <w14:schemeClr w14:val="accent5"/>
                        </w14:solidFill>
                      </w14:textFill>
                    </w:rPr>
                  </w:pPr>
                  <w:r>
                    <w:rPr>
                      <w:rFonts w:hint="eastAsia"/>
                      <w:color w:val="4472C4" w:themeColor="accent5"/>
                      <w:szCs w:val="21"/>
                      <w:highlight w:val="none"/>
                      <w14:textFill>
                        <w14:solidFill>
                          <w14:schemeClr w14:val="accent5"/>
                        </w14:solidFill>
                      </w14:textFill>
                    </w:rPr>
                    <w:t>注：项目风量为“喷淋塔+干式过滤+活性炭吸附脱附+催化燃烧”吸附风机风量</w:t>
                  </w:r>
                  <w:r>
                    <w:rPr>
                      <w:rFonts w:hint="eastAsia"/>
                      <w:color w:val="4472C4" w:themeColor="accent5"/>
                      <w:szCs w:val="21"/>
                      <w:highlight w:val="none"/>
                      <w:lang w:eastAsia="zh-CN"/>
                      <w14:textFill>
                        <w14:solidFill>
                          <w14:schemeClr w14:val="accent5"/>
                        </w14:solidFill>
                      </w14:textFill>
                    </w:rPr>
                    <w:t>（</w:t>
                  </w:r>
                  <w:r>
                    <w:rPr>
                      <w:rFonts w:hint="eastAsia"/>
                      <w:color w:val="4472C4" w:themeColor="accent5"/>
                      <w:szCs w:val="21"/>
                      <w:highlight w:val="none"/>
                      <w:lang w:val="en-US" w:eastAsia="zh-CN"/>
                      <w14:textFill>
                        <w14:solidFill>
                          <w14:schemeClr w14:val="accent5"/>
                        </w14:solidFill>
                      </w14:textFill>
                    </w:rPr>
                    <w:t>10000m</w:t>
                  </w:r>
                  <w:r>
                    <w:rPr>
                      <w:rFonts w:hint="eastAsia"/>
                      <w:color w:val="4472C4" w:themeColor="accent5"/>
                      <w:szCs w:val="21"/>
                      <w:highlight w:val="none"/>
                      <w:vertAlign w:val="superscript"/>
                      <w:lang w:val="en-US" w:eastAsia="zh-CN"/>
                      <w14:textFill>
                        <w14:solidFill>
                          <w14:schemeClr w14:val="accent5"/>
                        </w14:solidFill>
                      </w14:textFill>
                    </w:rPr>
                    <w:t>3</w:t>
                  </w:r>
                  <w:r>
                    <w:rPr>
                      <w:rFonts w:hint="eastAsia"/>
                      <w:color w:val="4472C4" w:themeColor="accent5"/>
                      <w:szCs w:val="21"/>
                      <w:highlight w:val="none"/>
                      <w:lang w:val="en-US" w:eastAsia="zh-CN"/>
                      <w14:textFill>
                        <w14:solidFill>
                          <w14:schemeClr w14:val="accent5"/>
                        </w14:solidFill>
                      </w14:textFill>
                    </w:rPr>
                    <w:t>/h</w:t>
                  </w:r>
                  <w:r>
                    <w:rPr>
                      <w:rFonts w:hint="eastAsia"/>
                      <w:color w:val="4472C4" w:themeColor="accent5"/>
                      <w:szCs w:val="21"/>
                      <w:highlight w:val="none"/>
                      <w14:textFill>
                        <w14:solidFill>
                          <w14:schemeClr w14:val="accent5"/>
                        </w14:solidFill>
                      </w14:textFill>
                    </w:rPr>
                    <w:t>)、脱附风机风量</w:t>
                  </w:r>
                  <w:r>
                    <w:rPr>
                      <w:rFonts w:hint="eastAsia"/>
                      <w:color w:val="4472C4" w:themeColor="accent5"/>
                      <w:szCs w:val="21"/>
                      <w:highlight w:val="none"/>
                      <w:lang w:eastAsia="zh-CN"/>
                      <w14:textFill>
                        <w14:solidFill>
                          <w14:schemeClr w14:val="accent5"/>
                        </w14:solidFill>
                      </w14:textFill>
                    </w:rPr>
                    <w:t>（</w:t>
                  </w:r>
                  <w:r>
                    <w:rPr>
                      <w:rFonts w:hint="eastAsia"/>
                      <w:color w:val="4472C4" w:themeColor="accent5"/>
                      <w:szCs w:val="21"/>
                      <w:highlight w:val="none"/>
                      <w:lang w:val="en-US" w:eastAsia="zh-CN"/>
                      <w14:textFill>
                        <w14:solidFill>
                          <w14:schemeClr w14:val="accent5"/>
                        </w14:solidFill>
                      </w14:textFill>
                    </w:rPr>
                    <w:t>2</w:t>
                  </w:r>
                  <w:r>
                    <w:rPr>
                      <w:rFonts w:hint="eastAsia"/>
                      <w:color w:val="4472C4" w:themeColor="accent5"/>
                      <w:szCs w:val="21"/>
                      <w:highlight w:val="none"/>
                      <w:lang w:eastAsia="zh-CN"/>
                      <w14:textFill>
                        <w14:solidFill>
                          <w14:schemeClr w14:val="accent5"/>
                        </w14:solidFill>
                      </w14:textFill>
                    </w:rPr>
                    <w:t>000m</w:t>
                  </w:r>
                  <w:r>
                    <w:rPr>
                      <w:rFonts w:hint="eastAsia"/>
                      <w:color w:val="4472C4" w:themeColor="accent5"/>
                      <w:szCs w:val="21"/>
                      <w:highlight w:val="none"/>
                      <w:vertAlign w:val="superscript"/>
                      <w:lang w:eastAsia="zh-CN"/>
                      <w14:textFill>
                        <w14:solidFill>
                          <w14:schemeClr w14:val="accent5"/>
                        </w14:solidFill>
                      </w14:textFill>
                    </w:rPr>
                    <w:t>3</w:t>
                  </w:r>
                  <w:r>
                    <w:rPr>
                      <w:rFonts w:hint="eastAsia"/>
                      <w:color w:val="4472C4" w:themeColor="accent5"/>
                      <w:szCs w:val="21"/>
                      <w:highlight w:val="none"/>
                      <w:lang w:eastAsia="zh-CN"/>
                      <w14:textFill>
                        <w14:solidFill>
                          <w14:schemeClr w14:val="accent5"/>
                        </w14:solidFill>
                      </w14:textFill>
                    </w:rPr>
                    <w:t>/h）</w:t>
                  </w:r>
                  <w:r>
                    <w:rPr>
                      <w:rFonts w:hint="eastAsia"/>
                      <w:color w:val="4472C4" w:themeColor="accent5"/>
                      <w:szCs w:val="21"/>
                      <w:highlight w:val="none"/>
                      <w14:textFill>
                        <w14:solidFill>
                          <w14:schemeClr w14:val="accent5"/>
                        </w14:solidFill>
                      </w14:textFill>
                    </w:rPr>
                    <w:t>叠加风量；脱附效率按照100%考虑</w:t>
                  </w:r>
                  <w:r>
                    <w:rPr>
                      <w:rFonts w:hint="eastAsia"/>
                      <w:color w:val="4472C4" w:themeColor="accent5"/>
                      <w:szCs w:val="21"/>
                      <w:highlight w:val="none"/>
                      <w:lang w:eastAsia="zh-CN"/>
                      <w14:textFill>
                        <w14:solidFill>
                          <w14:schemeClr w14:val="accent5"/>
                        </w14:solidFill>
                      </w14:textFill>
                    </w:rPr>
                    <w:t>。</w:t>
                  </w:r>
                </w:p>
              </w:tc>
            </w:tr>
          </w:tbl>
          <w:p w14:paraId="6AA57556">
            <w:pPr>
              <w:keepNext w:val="0"/>
              <w:keepLines w:val="0"/>
              <w:pageBreakBefore w:val="0"/>
              <w:widowControl w:val="0"/>
              <w:tabs>
                <w:tab w:val="left" w:pos="2838"/>
              </w:tabs>
              <w:kinsoku/>
              <w:wordWrap/>
              <w:overflowPunct/>
              <w:topLinePunct w:val="0"/>
              <w:autoSpaceDE/>
              <w:autoSpaceDN/>
              <w:bidi w:val="0"/>
              <w:adjustRightInd/>
              <w:snapToGrid/>
              <w:spacing w:line="500" w:lineRule="exact"/>
              <w:ind w:left="0" w:leftChars="0" w:firstLine="480" w:firstLineChars="200"/>
              <w:textAlignment w:val="auto"/>
              <w:rPr>
                <w:rFonts w:hint="eastAsia" w:eastAsia="宋体" w:cs="Times New Roman"/>
                <w:color w:val="FF0000"/>
                <w:sz w:val="24"/>
                <w:lang w:val="en-US" w:eastAsia="zh-CN"/>
              </w:rPr>
            </w:pPr>
            <w:r>
              <w:rPr>
                <w:rFonts w:hint="eastAsia" w:cs="Times New Roman"/>
                <w:color w:val="FF0000"/>
                <w:sz w:val="24"/>
                <w:lang w:val="en-US" w:eastAsia="zh-CN"/>
              </w:rPr>
              <w:t>项目挤出工序颗粒物去除效率为80%，则</w:t>
            </w:r>
            <w:r>
              <w:rPr>
                <w:rFonts w:hint="eastAsia" w:cs="Times New Roman" w:eastAsiaTheme="minorEastAsia"/>
                <w:b w:val="0"/>
                <w:bCs/>
                <w:color w:val="FF0000"/>
                <w:sz w:val="24"/>
                <w:lang w:val="en-US" w:eastAsia="zh-CN"/>
              </w:rPr>
              <w:t>颗粒物</w:t>
            </w:r>
            <w:r>
              <w:rPr>
                <w:rFonts w:hint="eastAsia" w:cs="Times New Roman"/>
                <w:color w:val="FF0000"/>
                <w:sz w:val="24"/>
                <w:lang w:val="en-US" w:eastAsia="zh-CN"/>
              </w:rPr>
              <w:t>排放量0.044t/a，排放浓度0.92</w:t>
            </w:r>
            <w:r>
              <w:rPr>
                <w:rFonts w:hint="default" w:ascii="Times New Roman" w:hAnsi="Times New Roman" w:cs="Times New Roman"/>
                <w:color w:val="FF0000"/>
                <w:sz w:val="24"/>
              </w:rPr>
              <w:t>mg/m</w:t>
            </w:r>
            <w:r>
              <w:rPr>
                <w:rFonts w:hint="default" w:ascii="Times New Roman" w:hAnsi="Times New Roman" w:cs="Times New Roman"/>
                <w:color w:val="FF0000"/>
                <w:sz w:val="24"/>
                <w:vertAlign w:val="superscript"/>
              </w:rPr>
              <w:t>3</w:t>
            </w:r>
            <w:r>
              <w:rPr>
                <w:rFonts w:hint="eastAsia" w:cs="Times New Roman"/>
                <w:color w:val="FF0000"/>
                <w:sz w:val="24"/>
                <w:lang w:val="en-US" w:eastAsia="zh-CN"/>
              </w:rPr>
              <w:t>。</w:t>
            </w:r>
          </w:p>
          <w:p w14:paraId="52D5A475">
            <w:pPr>
              <w:keepNext w:val="0"/>
              <w:keepLines w:val="0"/>
              <w:pageBreakBefore w:val="0"/>
              <w:widowControl w:val="0"/>
              <w:tabs>
                <w:tab w:val="left" w:pos="2838"/>
              </w:tabs>
              <w:kinsoku/>
              <w:wordWrap/>
              <w:overflowPunct/>
              <w:topLinePunct w:val="0"/>
              <w:autoSpaceDE/>
              <w:autoSpaceDN/>
              <w:bidi w:val="0"/>
              <w:adjustRightInd/>
              <w:snapToGrid/>
              <w:spacing w:line="500" w:lineRule="exact"/>
              <w:ind w:left="0" w:leftChars="0" w:firstLine="480" w:firstLineChars="200"/>
              <w:textAlignment w:val="auto"/>
              <w:rPr>
                <w:rFonts w:hint="default" w:eastAsia="宋体" w:cs="Times New Roman"/>
                <w:color w:val="4472C4" w:themeColor="accent5"/>
                <w:sz w:val="24"/>
                <w:lang w:val="en-US" w:eastAsia="zh-CN"/>
                <w14:textFill>
                  <w14:solidFill>
                    <w14:schemeClr w14:val="accent5"/>
                  </w14:solidFill>
                </w14:textFill>
              </w:rPr>
            </w:pPr>
            <w:r>
              <w:rPr>
                <w:rFonts w:hint="eastAsia" w:cs="Times New Roman"/>
                <w:color w:val="FF0000"/>
                <w:sz w:val="24"/>
                <w:lang w:val="en-US" w:eastAsia="zh-CN"/>
              </w:rPr>
              <w:t>综上所述，项目挤出工序颗粒物产生量为0.23t/a（有组织颗粒物产生量0.22t/a，无组织颗粒物产生量0.01t/a）</w:t>
            </w:r>
            <w:r>
              <w:rPr>
                <w:rFonts w:hint="eastAsia" w:cs="Times New Roman"/>
                <w:color w:val="4472C4" w:themeColor="accent5"/>
                <w:sz w:val="24"/>
                <w:lang w:val="en-US" w:eastAsia="zh-CN"/>
                <w14:textFill>
                  <w14:solidFill>
                    <w14:schemeClr w14:val="accent5"/>
                  </w14:solidFill>
                </w14:textFill>
              </w:rPr>
              <w:t>，非甲烷总烃产生量为5.46t/a（有组织非甲烷总烃产生量5.19t/a，产生速率为1.08kg/h，无组织非甲烷总烃产生量0.27t/a），</w:t>
            </w:r>
            <w:r>
              <w:rPr>
                <w:rFonts w:hint="eastAsia" w:cs="Times New Roman" w:eastAsiaTheme="minorEastAsia"/>
                <w:b w:val="0"/>
                <w:bCs/>
                <w:color w:val="4472C4" w:themeColor="accent5"/>
                <w:sz w:val="24"/>
                <w:lang w:val="en-US" w:eastAsia="zh-CN"/>
                <w14:textFill>
                  <w14:solidFill>
                    <w14:schemeClr w14:val="accent5"/>
                  </w14:solidFill>
                </w14:textFill>
              </w:rPr>
              <w:t>产生浓度分别为</w:t>
            </w:r>
            <w:r>
              <w:rPr>
                <w:rFonts w:hint="eastAsia" w:cs="Times New Roman" w:eastAsiaTheme="minorEastAsia"/>
                <w:b w:val="0"/>
                <w:bCs/>
                <w:color w:val="FF0000"/>
                <w:sz w:val="24"/>
                <w:lang w:val="en-US" w:eastAsia="zh-CN"/>
              </w:rPr>
              <w:t>4.58</w:t>
            </w:r>
            <w:r>
              <w:rPr>
                <w:rFonts w:hint="default" w:ascii="Times New Roman" w:hAnsi="Times New Roman" w:cs="Times New Roman"/>
                <w:color w:val="FF0000"/>
                <w:sz w:val="24"/>
              </w:rPr>
              <w:t>mg/m</w:t>
            </w:r>
            <w:r>
              <w:rPr>
                <w:rFonts w:hint="default" w:ascii="Times New Roman" w:hAnsi="Times New Roman" w:cs="Times New Roman"/>
                <w:color w:val="FF0000"/>
                <w:sz w:val="24"/>
                <w:vertAlign w:val="superscript"/>
              </w:rPr>
              <w:t>3</w:t>
            </w:r>
            <w:r>
              <w:rPr>
                <w:rFonts w:hint="eastAsia" w:cs="Times New Roman"/>
                <w:color w:val="4472C4" w:themeColor="accent5"/>
                <w:sz w:val="24"/>
                <w:vertAlign w:val="baseline"/>
                <w:lang w:val="en-US" w:eastAsia="zh-CN"/>
                <w14:textFill>
                  <w14:solidFill>
                    <w14:schemeClr w14:val="accent5"/>
                  </w14:solidFill>
                </w14:textFill>
              </w:rPr>
              <w:t>、108.13</w:t>
            </w:r>
            <w:r>
              <w:rPr>
                <w:rFonts w:hint="default" w:ascii="Times New Roman" w:hAnsi="Times New Roman" w:cs="Times New Roman"/>
                <w:color w:val="4472C4" w:themeColor="accent5"/>
                <w:sz w:val="24"/>
                <w14:textFill>
                  <w14:solidFill>
                    <w14:schemeClr w14:val="accent5"/>
                  </w14:solidFill>
                </w14:textFill>
              </w:rPr>
              <w:t>mg/m</w:t>
            </w:r>
            <w:r>
              <w:rPr>
                <w:rFonts w:hint="default" w:ascii="Times New Roman" w:hAnsi="Times New Roman" w:cs="Times New Roman"/>
                <w:color w:val="4472C4" w:themeColor="accent5"/>
                <w:sz w:val="24"/>
                <w:vertAlign w:val="superscript"/>
                <w14:textFill>
                  <w14:solidFill>
                    <w14:schemeClr w14:val="accent5"/>
                  </w14:solidFill>
                </w14:textFill>
              </w:rPr>
              <w:t>3</w:t>
            </w:r>
            <w:r>
              <w:rPr>
                <w:rFonts w:hint="eastAsia" w:cs="Times New Roman"/>
                <w:color w:val="4472C4" w:themeColor="accent5"/>
                <w:sz w:val="24"/>
                <w:vertAlign w:val="baseline"/>
                <w:lang w:val="en-US" w:eastAsia="zh-CN"/>
                <w14:textFill>
                  <w14:solidFill>
                    <w14:schemeClr w14:val="accent5"/>
                  </w14:solidFill>
                </w14:textFill>
              </w:rPr>
              <w:t>，</w:t>
            </w:r>
            <w:r>
              <w:rPr>
                <w:rFonts w:hint="eastAsia" w:cs="Times New Roman"/>
                <w:color w:val="4472C4" w:themeColor="accent5"/>
                <w:sz w:val="24"/>
                <w:lang w:val="en-US" w:eastAsia="zh-CN"/>
                <w14:textFill>
                  <w14:solidFill>
                    <w14:schemeClr w14:val="accent5"/>
                  </w14:solidFill>
                </w14:textFill>
              </w:rPr>
              <w:t>废气经收集（挤出机四周安装皮帘，上方设置集气罩，废气收集效率95%）后通过喷淋塔（颗粒物去除效率80%）+干式过滤+活性炭吸附脱附+催化燃烧处理，最后通过1根15m排气筒（DA001）排放，</w:t>
            </w:r>
            <w:r>
              <w:rPr>
                <w:rFonts w:hint="eastAsia" w:cs="Times New Roman" w:eastAsiaTheme="minorEastAsia"/>
                <w:b w:val="0"/>
                <w:bCs/>
                <w:color w:val="FF0000"/>
                <w:sz w:val="24"/>
                <w:lang w:val="en-US" w:eastAsia="zh-CN"/>
              </w:rPr>
              <w:t>颗粒物</w:t>
            </w:r>
            <w:r>
              <w:rPr>
                <w:rFonts w:hint="eastAsia" w:cs="Times New Roman"/>
                <w:color w:val="FF0000"/>
                <w:sz w:val="24"/>
                <w:lang w:val="en-US" w:eastAsia="zh-CN"/>
              </w:rPr>
              <w:t>排放量0.044t/a，排放浓度0.92</w:t>
            </w:r>
            <w:r>
              <w:rPr>
                <w:rFonts w:hint="default" w:ascii="Times New Roman" w:hAnsi="Times New Roman" w:cs="Times New Roman"/>
                <w:color w:val="FF0000"/>
                <w:sz w:val="24"/>
              </w:rPr>
              <w:t>mg/m</w:t>
            </w:r>
            <w:r>
              <w:rPr>
                <w:rFonts w:hint="default" w:ascii="Times New Roman" w:hAnsi="Times New Roman" w:cs="Times New Roman"/>
                <w:color w:val="FF0000"/>
                <w:sz w:val="24"/>
                <w:vertAlign w:val="superscript"/>
              </w:rPr>
              <w:t>3</w:t>
            </w:r>
            <w:r>
              <w:rPr>
                <w:rFonts w:hint="default" w:ascii="Times New Roman" w:hAnsi="Times New Roman" w:cs="Times New Roman"/>
                <w:color w:val="FF0000"/>
                <w:sz w:val="24"/>
              </w:rPr>
              <w:t>，</w:t>
            </w:r>
            <w:r>
              <w:rPr>
                <w:rFonts w:hint="eastAsia" w:cs="Times New Roman"/>
                <w:color w:val="4472C4" w:themeColor="accent5"/>
                <w:sz w:val="24"/>
                <w:lang w:val="en-US" w:eastAsia="zh-CN"/>
                <w14:textFill>
                  <w14:solidFill>
                    <w14:schemeClr w14:val="accent5"/>
                  </w14:solidFill>
                </w14:textFill>
              </w:rPr>
              <w:t>单位产品非甲烷总烃排放量0.077kg/t，吸附、脱附同时运行时，</w:t>
            </w:r>
            <w:r>
              <w:rPr>
                <w:rFonts w:hint="eastAsia" w:cs="Times New Roman" w:eastAsiaTheme="minorEastAsia"/>
                <w:b w:val="0"/>
                <w:bCs/>
                <w:color w:val="4472C4" w:themeColor="accent5"/>
                <w:sz w:val="24"/>
                <w:lang w:val="en-US" w:eastAsia="zh-CN"/>
                <w14:textFill>
                  <w14:solidFill>
                    <w14:schemeClr w14:val="accent5"/>
                  </w14:solidFill>
                </w14:textFill>
              </w:rPr>
              <w:t>非甲烷总烃</w:t>
            </w:r>
            <w:r>
              <w:rPr>
                <w:rFonts w:hint="eastAsia" w:cs="Times New Roman"/>
                <w:color w:val="4472C4" w:themeColor="accent5"/>
                <w:sz w:val="24"/>
                <w:lang w:val="en-US" w:eastAsia="zh-CN"/>
                <w14:textFill>
                  <w14:solidFill>
                    <w14:schemeClr w14:val="accent5"/>
                  </w14:solidFill>
                </w14:textFill>
              </w:rPr>
              <w:t>排放量0.264t/a，排放浓度18.33</w:t>
            </w:r>
            <w:r>
              <w:rPr>
                <w:rFonts w:hint="default" w:ascii="Times New Roman" w:hAnsi="Times New Roman" w:cs="Times New Roman"/>
                <w:color w:val="4472C4" w:themeColor="accent5"/>
                <w:sz w:val="24"/>
                <w14:textFill>
                  <w14:solidFill>
                    <w14:schemeClr w14:val="accent5"/>
                  </w14:solidFill>
                </w14:textFill>
              </w:rPr>
              <w:t>mg/m</w:t>
            </w:r>
            <w:r>
              <w:rPr>
                <w:rFonts w:hint="default" w:ascii="Times New Roman" w:hAnsi="Times New Roman" w:cs="Times New Roman"/>
                <w:color w:val="4472C4" w:themeColor="accent5"/>
                <w:sz w:val="24"/>
                <w:vertAlign w:val="superscript"/>
                <w14:textFill>
                  <w14:solidFill>
                    <w14:schemeClr w14:val="accent5"/>
                  </w14:solidFill>
                </w14:textFill>
              </w:rPr>
              <w:t>3</w:t>
            </w:r>
            <w:r>
              <w:rPr>
                <w:rFonts w:hint="default" w:ascii="Times New Roman" w:hAnsi="Times New Roman" w:cs="Times New Roman"/>
                <w:color w:val="4472C4" w:themeColor="accent5"/>
                <w:sz w:val="24"/>
                <w14:textFill>
                  <w14:solidFill>
                    <w14:schemeClr w14:val="accent5"/>
                  </w14:solidFill>
                </w14:textFill>
              </w:rPr>
              <w:t>，</w:t>
            </w:r>
            <w:r>
              <w:rPr>
                <w:rFonts w:hint="eastAsia" w:cs="Times New Roman"/>
                <w:color w:val="4472C4" w:themeColor="accent5"/>
                <w:sz w:val="24"/>
                <w:lang w:val="en-US" w:eastAsia="zh-CN"/>
                <w14:textFill>
                  <w14:solidFill>
                    <w14:schemeClr w14:val="accent5"/>
                  </w14:solidFill>
                </w14:textFill>
              </w:rPr>
              <w:t>仅吸附（正常运行）运行时，</w:t>
            </w:r>
            <w:r>
              <w:rPr>
                <w:rFonts w:hint="eastAsia" w:cs="Times New Roman" w:eastAsiaTheme="minorEastAsia"/>
                <w:b w:val="0"/>
                <w:bCs/>
                <w:color w:val="4472C4" w:themeColor="accent5"/>
                <w:sz w:val="24"/>
                <w:lang w:val="en-US" w:eastAsia="zh-CN"/>
                <w14:textFill>
                  <w14:solidFill>
                    <w14:schemeClr w14:val="accent5"/>
                  </w14:solidFill>
                </w14:textFill>
              </w:rPr>
              <w:t>非甲烷总烃</w:t>
            </w:r>
            <w:r>
              <w:rPr>
                <w:rFonts w:hint="eastAsia" w:cs="Times New Roman"/>
                <w:color w:val="4472C4" w:themeColor="accent5"/>
                <w:sz w:val="24"/>
                <w:lang w:val="en-US" w:eastAsia="zh-CN"/>
                <w14:textFill>
                  <w14:solidFill>
                    <w14:schemeClr w14:val="accent5"/>
                  </w14:solidFill>
                </w14:textFill>
              </w:rPr>
              <w:t>排放量0.396t/a，排放浓度11</w:t>
            </w:r>
            <w:r>
              <w:rPr>
                <w:rFonts w:hint="default" w:ascii="Times New Roman" w:hAnsi="Times New Roman" w:cs="Times New Roman"/>
                <w:color w:val="4472C4" w:themeColor="accent5"/>
                <w:sz w:val="24"/>
                <w14:textFill>
                  <w14:solidFill>
                    <w14:schemeClr w14:val="accent5"/>
                  </w14:solidFill>
                </w14:textFill>
              </w:rPr>
              <w:t>mg/m</w:t>
            </w:r>
            <w:r>
              <w:rPr>
                <w:rFonts w:hint="default" w:ascii="Times New Roman" w:hAnsi="Times New Roman" w:cs="Times New Roman"/>
                <w:color w:val="4472C4" w:themeColor="accent5"/>
                <w:sz w:val="24"/>
                <w:vertAlign w:val="superscript"/>
                <w14:textFill>
                  <w14:solidFill>
                    <w14:schemeClr w14:val="accent5"/>
                  </w14:solidFill>
                </w14:textFill>
              </w:rPr>
              <w:t>3</w:t>
            </w:r>
            <w:r>
              <w:rPr>
                <w:rFonts w:hint="default" w:ascii="Times New Roman" w:hAnsi="Times New Roman" w:cs="Times New Roman"/>
                <w:color w:val="4472C4" w:themeColor="accent5"/>
                <w:sz w:val="24"/>
                <w14:textFill>
                  <w14:solidFill>
                    <w14:schemeClr w14:val="accent5"/>
                  </w14:solidFill>
                </w14:textFill>
              </w:rPr>
              <w:t>，</w:t>
            </w:r>
            <w:r>
              <w:rPr>
                <w:rFonts w:hint="eastAsia" w:ascii="Times New Roman" w:hAnsi="Times New Roman" w:cs="Times New Roman"/>
                <w:color w:val="4472C4" w:themeColor="accent5"/>
                <w:sz w:val="24"/>
                <w:lang w:val="en-US" w:eastAsia="zh-CN"/>
                <w14:textFill>
                  <w14:solidFill>
                    <w14:schemeClr w14:val="accent5"/>
                  </w14:solidFill>
                </w14:textFill>
              </w:rPr>
              <w:t>废气排放满足</w:t>
            </w:r>
            <w:r>
              <w:rPr>
                <w:rFonts w:hint="eastAsia" w:cs="Times New Roman"/>
                <w:color w:val="4472C4" w:themeColor="accent5"/>
                <w:sz w:val="24"/>
                <w:lang w:val="en-US" w:eastAsia="zh-CN"/>
                <w14:textFill>
                  <w14:solidFill>
                    <w14:schemeClr w14:val="accent5"/>
                  </w14:solidFill>
                </w14:textFill>
              </w:rPr>
              <w:t>《合成树脂工业污染物排放标准》（GB31572-2015，含2024年修改单）表5大气污染物特别排放限值。</w:t>
            </w:r>
          </w:p>
          <w:p w14:paraId="606599C2">
            <w:pPr>
              <w:keepNext w:val="0"/>
              <w:keepLines w:val="0"/>
              <w:pageBreakBefore w:val="0"/>
              <w:widowControl w:val="0"/>
              <w:tabs>
                <w:tab w:val="left" w:pos="2838"/>
              </w:tabs>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Times New Roman"/>
                <w:color w:val="0000FF"/>
                <w:sz w:val="24"/>
                <w:lang w:val="en-US" w:eastAsia="zh-CN"/>
              </w:rPr>
            </w:pPr>
            <w:r>
              <w:rPr>
                <w:rFonts w:hint="eastAsia" w:cs="Times New Roman"/>
                <w:color w:val="0000FF"/>
                <w:sz w:val="24"/>
                <w:lang w:val="en-US" w:eastAsia="zh-CN"/>
              </w:rPr>
              <w:t>②干式粉碎</w:t>
            </w:r>
          </w:p>
          <w:p w14:paraId="559ACAA1">
            <w:pPr>
              <w:keepNext w:val="0"/>
              <w:keepLines w:val="0"/>
              <w:pageBreakBefore w:val="0"/>
              <w:widowControl w:val="0"/>
              <w:tabs>
                <w:tab w:val="left" w:pos="2838"/>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0000FF"/>
                <w:sz w:val="24"/>
                <w:lang w:val="en-US" w:eastAsia="zh-CN"/>
              </w:rPr>
            </w:pPr>
            <w:r>
              <w:rPr>
                <w:rFonts w:hint="eastAsia" w:cs="Times New Roman"/>
                <w:color w:val="0000FF"/>
                <w:sz w:val="24"/>
                <w:lang w:val="en-US" w:eastAsia="zh-CN"/>
              </w:rPr>
              <w:t>项目少量（约20%，其中PP285t/a、ABS404t/a）废PP、ABS片料来料时粒径较大，需采用干式粉碎机进行粉碎（工作时间480h）。根</w:t>
            </w:r>
            <w:r>
              <w:rPr>
                <w:rFonts w:hint="default" w:cs="Times New Roman"/>
                <w:color w:val="0000FF"/>
                <w:sz w:val="24"/>
                <w:lang w:val="en-US" w:eastAsia="zh-CN"/>
              </w:rPr>
              <w:t>据生态环境部2021年6月发布的《排放源统计调查产排污核算方法和系数手册》（公告2021年第24号）中</w:t>
            </w:r>
            <w:r>
              <w:rPr>
                <w:rFonts w:hint="default" w:ascii="Times New Roman" w:hAnsi="Times New Roman" w:cs="Times New Roman"/>
                <w:color w:val="0000FF"/>
                <w:sz w:val="24"/>
              </w:rPr>
              <w:t>4220非金属废料和碎屑加工处理行业系数表</w:t>
            </w:r>
            <w:r>
              <w:rPr>
                <w:rFonts w:hint="eastAsia" w:cs="Times New Roman"/>
                <w:color w:val="0000FF"/>
                <w:sz w:val="24"/>
                <w:lang w:eastAsia="zh-CN"/>
              </w:rPr>
              <w:t>，</w:t>
            </w:r>
            <w:r>
              <w:rPr>
                <w:rFonts w:hint="eastAsia" w:cs="Times New Roman"/>
                <w:color w:val="0000FF"/>
                <w:sz w:val="24"/>
                <w:lang w:val="en-US" w:eastAsia="zh-CN"/>
              </w:rPr>
              <w:t>PP干式粉碎产污系数为颗粒物375克/吨-原料，ABS干式粉碎产污系数为颗粒物425克/吨-原料，则干式粉碎工序颗粒物产生量为0.28t/a（有组织颗粒物产生量0.25t/a，无组织颗粒物产生量0.03t/a），风机风量为2000m</w:t>
            </w:r>
            <w:r>
              <w:rPr>
                <w:rFonts w:hint="eastAsia" w:cs="Times New Roman"/>
                <w:color w:val="0000FF"/>
                <w:sz w:val="24"/>
                <w:vertAlign w:val="superscript"/>
                <w:lang w:val="en-US" w:eastAsia="zh-CN"/>
              </w:rPr>
              <w:t>3</w:t>
            </w:r>
            <w:r>
              <w:rPr>
                <w:rFonts w:hint="eastAsia" w:cs="Times New Roman"/>
                <w:color w:val="0000FF"/>
                <w:sz w:val="24"/>
                <w:lang w:val="en-US" w:eastAsia="zh-CN"/>
              </w:rPr>
              <w:t>/h，</w:t>
            </w:r>
            <w:r>
              <w:rPr>
                <w:rFonts w:hint="eastAsia" w:cs="Times New Roman" w:eastAsiaTheme="minorEastAsia"/>
                <w:b w:val="0"/>
                <w:bCs/>
                <w:color w:val="0000FF"/>
                <w:sz w:val="24"/>
                <w:lang w:val="en-US" w:eastAsia="zh-CN"/>
              </w:rPr>
              <w:t>产生浓度为260.42</w:t>
            </w:r>
            <w:r>
              <w:rPr>
                <w:rFonts w:hint="default" w:ascii="Times New Roman" w:hAnsi="Times New Roman" w:cs="Times New Roman"/>
                <w:color w:val="0000FF"/>
                <w:sz w:val="24"/>
              </w:rPr>
              <w:t>mg/m</w:t>
            </w:r>
            <w:r>
              <w:rPr>
                <w:rFonts w:hint="default" w:ascii="Times New Roman" w:hAnsi="Times New Roman" w:cs="Times New Roman"/>
                <w:color w:val="0000FF"/>
                <w:sz w:val="24"/>
                <w:vertAlign w:val="superscript"/>
              </w:rPr>
              <w:t>3</w:t>
            </w:r>
            <w:r>
              <w:rPr>
                <w:rFonts w:hint="eastAsia" w:cs="Times New Roman"/>
                <w:color w:val="0000FF"/>
                <w:sz w:val="24"/>
                <w:vertAlign w:val="baseline"/>
                <w:lang w:val="en-US" w:eastAsia="zh-CN"/>
              </w:rPr>
              <w:t>，</w:t>
            </w:r>
            <w:r>
              <w:rPr>
                <w:rFonts w:hint="eastAsia" w:cs="Times New Roman"/>
                <w:color w:val="0000FF"/>
                <w:sz w:val="24"/>
                <w:lang w:val="en-US" w:eastAsia="zh-CN"/>
              </w:rPr>
              <w:t>废气经收集（干式粉碎机上方设置集气罩，废气收集效率90%）后通过袋式除尘器（颗粒物去除效率99%）处理，最后通过1根15m排气筒（DA002）排放，</w:t>
            </w:r>
            <w:r>
              <w:rPr>
                <w:rFonts w:hint="eastAsia" w:cs="Times New Roman" w:eastAsiaTheme="minorEastAsia"/>
                <w:b w:val="0"/>
                <w:bCs/>
                <w:color w:val="0000FF"/>
                <w:sz w:val="24"/>
                <w:lang w:val="en-US" w:eastAsia="zh-CN"/>
              </w:rPr>
              <w:t>颗粒物</w:t>
            </w:r>
            <w:r>
              <w:rPr>
                <w:rFonts w:hint="eastAsia" w:cs="Times New Roman"/>
                <w:color w:val="0000FF"/>
                <w:sz w:val="24"/>
                <w:lang w:val="en-US" w:eastAsia="zh-CN"/>
              </w:rPr>
              <w:t>排放量0.003t/a，排放浓度2.60</w:t>
            </w:r>
            <w:r>
              <w:rPr>
                <w:rFonts w:hint="default" w:ascii="Times New Roman" w:hAnsi="Times New Roman" w:cs="Times New Roman"/>
                <w:color w:val="0000FF"/>
                <w:sz w:val="24"/>
              </w:rPr>
              <w:t>mg/m</w:t>
            </w:r>
            <w:r>
              <w:rPr>
                <w:rFonts w:hint="default" w:ascii="Times New Roman" w:hAnsi="Times New Roman" w:cs="Times New Roman"/>
                <w:color w:val="0000FF"/>
                <w:sz w:val="24"/>
                <w:vertAlign w:val="superscript"/>
              </w:rPr>
              <w:t>3</w:t>
            </w:r>
            <w:r>
              <w:rPr>
                <w:rFonts w:hint="default" w:ascii="Times New Roman" w:hAnsi="Times New Roman" w:cs="Times New Roman"/>
                <w:color w:val="0000FF"/>
                <w:sz w:val="24"/>
              </w:rPr>
              <w:t>，</w:t>
            </w:r>
            <w:r>
              <w:rPr>
                <w:rFonts w:hint="eastAsia" w:ascii="Times New Roman" w:hAnsi="Times New Roman" w:cs="Times New Roman"/>
                <w:color w:val="0000FF"/>
                <w:sz w:val="24"/>
                <w:lang w:val="en-US" w:eastAsia="zh-CN"/>
              </w:rPr>
              <w:t>废气排放满足</w:t>
            </w:r>
            <w:r>
              <w:rPr>
                <w:rFonts w:hint="eastAsia" w:cs="Times New Roman"/>
                <w:color w:val="0000FF"/>
                <w:sz w:val="24"/>
                <w:lang w:val="en-US" w:eastAsia="zh-CN"/>
              </w:rPr>
              <w:t>《合成树脂工业污染物排放标准》（GB31572-2015，含2024年修改单）表5大气污染物特别排放限值。</w:t>
            </w:r>
          </w:p>
          <w:p w14:paraId="0A17EA88">
            <w:pPr>
              <w:keepNext w:val="0"/>
              <w:keepLines w:val="0"/>
              <w:pageBreakBefore w:val="0"/>
              <w:widowControl w:val="0"/>
              <w:tabs>
                <w:tab w:val="left" w:pos="2838"/>
              </w:tabs>
              <w:kinsoku/>
              <w:wordWrap/>
              <w:overflowPunct/>
              <w:topLinePunct w:val="0"/>
              <w:autoSpaceDE/>
              <w:autoSpaceDN/>
              <w:bidi w:val="0"/>
              <w:adjustRightInd/>
              <w:snapToGrid/>
              <w:spacing w:line="500" w:lineRule="exact"/>
              <w:ind w:left="0" w:leftChars="0" w:firstLine="480" w:firstLineChars="200"/>
              <w:textAlignment w:val="auto"/>
              <w:rPr>
                <w:rFonts w:hint="eastAsia" w:ascii="Times New Roman" w:hAnsi="Times New Roman" w:cs="Times New Roman"/>
                <w:color w:val="auto"/>
                <w:sz w:val="24"/>
                <w:lang w:val="en-US" w:eastAsia="zh-CN"/>
              </w:rPr>
            </w:pPr>
            <w:r>
              <w:rPr>
                <w:rFonts w:hint="eastAsia" w:cs="Times New Roman"/>
                <w:color w:val="auto"/>
                <w:sz w:val="24"/>
                <w:lang w:val="en-US" w:eastAsia="zh-CN"/>
              </w:rPr>
              <w:t>③</w:t>
            </w:r>
            <w:r>
              <w:rPr>
                <w:rFonts w:hint="eastAsia" w:ascii="Times New Roman" w:hAnsi="Times New Roman" w:cs="Times New Roman"/>
                <w:color w:val="auto"/>
                <w:sz w:val="24"/>
                <w:lang w:val="en-US" w:eastAsia="zh-CN"/>
              </w:rPr>
              <w:t>无组织废气</w:t>
            </w:r>
          </w:p>
          <w:p w14:paraId="46675AE2">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Times New Roman" w:eastAsiaTheme="minorEastAsia"/>
                <w:b w:val="0"/>
                <w:bCs/>
                <w:color w:val="auto"/>
                <w:sz w:val="24"/>
                <w:szCs w:val="24"/>
                <w:lang w:val="en-US" w:eastAsia="zh-CN"/>
              </w:rPr>
            </w:pPr>
            <w:r>
              <w:rPr>
                <w:rFonts w:hint="eastAsia" w:cs="Times New Roman" w:eastAsiaTheme="minorEastAsia"/>
                <w:b w:val="0"/>
                <w:bCs/>
                <w:color w:val="FF0000"/>
                <w:sz w:val="24"/>
                <w:szCs w:val="24"/>
                <w:lang w:val="en-US" w:eastAsia="zh-CN"/>
              </w:rPr>
              <w:t>项目</w:t>
            </w:r>
            <w:r>
              <w:rPr>
                <w:rFonts w:hint="eastAsia" w:cs="Times New Roman" w:eastAsiaTheme="minorEastAsia"/>
                <w:color w:val="FF0000"/>
                <w:sz w:val="24"/>
                <w:lang w:val="en-US" w:eastAsia="zh-CN"/>
              </w:rPr>
              <w:t>湿式粉碎、清洗等废水中含有的污染物主要为SS（塑料屑）等，经沉淀池处理后循环利用，不外排，因此</w:t>
            </w:r>
            <w:r>
              <w:rPr>
                <w:rFonts w:hint="eastAsia" w:cs="Times New Roman" w:eastAsiaTheme="minorEastAsia"/>
                <w:b w:val="0"/>
                <w:bCs/>
                <w:color w:val="FF0000"/>
                <w:sz w:val="24"/>
                <w:szCs w:val="24"/>
                <w:lang w:val="en-US" w:eastAsia="zh-CN"/>
              </w:rPr>
              <w:t>沉淀池不涉及生化处理，故不涉及硫化氢、氨。</w:t>
            </w:r>
            <w:r>
              <w:rPr>
                <w:rFonts w:hint="eastAsia" w:cs="Times New Roman" w:eastAsiaTheme="minorEastAsia"/>
                <w:b w:val="0"/>
                <w:bCs/>
                <w:color w:val="auto"/>
                <w:sz w:val="24"/>
                <w:szCs w:val="24"/>
                <w:lang w:val="en-US" w:eastAsia="zh-CN"/>
              </w:rPr>
              <w:t>本项目无组织废气主要为生产过程中未被收集的颗粒物、非甲烷总烃和压滤过程产生的臭气浓度。</w:t>
            </w:r>
          </w:p>
          <w:p w14:paraId="45BFE6B7">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kern w:val="2"/>
                <w:sz w:val="24"/>
                <w:szCs w:val="24"/>
                <w:lang w:val="en-US" w:eastAsia="zh-CN" w:bidi="ar-SA"/>
              </w:rPr>
            </w:pPr>
            <w:r>
              <w:rPr>
                <w:rFonts w:hint="eastAsia" w:cs="Times New Roman" w:eastAsiaTheme="minorEastAsia"/>
                <w:b w:val="0"/>
                <w:bCs/>
                <w:color w:val="auto"/>
                <w:sz w:val="24"/>
                <w:szCs w:val="24"/>
                <w:lang w:val="en-US" w:eastAsia="zh-CN"/>
              </w:rPr>
              <w:t>根据前文计算，未被收集的颗粒物、非甲烷总烃排放量分别为0.04t/a、0.27t/a。压滤过程中会有少量异味逸散至大气环境，以臭气浓度表征。</w:t>
            </w:r>
            <w:r>
              <w:rPr>
                <w:rFonts w:hint="eastAsia" w:cs="Times New Roman"/>
                <w:color w:val="auto"/>
                <w:kern w:val="2"/>
                <w:sz w:val="24"/>
                <w:szCs w:val="24"/>
                <w:lang w:val="en-US" w:eastAsia="zh-CN" w:bidi="ar-SA"/>
              </w:rPr>
              <w:t>项目</w:t>
            </w:r>
            <w:r>
              <w:rPr>
                <w:rFonts w:hint="default" w:ascii="Times New Roman" w:hAnsi="Times New Roman" w:eastAsia="宋体" w:cs="Times New Roman"/>
                <w:color w:val="auto"/>
                <w:kern w:val="2"/>
                <w:sz w:val="24"/>
                <w:szCs w:val="24"/>
                <w:lang w:val="en-US" w:eastAsia="zh-CN" w:bidi="ar-SA"/>
              </w:rPr>
              <w:t>通过</w:t>
            </w:r>
            <w:r>
              <w:rPr>
                <w:rFonts w:hint="eastAsia" w:cs="Times New Roman"/>
                <w:color w:val="auto"/>
                <w:kern w:val="2"/>
                <w:sz w:val="24"/>
                <w:szCs w:val="24"/>
                <w:lang w:val="en-US" w:eastAsia="zh-CN" w:bidi="ar-SA"/>
              </w:rPr>
              <w:t>采取</w:t>
            </w:r>
            <w:r>
              <w:rPr>
                <w:rFonts w:hint="default" w:ascii="Times New Roman" w:hAnsi="Times New Roman" w:eastAsia="宋体" w:cs="Times New Roman"/>
                <w:color w:val="auto"/>
                <w:kern w:val="2"/>
                <w:sz w:val="24"/>
                <w:szCs w:val="24"/>
                <w:lang w:val="en-US" w:eastAsia="zh-CN" w:bidi="ar-SA"/>
              </w:rPr>
              <w:t>加强废气收集，提高废气的有组织收集效率，减少无组织逸散，同时加强生产车间的封闭设置，严格作业流程并加强</w:t>
            </w:r>
            <w:r>
              <w:rPr>
                <w:rFonts w:hint="eastAsia" w:cs="Times New Roman"/>
                <w:color w:val="auto"/>
                <w:kern w:val="2"/>
                <w:sz w:val="24"/>
                <w:szCs w:val="24"/>
                <w:lang w:val="en-US" w:eastAsia="zh-CN" w:bidi="ar-SA"/>
              </w:rPr>
              <w:t>通风</w:t>
            </w:r>
            <w:r>
              <w:rPr>
                <w:rFonts w:hint="default" w:ascii="Times New Roman" w:hAnsi="Times New Roman" w:eastAsia="宋体" w:cs="Times New Roman"/>
                <w:color w:val="auto"/>
                <w:kern w:val="2"/>
                <w:sz w:val="24"/>
                <w:szCs w:val="24"/>
                <w:lang w:val="en-US" w:eastAsia="zh-CN" w:bidi="ar-SA"/>
              </w:rPr>
              <w:t>等措施</w:t>
            </w:r>
            <w:r>
              <w:rPr>
                <w:rFonts w:hint="eastAsia" w:cs="Times New Roman"/>
                <w:color w:val="auto"/>
                <w:kern w:val="2"/>
                <w:sz w:val="24"/>
                <w:szCs w:val="24"/>
                <w:lang w:val="en-US" w:eastAsia="zh-CN" w:bidi="ar-SA"/>
              </w:rPr>
              <w:t>后，</w:t>
            </w:r>
            <w:r>
              <w:rPr>
                <w:rFonts w:hint="eastAsia" w:cs="Times New Roman"/>
                <w:color w:val="auto"/>
                <w:sz w:val="24"/>
                <w:lang w:val="en-US" w:eastAsia="zh-CN"/>
              </w:rPr>
              <w:t>厂界颗粒物执行《合成树脂工业污染物排放标准》（GB31572-2015，含2024年修改单）表9企业边界大气污染物浓度限值；无组织非甲烷总烃满足《工业企业挥发性有机物排放控制标准》（DB13/ 2322-2025）表2厂区内挥发性有机物无组织排放限值及《合成树脂工业污染物排放标准》（GB31572-2015，含2024年修改单）表9企业边界大气污染物浓度限值；厂界臭气浓度满足《恶臭污染物排放标准》（GB14554-93）表1二级新扩改建标准要求</w:t>
            </w:r>
          </w:p>
          <w:p w14:paraId="43BCF543">
            <w:pPr>
              <w:spacing w:line="480" w:lineRule="exact"/>
              <w:ind w:firstLine="480" w:firstLineChars="200"/>
              <w:jc w:val="both"/>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w:t>
            </w:r>
            <w:r>
              <w:rPr>
                <w:rFonts w:hint="eastAsia" w:cs="Times New Roman"/>
                <w:b w:val="0"/>
                <w:bCs w:val="0"/>
                <w:color w:val="auto"/>
                <w:sz w:val="24"/>
                <w:lang w:val="en-US" w:eastAsia="zh-CN"/>
              </w:rPr>
              <w:t>2</w:t>
            </w:r>
            <w:r>
              <w:rPr>
                <w:rFonts w:hint="default" w:ascii="Times New Roman" w:hAnsi="Times New Roman" w:cs="Times New Roman"/>
                <w:b w:val="0"/>
                <w:bCs w:val="0"/>
                <w:color w:val="auto"/>
                <w:sz w:val="24"/>
              </w:rPr>
              <w:t>）废气源强</w:t>
            </w:r>
            <w:r>
              <w:rPr>
                <w:rFonts w:hint="eastAsia" w:cs="Times New Roman"/>
                <w:b w:val="0"/>
                <w:bCs w:val="0"/>
                <w:color w:val="auto"/>
                <w:sz w:val="24"/>
                <w:lang w:val="en-US" w:eastAsia="zh-CN"/>
              </w:rPr>
              <w:t>核算</w:t>
            </w:r>
          </w:p>
          <w:p w14:paraId="2D2717A0">
            <w:pPr>
              <w:spacing w:line="480" w:lineRule="exact"/>
              <w:ind w:firstLine="480" w:firstLineChars="200"/>
              <w:jc w:val="both"/>
              <w:rPr>
                <w:rFonts w:hint="eastAsia" w:ascii="Times New Roman" w:hAnsi="Times New Roman" w:eastAsia="宋体" w:cs="Times New Roman"/>
                <w:b w:val="0"/>
                <w:bCs w:val="0"/>
                <w:color w:val="auto"/>
                <w:sz w:val="24"/>
                <w:lang w:eastAsia="zh-CN"/>
              </w:rPr>
            </w:pPr>
            <w:r>
              <w:rPr>
                <w:rFonts w:hint="default" w:ascii="Times New Roman" w:hAnsi="Times New Roman" w:cs="Times New Roman"/>
                <w:b w:val="0"/>
                <w:bCs w:val="0"/>
                <w:color w:val="auto"/>
                <w:sz w:val="24"/>
              </w:rPr>
              <w:t>项目废气污染源源强核算结果及相关参数一览表见表</w:t>
            </w:r>
            <w:r>
              <w:rPr>
                <w:rFonts w:hint="eastAsia" w:cs="Times New Roman"/>
                <w:b w:val="0"/>
                <w:bCs w:val="0"/>
                <w:color w:val="auto"/>
                <w:sz w:val="24"/>
                <w:lang w:val="en-US" w:eastAsia="zh-CN"/>
              </w:rPr>
              <w:t>19</w:t>
            </w:r>
            <w:r>
              <w:rPr>
                <w:rFonts w:hint="eastAsia" w:cs="Times New Roman"/>
                <w:b w:val="0"/>
                <w:bCs w:val="0"/>
                <w:color w:val="auto"/>
                <w:sz w:val="24"/>
                <w:lang w:eastAsia="zh-CN"/>
              </w:rPr>
              <w:t>。</w:t>
            </w:r>
          </w:p>
          <w:p w14:paraId="400960D0">
            <w:pPr>
              <w:spacing w:line="480" w:lineRule="exact"/>
              <w:jc w:val="center"/>
              <w:rPr>
                <w:rFonts w:hint="default" w:ascii="Times New Roman" w:hAnsi="Times New Roman" w:cs="Times New Roman"/>
                <w:b/>
                <w:bCs/>
                <w:color w:val="auto"/>
                <w:sz w:val="24"/>
              </w:rPr>
            </w:pPr>
            <w:r>
              <w:rPr>
                <w:rFonts w:hint="default" w:ascii="Times New Roman" w:hAnsi="Times New Roman" w:eastAsia="宋体" w:cs="Times New Roman"/>
                <w:b/>
                <w:bCs/>
                <w:color w:val="auto"/>
                <w:sz w:val="24"/>
              </w:rPr>
              <w:t>表</w:t>
            </w:r>
            <w:r>
              <w:rPr>
                <w:rFonts w:hint="eastAsia" w:cs="Times New Roman"/>
                <w:b/>
                <w:bCs/>
                <w:color w:val="auto"/>
                <w:sz w:val="24"/>
                <w:lang w:val="en-US" w:eastAsia="zh-CN"/>
              </w:rPr>
              <w:t>19</w:t>
            </w:r>
            <w:r>
              <w:rPr>
                <w:rFonts w:hint="eastAsia" w:eastAsia="宋体" w:cs="Times New Roman"/>
                <w:b/>
                <w:bCs/>
                <w:color w:val="auto"/>
                <w:sz w:val="24"/>
                <w:lang w:val="en-US" w:eastAsia="zh-CN"/>
              </w:rPr>
              <w:t xml:space="preserve">   </w:t>
            </w:r>
            <w:r>
              <w:rPr>
                <w:rFonts w:hint="eastAsia" w:ascii="Times New Roman" w:hAnsi="Times New Roman" w:eastAsia="宋体" w:cs="Times New Roman"/>
                <w:b/>
                <w:bCs/>
                <w:color w:val="auto"/>
                <w:sz w:val="24"/>
                <w:lang w:val="en-US" w:eastAsia="zh-CN"/>
              </w:rPr>
              <w:t>废气污染源源强核算结果及相关参数一览表</w:t>
            </w:r>
          </w:p>
          <w:tbl>
            <w:tblPr>
              <w:tblStyle w:val="29"/>
              <w:tblW w:w="8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
              <w:gridCol w:w="795"/>
              <w:gridCol w:w="330"/>
              <w:gridCol w:w="330"/>
              <w:gridCol w:w="750"/>
              <w:gridCol w:w="690"/>
              <w:gridCol w:w="810"/>
              <w:gridCol w:w="865"/>
              <w:gridCol w:w="444"/>
              <w:gridCol w:w="516"/>
              <w:gridCol w:w="422"/>
              <w:gridCol w:w="675"/>
              <w:gridCol w:w="675"/>
              <w:gridCol w:w="843"/>
            </w:tblGrid>
            <w:tr w14:paraId="3E3B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8" w:type="dxa"/>
                  <w:gridSpan w:val="2"/>
                  <w:vMerge w:val="restart"/>
                  <w:tcBorders>
                    <w:tl2br w:val="nil"/>
                    <w:tr2bl w:val="nil"/>
                  </w:tcBorders>
                  <w:vAlign w:val="center"/>
                </w:tcPr>
                <w:p w14:paraId="2173962C">
                  <w:pPr>
                    <w:spacing w:line="240" w:lineRule="exact"/>
                    <w:ind w:left="-105" w:leftChars="-50" w:right="-105" w:rightChars="-50"/>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产排污</w:t>
                  </w:r>
                </w:p>
                <w:p w14:paraId="439120C4">
                  <w:pPr>
                    <w:spacing w:line="240" w:lineRule="exact"/>
                    <w:ind w:left="-105" w:leftChars="-50" w:right="-105" w:rightChars="-50"/>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环节</w:t>
                  </w:r>
                </w:p>
              </w:tc>
              <w:tc>
                <w:tcPr>
                  <w:tcW w:w="660" w:type="dxa"/>
                  <w:gridSpan w:val="2"/>
                  <w:vMerge w:val="restart"/>
                  <w:tcBorders>
                    <w:tl2br w:val="nil"/>
                    <w:tr2bl w:val="nil"/>
                  </w:tcBorders>
                  <w:vAlign w:val="center"/>
                </w:tcPr>
                <w:p w14:paraId="49CD48D7">
                  <w:pPr>
                    <w:spacing w:line="240" w:lineRule="exact"/>
                    <w:ind w:left="-105" w:leftChars="-50" w:right="-105" w:rightChars="-50"/>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污染物种类</w:t>
                  </w:r>
                </w:p>
              </w:tc>
              <w:tc>
                <w:tcPr>
                  <w:tcW w:w="750" w:type="dxa"/>
                  <w:vMerge w:val="restart"/>
                  <w:tcBorders>
                    <w:tl2br w:val="nil"/>
                    <w:tr2bl w:val="nil"/>
                  </w:tcBorders>
                  <w:vAlign w:val="center"/>
                </w:tcPr>
                <w:p w14:paraId="5EE5E66A">
                  <w:pPr>
                    <w:spacing w:line="240" w:lineRule="exact"/>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产生量t/a</w:t>
                  </w:r>
                </w:p>
              </w:tc>
              <w:tc>
                <w:tcPr>
                  <w:tcW w:w="690" w:type="dxa"/>
                  <w:vMerge w:val="restart"/>
                  <w:tcBorders>
                    <w:tl2br w:val="nil"/>
                    <w:tr2bl w:val="nil"/>
                  </w:tcBorders>
                  <w:vAlign w:val="center"/>
                </w:tcPr>
                <w:p w14:paraId="75830F42">
                  <w:pPr>
                    <w:spacing w:line="240" w:lineRule="exact"/>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产生速率kg/h</w:t>
                  </w:r>
                </w:p>
              </w:tc>
              <w:tc>
                <w:tcPr>
                  <w:tcW w:w="810" w:type="dxa"/>
                  <w:vMerge w:val="restart"/>
                  <w:tcBorders>
                    <w:tl2br w:val="nil"/>
                    <w:tr2bl w:val="nil"/>
                  </w:tcBorders>
                  <w:vAlign w:val="center"/>
                </w:tcPr>
                <w:p w14:paraId="54E06A53">
                  <w:pPr>
                    <w:spacing w:line="240" w:lineRule="exact"/>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产生</w:t>
                  </w:r>
                </w:p>
                <w:p w14:paraId="36BDDDC8">
                  <w:pPr>
                    <w:spacing w:line="240" w:lineRule="exact"/>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浓度mg/m</w:t>
                  </w:r>
                  <w:r>
                    <w:rPr>
                      <w:rFonts w:hint="default" w:ascii="Times New Roman" w:hAnsi="Times New Roman" w:cs="Times New Roman"/>
                      <w:b w:val="0"/>
                      <w:bCs w:val="0"/>
                      <w:color w:val="auto"/>
                      <w:szCs w:val="21"/>
                      <w:vertAlign w:val="superscript"/>
                    </w:rPr>
                    <w:t>3</w:t>
                  </w:r>
                </w:p>
              </w:tc>
              <w:tc>
                <w:tcPr>
                  <w:tcW w:w="2247" w:type="dxa"/>
                  <w:gridSpan w:val="4"/>
                  <w:tcBorders>
                    <w:tl2br w:val="nil"/>
                    <w:tr2bl w:val="nil"/>
                  </w:tcBorders>
                  <w:vAlign w:val="center"/>
                </w:tcPr>
                <w:p w14:paraId="46466E9C">
                  <w:pPr>
                    <w:spacing w:line="240" w:lineRule="exact"/>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污染防治措施</w:t>
                  </w:r>
                </w:p>
              </w:tc>
              <w:tc>
                <w:tcPr>
                  <w:tcW w:w="675" w:type="dxa"/>
                  <w:vMerge w:val="restart"/>
                  <w:tcBorders>
                    <w:tl2br w:val="nil"/>
                    <w:tr2bl w:val="nil"/>
                  </w:tcBorders>
                  <w:vAlign w:val="center"/>
                </w:tcPr>
                <w:p w14:paraId="132E3C6B">
                  <w:pPr>
                    <w:spacing w:line="240" w:lineRule="exact"/>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排放量t/a</w:t>
                  </w:r>
                </w:p>
              </w:tc>
              <w:tc>
                <w:tcPr>
                  <w:tcW w:w="675" w:type="dxa"/>
                  <w:vMerge w:val="restart"/>
                  <w:tcBorders>
                    <w:tl2br w:val="nil"/>
                    <w:tr2bl w:val="nil"/>
                  </w:tcBorders>
                  <w:vAlign w:val="center"/>
                </w:tcPr>
                <w:p w14:paraId="6FE79869">
                  <w:pPr>
                    <w:spacing w:line="240" w:lineRule="exact"/>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排放速率kg/h</w:t>
                  </w:r>
                </w:p>
              </w:tc>
              <w:tc>
                <w:tcPr>
                  <w:tcW w:w="843" w:type="dxa"/>
                  <w:vMerge w:val="restart"/>
                  <w:tcBorders>
                    <w:tl2br w:val="nil"/>
                    <w:tr2bl w:val="nil"/>
                  </w:tcBorders>
                  <w:vAlign w:val="center"/>
                </w:tcPr>
                <w:p w14:paraId="7CBE3D6A">
                  <w:pPr>
                    <w:spacing w:line="240" w:lineRule="exact"/>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排放浓度mg/m</w:t>
                  </w:r>
                  <w:r>
                    <w:rPr>
                      <w:rFonts w:hint="default" w:ascii="Times New Roman" w:hAnsi="Times New Roman" w:cs="Times New Roman"/>
                      <w:b w:val="0"/>
                      <w:bCs w:val="0"/>
                      <w:color w:val="auto"/>
                      <w:szCs w:val="21"/>
                      <w:vertAlign w:val="superscript"/>
                    </w:rPr>
                    <w:t>3</w:t>
                  </w:r>
                </w:p>
              </w:tc>
            </w:tr>
            <w:tr w14:paraId="3044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078" w:type="dxa"/>
                  <w:gridSpan w:val="2"/>
                  <w:vMerge w:val="continue"/>
                  <w:tcBorders>
                    <w:tl2br w:val="nil"/>
                    <w:tr2bl w:val="nil"/>
                  </w:tcBorders>
                  <w:vAlign w:val="center"/>
                </w:tcPr>
                <w:p w14:paraId="7BC6279E">
                  <w:pPr>
                    <w:spacing w:line="240" w:lineRule="exact"/>
                    <w:ind w:left="-105" w:leftChars="-50" w:right="-105" w:rightChars="-50"/>
                    <w:jc w:val="center"/>
                    <w:rPr>
                      <w:rFonts w:hint="default" w:ascii="Times New Roman" w:hAnsi="Times New Roman" w:cs="Times New Roman"/>
                      <w:color w:val="auto"/>
                      <w:szCs w:val="21"/>
                    </w:rPr>
                  </w:pPr>
                </w:p>
              </w:tc>
              <w:tc>
                <w:tcPr>
                  <w:tcW w:w="660" w:type="dxa"/>
                  <w:gridSpan w:val="2"/>
                  <w:vMerge w:val="continue"/>
                  <w:tcBorders>
                    <w:tl2br w:val="nil"/>
                    <w:tr2bl w:val="nil"/>
                  </w:tcBorders>
                  <w:vAlign w:val="center"/>
                </w:tcPr>
                <w:p w14:paraId="199E5862">
                  <w:pPr>
                    <w:spacing w:line="240" w:lineRule="exact"/>
                    <w:ind w:left="-105" w:leftChars="-50" w:right="-105" w:rightChars="-50"/>
                    <w:jc w:val="center"/>
                    <w:rPr>
                      <w:rFonts w:hint="default" w:ascii="Times New Roman" w:hAnsi="Times New Roman" w:cs="Times New Roman"/>
                      <w:color w:val="auto"/>
                      <w:szCs w:val="21"/>
                    </w:rPr>
                  </w:pPr>
                </w:p>
              </w:tc>
              <w:tc>
                <w:tcPr>
                  <w:tcW w:w="750" w:type="dxa"/>
                  <w:vMerge w:val="continue"/>
                  <w:tcBorders>
                    <w:tl2br w:val="nil"/>
                    <w:tr2bl w:val="nil"/>
                  </w:tcBorders>
                  <w:vAlign w:val="center"/>
                </w:tcPr>
                <w:p w14:paraId="0FA8A2B9">
                  <w:pPr>
                    <w:spacing w:line="240" w:lineRule="exact"/>
                    <w:ind w:left="-105" w:leftChars="-50" w:right="-105" w:rightChars="-50"/>
                    <w:jc w:val="center"/>
                    <w:rPr>
                      <w:rFonts w:hint="default" w:ascii="Times New Roman" w:hAnsi="Times New Roman" w:cs="Times New Roman"/>
                      <w:color w:val="auto"/>
                      <w:szCs w:val="21"/>
                    </w:rPr>
                  </w:pPr>
                </w:p>
              </w:tc>
              <w:tc>
                <w:tcPr>
                  <w:tcW w:w="690" w:type="dxa"/>
                  <w:vMerge w:val="continue"/>
                  <w:tcBorders>
                    <w:tl2br w:val="nil"/>
                    <w:tr2bl w:val="nil"/>
                  </w:tcBorders>
                  <w:vAlign w:val="center"/>
                </w:tcPr>
                <w:p w14:paraId="78C0403F">
                  <w:pPr>
                    <w:spacing w:line="240" w:lineRule="exact"/>
                    <w:jc w:val="center"/>
                    <w:rPr>
                      <w:rFonts w:hint="default" w:ascii="Times New Roman" w:hAnsi="Times New Roman" w:cs="Times New Roman"/>
                      <w:color w:val="auto"/>
                      <w:szCs w:val="21"/>
                    </w:rPr>
                  </w:pPr>
                </w:p>
              </w:tc>
              <w:tc>
                <w:tcPr>
                  <w:tcW w:w="810" w:type="dxa"/>
                  <w:vMerge w:val="continue"/>
                  <w:tcBorders>
                    <w:tl2br w:val="nil"/>
                    <w:tr2bl w:val="nil"/>
                  </w:tcBorders>
                  <w:vAlign w:val="center"/>
                </w:tcPr>
                <w:p w14:paraId="57C0E4BD">
                  <w:pPr>
                    <w:spacing w:line="240" w:lineRule="exact"/>
                    <w:jc w:val="center"/>
                    <w:rPr>
                      <w:rFonts w:hint="default" w:ascii="Times New Roman" w:hAnsi="Times New Roman" w:cs="Times New Roman"/>
                      <w:color w:val="auto"/>
                      <w:szCs w:val="21"/>
                    </w:rPr>
                  </w:pPr>
                </w:p>
              </w:tc>
              <w:tc>
                <w:tcPr>
                  <w:tcW w:w="865" w:type="dxa"/>
                  <w:tcBorders>
                    <w:tl2br w:val="nil"/>
                    <w:tr2bl w:val="nil"/>
                  </w:tcBorders>
                  <w:vAlign w:val="center"/>
                </w:tcPr>
                <w:p w14:paraId="7AF9C44C">
                  <w:pPr>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名称</w:t>
                  </w:r>
                </w:p>
              </w:tc>
              <w:tc>
                <w:tcPr>
                  <w:tcW w:w="444" w:type="dxa"/>
                  <w:tcBorders>
                    <w:tl2br w:val="nil"/>
                    <w:tr2bl w:val="nil"/>
                  </w:tcBorders>
                  <w:vAlign w:val="center"/>
                </w:tcPr>
                <w:p w14:paraId="517DC3E2">
                  <w:pPr>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收集</w:t>
                  </w:r>
                </w:p>
                <w:p w14:paraId="2D409F03">
                  <w:pPr>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效率</w:t>
                  </w:r>
                </w:p>
                <w:p w14:paraId="39D9BB36">
                  <w:pPr>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516" w:type="dxa"/>
                  <w:tcBorders>
                    <w:tl2br w:val="nil"/>
                    <w:tr2bl w:val="nil"/>
                  </w:tcBorders>
                  <w:vAlign w:val="center"/>
                </w:tcPr>
                <w:p w14:paraId="5D111B7B">
                  <w:pPr>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去除率</w:t>
                  </w:r>
                </w:p>
                <w:p w14:paraId="77AECE0F">
                  <w:pPr>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422" w:type="dxa"/>
                  <w:tcBorders>
                    <w:tl2br w:val="nil"/>
                    <w:tr2bl w:val="nil"/>
                  </w:tcBorders>
                  <w:vAlign w:val="center"/>
                </w:tcPr>
                <w:p w14:paraId="05999038">
                  <w:pPr>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是否为可行技</w:t>
                  </w:r>
                </w:p>
                <w:p w14:paraId="2C747F2D">
                  <w:pPr>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术</w:t>
                  </w:r>
                </w:p>
              </w:tc>
              <w:tc>
                <w:tcPr>
                  <w:tcW w:w="675" w:type="dxa"/>
                  <w:vMerge w:val="continue"/>
                  <w:tcBorders>
                    <w:tl2br w:val="nil"/>
                    <w:tr2bl w:val="nil"/>
                  </w:tcBorders>
                  <w:vAlign w:val="center"/>
                </w:tcPr>
                <w:p w14:paraId="4DD6FECA">
                  <w:pPr>
                    <w:spacing w:line="240" w:lineRule="exact"/>
                    <w:jc w:val="center"/>
                    <w:rPr>
                      <w:rFonts w:hint="default" w:ascii="Times New Roman" w:hAnsi="Times New Roman" w:cs="Times New Roman"/>
                      <w:color w:val="auto"/>
                      <w:szCs w:val="21"/>
                    </w:rPr>
                  </w:pPr>
                </w:p>
              </w:tc>
              <w:tc>
                <w:tcPr>
                  <w:tcW w:w="675" w:type="dxa"/>
                  <w:vMerge w:val="continue"/>
                  <w:tcBorders>
                    <w:tl2br w:val="nil"/>
                    <w:tr2bl w:val="nil"/>
                  </w:tcBorders>
                  <w:vAlign w:val="center"/>
                </w:tcPr>
                <w:p w14:paraId="222F4C1D">
                  <w:pPr>
                    <w:spacing w:line="240" w:lineRule="exact"/>
                    <w:jc w:val="center"/>
                    <w:rPr>
                      <w:rFonts w:hint="default" w:ascii="Times New Roman" w:hAnsi="Times New Roman" w:cs="Times New Roman"/>
                      <w:color w:val="auto"/>
                      <w:szCs w:val="21"/>
                    </w:rPr>
                  </w:pPr>
                </w:p>
              </w:tc>
              <w:tc>
                <w:tcPr>
                  <w:tcW w:w="843" w:type="dxa"/>
                  <w:vMerge w:val="continue"/>
                  <w:tcBorders>
                    <w:tl2br w:val="nil"/>
                    <w:tr2bl w:val="nil"/>
                  </w:tcBorders>
                  <w:vAlign w:val="center"/>
                </w:tcPr>
                <w:p w14:paraId="2F604D0E">
                  <w:pPr>
                    <w:spacing w:line="240" w:lineRule="exact"/>
                    <w:jc w:val="center"/>
                    <w:rPr>
                      <w:rFonts w:hint="default" w:ascii="Times New Roman" w:hAnsi="Times New Roman" w:cs="Times New Roman"/>
                      <w:color w:val="auto"/>
                      <w:szCs w:val="21"/>
                    </w:rPr>
                  </w:pPr>
                </w:p>
              </w:tc>
            </w:tr>
            <w:tr w14:paraId="5D25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283" w:type="dxa"/>
                  <w:vMerge w:val="restart"/>
                  <w:tcBorders>
                    <w:tl2br w:val="nil"/>
                    <w:tr2bl w:val="nil"/>
                  </w:tcBorders>
                  <w:vAlign w:val="center"/>
                </w:tcPr>
                <w:p w14:paraId="6B284D10">
                  <w:pPr>
                    <w:spacing w:line="240" w:lineRule="exact"/>
                    <w:ind w:left="-105" w:leftChars="-50" w:right="-105" w:rightChars="-50"/>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有组织</w:t>
                  </w:r>
                </w:p>
              </w:tc>
              <w:tc>
                <w:tcPr>
                  <w:tcW w:w="795" w:type="dxa"/>
                  <w:vMerge w:val="restart"/>
                  <w:tcBorders>
                    <w:tl2br w:val="nil"/>
                    <w:tr2bl w:val="nil"/>
                  </w:tcBorders>
                  <w:vAlign w:val="center"/>
                </w:tcPr>
                <w:p w14:paraId="2E9295F2">
                  <w:pPr>
                    <w:pStyle w:val="87"/>
                    <w:spacing w:line="280" w:lineRule="exact"/>
                    <w:ind w:firstLine="0" w:firstLineChars="0"/>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挤出</w:t>
                  </w:r>
                </w:p>
              </w:tc>
              <w:tc>
                <w:tcPr>
                  <w:tcW w:w="660" w:type="dxa"/>
                  <w:gridSpan w:val="2"/>
                  <w:tcBorders>
                    <w:tl2br w:val="nil"/>
                    <w:tr2bl w:val="nil"/>
                  </w:tcBorders>
                  <w:vAlign w:val="center"/>
                </w:tcPr>
                <w:p w14:paraId="300989C8">
                  <w:pPr>
                    <w:pStyle w:val="87"/>
                    <w:spacing w:line="280" w:lineRule="exact"/>
                    <w:ind w:firstLine="0" w:firstLineChars="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颗粒物</w:t>
                  </w:r>
                </w:p>
              </w:tc>
              <w:tc>
                <w:tcPr>
                  <w:tcW w:w="750" w:type="dxa"/>
                  <w:tcBorders>
                    <w:tl2br w:val="nil"/>
                    <w:tr2bl w:val="nil"/>
                  </w:tcBorders>
                  <w:vAlign w:val="center"/>
                </w:tcPr>
                <w:p w14:paraId="4E3C35ED">
                  <w:pPr>
                    <w:tabs>
                      <w:tab w:val="left" w:pos="185"/>
                    </w:tabs>
                    <w:spacing w:line="240" w:lineRule="exact"/>
                    <w:ind w:left="-105" w:leftChars="-50" w:right="-105" w:rightChars="-5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0.22</w:t>
                  </w:r>
                </w:p>
              </w:tc>
              <w:tc>
                <w:tcPr>
                  <w:tcW w:w="690" w:type="dxa"/>
                  <w:tcBorders>
                    <w:tl2br w:val="nil"/>
                    <w:tr2bl w:val="nil"/>
                  </w:tcBorders>
                  <w:vAlign w:val="center"/>
                </w:tcPr>
                <w:p w14:paraId="0712E66F">
                  <w:pPr>
                    <w:spacing w:line="240" w:lineRule="exact"/>
                    <w:jc w:val="center"/>
                    <w:rPr>
                      <w:rFonts w:hint="default" w:cs="Times New Roman"/>
                      <w:color w:val="auto"/>
                      <w:szCs w:val="21"/>
                      <w:lang w:val="en-US" w:eastAsia="zh-CN"/>
                    </w:rPr>
                  </w:pPr>
                  <w:r>
                    <w:rPr>
                      <w:rFonts w:hint="eastAsia" w:cs="Times New Roman"/>
                      <w:color w:val="auto"/>
                      <w:szCs w:val="21"/>
                      <w:lang w:val="en-US" w:eastAsia="zh-CN"/>
                    </w:rPr>
                    <w:t>0.046</w:t>
                  </w:r>
                </w:p>
              </w:tc>
              <w:tc>
                <w:tcPr>
                  <w:tcW w:w="810" w:type="dxa"/>
                  <w:tcBorders>
                    <w:tl2br w:val="nil"/>
                    <w:tr2bl w:val="nil"/>
                  </w:tcBorders>
                  <w:vAlign w:val="center"/>
                </w:tcPr>
                <w:p w14:paraId="7F31F02B">
                  <w:pPr>
                    <w:spacing w:line="24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4.58</w:t>
                  </w:r>
                </w:p>
              </w:tc>
              <w:tc>
                <w:tcPr>
                  <w:tcW w:w="865" w:type="dxa"/>
                  <w:vMerge w:val="restart"/>
                  <w:tcBorders>
                    <w:tl2br w:val="nil"/>
                    <w:tr2bl w:val="nil"/>
                  </w:tcBorders>
                  <w:vAlign w:val="center"/>
                </w:tcPr>
                <w:p w14:paraId="19F7FD20">
                  <w:pPr>
                    <w:pStyle w:val="87"/>
                    <w:spacing w:line="280" w:lineRule="exact"/>
                    <w:ind w:firstLine="0" w:firstLineChars="0"/>
                    <w:jc w:val="center"/>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喷淋塔+</w:t>
                  </w:r>
                  <w:r>
                    <w:rPr>
                      <w:rFonts w:hint="default" w:ascii="Times New Roman" w:hAnsi="Times New Roman" w:eastAsia="宋体" w:cs="Times New Roman"/>
                      <w:bCs/>
                      <w:color w:val="auto"/>
                      <w:sz w:val="21"/>
                      <w:szCs w:val="21"/>
                      <w:lang w:val="en-US" w:eastAsia="zh-CN"/>
                    </w:rPr>
                    <w:t>干式过滤+活性炭吸附脱附+催化燃烧</w:t>
                  </w:r>
                  <w:r>
                    <w:rPr>
                      <w:rFonts w:hint="eastAsia" w:ascii="Times New Roman" w:hAnsi="Times New Roman" w:cs="Times New Roman"/>
                      <w:bCs/>
                      <w:color w:val="auto"/>
                      <w:sz w:val="21"/>
                      <w:szCs w:val="21"/>
                      <w:lang w:val="en-US" w:eastAsia="zh-CN"/>
                    </w:rPr>
                    <w:t>+</w:t>
                  </w:r>
                  <w:r>
                    <w:rPr>
                      <w:rFonts w:hint="default" w:ascii="Times New Roman" w:hAnsi="Times New Roman" w:eastAsia="宋体" w:cs="Times New Roman"/>
                      <w:bCs/>
                      <w:color w:val="auto"/>
                      <w:sz w:val="21"/>
                      <w:szCs w:val="21"/>
                      <w:lang w:val="en-US" w:eastAsia="zh-CN"/>
                    </w:rPr>
                    <w:t>15m排气筒</w:t>
                  </w:r>
                  <w:r>
                    <w:rPr>
                      <w:rFonts w:hint="eastAsia" w:ascii="Times New Roman" w:hAnsi="Times New Roman" w:cs="Times New Roman"/>
                      <w:bCs/>
                      <w:color w:val="auto"/>
                      <w:sz w:val="21"/>
                      <w:szCs w:val="21"/>
                      <w:lang w:val="en-US" w:eastAsia="zh-CN"/>
                    </w:rPr>
                    <w:t>（</w:t>
                  </w:r>
                  <w:r>
                    <w:rPr>
                      <w:rFonts w:hint="default" w:ascii="Times New Roman" w:hAnsi="Times New Roman" w:eastAsia="宋体" w:cs="Times New Roman"/>
                      <w:bCs/>
                      <w:color w:val="auto"/>
                      <w:sz w:val="21"/>
                      <w:szCs w:val="21"/>
                      <w:lang w:val="en-US" w:eastAsia="zh-CN"/>
                    </w:rPr>
                    <w:t>DA001</w:t>
                  </w:r>
                  <w:r>
                    <w:rPr>
                      <w:rFonts w:hint="eastAsia" w:ascii="Times New Roman" w:hAnsi="Times New Roman" w:cs="Times New Roman"/>
                      <w:bCs/>
                      <w:color w:val="auto"/>
                      <w:sz w:val="21"/>
                      <w:szCs w:val="21"/>
                      <w:lang w:val="en-US" w:eastAsia="zh-CN"/>
                    </w:rPr>
                    <w:t>）</w:t>
                  </w:r>
                  <w:r>
                    <w:rPr>
                      <w:rFonts w:hint="default" w:ascii="Times New Roman" w:hAnsi="Times New Roman" w:eastAsia="宋体" w:cs="Times New Roman"/>
                      <w:bCs/>
                      <w:color w:val="auto"/>
                      <w:sz w:val="21"/>
                      <w:szCs w:val="21"/>
                      <w:lang w:val="en-US" w:eastAsia="zh-CN"/>
                    </w:rPr>
                    <w:t>排放</w:t>
                  </w:r>
                </w:p>
              </w:tc>
              <w:tc>
                <w:tcPr>
                  <w:tcW w:w="444" w:type="dxa"/>
                  <w:vMerge w:val="restart"/>
                  <w:tcBorders>
                    <w:tl2br w:val="nil"/>
                    <w:tr2bl w:val="nil"/>
                  </w:tcBorders>
                  <w:vAlign w:val="center"/>
                </w:tcPr>
                <w:p w14:paraId="583AC087">
                  <w:pPr>
                    <w:spacing w:line="240" w:lineRule="exact"/>
                    <w:jc w:val="center"/>
                    <w:rPr>
                      <w:rFonts w:hint="eastAsia" w:cs="Times New Roman"/>
                      <w:color w:val="auto"/>
                      <w:szCs w:val="21"/>
                      <w:lang w:val="en-US" w:eastAsia="zh-CN"/>
                    </w:rPr>
                  </w:pPr>
                  <w:r>
                    <w:rPr>
                      <w:rFonts w:hint="eastAsia" w:cs="Times New Roman"/>
                      <w:color w:val="auto"/>
                      <w:szCs w:val="21"/>
                      <w:lang w:val="en-US" w:eastAsia="zh-CN"/>
                    </w:rPr>
                    <w:t>95</w:t>
                  </w:r>
                </w:p>
              </w:tc>
              <w:tc>
                <w:tcPr>
                  <w:tcW w:w="516" w:type="dxa"/>
                  <w:vMerge w:val="restart"/>
                  <w:tcBorders>
                    <w:tl2br w:val="nil"/>
                    <w:tr2bl w:val="nil"/>
                  </w:tcBorders>
                  <w:vAlign w:val="center"/>
                </w:tcPr>
                <w:p w14:paraId="5A894797">
                  <w:pPr>
                    <w:spacing w:line="240" w:lineRule="exact"/>
                    <w:jc w:val="center"/>
                    <w:rPr>
                      <w:rFonts w:hint="default" w:cs="Times New Roman"/>
                      <w:bCs/>
                      <w:color w:val="auto"/>
                      <w:sz w:val="21"/>
                      <w:szCs w:val="21"/>
                      <w:lang w:val="en-US" w:eastAsia="zh-CN"/>
                    </w:rPr>
                  </w:pPr>
                  <w:r>
                    <w:rPr>
                      <w:rFonts w:hint="eastAsia" w:cs="Times New Roman"/>
                      <w:bCs/>
                      <w:color w:val="auto"/>
                      <w:sz w:val="21"/>
                      <w:szCs w:val="21"/>
                      <w:lang w:val="en-US" w:eastAsia="zh-CN"/>
                    </w:rPr>
                    <w:t>颗粒物去除效率80，吸附90，催化燃烧97</w:t>
                  </w:r>
                </w:p>
              </w:tc>
              <w:tc>
                <w:tcPr>
                  <w:tcW w:w="422" w:type="dxa"/>
                  <w:vMerge w:val="restart"/>
                  <w:tcBorders>
                    <w:tl2br w:val="nil"/>
                    <w:tr2bl w:val="nil"/>
                  </w:tcBorders>
                  <w:vAlign w:val="center"/>
                </w:tcPr>
                <w:p w14:paraId="70152A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color w:val="auto"/>
                      <w:szCs w:val="21"/>
                      <w:lang w:val="en-US" w:eastAsia="zh-CN"/>
                    </w:rPr>
                  </w:pPr>
                  <w:r>
                    <w:rPr>
                      <w:rFonts w:hint="eastAsia" w:cs="Times New Roman"/>
                      <w:color w:val="auto"/>
                      <w:szCs w:val="21"/>
                      <w:lang w:val="en-US" w:eastAsia="zh-CN"/>
                    </w:rPr>
                    <w:t>是</w:t>
                  </w:r>
                </w:p>
              </w:tc>
              <w:tc>
                <w:tcPr>
                  <w:tcW w:w="675" w:type="dxa"/>
                  <w:tcBorders>
                    <w:tl2br w:val="nil"/>
                    <w:tr2bl w:val="nil"/>
                  </w:tcBorders>
                  <w:vAlign w:val="center"/>
                </w:tcPr>
                <w:p w14:paraId="69594529">
                  <w:pPr>
                    <w:tabs>
                      <w:tab w:val="left" w:pos="185"/>
                    </w:tabs>
                    <w:spacing w:line="240" w:lineRule="exact"/>
                    <w:ind w:left="-105" w:leftChars="-50" w:right="-105" w:rightChars="-5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0.044</w:t>
                  </w:r>
                </w:p>
              </w:tc>
              <w:tc>
                <w:tcPr>
                  <w:tcW w:w="675" w:type="dxa"/>
                  <w:tcBorders>
                    <w:tl2br w:val="nil"/>
                    <w:tr2bl w:val="nil"/>
                  </w:tcBorders>
                  <w:vAlign w:val="center"/>
                </w:tcPr>
                <w:p w14:paraId="09565EC4">
                  <w:pPr>
                    <w:spacing w:line="240" w:lineRule="exact"/>
                    <w:jc w:val="center"/>
                    <w:rPr>
                      <w:rFonts w:hint="default" w:cs="Times New Roman"/>
                      <w:color w:val="auto"/>
                      <w:szCs w:val="21"/>
                      <w:lang w:val="en-US" w:eastAsia="zh-CN"/>
                    </w:rPr>
                  </w:pPr>
                  <w:r>
                    <w:rPr>
                      <w:rFonts w:hint="eastAsia" w:cs="Times New Roman"/>
                      <w:color w:val="auto"/>
                      <w:szCs w:val="21"/>
                      <w:lang w:val="en-US" w:eastAsia="zh-CN"/>
                    </w:rPr>
                    <w:t>0.009</w:t>
                  </w:r>
                </w:p>
              </w:tc>
              <w:tc>
                <w:tcPr>
                  <w:tcW w:w="843" w:type="dxa"/>
                  <w:tcBorders>
                    <w:tl2br w:val="nil"/>
                    <w:tr2bl w:val="nil"/>
                  </w:tcBorders>
                  <w:vAlign w:val="center"/>
                </w:tcPr>
                <w:p w14:paraId="0BFB91A4">
                  <w:pPr>
                    <w:spacing w:line="240" w:lineRule="exact"/>
                    <w:jc w:val="center"/>
                    <w:rPr>
                      <w:rFonts w:hint="default" w:cs="Times New Roman"/>
                      <w:color w:val="auto"/>
                      <w:szCs w:val="21"/>
                      <w:lang w:val="en-US" w:eastAsia="zh-CN"/>
                    </w:rPr>
                  </w:pPr>
                  <w:r>
                    <w:rPr>
                      <w:rFonts w:hint="eastAsia" w:cs="Times New Roman"/>
                      <w:color w:val="auto"/>
                      <w:szCs w:val="21"/>
                      <w:lang w:val="en-US" w:eastAsia="zh-CN"/>
                    </w:rPr>
                    <w:t>0.92</w:t>
                  </w:r>
                </w:p>
              </w:tc>
            </w:tr>
            <w:tr w14:paraId="7891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283" w:type="dxa"/>
                  <w:vMerge w:val="continue"/>
                  <w:tcBorders>
                    <w:tl2br w:val="nil"/>
                    <w:tr2bl w:val="nil"/>
                  </w:tcBorders>
                  <w:vAlign w:val="center"/>
                </w:tcPr>
                <w:p w14:paraId="089381BB">
                  <w:pPr>
                    <w:spacing w:line="240" w:lineRule="exact"/>
                    <w:ind w:left="-105" w:leftChars="-50" w:right="-105" w:rightChars="-50"/>
                    <w:jc w:val="center"/>
                    <w:rPr>
                      <w:rFonts w:hint="eastAsia" w:ascii="Times New Roman" w:hAnsi="Times New Roman" w:eastAsia="宋体" w:cs="Times New Roman"/>
                      <w:color w:val="auto"/>
                      <w:szCs w:val="21"/>
                      <w:lang w:val="en-US" w:eastAsia="zh-CN"/>
                    </w:rPr>
                  </w:pPr>
                </w:p>
              </w:tc>
              <w:tc>
                <w:tcPr>
                  <w:tcW w:w="795" w:type="dxa"/>
                  <w:vMerge w:val="continue"/>
                  <w:tcBorders>
                    <w:tl2br w:val="nil"/>
                    <w:tr2bl w:val="nil"/>
                  </w:tcBorders>
                  <w:vAlign w:val="center"/>
                </w:tcPr>
                <w:p w14:paraId="3C6A4E2C">
                  <w:pPr>
                    <w:pStyle w:val="87"/>
                    <w:spacing w:line="280" w:lineRule="exact"/>
                    <w:ind w:firstLine="0" w:firstLineChars="0"/>
                    <w:jc w:val="center"/>
                    <w:rPr>
                      <w:rFonts w:hint="eastAsia" w:ascii="Times New Roman" w:hAnsi="Times New Roman" w:eastAsia="宋体" w:cs="Times New Roman"/>
                      <w:color w:val="auto"/>
                      <w:szCs w:val="21"/>
                      <w:lang w:val="en-US" w:eastAsia="zh-CN"/>
                    </w:rPr>
                  </w:pPr>
                </w:p>
              </w:tc>
              <w:tc>
                <w:tcPr>
                  <w:tcW w:w="330" w:type="dxa"/>
                  <w:tcBorders>
                    <w:tl2br w:val="nil"/>
                    <w:tr2bl w:val="nil"/>
                  </w:tcBorders>
                  <w:vAlign w:val="center"/>
                </w:tcPr>
                <w:p w14:paraId="3EC43514">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ascii="Times New Roman" w:hAnsi="Times New Roman" w:eastAsia="宋体" w:cs="Times New Roman"/>
                      <w:color w:val="auto"/>
                      <w:szCs w:val="21"/>
                      <w:lang w:val="en-US" w:eastAsia="zh-CN"/>
                    </w:rPr>
                  </w:pPr>
                  <w:r>
                    <w:rPr>
                      <w:rFonts w:hint="eastAsia" w:cs="Times New Roman"/>
                      <w:bCs/>
                      <w:color w:val="auto"/>
                      <w:szCs w:val="21"/>
                      <w:lang w:val="en-US" w:eastAsia="zh-CN"/>
                    </w:rPr>
                    <w:t>吸附</w:t>
                  </w:r>
                </w:p>
              </w:tc>
              <w:tc>
                <w:tcPr>
                  <w:tcW w:w="330" w:type="dxa"/>
                  <w:vMerge w:val="restart"/>
                  <w:tcBorders>
                    <w:tl2br w:val="nil"/>
                    <w:tr2bl w:val="nil"/>
                  </w:tcBorders>
                  <w:vAlign w:val="center"/>
                </w:tcPr>
                <w:p w14:paraId="21E251B3">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cs="Times New Roman"/>
                      <w:bCs/>
                      <w:color w:val="auto"/>
                      <w:szCs w:val="21"/>
                      <w:lang w:val="en-US" w:eastAsia="zh-CN"/>
                    </w:rPr>
                  </w:pPr>
                  <w:r>
                    <w:rPr>
                      <w:rFonts w:hint="eastAsia" w:cs="Times New Roman"/>
                      <w:bCs/>
                      <w:color w:val="auto"/>
                      <w:szCs w:val="21"/>
                      <w:lang w:val="en-US" w:eastAsia="zh-CN"/>
                    </w:rPr>
                    <w:t>非甲烷总烃</w:t>
                  </w:r>
                </w:p>
              </w:tc>
              <w:tc>
                <w:tcPr>
                  <w:tcW w:w="750" w:type="dxa"/>
                  <w:vMerge w:val="restart"/>
                  <w:tcBorders>
                    <w:tl2br w:val="nil"/>
                    <w:tr2bl w:val="nil"/>
                  </w:tcBorders>
                  <w:vAlign w:val="center"/>
                </w:tcPr>
                <w:p w14:paraId="63401056">
                  <w:pPr>
                    <w:tabs>
                      <w:tab w:val="left" w:pos="185"/>
                    </w:tabs>
                    <w:spacing w:line="240" w:lineRule="exact"/>
                    <w:ind w:left="-105" w:leftChars="-50" w:right="-105" w:rightChars="-5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5.19</w:t>
                  </w:r>
                </w:p>
              </w:tc>
              <w:tc>
                <w:tcPr>
                  <w:tcW w:w="690" w:type="dxa"/>
                  <w:vMerge w:val="restart"/>
                  <w:tcBorders>
                    <w:tl2br w:val="nil"/>
                    <w:tr2bl w:val="nil"/>
                  </w:tcBorders>
                  <w:vAlign w:val="center"/>
                </w:tcPr>
                <w:p w14:paraId="09E6D3F0">
                  <w:pPr>
                    <w:spacing w:line="24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1.08</w:t>
                  </w:r>
                </w:p>
              </w:tc>
              <w:tc>
                <w:tcPr>
                  <w:tcW w:w="810" w:type="dxa"/>
                  <w:vMerge w:val="restart"/>
                  <w:tcBorders>
                    <w:tl2br w:val="nil"/>
                    <w:tr2bl w:val="nil"/>
                  </w:tcBorders>
                  <w:vAlign w:val="center"/>
                </w:tcPr>
                <w:p w14:paraId="4DDFA014">
                  <w:pPr>
                    <w:spacing w:line="240" w:lineRule="exact"/>
                    <w:jc w:val="center"/>
                    <w:rPr>
                      <w:rFonts w:hint="default" w:ascii="Times New Roman" w:hAnsi="Times New Roman" w:eastAsia="宋体" w:cs="Times New Roman"/>
                      <w:color w:val="auto"/>
                      <w:szCs w:val="21"/>
                      <w:lang w:val="en-US" w:eastAsia="zh-CN"/>
                    </w:rPr>
                  </w:pPr>
                  <w:r>
                    <w:rPr>
                      <w:rFonts w:hint="default" w:cs="Times New Roman"/>
                      <w:color w:val="auto"/>
                      <w:szCs w:val="21"/>
                      <w:lang w:val="en-US" w:eastAsia="zh-CN"/>
                    </w:rPr>
                    <w:t>108.13</w:t>
                  </w:r>
                </w:p>
              </w:tc>
              <w:tc>
                <w:tcPr>
                  <w:tcW w:w="865" w:type="dxa"/>
                  <w:vMerge w:val="continue"/>
                  <w:tcBorders>
                    <w:tl2br w:val="nil"/>
                    <w:tr2bl w:val="nil"/>
                  </w:tcBorders>
                  <w:vAlign w:val="center"/>
                </w:tcPr>
                <w:p w14:paraId="2D27EA96">
                  <w:pPr>
                    <w:pStyle w:val="87"/>
                    <w:spacing w:line="280" w:lineRule="exact"/>
                    <w:ind w:firstLine="0" w:firstLineChars="0"/>
                    <w:jc w:val="center"/>
                    <w:rPr>
                      <w:rFonts w:hint="default" w:ascii="Times New Roman" w:hAnsi="Times New Roman" w:cs="Times New Roman"/>
                      <w:color w:val="auto"/>
                      <w:sz w:val="21"/>
                      <w:szCs w:val="21"/>
                    </w:rPr>
                  </w:pPr>
                </w:p>
              </w:tc>
              <w:tc>
                <w:tcPr>
                  <w:tcW w:w="444" w:type="dxa"/>
                  <w:vMerge w:val="continue"/>
                  <w:tcBorders>
                    <w:tl2br w:val="nil"/>
                    <w:tr2bl w:val="nil"/>
                  </w:tcBorders>
                  <w:vAlign w:val="center"/>
                </w:tcPr>
                <w:p w14:paraId="67173921">
                  <w:pPr>
                    <w:spacing w:line="240" w:lineRule="exact"/>
                    <w:jc w:val="center"/>
                    <w:rPr>
                      <w:rFonts w:hint="default" w:ascii="Times New Roman" w:hAnsi="Times New Roman" w:eastAsia="宋体" w:cs="Times New Roman"/>
                      <w:color w:val="auto"/>
                      <w:szCs w:val="21"/>
                      <w:lang w:val="en-US" w:eastAsia="zh-CN"/>
                    </w:rPr>
                  </w:pPr>
                </w:p>
              </w:tc>
              <w:tc>
                <w:tcPr>
                  <w:tcW w:w="516" w:type="dxa"/>
                  <w:vMerge w:val="continue"/>
                  <w:tcBorders>
                    <w:tl2br w:val="nil"/>
                    <w:tr2bl w:val="nil"/>
                  </w:tcBorders>
                  <w:vAlign w:val="center"/>
                </w:tcPr>
                <w:p w14:paraId="293BCD7E">
                  <w:pPr>
                    <w:spacing w:line="240" w:lineRule="exact"/>
                    <w:jc w:val="center"/>
                    <w:rPr>
                      <w:rFonts w:hint="default" w:ascii="Times New Roman" w:hAnsi="Times New Roman" w:eastAsia="宋体" w:cs="Times New Roman"/>
                      <w:color w:val="auto"/>
                      <w:szCs w:val="21"/>
                      <w:lang w:val="en-US" w:eastAsia="zh-CN"/>
                    </w:rPr>
                  </w:pPr>
                </w:p>
              </w:tc>
              <w:tc>
                <w:tcPr>
                  <w:tcW w:w="422" w:type="dxa"/>
                  <w:vMerge w:val="continue"/>
                  <w:tcBorders>
                    <w:tl2br w:val="nil"/>
                    <w:tr2bl w:val="nil"/>
                  </w:tcBorders>
                  <w:vAlign w:val="center"/>
                </w:tcPr>
                <w:p w14:paraId="65B6D2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auto"/>
                      <w:szCs w:val="21"/>
                      <w:lang w:val="en-US" w:eastAsia="zh-CN"/>
                    </w:rPr>
                  </w:pPr>
                </w:p>
              </w:tc>
              <w:tc>
                <w:tcPr>
                  <w:tcW w:w="675" w:type="dxa"/>
                  <w:tcBorders>
                    <w:tl2br w:val="nil"/>
                    <w:tr2bl w:val="nil"/>
                  </w:tcBorders>
                  <w:vAlign w:val="center"/>
                </w:tcPr>
                <w:p w14:paraId="58A565C5">
                  <w:pPr>
                    <w:tabs>
                      <w:tab w:val="left" w:pos="185"/>
                    </w:tabs>
                    <w:spacing w:line="240" w:lineRule="exact"/>
                    <w:ind w:left="-105" w:leftChars="-50" w:right="-105" w:rightChars="-5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0.396</w:t>
                  </w:r>
                </w:p>
              </w:tc>
              <w:tc>
                <w:tcPr>
                  <w:tcW w:w="675" w:type="dxa"/>
                  <w:tcBorders>
                    <w:tl2br w:val="nil"/>
                    <w:tr2bl w:val="nil"/>
                  </w:tcBorders>
                  <w:vAlign w:val="center"/>
                </w:tcPr>
                <w:p w14:paraId="10098542">
                  <w:pPr>
                    <w:spacing w:line="24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0.11</w:t>
                  </w:r>
                </w:p>
              </w:tc>
              <w:tc>
                <w:tcPr>
                  <w:tcW w:w="843" w:type="dxa"/>
                  <w:tcBorders>
                    <w:tl2br w:val="nil"/>
                    <w:tr2bl w:val="nil"/>
                  </w:tcBorders>
                  <w:vAlign w:val="center"/>
                </w:tcPr>
                <w:p w14:paraId="6560C661">
                  <w:pPr>
                    <w:spacing w:line="24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11</w:t>
                  </w:r>
                </w:p>
              </w:tc>
            </w:tr>
            <w:tr w14:paraId="723F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283" w:type="dxa"/>
                  <w:vMerge w:val="continue"/>
                  <w:tcBorders>
                    <w:tl2br w:val="nil"/>
                    <w:tr2bl w:val="nil"/>
                  </w:tcBorders>
                  <w:vAlign w:val="center"/>
                </w:tcPr>
                <w:p w14:paraId="41E19797">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pPr>
                </w:p>
              </w:tc>
              <w:tc>
                <w:tcPr>
                  <w:tcW w:w="795" w:type="dxa"/>
                  <w:vMerge w:val="continue"/>
                  <w:tcBorders>
                    <w:tl2br w:val="nil"/>
                    <w:tr2bl w:val="nil"/>
                  </w:tcBorders>
                  <w:vAlign w:val="center"/>
                </w:tcPr>
                <w:p w14:paraId="6697F497">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pPr>
                </w:p>
              </w:tc>
              <w:tc>
                <w:tcPr>
                  <w:tcW w:w="330" w:type="dxa"/>
                  <w:tcBorders>
                    <w:tl2br w:val="nil"/>
                    <w:tr2bl w:val="nil"/>
                  </w:tcBorders>
                  <w:vAlign w:val="center"/>
                </w:tcPr>
                <w:p w14:paraId="14D0BE90">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default" w:eastAsia="宋体"/>
                      <w:lang w:val="en-US" w:eastAsia="zh-CN"/>
                    </w:rPr>
                  </w:pPr>
                  <w:r>
                    <w:rPr>
                      <w:rFonts w:hint="eastAsia"/>
                      <w:lang w:val="en-US" w:eastAsia="zh-CN"/>
                    </w:rPr>
                    <w:t>吸附、脱附</w:t>
                  </w:r>
                </w:p>
              </w:tc>
              <w:tc>
                <w:tcPr>
                  <w:tcW w:w="330" w:type="dxa"/>
                  <w:vMerge w:val="continue"/>
                  <w:tcBorders>
                    <w:tl2br w:val="nil"/>
                    <w:tr2bl w:val="nil"/>
                  </w:tcBorders>
                  <w:vAlign w:val="center"/>
                </w:tcPr>
                <w:p w14:paraId="4C14E2A0">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pPr>
                </w:p>
              </w:tc>
              <w:tc>
                <w:tcPr>
                  <w:tcW w:w="750" w:type="dxa"/>
                  <w:vMerge w:val="continue"/>
                  <w:tcBorders>
                    <w:tl2br w:val="nil"/>
                    <w:tr2bl w:val="nil"/>
                  </w:tcBorders>
                  <w:vAlign w:val="center"/>
                </w:tcPr>
                <w:p w14:paraId="6A188B0B">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pPr>
                </w:p>
              </w:tc>
              <w:tc>
                <w:tcPr>
                  <w:tcW w:w="690" w:type="dxa"/>
                  <w:vMerge w:val="continue"/>
                  <w:tcBorders>
                    <w:tl2br w:val="nil"/>
                    <w:tr2bl w:val="nil"/>
                  </w:tcBorders>
                  <w:vAlign w:val="center"/>
                </w:tcPr>
                <w:p w14:paraId="7EE2DC25">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pPr>
                </w:p>
              </w:tc>
              <w:tc>
                <w:tcPr>
                  <w:tcW w:w="810" w:type="dxa"/>
                  <w:vMerge w:val="continue"/>
                  <w:tcBorders>
                    <w:tl2br w:val="nil"/>
                    <w:tr2bl w:val="nil"/>
                  </w:tcBorders>
                  <w:vAlign w:val="center"/>
                </w:tcPr>
                <w:p w14:paraId="77045573">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pPr>
                </w:p>
              </w:tc>
              <w:tc>
                <w:tcPr>
                  <w:tcW w:w="865" w:type="dxa"/>
                  <w:vMerge w:val="continue"/>
                  <w:tcBorders>
                    <w:tl2br w:val="nil"/>
                    <w:tr2bl w:val="nil"/>
                  </w:tcBorders>
                  <w:vAlign w:val="center"/>
                </w:tcPr>
                <w:p w14:paraId="20C43115">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pPr>
                </w:p>
              </w:tc>
              <w:tc>
                <w:tcPr>
                  <w:tcW w:w="444" w:type="dxa"/>
                  <w:vMerge w:val="continue"/>
                  <w:tcBorders>
                    <w:tl2br w:val="nil"/>
                    <w:tr2bl w:val="nil"/>
                  </w:tcBorders>
                  <w:vAlign w:val="center"/>
                </w:tcPr>
                <w:p w14:paraId="3180D0E9">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pPr>
                </w:p>
              </w:tc>
              <w:tc>
                <w:tcPr>
                  <w:tcW w:w="516" w:type="dxa"/>
                  <w:vMerge w:val="continue"/>
                  <w:tcBorders>
                    <w:tl2br w:val="nil"/>
                    <w:tr2bl w:val="nil"/>
                  </w:tcBorders>
                  <w:vAlign w:val="center"/>
                </w:tcPr>
                <w:p w14:paraId="47BE03C0">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pPr>
                </w:p>
              </w:tc>
              <w:tc>
                <w:tcPr>
                  <w:tcW w:w="422" w:type="dxa"/>
                  <w:vMerge w:val="continue"/>
                  <w:tcBorders>
                    <w:tl2br w:val="nil"/>
                    <w:tr2bl w:val="nil"/>
                  </w:tcBorders>
                  <w:vAlign w:val="center"/>
                </w:tcPr>
                <w:p w14:paraId="68CE7E20">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pPr>
                </w:p>
              </w:tc>
              <w:tc>
                <w:tcPr>
                  <w:tcW w:w="675" w:type="dxa"/>
                  <w:tcBorders>
                    <w:tl2br w:val="nil"/>
                    <w:tr2bl w:val="nil"/>
                  </w:tcBorders>
                  <w:vAlign w:val="center"/>
                </w:tcPr>
                <w:p w14:paraId="1F73B375">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pPr>
                  <w:r>
                    <w:rPr>
                      <w:rFonts w:hint="eastAsia"/>
                    </w:rPr>
                    <w:t>0.264</w:t>
                  </w:r>
                </w:p>
              </w:tc>
              <w:tc>
                <w:tcPr>
                  <w:tcW w:w="675" w:type="dxa"/>
                  <w:tcBorders>
                    <w:tl2br w:val="nil"/>
                    <w:tr2bl w:val="nil"/>
                  </w:tcBorders>
                  <w:vAlign w:val="center"/>
                </w:tcPr>
                <w:p w14:paraId="29D1506B">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default" w:eastAsia="宋体"/>
                      <w:lang w:val="en-US" w:eastAsia="zh-CN"/>
                    </w:rPr>
                  </w:pPr>
                  <w:r>
                    <w:rPr>
                      <w:rFonts w:hint="eastAsia"/>
                      <w:lang w:val="en-US" w:eastAsia="zh-CN"/>
                    </w:rPr>
                    <w:t>0.22</w:t>
                  </w:r>
                </w:p>
              </w:tc>
              <w:tc>
                <w:tcPr>
                  <w:tcW w:w="843" w:type="dxa"/>
                  <w:tcBorders>
                    <w:tl2br w:val="nil"/>
                    <w:tr2bl w:val="nil"/>
                  </w:tcBorders>
                  <w:vAlign w:val="center"/>
                </w:tcPr>
                <w:p w14:paraId="0C2EC854">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default" w:eastAsia="宋体"/>
                      <w:lang w:val="en-US" w:eastAsia="zh-CN"/>
                    </w:rPr>
                  </w:pPr>
                  <w:r>
                    <w:rPr>
                      <w:rFonts w:hint="eastAsia"/>
                      <w:lang w:val="en-US" w:eastAsia="zh-CN"/>
                    </w:rPr>
                    <w:t>18.33</w:t>
                  </w:r>
                </w:p>
              </w:tc>
            </w:tr>
            <w:tr w14:paraId="5C98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283" w:type="dxa"/>
                  <w:vMerge w:val="continue"/>
                  <w:tcBorders>
                    <w:tl2br w:val="nil"/>
                    <w:tr2bl w:val="nil"/>
                  </w:tcBorders>
                  <w:vAlign w:val="center"/>
                </w:tcPr>
                <w:p w14:paraId="6EDBD0FC">
                  <w:pPr>
                    <w:spacing w:line="240" w:lineRule="exact"/>
                    <w:ind w:left="-105" w:leftChars="-50" w:right="-105" w:rightChars="-50"/>
                    <w:jc w:val="center"/>
                    <w:rPr>
                      <w:rFonts w:hint="eastAsia" w:cs="Times New Roman"/>
                      <w:color w:val="auto"/>
                      <w:szCs w:val="21"/>
                      <w:lang w:val="en-US" w:eastAsia="zh-CN"/>
                    </w:rPr>
                  </w:pPr>
                </w:p>
              </w:tc>
              <w:tc>
                <w:tcPr>
                  <w:tcW w:w="795" w:type="dxa"/>
                  <w:tcBorders>
                    <w:tl2br w:val="nil"/>
                    <w:tr2bl w:val="nil"/>
                  </w:tcBorders>
                  <w:vAlign w:val="center"/>
                </w:tcPr>
                <w:p w14:paraId="2594A474">
                  <w:pPr>
                    <w:pStyle w:val="87"/>
                    <w:spacing w:line="280" w:lineRule="exact"/>
                    <w:ind w:firstLine="0" w:firstLineChars="0"/>
                    <w:jc w:val="center"/>
                    <w:rPr>
                      <w:rFonts w:hint="eastAsia" w:ascii="Times New Roman" w:hAnsi="Times New Roman" w:eastAsia="宋体" w:cs="Times New Roman"/>
                      <w:bCs/>
                      <w:color w:val="0000FF"/>
                      <w:sz w:val="21"/>
                      <w:szCs w:val="21"/>
                      <w:lang w:val="en-US" w:eastAsia="zh-CN"/>
                    </w:rPr>
                  </w:pPr>
                  <w:r>
                    <w:rPr>
                      <w:rFonts w:hint="eastAsia" w:ascii="Times New Roman" w:hAnsi="Times New Roman" w:eastAsia="宋体" w:cs="Times New Roman"/>
                      <w:bCs/>
                      <w:color w:val="0000FF"/>
                      <w:kern w:val="2"/>
                      <w:sz w:val="21"/>
                      <w:szCs w:val="21"/>
                      <w:lang w:val="en-US" w:eastAsia="zh-CN" w:bidi="ar-SA"/>
                    </w:rPr>
                    <w:t>干式粉碎</w:t>
                  </w:r>
                </w:p>
              </w:tc>
              <w:tc>
                <w:tcPr>
                  <w:tcW w:w="660" w:type="dxa"/>
                  <w:gridSpan w:val="2"/>
                  <w:tcBorders>
                    <w:tl2br w:val="nil"/>
                    <w:tr2bl w:val="nil"/>
                  </w:tcBorders>
                  <w:vAlign w:val="center"/>
                </w:tcPr>
                <w:p w14:paraId="3CE6B6A7">
                  <w:pPr>
                    <w:pStyle w:val="87"/>
                    <w:spacing w:line="280" w:lineRule="exact"/>
                    <w:ind w:firstLine="0" w:firstLineChars="0"/>
                    <w:jc w:val="center"/>
                    <w:rPr>
                      <w:rFonts w:hint="default" w:ascii="Times New Roman" w:hAnsi="Times New Roman" w:cs="Times New Roman"/>
                      <w:bCs/>
                      <w:color w:val="0000FF"/>
                      <w:sz w:val="21"/>
                      <w:szCs w:val="21"/>
                      <w:lang w:val="en-US" w:eastAsia="zh-CN"/>
                    </w:rPr>
                  </w:pPr>
                  <w:r>
                    <w:rPr>
                      <w:rFonts w:hint="eastAsia" w:ascii="Times New Roman" w:hAnsi="Times New Roman" w:cs="Times New Roman"/>
                      <w:bCs/>
                      <w:color w:val="0000FF"/>
                      <w:sz w:val="21"/>
                      <w:szCs w:val="21"/>
                      <w:lang w:val="en-US" w:eastAsia="zh-CN"/>
                    </w:rPr>
                    <w:t>颗粒物</w:t>
                  </w:r>
                </w:p>
              </w:tc>
              <w:tc>
                <w:tcPr>
                  <w:tcW w:w="750" w:type="dxa"/>
                  <w:tcBorders>
                    <w:tl2br w:val="nil"/>
                    <w:tr2bl w:val="nil"/>
                  </w:tcBorders>
                  <w:vAlign w:val="center"/>
                </w:tcPr>
                <w:p w14:paraId="60E64C27">
                  <w:pPr>
                    <w:tabs>
                      <w:tab w:val="left" w:pos="185"/>
                    </w:tabs>
                    <w:spacing w:line="240" w:lineRule="exact"/>
                    <w:ind w:left="-105" w:leftChars="-50" w:right="-105" w:rightChars="-50"/>
                    <w:jc w:val="center"/>
                    <w:rPr>
                      <w:rFonts w:hint="default" w:cs="Times New Roman"/>
                      <w:color w:val="0000FF"/>
                      <w:szCs w:val="21"/>
                      <w:lang w:val="en-US" w:eastAsia="zh-CN"/>
                    </w:rPr>
                  </w:pPr>
                  <w:r>
                    <w:rPr>
                      <w:rFonts w:hint="eastAsia" w:cs="Times New Roman"/>
                      <w:color w:val="0000FF"/>
                      <w:szCs w:val="21"/>
                      <w:lang w:val="en-US" w:eastAsia="zh-CN"/>
                    </w:rPr>
                    <w:t>0.25</w:t>
                  </w:r>
                </w:p>
              </w:tc>
              <w:tc>
                <w:tcPr>
                  <w:tcW w:w="690" w:type="dxa"/>
                  <w:tcBorders>
                    <w:tl2br w:val="nil"/>
                    <w:tr2bl w:val="nil"/>
                  </w:tcBorders>
                  <w:vAlign w:val="center"/>
                </w:tcPr>
                <w:p w14:paraId="0E4EE1E6">
                  <w:pPr>
                    <w:spacing w:line="240" w:lineRule="exact"/>
                    <w:jc w:val="center"/>
                    <w:rPr>
                      <w:rFonts w:hint="default" w:cs="Times New Roman"/>
                      <w:color w:val="0000FF"/>
                      <w:szCs w:val="21"/>
                      <w:lang w:val="en-US" w:eastAsia="zh-CN"/>
                    </w:rPr>
                  </w:pPr>
                  <w:r>
                    <w:rPr>
                      <w:rFonts w:hint="eastAsia" w:cs="Times New Roman"/>
                      <w:color w:val="0000FF"/>
                      <w:szCs w:val="21"/>
                      <w:lang w:val="en-US" w:eastAsia="zh-CN"/>
                    </w:rPr>
                    <w:t>0.52</w:t>
                  </w:r>
                </w:p>
              </w:tc>
              <w:tc>
                <w:tcPr>
                  <w:tcW w:w="810" w:type="dxa"/>
                  <w:tcBorders>
                    <w:tl2br w:val="nil"/>
                    <w:tr2bl w:val="nil"/>
                  </w:tcBorders>
                  <w:vAlign w:val="center"/>
                </w:tcPr>
                <w:p w14:paraId="0E505703">
                  <w:pPr>
                    <w:spacing w:line="240" w:lineRule="exact"/>
                    <w:jc w:val="center"/>
                    <w:rPr>
                      <w:rFonts w:hint="default" w:cs="Times New Roman"/>
                      <w:color w:val="0000FF"/>
                      <w:szCs w:val="21"/>
                      <w:lang w:val="en-US" w:eastAsia="zh-CN"/>
                    </w:rPr>
                  </w:pPr>
                  <w:r>
                    <w:rPr>
                      <w:rFonts w:hint="eastAsia" w:cs="Times New Roman"/>
                      <w:color w:val="0000FF"/>
                      <w:szCs w:val="21"/>
                      <w:lang w:val="en-US" w:eastAsia="zh-CN"/>
                    </w:rPr>
                    <w:t>260.42</w:t>
                  </w:r>
                </w:p>
              </w:tc>
              <w:tc>
                <w:tcPr>
                  <w:tcW w:w="865" w:type="dxa"/>
                  <w:tcBorders>
                    <w:tl2br w:val="nil"/>
                    <w:tr2bl w:val="nil"/>
                  </w:tcBorders>
                  <w:vAlign w:val="center"/>
                </w:tcPr>
                <w:p w14:paraId="3CBDE56A">
                  <w:pPr>
                    <w:pStyle w:val="87"/>
                    <w:spacing w:line="280" w:lineRule="exact"/>
                    <w:ind w:firstLine="0" w:firstLineChars="0"/>
                    <w:jc w:val="center"/>
                    <w:rPr>
                      <w:rFonts w:hint="eastAsia" w:ascii="Times New Roman" w:hAnsi="Times New Roman" w:cs="Times New Roman"/>
                      <w:bCs/>
                      <w:color w:val="0000FF"/>
                      <w:sz w:val="21"/>
                      <w:szCs w:val="21"/>
                      <w:lang w:val="en-US" w:eastAsia="zh-CN"/>
                    </w:rPr>
                  </w:pPr>
                  <w:r>
                    <w:rPr>
                      <w:rFonts w:hint="eastAsia" w:ascii="Times New Roman" w:hAnsi="Times New Roman" w:cs="Times New Roman"/>
                      <w:bCs/>
                      <w:color w:val="0000FF"/>
                      <w:sz w:val="21"/>
                      <w:szCs w:val="21"/>
                      <w:lang w:val="en-US" w:eastAsia="zh-CN"/>
                    </w:rPr>
                    <w:t>袋式除尘器+</w:t>
                  </w:r>
                  <w:r>
                    <w:rPr>
                      <w:rFonts w:hint="default" w:ascii="Times New Roman" w:hAnsi="Times New Roman" w:eastAsia="宋体" w:cs="Times New Roman"/>
                      <w:bCs/>
                      <w:color w:val="0000FF"/>
                      <w:sz w:val="21"/>
                      <w:szCs w:val="21"/>
                      <w:lang w:val="en-US" w:eastAsia="zh-CN"/>
                    </w:rPr>
                    <w:t>15m排气筒</w:t>
                  </w:r>
                  <w:r>
                    <w:rPr>
                      <w:rFonts w:hint="eastAsia" w:ascii="Times New Roman" w:hAnsi="Times New Roman" w:cs="Times New Roman"/>
                      <w:bCs/>
                      <w:color w:val="0000FF"/>
                      <w:sz w:val="21"/>
                      <w:szCs w:val="21"/>
                      <w:lang w:val="en-US" w:eastAsia="zh-CN"/>
                    </w:rPr>
                    <w:t>（</w:t>
                  </w:r>
                  <w:r>
                    <w:rPr>
                      <w:rFonts w:hint="default" w:ascii="Times New Roman" w:hAnsi="Times New Roman" w:eastAsia="宋体" w:cs="Times New Roman"/>
                      <w:bCs/>
                      <w:color w:val="0000FF"/>
                      <w:sz w:val="21"/>
                      <w:szCs w:val="21"/>
                      <w:lang w:val="en-US" w:eastAsia="zh-CN"/>
                    </w:rPr>
                    <w:t>DA00</w:t>
                  </w:r>
                  <w:r>
                    <w:rPr>
                      <w:rFonts w:hint="eastAsia" w:ascii="Times New Roman" w:hAnsi="Times New Roman" w:cs="Times New Roman"/>
                      <w:bCs/>
                      <w:color w:val="0000FF"/>
                      <w:sz w:val="21"/>
                      <w:szCs w:val="21"/>
                      <w:lang w:val="en-US" w:eastAsia="zh-CN"/>
                    </w:rPr>
                    <w:t>2）</w:t>
                  </w:r>
                  <w:r>
                    <w:rPr>
                      <w:rFonts w:hint="default" w:ascii="Times New Roman" w:hAnsi="Times New Roman" w:eastAsia="宋体" w:cs="Times New Roman"/>
                      <w:bCs/>
                      <w:color w:val="0000FF"/>
                      <w:sz w:val="21"/>
                      <w:szCs w:val="21"/>
                      <w:lang w:val="en-US" w:eastAsia="zh-CN"/>
                    </w:rPr>
                    <w:t>排放</w:t>
                  </w:r>
                </w:p>
              </w:tc>
              <w:tc>
                <w:tcPr>
                  <w:tcW w:w="444" w:type="dxa"/>
                  <w:tcBorders>
                    <w:tl2br w:val="nil"/>
                    <w:tr2bl w:val="nil"/>
                  </w:tcBorders>
                  <w:vAlign w:val="center"/>
                </w:tcPr>
                <w:p w14:paraId="771D2EB6">
                  <w:pPr>
                    <w:spacing w:line="240" w:lineRule="exact"/>
                    <w:jc w:val="center"/>
                    <w:rPr>
                      <w:rFonts w:hint="eastAsia" w:cs="Times New Roman"/>
                      <w:color w:val="0000FF"/>
                      <w:szCs w:val="21"/>
                      <w:lang w:val="en-US" w:eastAsia="zh-CN"/>
                    </w:rPr>
                  </w:pPr>
                  <w:r>
                    <w:rPr>
                      <w:rFonts w:hint="eastAsia" w:cs="Times New Roman"/>
                      <w:color w:val="0000FF"/>
                      <w:szCs w:val="21"/>
                      <w:lang w:val="en-US" w:eastAsia="zh-CN"/>
                    </w:rPr>
                    <w:t>90</w:t>
                  </w:r>
                </w:p>
              </w:tc>
              <w:tc>
                <w:tcPr>
                  <w:tcW w:w="516" w:type="dxa"/>
                  <w:tcBorders>
                    <w:tl2br w:val="nil"/>
                    <w:tr2bl w:val="nil"/>
                  </w:tcBorders>
                  <w:vAlign w:val="center"/>
                </w:tcPr>
                <w:p w14:paraId="57E0599F">
                  <w:pPr>
                    <w:spacing w:line="240" w:lineRule="exact"/>
                    <w:jc w:val="center"/>
                    <w:rPr>
                      <w:rFonts w:hint="eastAsia" w:cs="Times New Roman"/>
                      <w:color w:val="0000FF"/>
                      <w:szCs w:val="21"/>
                      <w:lang w:val="en-US" w:eastAsia="zh-CN"/>
                    </w:rPr>
                  </w:pPr>
                  <w:r>
                    <w:rPr>
                      <w:rFonts w:hint="eastAsia" w:cs="Times New Roman"/>
                      <w:color w:val="0000FF"/>
                      <w:szCs w:val="21"/>
                      <w:lang w:val="en-US" w:eastAsia="zh-CN"/>
                    </w:rPr>
                    <w:t>99</w:t>
                  </w:r>
                </w:p>
              </w:tc>
              <w:tc>
                <w:tcPr>
                  <w:tcW w:w="422" w:type="dxa"/>
                  <w:tcBorders>
                    <w:tl2br w:val="nil"/>
                    <w:tr2bl w:val="nil"/>
                  </w:tcBorders>
                  <w:vAlign w:val="center"/>
                </w:tcPr>
                <w:p w14:paraId="7C10E8B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color w:val="0000FF"/>
                      <w:szCs w:val="21"/>
                      <w:lang w:val="en-US" w:eastAsia="zh-CN"/>
                    </w:rPr>
                  </w:pPr>
                  <w:r>
                    <w:rPr>
                      <w:rFonts w:hint="eastAsia" w:cs="Times New Roman"/>
                      <w:color w:val="0000FF"/>
                      <w:szCs w:val="21"/>
                      <w:lang w:val="en-US" w:eastAsia="zh-CN"/>
                    </w:rPr>
                    <w:t>是</w:t>
                  </w:r>
                </w:p>
              </w:tc>
              <w:tc>
                <w:tcPr>
                  <w:tcW w:w="675" w:type="dxa"/>
                  <w:tcBorders>
                    <w:tl2br w:val="nil"/>
                    <w:tr2bl w:val="nil"/>
                  </w:tcBorders>
                  <w:vAlign w:val="center"/>
                </w:tcPr>
                <w:p w14:paraId="0AD92D99">
                  <w:pPr>
                    <w:tabs>
                      <w:tab w:val="left" w:pos="185"/>
                    </w:tabs>
                    <w:spacing w:line="240" w:lineRule="exact"/>
                    <w:ind w:left="-105" w:leftChars="-50" w:right="-105" w:rightChars="-50"/>
                    <w:jc w:val="center"/>
                    <w:rPr>
                      <w:rFonts w:hint="eastAsia" w:cs="Times New Roman"/>
                      <w:color w:val="0000FF"/>
                      <w:szCs w:val="21"/>
                      <w:lang w:val="en-US" w:eastAsia="zh-CN"/>
                    </w:rPr>
                  </w:pPr>
                  <w:r>
                    <w:rPr>
                      <w:rFonts w:hint="eastAsia" w:cs="Times New Roman"/>
                      <w:color w:val="0000FF"/>
                      <w:szCs w:val="21"/>
                      <w:lang w:val="en-US" w:eastAsia="zh-CN"/>
                    </w:rPr>
                    <w:t>0.003</w:t>
                  </w:r>
                </w:p>
              </w:tc>
              <w:tc>
                <w:tcPr>
                  <w:tcW w:w="675" w:type="dxa"/>
                  <w:tcBorders>
                    <w:tl2br w:val="nil"/>
                    <w:tr2bl w:val="nil"/>
                  </w:tcBorders>
                  <w:vAlign w:val="center"/>
                </w:tcPr>
                <w:p w14:paraId="445E0B11">
                  <w:pPr>
                    <w:spacing w:line="240" w:lineRule="exact"/>
                    <w:jc w:val="center"/>
                    <w:rPr>
                      <w:rFonts w:hint="default" w:cs="Times New Roman"/>
                      <w:color w:val="0000FF"/>
                      <w:szCs w:val="21"/>
                      <w:lang w:val="en-US" w:eastAsia="zh-CN"/>
                    </w:rPr>
                  </w:pPr>
                  <w:r>
                    <w:rPr>
                      <w:rFonts w:hint="eastAsia" w:cs="Times New Roman"/>
                      <w:color w:val="0000FF"/>
                      <w:szCs w:val="21"/>
                      <w:lang w:val="en-US" w:eastAsia="zh-CN"/>
                    </w:rPr>
                    <w:t>0.005</w:t>
                  </w:r>
                </w:p>
              </w:tc>
              <w:tc>
                <w:tcPr>
                  <w:tcW w:w="843" w:type="dxa"/>
                  <w:tcBorders>
                    <w:tl2br w:val="nil"/>
                    <w:tr2bl w:val="nil"/>
                  </w:tcBorders>
                  <w:vAlign w:val="center"/>
                </w:tcPr>
                <w:p w14:paraId="3769BE9B">
                  <w:pPr>
                    <w:spacing w:line="240" w:lineRule="exact"/>
                    <w:jc w:val="center"/>
                    <w:rPr>
                      <w:rFonts w:hint="default" w:cs="Times New Roman"/>
                      <w:color w:val="0000FF"/>
                      <w:szCs w:val="21"/>
                      <w:lang w:val="en-US" w:eastAsia="zh-CN"/>
                    </w:rPr>
                  </w:pPr>
                  <w:r>
                    <w:rPr>
                      <w:rFonts w:hint="eastAsia" w:cs="Times New Roman"/>
                      <w:color w:val="0000FF"/>
                      <w:szCs w:val="21"/>
                      <w:lang w:val="en-US" w:eastAsia="zh-CN"/>
                    </w:rPr>
                    <w:t>2.60</w:t>
                  </w:r>
                </w:p>
              </w:tc>
            </w:tr>
            <w:tr w14:paraId="464A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83" w:type="dxa"/>
                  <w:vMerge w:val="restart"/>
                  <w:tcBorders>
                    <w:tl2br w:val="nil"/>
                    <w:tr2bl w:val="nil"/>
                  </w:tcBorders>
                  <w:vAlign w:val="center"/>
                </w:tcPr>
                <w:p w14:paraId="1FD5FC96">
                  <w:pPr>
                    <w:spacing w:line="240" w:lineRule="exact"/>
                    <w:ind w:left="-105" w:leftChars="-50" w:right="-105" w:rightChars="-50"/>
                    <w:jc w:val="center"/>
                    <w:rPr>
                      <w:rFonts w:hint="default" w:cs="Times New Roman"/>
                      <w:color w:val="auto"/>
                      <w:szCs w:val="21"/>
                      <w:lang w:val="en-US" w:eastAsia="zh-CN"/>
                    </w:rPr>
                  </w:pPr>
                  <w:r>
                    <w:rPr>
                      <w:rFonts w:hint="eastAsia" w:cs="Times New Roman"/>
                      <w:color w:val="auto"/>
                      <w:szCs w:val="21"/>
                      <w:lang w:val="en-US" w:eastAsia="zh-CN"/>
                    </w:rPr>
                    <w:t>无组织</w:t>
                  </w:r>
                </w:p>
              </w:tc>
              <w:tc>
                <w:tcPr>
                  <w:tcW w:w="795" w:type="dxa"/>
                  <w:vMerge w:val="restart"/>
                  <w:tcBorders>
                    <w:tl2br w:val="nil"/>
                    <w:tr2bl w:val="nil"/>
                  </w:tcBorders>
                  <w:vAlign w:val="center"/>
                </w:tcPr>
                <w:p w14:paraId="149C0842">
                  <w:pPr>
                    <w:spacing w:line="240" w:lineRule="exact"/>
                    <w:ind w:left="-105" w:leftChars="-50" w:right="-105" w:rightChars="-50"/>
                    <w:jc w:val="center"/>
                    <w:rPr>
                      <w:rFonts w:hint="eastAsia" w:cs="Times New Roman"/>
                      <w:color w:val="auto"/>
                      <w:sz w:val="21"/>
                      <w:szCs w:val="21"/>
                      <w:lang w:val="en-US" w:eastAsia="zh-CN"/>
                    </w:rPr>
                  </w:pPr>
                  <w:r>
                    <w:rPr>
                      <w:rFonts w:hint="eastAsia" w:cs="Times New Roman"/>
                      <w:color w:val="auto"/>
                      <w:sz w:val="21"/>
                      <w:szCs w:val="21"/>
                      <w:lang w:val="en-US" w:eastAsia="zh-CN"/>
                    </w:rPr>
                    <w:t>生产</w:t>
                  </w:r>
                </w:p>
                <w:p w14:paraId="2E3DE94B">
                  <w:pPr>
                    <w:spacing w:line="240" w:lineRule="exact"/>
                    <w:ind w:left="-105" w:leftChars="-50" w:right="-105" w:rightChars="-50"/>
                    <w:jc w:val="center"/>
                    <w:rPr>
                      <w:rFonts w:hint="eastAsia" w:ascii="Times New Roman" w:hAnsi="Times New Roman" w:eastAsia="宋体" w:cs="Times New Roman"/>
                      <w:color w:val="auto"/>
                      <w:szCs w:val="21"/>
                      <w:lang w:val="en-US" w:eastAsia="zh-CN"/>
                    </w:rPr>
                  </w:pPr>
                  <w:r>
                    <w:rPr>
                      <w:rFonts w:hint="eastAsia" w:cs="Times New Roman"/>
                      <w:color w:val="auto"/>
                      <w:sz w:val="21"/>
                      <w:szCs w:val="21"/>
                      <w:lang w:val="en-US" w:eastAsia="zh-CN"/>
                    </w:rPr>
                    <w:t>过程</w:t>
                  </w:r>
                </w:p>
              </w:tc>
              <w:tc>
                <w:tcPr>
                  <w:tcW w:w="660" w:type="dxa"/>
                  <w:gridSpan w:val="2"/>
                  <w:tcBorders>
                    <w:tl2br w:val="nil"/>
                    <w:tr2bl w:val="nil"/>
                  </w:tcBorders>
                  <w:vAlign w:val="center"/>
                </w:tcPr>
                <w:p w14:paraId="3C8AD15F">
                  <w:pPr>
                    <w:spacing w:line="240" w:lineRule="exact"/>
                    <w:ind w:left="-105" w:leftChars="-50" w:right="-105" w:rightChars="-50"/>
                    <w:jc w:val="center"/>
                    <w:rPr>
                      <w:rFonts w:hint="eastAsia" w:cs="Times New Roman"/>
                      <w:color w:val="auto"/>
                      <w:szCs w:val="21"/>
                      <w:lang w:val="en-US" w:eastAsia="zh-CN"/>
                    </w:rPr>
                  </w:pPr>
                  <w:r>
                    <w:rPr>
                      <w:rFonts w:hint="eastAsia" w:cs="Times New Roman"/>
                      <w:color w:val="auto"/>
                      <w:szCs w:val="21"/>
                      <w:lang w:val="en-US" w:eastAsia="zh-CN"/>
                    </w:rPr>
                    <w:t>臭气</w:t>
                  </w:r>
                </w:p>
                <w:p w14:paraId="630EC948">
                  <w:pPr>
                    <w:spacing w:line="240" w:lineRule="exact"/>
                    <w:ind w:left="-105" w:leftChars="-50" w:right="-105" w:rightChars="-50"/>
                    <w:jc w:val="center"/>
                    <w:rPr>
                      <w:rFonts w:hint="eastAsia" w:cs="Times New Roman"/>
                      <w:color w:val="auto"/>
                      <w:szCs w:val="21"/>
                      <w:lang w:val="en-US" w:eastAsia="zh-CN"/>
                    </w:rPr>
                  </w:pPr>
                  <w:r>
                    <w:rPr>
                      <w:rFonts w:hint="eastAsia" w:cs="Times New Roman"/>
                      <w:color w:val="auto"/>
                      <w:szCs w:val="21"/>
                      <w:lang w:val="en-US" w:eastAsia="zh-CN"/>
                    </w:rPr>
                    <w:t>浓度</w:t>
                  </w:r>
                </w:p>
              </w:tc>
              <w:tc>
                <w:tcPr>
                  <w:tcW w:w="750" w:type="dxa"/>
                  <w:tcBorders>
                    <w:tl2br w:val="nil"/>
                    <w:tr2bl w:val="nil"/>
                  </w:tcBorders>
                  <w:vAlign w:val="center"/>
                </w:tcPr>
                <w:p w14:paraId="4A6339AF">
                  <w:pPr>
                    <w:spacing w:line="240" w:lineRule="exact"/>
                    <w:jc w:val="center"/>
                    <w:rPr>
                      <w:rFonts w:hint="default" w:cs="Times New Roman"/>
                      <w:color w:val="auto"/>
                      <w:szCs w:val="21"/>
                      <w:lang w:val="en-US" w:eastAsia="zh-CN"/>
                    </w:rPr>
                  </w:pPr>
                  <w:r>
                    <w:rPr>
                      <w:rFonts w:hint="eastAsia" w:cs="Times New Roman"/>
                      <w:bCs/>
                      <w:color w:val="auto"/>
                      <w:sz w:val="21"/>
                      <w:szCs w:val="21"/>
                      <w:lang w:eastAsia="zh-CN"/>
                    </w:rPr>
                    <w:t>—</w:t>
                  </w:r>
                </w:p>
              </w:tc>
              <w:tc>
                <w:tcPr>
                  <w:tcW w:w="690" w:type="dxa"/>
                  <w:tcBorders>
                    <w:tl2br w:val="nil"/>
                    <w:tr2bl w:val="nil"/>
                  </w:tcBorders>
                  <w:vAlign w:val="center"/>
                </w:tcPr>
                <w:p w14:paraId="5FE3D8E6">
                  <w:pPr>
                    <w:spacing w:line="240" w:lineRule="exact"/>
                    <w:jc w:val="center"/>
                    <w:rPr>
                      <w:rFonts w:hint="default" w:cs="Times New Roman"/>
                      <w:color w:val="auto"/>
                      <w:szCs w:val="21"/>
                      <w:lang w:val="en-US" w:eastAsia="zh-CN"/>
                    </w:rPr>
                  </w:pPr>
                  <w:r>
                    <w:rPr>
                      <w:rFonts w:hint="eastAsia" w:cs="Times New Roman"/>
                      <w:bCs/>
                      <w:color w:val="auto"/>
                      <w:sz w:val="21"/>
                      <w:szCs w:val="21"/>
                      <w:lang w:eastAsia="zh-CN"/>
                    </w:rPr>
                    <w:t>—</w:t>
                  </w:r>
                </w:p>
              </w:tc>
              <w:tc>
                <w:tcPr>
                  <w:tcW w:w="810" w:type="dxa"/>
                  <w:tcBorders>
                    <w:tl2br w:val="nil"/>
                    <w:tr2bl w:val="nil"/>
                  </w:tcBorders>
                  <w:vAlign w:val="center"/>
                </w:tcPr>
                <w:p w14:paraId="1AA4FA99">
                  <w:pPr>
                    <w:spacing w:line="240" w:lineRule="exact"/>
                    <w:jc w:val="center"/>
                    <w:rPr>
                      <w:rFonts w:hint="default" w:ascii="Times New Roman" w:hAnsi="Times New Roman" w:cs="Times New Roman"/>
                      <w:bCs/>
                      <w:color w:val="auto"/>
                      <w:sz w:val="21"/>
                      <w:szCs w:val="21"/>
                    </w:rPr>
                  </w:pPr>
                  <w:r>
                    <w:rPr>
                      <w:rFonts w:hint="eastAsia" w:cs="Times New Roman"/>
                      <w:bCs/>
                      <w:color w:val="auto"/>
                      <w:sz w:val="21"/>
                      <w:szCs w:val="21"/>
                      <w:lang w:eastAsia="zh-CN"/>
                    </w:rPr>
                    <w:t>—</w:t>
                  </w:r>
                </w:p>
              </w:tc>
              <w:tc>
                <w:tcPr>
                  <w:tcW w:w="865" w:type="dxa"/>
                  <w:vMerge w:val="restart"/>
                  <w:tcBorders>
                    <w:tl2br w:val="nil"/>
                    <w:tr2bl w:val="nil"/>
                  </w:tcBorders>
                  <w:vAlign w:val="center"/>
                </w:tcPr>
                <w:p w14:paraId="40EE5DBD">
                  <w:pPr>
                    <w:spacing w:line="240" w:lineRule="exac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bCs/>
                      <w:color w:val="auto"/>
                      <w:sz w:val="21"/>
                      <w:szCs w:val="21"/>
                      <w:lang w:val="en-US" w:eastAsia="zh-CN"/>
                    </w:rPr>
                    <w:t>厂房封闭，加强</w:t>
                  </w:r>
                  <w:r>
                    <w:rPr>
                      <w:rFonts w:hint="eastAsia" w:cs="Times New Roman"/>
                      <w:bCs/>
                      <w:color w:val="auto"/>
                      <w:sz w:val="21"/>
                      <w:szCs w:val="21"/>
                      <w:lang w:val="en-US" w:eastAsia="zh-CN"/>
                    </w:rPr>
                    <w:t>通风</w:t>
                  </w:r>
                </w:p>
              </w:tc>
              <w:tc>
                <w:tcPr>
                  <w:tcW w:w="444" w:type="dxa"/>
                  <w:vMerge w:val="restart"/>
                  <w:tcBorders>
                    <w:tl2br w:val="nil"/>
                    <w:tr2bl w:val="nil"/>
                  </w:tcBorders>
                  <w:vAlign w:val="center"/>
                </w:tcPr>
                <w:p w14:paraId="2C5592AF">
                  <w:pPr>
                    <w:spacing w:line="240" w:lineRule="exact"/>
                    <w:jc w:val="center"/>
                    <w:rPr>
                      <w:rFonts w:hint="default" w:ascii="Times New Roman" w:hAnsi="Times New Roman" w:cs="Times New Roman"/>
                      <w:color w:val="auto"/>
                      <w:szCs w:val="21"/>
                    </w:rPr>
                  </w:pPr>
                  <w:r>
                    <w:rPr>
                      <w:rFonts w:hint="eastAsia" w:cs="Times New Roman"/>
                      <w:bCs/>
                      <w:color w:val="auto"/>
                      <w:sz w:val="21"/>
                      <w:szCs w:val="21"/>
                      <w:lang w:eastAsia="zh-CN"/>
                    </w:rPr>
                    <w:t>—</w:t>
                  </w:r>
                </w:p>
              </w:tc>
              <w:tc>
                <w:tcPr>
                  <w:tcW w:w="516" w:type="dxa"/>
                  <w:vMerge w:val="restart"/>
                  <w:tcBorders>
                    <w:tl2br w:val="nil"/>
                    <w:tr2bl w:val="nil"/>
                  </w:tcBorders>
                  <w:vAlign w:val="center"/>
                </w:tcPr>
                <w:p w14:paraId="649966B5">
                  <w:pPr>
                    <w:spacing w:line="240" w:lineRule="exact"/>
                    <w:jc w:val="center"/>
                    <w:rPr>
                      <w:rFonts w:hint="default" w:cs="Times New Roman"/>
                      <w:color w:val="auto"/>
                      <w:szCs w:val="21"/>
                      <w:lang w:val="en-US" w:eastAsia="zh-CN"/>
                    </w:rPr>
                  </w:pPr>
                  <w:r>
                    <w:rPr>
                      <w:rFonts w:hint="eastAsia" w:cs="Times New Roman"/>
                      <w:bCs/>
                      <w:color w:val="auto"/>
                      <w:sz w:val="21"/>
                      <w:szCs w:val="21"/>
                      <w:lang w:eastAsia="zh-CN"/>
                    </w:rPr>
                    <w:t>—</w:t>
                  </w:r>
                </w:p>
              </w:tc>
              <w:tc>
                <w:tcPr>
                  <w:tcW w:w="422" w:type="dxa"/>
                  <w:vMerge w:val="restart"/>
                  <w:tcBorders>
                    <w:tl2br w:val="nil"/>
                    <w:tr2bl w:val="nil"/>
                  </w:tcBorders>
                  <w:vAlign w:val="center"/>
                </w:tcPr>
                <w:p w14:paraId="228BC752">
                  <w:pPr>
                    <w:spacing w:line="240" w:lineRule="exact"/>
                    <w:jc w:val="center"/>
                    <w:rPr>
                      <w:rFonts w:hint="default" w:cs="Times New Roman"/>
                      <w:color w:val="auto"/>
                      <w:szCs w:val="21"/>
                      <w:lang w:val="en-US" w:eastAsia="zh-CN"/>
                    </w:rPr>
                  </w:pPr>
                  <w:r>
                    <w:rPr>
                      <w:rFonts w:hint="eastAsia" w:cs="Times New Roman"/>
                      <w:bCs/>
                      <w:color w:val="auto"/>
                      <w:sz w:val="21"/>
                      <w:szCs w:val="21"/>
                      <w:lang w:eastAsia="zh-CN"/>
                    </w:rPr>
                    <w:t>—</w:t>
                  </w:r>
                </w:p>
              </w:tc>
              <w:tc>
                <w:tcPr>
                  <w:tcW w:w="675" w:type="dxa"/>
                  <w:tcBorders>
                    <w:tl2br w:val="nil"/>
                    <w:tr2bl w:val="nil"/>
                  </w:tcBorders>
                  <w:vAlign w:val="center"/>
                </w:tcPr>
                <w:p w14:paraId="10752111">
                  <w:pPr>
                    <w:spacing w:line="240" w:lineRule="exact"/>
                    <w:ind w:left="-105" w:leftChars="-50" w:right="-105" w:rightChars="-50"/>
                    <w:jc w:val="center"/>
                    <w:rPr>
                      <w:rFonts w:hint="default" w:cs="Times New Roman"/>
                      <w:color w:val="auto"/>
                      <w:szCs w:val="21"/>
                      <w:lang w:val="en-US" w:eastAsia="zh-CN"/>
                    </w:rPr>
                  </w:pPr>
                  <w:r>
                    <w:rPr>
                      <w:rFonts w:hint="eastAsia" w:cs="Times New Roman"/>
                      <w:bCs/>
                      <w:color w:val="auto"/>
                      <w:sz w:val="21"/>
                      <w:szCs w:val="21"/>
                      <w:lang w:eastAsia="zh-CN"/>
                    </w:rPr>
                    <w:t>—</w:t>
                  </w:r>
                </w:p>
              </w:tc>
              <w:tc>
                <w:tcPr>
                  <w:tcW w:w="675" w:type="dxa"/>
                  <w:tcBorders>
                    <w:tl2br w:val="nil"/>
                    <w:tr2bl w:val="nil"/>
                  </w:tcBorders>
                  <w:vAlign w:val="center"/>
                </w:tcPr>
                <w:p w14:paraId="3C7FC530">
                  <w:pPr>
                    <w:spacing w:line="240" w:lineRule="exact"/>
                    <w:jc w:val="center"/>
                    <w:rPr>
                      <w:rFonts w:hint="default" w:cs="Times New Roman"/>
                      <w:color w:val="auto"/>
                      <w:szCs w:val="21"/>
                      <w:lang w:val="en-US" w:eastAsia="zh-CN"/>
                    </w:rPr>
                  </w:pPr>
                  <w:r>
                    <w:rPr>
                      <w:rFonts w:hint="eastAsia" w:cs="Times New Roman"/>
                      <w:bCs/>
                      <w:color w:val="auto"/>
                      <w:sz w:val="21"/>
                      <w:szCs w:val="21"/>
                      <w:lang w:eastAsia="zh-CN"/>
                    </w:rPr>
                    <w:t>—</w:t>
                  </w:r>
                </w:p>
              </w:tc>
              <w:tc>
                <w:tcPr>
                  <w:tcW w:w="843" w:type="dxa"/>
                  <w:tcBorders>
                    <w:tl2br w:val="nil"/>
                    <w:tr2bl w:val="nil"/>
                  </w:tcBorders>
                  <w:vAlign w:val="center"/>
                </w:tcPr>
                <w:p w14:paraId="46BA17F8">
                  <w:pPr>
                    <w:spacing w:line="240" w:lineRule="exact"/>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r>
                    <w:rPr>
                      <w:rFonts w:hint="eastAsia" w:cs="Times New Roman"/>
                      <w:bCs/>
                      <w:color w:val="auto"/>
                      <w:sz w:val="21"/>
                      <w:szCs w:val="21"/>
                      <w:lang w:val="en-US" w:eastAsia="zh-CN"/>
                    </w:rPr>
                    <w:t>20</w:t>
                  </w:r>
                  <w:r>
                    <w:rPr>
                      <w:rFonts w:hint="default" w:ascii="Times New Roman" w:hAnsi="Times New Roman" w:cs="Times New Roman"/>
                      <w:bCs/>
                      <w:color w:val="auto"/>
                      <w:sz w:val="21"/>
                      <w:szCs w:val="21"/>
                    </w:rPr>
                    <w:t>（无量纲）</w:t>
                  </w:r>
                </w:p>
              </w:tc>
            </w:tr>
            <w:tr w14:paraId="19BF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83" w:type="dxa"/>
                  <w:vMerge w:val="continue"/>
                  <w:tcBorders>
                    <w:tl2br w:val="nil"/>
                    <w:tr2bl w:val="nil"/>
                  </w:tcBorders>
                  <w:vAlign w:val="center"/>
                </w:tcPr>
                <w:p w14:paraId="0E1AC771">
                  <w:pPr>
                    <w:spacing w:line="240" w:lineRule="exact"/>
                    <w:ind w:left="-105" w:leftChars="-50" w:right="-105" w:rightChars="-50"/>
                    <w:jc w:val="center"/>
                    <w:rPr>
                      <w:rFonts w:hint="eastAsia" w:cs="Times New Roman"/>
                      <w:color w:val="auto"/>
                      <w:szCs w:val="21"/>
                      <w:lang w:val="en-US" w:eastAsia="zh-CN"/>
                    </w:rPr>
                  </w:pPr>
                </w:p>
              </w:tc>
              <w:tc>
                <w:tcPr>
                  <w:tcW w:w="795" w:type="dxa"/>
                  <w:vMerge w:val="continue"/>
                  <w:tcBorders>
                    <w:tl2br w:val="nil"/>
                    <w:tr2bl w:val="nil"/>
                  </w:tcBorders>
                  <w:vAlign w:val="center"/>
                </w:tcPr>
                <w:p w14:paraId="285574C0">
                  <w:pPr>
                    <w:spacing w:line="240" w:lineRule="exact"/>
                    <w:ind w:left="-105" w:leftChars="-50" w:right="-105" w:rightChars="-50"/>
                    <w:jc w:val="center"/>
                    <w:rPr>
                      <w:rFonts w:hint="eastAsia" w:cs="Times New Roman"/>
                      <w:color w:val="auto"/>
                      <w:sz w:val="21"/>
                      <w:szCs w:val="21"/>
                      <w:lang w:val="en-US" w:eastAsia="zh-CN"/>
                    </w:rPr>
                  </w:pPr>
                </w:p>
              </w:tc>
              <w:tc>
                <w:tcPr>
                  <w:tcW w:w="660" w:type="dxa"/>
                  <w:gridSpan w:val="2"/>
                  <w:tcBorders>
                    <w:tl2br w:val="nil"/>
                    <w:tr2bl w:val="nil"/>
                  </w:tcBorders>
                  <w:vAlign w:val="center"/>
                </w:tcPr>
                <w:p w14:paraId="5C718554">
                  <w:pPr>
                    <w:spacing w:line="240" w:lineRule="exact"/>
                    <w:ind w:left="-105" w:leftChars="-50" w:right="-105" w:rightChars="-50"/>
                    <w:jc w:val="center"/>
                    <w:rPr>
                      <w:rFonts w:hint="default" w:cs="Times New Roman"/>
                      <w:color w:val="auto"/>
                      <w:szCs w:val="21"/>
                      <w:lang w:val="en-US" w:eastAsia="zh-CN"/>
                    </w:rPr>
                  </w:pPr>
                  <w:r>
                    <w:rPr>
                      <w:rFonts w:hint="eastAsia" w:cs="Times New Roman"/>
                      <w:color w:val="auto"/>
                      <w:szCs w:val="21"/>
                      <w:lang w:val="en-US" w:eastAsia="zh-CN"/>
                    </w:rPr>
                    <w:t>颗粒物</w:t>
                  </w:r>
                </w:p>
              </w:tc>
              <w:tc>
                <w:tcPr>
                  <w:tcW w:w="750" w:type="dxa"/>
                  <w:tcBorders>
                    <w:tl2br w:val="nil"/>
                    <w:tr2bl w:val="nil"/>
                  </w:tcBorders>
                  <w:vAlign w:val="center"/>
                </w:tcPr>
                <w:p w14:paraId="3998218A">
                  <w:pPr>
                    <w:spacing w:line="240" w:lineRule="exact"/>
                    <w:jc w:val="center"/>
                    <w:rPr>
                      <w:rFonts w:hint="eastAsia" w:cs="Times New Roman"/>
                      <w:bCs/>
                      <w:color w:val="auto"/>
                      <w:sz w:val="21"/>
                      <w:szCs w:val="21"/>
                      <w:lang w:eastAsia="zh-CN"/>
                    </w:rPr>
                  </w:pPr>
                  <w:r>
                    <w:rPr>
                      <w:rFonts w:hint="eastAsia" w:cs="Times New Roman"/>
                      <w:bCs/>
                      <w:color w:val="auto"/>
                      <w:sz w:val="21"/>
                      <w:szCs w:val="21"/>
                      <w:lang w:eastAsia="zh-CN"/>
                    </w:rPr>
                    <w:t>—</w:t>
                  </w:r>
                </w:p>
              </w:tc>
              <w:tc>
                <w:tcPr>
                  <w:tcW w:w="690" w:type="dxa"/>
                  <w:tcBorders>
                    <w:tl2br w:val="nil"/>
                    <w:tr2bl w:val="nil"/>
                  </w:tcBorders>
                  <w:vAlign w:val="center"/>
                </w:tcPr>
                <w:p w14:paraId="514DBFA6">
                  <w:pPr>
                    <w:spacing w:line="240" w:lineRule="exact"/>
                    <w:jc w:val="center"/>
                    <w:rPr>
                      <w:rFonts w:hint="eastAsia" w:cs="Times New Roman"/>
                      <w:bCs/>
                      <w:color w:val="auto"/>
                      <w:sz w:val="21"/>
                      <w:szCs w:val="21"/>
                      <w:lang w:eastAsia="zh-CN"/>
                    </w:rPr>
                  </w:pPr>
                  <w:r>
                    <w:rPr>
                      <w:rFonts w:hint="eastAsia" w:cs="Times New Roman"/>
                      <w:bCs/>
                      <w:color w:val="auto"/>
                      <w:sz w:val="21"/>
                      <w:szCs w:val="21"/>
                      <w:lang w:eastAsia="zh-CN"/>
                    </w:rPr>
                    <w:t>—</w:t>
                  </w:r>
                </w:p>
              </w:tc>
              <w:tc>
                <w:tcPr>
                  <w:tcW w:w="810" w:type="dxa"/>
                  <w:tcBorders>
                    <w:tl2br w:val="nil"/>
                    <w:tr2bl w:val="nil"/>
                  </w:tcBorders>
                  <w:vAlign w:val="center"/>
                </w:tcPr>
                <w:p w14:paraId="5192BBD9">
                  <w:pPr>
                    <w:spacing w:line="240" w:lineRule="exact"/>
                    <w:jc w:val="center"/>
                    <w:rPr>
                      <w:rFonts w:hint="eastAsia" w:cs="Times New Roman"/>
                      <w:bCs/>
                      <w:color w:val="auto"/>
                      <w:sz w:val="21"/>
                      <w:szCs w:val="21"/>
                      <w:lang w:eastAsia="zh-CN"/>
                    </w:rPr>
                  </w:pPr>
                  <w:r>
                    <w:rPr>
                      <w:rFonts w:hint="eastAsia" w:cs="Times New Roman"/>
                      <w:bCs/>
                      <w:color w:val="auto"/>
                      <w:sz w:val="21"/>
                      <w:szCs w:val="21"/>
                      <w:lang w:eastAsia="zh-CN"/>
                    </w:rPr>
                    <w:t>—</w:t>
                  </w:r>
                </w:p>
              </w:tc>
              <w:tc>
                <w:tcPr>
                  <w:tcW w:w="865" w:type="dxa"/>
                  <w:vMerge w:val="continue"/>
                  <w:tcBorders>
                    <w:tl2br w:val="nil"/>
                    <w:tr2bl w:val="nil"/>
                  </w:tcBorders>
                  <w:vAlign w:val="center"/>
                </w:tcPr>
                <w:p w14:paraId="2EE08122">
                  <w:pPr>
                    <w:spacing w:line="240" w:lineRule="exact"/>
                    <w:jc w:val="center"/>
                    <w:rPr>
                      <w:rFonts w:hint="default" w:ascii="Times New Roman" w:hAnsi="Times New Roman" w:cs="Times New Roman"/>
                      <w:bCs/>
                      <w:color w:val="auto"/>
                      <w:sz w:val="21"/>
                      <w:szCs w:val="21"/>
                      <w:lang w:val="en-US" w:eastAsia="zh-CN"/>
                    </w:rPr>
                  </w:pPr>
                </w:p>
              </w:tc>
              <w:tc>
                <w:tcPr>
                  <w:tcW w:w="444" w:type="dxa"/>
                  <w:vMerge w:val="continue"/>
                  <w:tcBorders>
                    <w:tl2br w:val="nil"/>
                    <w:tr2bl w:val="nil"/>
                  </w:tcBorders>
                  <w:vAlign w:val="center"/>
                </w:tcPr>
                <w:p w14:paraId="1B16E7FC">
                  <w:pPr>
                    <w:spacing w:line="240" w:lineRule="exact"/>
                    <w:jc w:val="center"/>
                    <w:rPr>
                      <w:rFonts w:hint="eastAsia" w:cs="Times New Roman"/>
                      <w:bCs/>
                      <w:color w:val="auto"/>
                      <w:sz w:val="21"/>
                      <w:szCs w:val="21"/>
                      <w:lang w:eastAsia="zh-CN"/>
                    </w:rPr>
                  </w:pPr>
                </w:p>
              </w:tc>
              <w:tc>
                <w:tcPr>
                  <w:tcW w:w="516" w:type="dxa"/>
                  <w:vMerge w:val="continue"/>
                  <w:tcBorders>
                    <w:tl2br w:val="nil"/>
                    <w:tr2bl w:val="nil"/>
                  </w:tcBorders>
                  <w:vAlign w:val="center"/>
                </w:tcPr>
                <w:p w14:paraId="720235AA">
                  <w:pPr>
                    <w:spacing w:line="240" w:lineRule="exact"/>
                    <w:jc w:val="center"/>
                    <w:rPr>
                      <w:rFonts w:hint="eastAsia" w:cs="Times New Roman"/>
                      <w:bCs/>
                      <w:color w:val="auto"/>
                      <w:sz w:val="21"/>
                      <w:szCs w:val="21"/>
                      <w:lang w:eastAsia="zh-CN"/>
                    </w:rPr>
                  </w:pPr>
                </w:p>
              </w:tc>
              <w:tc>
                <w:tcPr>
                  <w:tcW w:w="422" w:type="dxa"/>
                  <w:vMerge w:val="continue"/>
                  <w:tcBorders>
                    <w:tl2br w:val="nil"/>
                    <w:tr2bl w:val="nil"/>
                  </w:tcBorders>
                  <w:vAlign w:val="center"/>
                </w:tcPr>
                <w:p w14:paraId="3A0BCF5F">
                  <w:pPr>
                    <w:spacing w:line="240" w:lineRule="exact"/>
                    <w:jc w:val="center"/>
                    <w:rPr>
                      <w:rFonts w:hint="eastAsia" w:cs="Times New Roman"/>
                      <w:bCs/>
                      <w:color w:val="auto"/>
                      <w:sz w:val="21"/>
                      <w:szCs w:val="21"/>
                      <w:lang w:eastAsia="zh-CN"/>
                    </w:rPr>
                  </w:pPr>
                </w:p>
              </w:tc>
              <w:tc>
                <w:tcPr>
                  <w:tcW w:w="675" w:type="dxa"/>
                  <w:tcBorders>
                    <w:tl2br w:val="nil"/>
                    <w:tr2bl w:val="nil"/>
                  </w:tcBorders>
                  <w:vAlign w:val="center"/>
                </w:tcPr>
                <w:p w14:paraId="4FE22B7F">
                  <w:pPr>
                    <w:spacing w:line="240" w:lineRule="exact"/>
                    <w:ind w:left="-105" w:leftChars="-50" w:right="-105" w:rightChars="-50"/>
                    <w:jc w:val="center"/>
                    <w:rPr>
                      <w:rFonts w:hint="default" w:cs="Times New Roman"/>
                      <w:bCs/>
                      <w:color w:val="auto"/>
                      <w:sz w:val="21"/>
                      <w:szCs w:val="21"/>
                      <w:lang w:val="en-US" w:eastAsia="zh-CN"/>
                    </w:rPr>
                  </w:pPr>
                  <w:r>
                    <w:rPr>
                      <w:rFonts w:hint="eastAsia" w:cs="Times New Roman"/>
                      <w:bCs/>
                      <w:color w:val="FF0000"/>
                      <w:sz w:val="21"/>
                      <w:szCs w:val="21"/>
                      <w:lang w:eastAsia="zh-CN"/>
                    </w:rPr>
                    <w:t>0.</w:t>
                  </w:r>
                  <w:r>
                    <w:rPr>
                      <w:rFonts w:hint="eastAsia" w:cs="Times New Roman"/>
                      <w:bCs/>
                      <w:color w:val="FF0000"/>
                      <w:sz w:val="21"/>
                      <w:szCs w:val="21"/>
                      <w:lang w:val="en-US" w:eastAsia="zh-CN"/>
                    </w:rPr>
                    <w:t>04</w:t>
                  </w:r>
                </w:p>
              </w:tc>
              <w:tc>
                <w:tcPr>
                  <w:tcW w:w="675" w:type="dxa"/>
                  <w:tcBorders>
                    <w:tl2br w:val="nil"/>
                    <w:tr2bl w:val="nil"/>
                  </w:tcBorders>
                  <w:vAlign w:val="center"/>
                </w:tcPr>
                <w:p w14:paraId="2183498A">
                  <w:pPr>
                    <w:spacing w:line="240" w:lineRule="exact"/>
                    <w:jc w:val="center"/>
                    <w:rPr>
                      <w:rFonts w:hint="default" w:cs="Times New Roman"/>
                      <w:bCs/>
                      <w:color w:val="auto"/>
                      <w:sz w:val="21"/>
                      <w:szCs w:val="21"/>
                      <w:lang w:val="en-US" w:eastAsia="zh-CN"/>
                    </w:rPr>
                  </w:pPr>
                  <w:r>
                    <w:rPr>
                      <w:rFonts w:hint="eastAsia" w:cs="Times New Roman"/>
                      <w:bCs/>
                      <w:color w:val="auto"/>
                      <w:sz w:val="21"/>
                      <w:szCs w:val="21"/>
                      <w:lang w:val="en-US" w:eastAsia="zh-CN"/>
                    </w:rPr>
                    <w:t>0.01</w:t>
                  </w:r>
                </w:p>
              </w:tc>
              <w:tc>
                <w:tcPr>
                  <w:tcW w:w="843" w:type="dxa"/>
                  <w:tcBorders>
                    <w:tl2br w:val="nil"/>
                    <w:tr2bl w:val="nil"/>
                  </w:tcBorders>
                  <w:vAlign w:val="center"/>
                </w:tcPr>
                <w:p w14:paraId="2A80F60A">
                  <w:pPr>
                    <w:spacing w:line="240" w:lineRule="exact"/>
                    <w:jc w:val="center"/>
                    <w:rPr>
                      <w:rFonts w:hint="default" w:ascii="Times New Roman" w:hAnsi="Times New Roman" w:cs="Times New Roman"/>
                      <w:bCs/>
                      <w:color w:val="auto"/>
                      <w:sz w:val="21"/>
                      <w:szCs w:val="21"/>
                    </w:rPr>
                  </w:pPr>
                  <w:r>
                    <w:rPr>
                      <w:rFonts w:hint="eastAsia" w:cs="Times New Roman"/>
                      <w:bCs/>
                      <w:color w:val="auto"/>
                      <w:sz w:val="21"/>
                      <w:szCs w:val="21"/>
                      <w:lang w:eastAsia="zh-CN"/>
                    </w:rPr>
                    <w:t>—</w:t>
                  </w:r>
                </w:p>
              </w:tc>
            </w:tr>
            <w:tr w14:paraId="3523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83" w:type="dxa"/>
                  <w:vMerge w:val="continue"/>
                  <w:tcBorders>
                    <w:tl2br w:val="nil"/>
                    <w:tr2bl w:val="nil"/>
                  </w:tcBorders>
                  <w:vAlign w:val="center"/>
                </w:tcPr>
                <w:p w14:paraId="6A85E5AC">
                  <w:pPr>
                    <w:spacing w:line="240" w:lineRule="exact"/>
                    <w:ind w:left="-105" w:leftChars="-50" w:right="-105" w:rightChars="-50"/>
                    <w:jc w:val="center"/>
                    <w:rPr>
                      <w:rFonts w:hint="default" w:cs="Times New Roman"/>
                      <w:color w:val="auto"/>
                      <w:szCs w:val="21"/>
                      <w:lang w:val="en-US" w:eastAsia="zh-CN"/>
                    </w:rPr>
                  </w:pPr>
                </w:p>
              </w:tc>
              <w:tc>
                <w:tcPr>
                  <w:tcW w:w="795" w:type="dxa"/>
                  <w:vMerge w:val="continue"/>
                  <w:tcBorders>
                    <w:tl2br w:val="nil"/>
                    <w:tr2bl w:val="nil"/>
                  </w:tcBorders>
                  <w:vAlign w:val="center"/>
                </w:tcPr>
                <w:p w14:paraId="1D3A0403">
                  <w:pPr>
                    <w:spacing w:line="240" w:lineRule="exact"/>
                    <w:ind w:left="-105" w:leftChars="-50" w:right="-105" w:rightChars="-50"/>
                    <w:jc w:val="center"/>
                    <w:rPr>
                      <w:rFonts w:hint="default" w:ascii="Times New Roman" w:hAnsi="Times New Roman" w:cs="Times New Roman"/>
                      <w:color w:val="auto"/>
                      <w:szCs w:val="21"/>
                    </w:rPr>
                  </w:pPr>
                </w:p>
              </w:tc>
              <w:tc>
                <w:tcPr>
                  <w:tcW w:w="660" w:type="dxa"/>
                  <w:gridSpan w:val="2"/>
                  <w:tcBorders>
                    <w:tl2br w:val="nil"/>
                    <w:tr2bl w:val="nil"/>
                  </w:tcBorders>
                  <w:vAlign w:val="center"/>
                </w:tcPr>
                <w:p w14:paraId="1D2526EF">
                  <w:pPr>
                    <w:spacing w:line="240" w:lineRule="exact"/>
                    <w:ind w:left="-105" w:leftChars="-50" w:right="-105" w:rightChars="-5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非甲烷总烃</w:t>
                  </w:r>
                </w:p>
              </w:tc>
              <w:tc>
                <w:tcPr>
                  <w:tcW w:w="750" w:type="dxa"/>
                  <w:tcBorders>
                    <w:tl2br w:val="nil"/>
                    <w:tr2bl w:val="nil"/>
                  </w:tcBorders>
                  <w:vAlign w:val="center"/>
                </w:tcPr>
                <w:p w14:paraId="383ECF90">
                  <w:pPr>
                    <w:spacing w:line="240" w:lineRule="exact"/>
                    <w:jc w:val="center"/>
                    <w:rPr>
                      <w:rFonts w:hint="default" w:ascii="Times New Roman" w:hAnsi="Times New Roman" w:eastAsia="宋体" w:cs="Times New Roman"/>
                      <w:color w:val="auto"/>
                      <w:szCs w:val="21"/>
                      <w:lang w:val="en-US" w:eastAsia="zh-CN"/>
                    </w:rPr>
                  </w:pPr>
                  <w:r>
                    <w:rPr>
                      <w:rFonts w:hint="eastAsia" w:cs="Times New Roman"/>
                      <w:bCs/>
                      <w:color w:val="auto"/>
                      <w:sz w:val="21"/>
                      <w:szCs w:val="21"/>
                      <w:lang w:eastAsia="zh-CN"/>
                    </w:rPr>
                    <w:t>—</w:t>
                  </w:r>
                </w:p>
              </w:tc>
              <w:tc>
                <w:tcPr>
                  <w:tcW w:w="690" w:type="dxa"/>
                  <w:tcBorders>
                    <w:tl2br w:val="nil"/>
                    <w:tr2bl w:val="nil"/>
                  </w:tcBorders>
                  <w:vAlign w:val="center"/>
                </w:tcPr>
                <w:p w14:paraId="135A9C58">
                  <w:pPr>
                    <w:spacing w:line="240" w:lineRule="exact"/>
                    <w:jc w:val="center"/>
                    <w:rPr>
                      <w:rFonts w:hint="default" w:ascii="Times New Roman" w:hAnsi="Times New Roman" w:eastAsia="宋体" w:cs="Times New Roman"/>
                      <w:color w:val="auto"/>
                      <w:szCs w:val="21"/>
                      <w:lang w:val="en-US" w:eastAsia="zh-CN"/>
                    </w:rPr>
                  </w:pPr>
                  <w:r>
                    <w:rPr>
                      <w:rFonts w:hint="eastAsia" w:cs="Times New Roman"/>
                      <w:bCs/>
                      <w:color w:val="auto"/>
                      <w:sz w:val="21"/>
                      <w:szCs w:val="21"/>
                      <w:lang w:eastAsia="zh-CN"/>
                    </w:rPr>
                    <w:t>—</w:t>
                  </w:r>
                </w:p>
              </w:tc>
              <w:tc>
                <w:tcPr>
                  <w:tcW w:w="810" w:type="dxa"/>
                  <w:tcBorders>
                    <w:tl2br w:val="nil"/>
                    <w:tr2bl w:val="nil"/>
                  </w:tcBorders>
                  <w:vAlign w:val="center"/>
                </w:tcPr>
                <w:p w14:paraId="3FAAE90F">
                  <w:pPr>
                    <w:spacing w:line="240" w:lineRule="exact"/>
                    <w:jc w:val="center"/>
                    <w:rPr>
                      <w:rFonts w:hint="default" w:ascii="Times New Roman" w:hAnsi="Times New Roman" w:cs="Times New Roman"/>
                      <w:color w:val="auto"/>
                      <w:szCs w:val="21"/>
                    </w:rPr>
                  </w:pPr>
                  <w:r>
                    <w:rPr>
                      <w:rFonts w:hint="eastAsia" w:cs="Times New Roman"/>
                      <w:bCs/>
                      <w:color w:val="auto"/>
                      <w:sz w:val="21"/>
                      <w:szCs w:val="21"/>
                      <w:lang w:eastAsia="zh-CN"/>
                    </w:rPr>
                    <w:t>—</w:t>
                  </w:r>
                </w:p>
              </w:tc>
              <w:tc>
                <w:tcPr>
                  <w:tcW w:w="865" w:type="dxa"/>
                  <w:vMerge w:val="continue"/>
                  <w:tcBorders>
                    <w:tl2br w:val="nil"/>
                    <w:tr2bl w:val="nil"/>
                  </w:tcBorders>
                  <w:vAlign w:val="center"/>
                </w:tcPr>
                <w:p w14:paraId="4D07277C">
                  <w:pPr>
                    <w:spacing w:line="240" w:lineRule="exact"/>
                    <w:jc w:val="center"/>
                    <w:rPr>
                      <w:rFonts w:hint="eastAsia" w:ascii="Times New Roman" w:hAnsi="Times New Roman" w:eastAsia="宋体" w:cs="Times New Roman"/>
                      <w:color w:val="auto"/>
                      <w:szCs w:val="21"/>
                      <w:lang w:eastAsia="zh-CN"/>
                    </w:rPr>
                  </w:pPr>
                </w:p>
              </w:tc>
              <w:tc>
                <w:tcPr>
                  <w:tcW w:w="444" w:type="dxa"/>
                  <w:vMerge w:val="continue"/>
                  <w:tcBorders>
                    <w:tl2br w:val="nil"/>
                    <w:tr2bl w:val="nil"/>
                  </w:tcBorders>
                  <w:vAlign w:val="center"/>
                </w:tcPr>
                <w:p w14:paraId="6A53C5D8">
                  <w:pPr>
                    <w:spacing w:line="240" w:lineRule="exact"/>
                    <w:jc w:val="center"/>
                    <w:rPr>
                      <w:rFonts w:hint="default" w:ascii="Times New Roman" w:hAnsi="Times New Roman" w:cs="Times New Roman"/>
                      <w:color w:val="auto"/>
                      <w:szCs w:val="21"/>
                    </w:rPr>
                  </w:pPr>
                </w:p>
              </w:tc>
              <w:tc>
                <w:tcPr>
                  <w:tcW w:w="516" w:type="dxa"/>
                  <w:vMerge w:val="continue"/>
                  <w:tcBorders>
                    <w:tl2br w:val="nil"/>
                    <w:tr2bl w:val="nil"/>
                  </w:tcBorders>
                  <w:vAlign w:val="center"/>
                </w:tcPr>
                <w:p w14:paraId="477CB292">
                  <w:pPr>
                    <w:spacing w:line="240" w:lineRule="exact"/>
                    <w:jc w:val="center"/>
                    <w:rPr>
                      <w:rFonts w:hint="default" w:ascii="Times New Roman" w:hAnsi="Times New Roman" w:eastAsia="宋体" w:cs="Times New Roman"/>
                      <w:color w:val="auto"/>
                      <w:szCs w:val="21"/>
                      <w:lang w:val="en-US" w:eastAsia="zh-CN"/>
                    </w:rPr>
                  </w:pPr>
                </w:p>
              </w:tc>
              <w:tc>
                <w:tcPr>
                  <w:tcW w:w="422" w:type="dxa"/>
                  <w:vMerge w:val="continue"/>
                  <w:tcBorders>
                    <w:tl2br w:val="nil"/>
                    <w:tr2bl w:val="nil"/>
                  </w:tcBorders>
                  <w:vAlign w:val="center"/>
                </w:tcPr>
                <w:p w14:paraId="1DB9F6C6">
                  <w:pPr>
                    <w:spacing w:line="240" w:lineRule="exact"/>
                    <w:jc w:val="center"/>
                    <w:rPr>
                      <w:rFonts w:hint="eastAsia" w:ascii="Times New Roman" w:hAnsi="Times New Roman" w:eastAsia="宋体" w:cs="Times New Roman"/>
                      <w:color w:val="auto"/>
                      <w:szCs w:val="21"/>
                      <w:lang w:val="en-US" w:eastAsia="zh-CN"/>
                    </w:rPr>
                  </w:pPr>
                </w:p>
              </w:tc>
              <w:tc>
                <w:tcPr>
                  <w:tcW w:w="675" w:type="dxa"/>
                  <w:tcBorders>
                    <w:tl2br w:val="nil"/>
                    <w:tr2bl w:val="nil"/>
                  </w:tcBorders>
                  <w:vAlign w:val="center"/>
                </w:tcPr>
                <w:p w14:paraId="21053C0D">
                  <w:pPr>
                    <w:spacing w:line="240" w:lineRule="exact"/>
                    <w:ind w:left="-105" w:leftChars="-50" w:right="-105" w:rightChars="-5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r>
                    <w:rPr>
                      <w:rFonts w:hint="eastAsia" w:cs="Times New Roman"/>
                      <w:color w:val="auto"/>
                      <w:szCs w:val="21"/>
                      <w:lang w:val="en-US" w:eastAsia="zh-CN"/>
                    </w:rPr>
                    <w:t>27</w:t>
                  </w:r>
                </w:p>
              </w:tc>
              <w:tc>
                <w:tcPr>
                  <w:tcW w:w="675" w:type="dxa"/>
                  <w:tcBorders>
                    <w:tl2br w:val="nil"/>
                    <w:tr2bl w:val="nil"/>
                  </w:tcBorders>
                  <w:vAlign w:val="center"/>
                </w:tcPr>
                <w:p w14:paraId="6606D568">
                  <w:pPr>
                    <w:spacing w:line="24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0.06</w:t>
                  </w:r>
                </w:p>
              </w:tc>
              <w:tc>
                <w:tcPr>
                  <w:tcW w:w="843" w:type="dxa"/>
                  <w:tcBorders>
                    <w:tl2br w:val="nil"/>
                    <w:tr2bl w:val="nil"/>
                  </w:tcBorders>
                  <w:vAlign w:val="center"/>
                </w:tcPr>
                <w:p w14:paraId="08AAF228">
                  <w:pPr>
                    <w:spacing w:line="240" w:lineRule="exact"/>
                    <w:jc w:val="center"/>
                    <w:rPr>
                      <w:rFonts w:hint="default" w:ascii="Times New Roman" w:hAnsi="Times New Roman" w:cs="Times New Roman"/>
                      <w:color w:val="auto"/>
                      <w:szCs w:val="21"/>
                    </w:rPr>
                  </w:pPr>
                  <w:r>
                    <w:rPr>
                      <w:rFonts w:hint="eastAsia" w:cs="Times New Roman"/>
                      <w:bCs/>
                      <w:color w:val="auto"/>
                      <w:sz w:val="21"/>
                      <w:szCs w:val="21"/>
                      <w:lang w:eastAsia="zh-CN"/>
                    </w:rPr>
                    <w:t>—</w:t>
                  </w:r>
                </w:p>
              </w:tc>
            </w:tr>
          </w:tbl>
          <w:p w14:paraId="6630E1E0">
            <w:pPr>
              <w:spacing w:line="480" w:lineRule="exact"/>
              <w:ind w:firstLine="480" w:firstLineChars="200"/>
              <w:jc w:val="both"/>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w:t>
            </w:r>
            <w:r>
              <w:rPr>
                <w:rFonts w:hint="eastAsia" w:cs="Times New Roman"/>
                <w:b w:val="0"/>
                <w:bCs w:val="0"/>
                <w:color w:val="auto"/>
                <w:sz w:val="24"/>
                <w:lang w:val="en-US" w:eastAsia="zh-CN"/>
              </w:rPr>
              <w:t>3</w:t>
            </w:r>
            <w:r>
              <w:rPr>
                <w:rFonts w:hint="default" w:ascii="Times New Roman" w:hAnsi="Times New Roman" w:cs="Times New Roman"/>
                <w:b w:val="0"/>
                <w:bCs w:val="0"/>
                <w:color w:val="auto"/>
                <w:sz w:val="24"/>
              </w:rPr>
              <w:t>）废气排放口信息</w:t>
            </w:r>
          </w:p>
          <w:p w14:paraId="63928BF1">
            <w:pPr>
              <w:spacing w:line="480" w:lineRule="exact"/>
              <w:ind w:firstLine="480" w:firstLineChars="200"/>
              <w:jc w:val="both"/>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项目废气排放口信息见表</w:t>
            </w:r>
            <w:r>
              <w:rPr>
                <w:rFonts w:hint="eastAsia" w:cs="Times New Roman"/>
                <w:color w:val="auto"/>
                <w:sz w:val="24"/>
                <w:lang w:val="en-US" w:eastAsia="zh-CN"/>
              </w:rPr>
              <w:t>20</w:t>
            </w:r>
            <w:r>
              <w:rPr>
                <w:rFonts w:hint="default" w:ascii="Times New Roman" w:hAnsi="Times New Roman" w:eastAsia="宋体" w:cs="Times New Roman"/>
                <w:color w:val="auto"/>
                <w:sz w:val="24"/>
                <w:lang w:eastAsia="zh-CN"/>
              </w:rPr>
              <w:t>。</w:t>
            </w:r>
          </w:p>
          <w:p w14:paraId="6ED87D03">
            <w:pPr>
              <w:spacing w:line="480" w:lineRule="exact"/>
              <w:jc w:val="center"/>
              <w:rPr>
                <w:rFonts w:hint="default" w:ascii="Times New Roman" w:hAnsi="Times New Roman" w:cs="Times New Roman"/>
                <w:b/>
                <w:bCs/>
                <w:color w:val="auto"/>
                <w:sz w:val="24"/>
              </w:rPr>
            </w:pPr>
            <w:r>
              <w:rPr>
                <w:rFonts w:hint="default" w:ascii="Times New Roman" w:hAnsi="Times New Roman" w:eastAsia="宋体" w:cs="Times New Roman"/>
                <w:b/>
                <w:bCs/>
                <w:color w:val="auto"/>
                <w:sz w:val="24"/>
              </w:rPr>
              <w:t>表</w:t>
            </w:r>
            <w:r>
              <w:rPr>
                <w:rFonts w:hint="eastAsia" w:cs="Times New Roman"/>
                <w:b/>
                <w:bCs/>
                <w:color w:val="auto"/>
                <w:sz w:val="24"/>
                <w:lang w:val="en-US" w:eastAsia="zh-CN"/>
              </w:rPr>
              <w:t xml:space="preserve">20   </w:t>
            </w:r>
            <w:r>
              <w:rPr>
                <w:rFonts w:hint="eastAsia" w:ascii="Times New Roman" w:hAnsi="Times New Roman" w:eastAsia="宋体" w:cs="Times New Roman"/>
                <w:b/>
                <w:bCs/>
                <w:color w:val="auto"/>
                <w:sz w:val="24"/>
                <w:lang w:val="en-US" w:eastAsia="zh-CN"/>
              </w:rPr>
              <w:t>废气排放口信息一览表</w:t>
            </w:r>
          </w:p>
          <w:tbl>
            <w:tblPr>
              <w:tblStyle w:val="29"/>
              <w:tblW w:w="8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
              <w:gridCol w:w="1488"/>
              <w:gridCol w:w="1272"/>
              <w:gridCol w:w="972"/>
              <w:gridCol w:w="792"/>
              <w:gridCol w:w="636"/>
              <w:gridCol w:w="1109"/>
              <w:gridCol w:w="1651"/>
            </w:tblGrid>
            <w:tr w14:paraId="0C5D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54" w:type="dxa"/>
                  <w:noWrap w:val="0"/>
                  <w:vAlign w:val="center"/>
                </w:tcPr>
                <w:p w14:paraId="7D31936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序号</w:t>
                  </w:r>
                </w:p>
              </w:tc>
              <w:tc>
                <w:tcPr>
                  <w:tcW w:w="1488" w:type="dxa"/>
                  <w:noWrap w:val="0"/>
                  <w:vAlign w:val="center"/>
                </w:tcPr>
                <w:p w14:paraId="5ECD6DA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排放口名称</w:t>
                  </w:r>
                </w:p>
              </w:tc>
              <w:tc>
                <w:tcPr>
                  <w:tcW w:w="1272" w:type="dxa"/>
                  <w:noWrap w:val="0"/>
                  <w:vAlign w:val="center"/>
                </w:tcPr>
                <w:p w14:paraId="4F87F26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类型</w:t>
                  </w:r>
                </w:p>
              </w:tc>
              <w:tc>
                <w:tcPr>
                  <w:tcW w:w="972" w:type="dxa"/>
                  <w:noWrap w:val="0"/>
                  <w:vAlign w:val="center"/>
                </w:tcPr>
                <w:p w14:paraId="5B7DA71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编号</w:t>
                  </w:r>
                </w:p>
              </w:tc>
              <w:tc>
                <w:tcPr>
                  <w:tcW w:w="792" w:type="dxa"/>
                  <w:noWrap w:val="0"/>
                  <w:vAlign w:val="center"/>
                </w:tcPr>
                <w:p w14:paraId="324DA9E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高度</w:t>
                  </w:r>
                </w:p>
              </w:tc>
              <w:tc>
                <w:tcPr>
                  <w:tcW w:w="636" w:type="dxa"/>
                  <w:noWrap w:val="0"/>
                  <w:vAlign w:val="center"/>
                </w:tcPr>
                <w:p w14:paraId="286C922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内径/m</w:t>
                  </w:r>
                </w:p>
              </w:tc>
              <w:tc>
                <w:tcPr>
                  <w:tcW w:w="1109" w:type="dxa"/>
                  <w:noWrap w:val="0"/>
                  <w:vAlign w:val="center"/>
                </w:tcPr>
                <w:p w14:paraId="0DA2834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废气出口</w:t>
                  </w:r>
                </w:p>
                <w:p w14:paraId="3E4B790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温度℃</w:t>
                  </w:r>
                </w:p>
              </w:tc>
              <w:tc>
                <w:tcPr>
                  <w:tcW w:w="1651" w:type="dxa"/>
                  <w:noWrap w:val="0"/>
                  <w:vAlign w:val="center"/>
                </w:tcPr>
                <w:p w14:paraId="4224F8B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地理</w:t>
                  </w:r>
                  <w:r>
                    <w:rPr>
                      <w:rFonts w:hint="default" w:ascii="Times New Roman" w:hAnsi="Times New Roman" w:eastAsia="宋体" w:cs="Times New Roman"/>
                      <w:color w:val="auto"/>
                      <w:sz w:val="21"/>
                      <w:szCs w:val="21"/>
                    </w:rPr>
                    <w:t>坐标</w:t>
                  </w:r>
                </w:p>
              </w:tc>
            </w:tr>
            <w:tr w14:paraId="7722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54" w:type="dxa"/>
                  <w:noWrap w:val="0"/>
                  <w:vAlign w:val="center"/>
                </w:tcPr>
                <w:p w14:paraId="587BBE7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w:t>
                  </w:r>
                </w:p>
              </w:tc>
              <w:tc>
                <w:tcPr>
                  <w:tcW w:w="1488" w:type="dxa"/>
                  <w:noWrap w:val="0"/>
                  <w:vAlign w:val="center"/>
                </w:tcPr>
                <w:p w14:paraId="35A1D1D5">
                  <w:pPr>
                    <w:spacing w:line="240" w:lineRule="exact"/>
                    <w:ind w:left="-105" w:leftChars="-50" w:right="-105" w:rightChars="-50"/>
                    <w:jc w:val="center"/>
                    <w:rPr>
                      <w:rFonts w:hint="default" w:ascii="Times New Roman" w:hAnsi="Times New Roman" w:eastAsia="宋体" w:cs="Times New Roman"/>
                      <w:color w:val="auto"/>
                      <w:sz w:val="21"/>
                      <w:szCs w:val="21"/>
                    </w:rPr>
                  </w:pPr>
                  <w:r>
                    <w:rPr>
                      <w:rFonts w:hint="eastAsia" w:cs="Times New Roman"/>
                      <w:color w:val="auto"/>
                      <w:szCs w:val="21"/>
                      <w:lang w:val="en-US" w:eastAsia="zh-CN"/>
                    </w:rPr>
                    <w:t>挤出废气排放口</w:t>
                  </w:r>
                </w:p>
              </w:tc>
              <w:tc>
                <w:tcPr>
                  <w:tcW w:w="1272" w:type="dxa"/>
                  <w:noWrap w:val="0"/>
                  <w:vAlign w:val="center"/>
                </w:tcPr>
                <w:p w14:paraId="0DC0646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一般排放口</w:t>
                  </w:r>
                </w:p>
              </w:tc>
              <w:tc>
                <w:tcPr>
                  <w:tcW w:w="972" w:type="dxa"/>
                  <w:noWrap w:val="0"/>
                  <w:vAlign w:val="center"/>
                </w:tcPr>
                <w:p w14:paraId="31EEE97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DA001</w:t>
                  </w:r>
                </w:p>
              </w:tc>
              <w:tc>
                <w:tcPr>
                  <w:tcW w:w="792" w:type="dxa"/>
                  <w:noWrap w:val="0"/>
                  <w:vAlign w:val="center"/>
                </w:tcPr>
                <w:p w14:paraId="6B97D6A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15m</w:t>
                  </w:r>
                </w:p>
              </w:tc>
              <w:tc>
                <w:tcPr>
                  <w:tcW w:w="636" w:type="dxa"/>
                  <w:noWrap w:val="0"/>
                  <w:vAlign w:val="center"/>
                </w:tcPr>
                <w:p w14:paraId="697AC65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0.5</w:t>
                  </w:r>
                </w:p>
              </w:tc>
              <w:tc>
                <w:tcPr>
                  <w:tcW w:w="1109" w:type="dxa"/>
                  <w:noWrap w:val="0"/>
                  <w:vAlign w:val="center"/>
                </w:tcPr>
                <w:p w14:paraId="41A806A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25</w:t>
                  </w:r>
                </w:p>
              </w:tc>
              <w:tc>
                <w:tcPr>
                  <w:tcW w:w="1651" w:type="dxa"/>
                  <w:noWrap w:val="0"/>
                  <w:vAlign w:val="center"/>
                </w:tcPr>
                <w:p w14:paraId="656035AF">
                  <w:pPr>
                    <w:pStyle w:val="103"/>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olor w:val="auto"/>
                      <w:sz w:val="21"/>
                      <w:szCs w:val="21"/>
                    </w:rPr>
                  </w:pPr>
                  <w:r>
                    <w:rPr>
                      <w:rFonts w:hint="eastAsia"/>
                      <w:color w:val="auto"/>
                      <w:sz w:val="21"/>
                      <w:szCs w:val="21"/>
                      <w:lang w:val="en-US" w:eastAsia="zh-CN"/>
                    </w:rPr>
                    <w:t>北纬</w:t>
                  </w:r>
                  <w:r>
                    <w:rPr>
                      <w:rFonts w:hint="default" w:ascii="Times New Roman" w:hAnsi="Times New Roman"/>
                      <w:color w:val="auto"/>
                      <w:sz w:val="21"/>
                      <w:szCs w:val="21"/>
                    </w:rPr>
                    <w:t>3</w:t>
                  </w:r>
                  <w:r>
                    <w:rPr>
                      <w:rFonts w:hint="eastAsia"/>
                      <w:color w:val="auto"/>
                      <w:sz w:val="21"/>
                      <w:szCs w:val="21"/>
                      <w:lang w:val="en-US" w:eastAsia="zh-CN"/>
                    </w:rPr>
                    <w:t>6</w:t>
                  </w:r>
                  <w:r>
                    <w:rPr>
                      <w:rFonts w:hint="default" w:ascii="Times New Roman" w:hAnsi="Times New Roman"/>
                      <w:color w:val="auto"/>
                      <w:sz w:val="21"/>
                      <w:szCs w:val="21"/>
                    </w:rPr>
                    <w:t>°</w:t>
                  </w:r>
                  <w:r>
                    <w:rPr>
                      <w:rFonts w:hint="eastAsia"/>
                      <w:color w:val="auto"/>
                      <w:sz w:val="21"/>
                      <w:szCs w:val="21"/>
                      <w:lang w:val="en-US" w:eastAsia="zh-CN"/>
                    </w:rPr>
                    <w:t>6</w:t>
                  </w:r>
                  <w:r>
                    <w:rPr>
                      <w:rFonts w:hint="default" w:ascii="Times New Roman" w:hAnsi="Times New Roman"/>
                      <w:color w:val="auto"/>
                      <w:sz w:val="21"/>
                      <w:szCs w:val="21"/>
                    </w:rPr>
                    <w:t>'</w:t>
                  </w:r>
                  <w:r>
                    <w:rPr>
                      <w:rFonts w:hint="eastAsia"/>
                      <w:color w:val="auto"/>
                      <w:sz w:val="21"/>
                      <w:szCs w:val="21"/>
                      <w:lang w:val="en-US" w:eastAsia="zh-CN"/>
                    </w:rPr>
                    <w:t>11.841</w:t>
                  </w:r>
                  <w:r>
                    <w:rPr>
                      <w:rFonts w:hint="default" w:ascii="Times New Roman" w:hAnsi="Times New Roman"/>
                      <w:color w:val="auto"/>
                      <w:sz w:val="21"/>
                      <w:szCs w:val="21"/>
                    </w:rPr>
                    <w:t>"</w:t>
                  </w:r>
                </w:p>
                <w:p w14:paraId="4CBCCD9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auto"/>
                      <w:sz w:val="21"/>
                      <w:szCs w:val="21"/>
                      <w:lang w:val="en-US" w:eastAsia="zh-CN"/>
                    </w:rPr>
                  </w:pPr>
                  <w:r>
                    <w:rPr>
                      <w:rFonts w:hint="eastAsia"/>
                      <w:color w:val="auto"/>
                      <w:sz w:val="21"/>
                      <w:szCs w:val="21"/>
                      <w:lang w:val="en-US" w:eastAsia="zh-CN"/>
                    </w:rPr>
                    <w:t>东经</w:t>
                  </w:r>
                  <w:r>
                    <w:rPr>
                      <w:rFonts w:hint="default" w:ascii="Times New Roman" w:hAnsi="Times New Roman"/>
                      <w:color w:val="auto"/>
                      <w:sz w:val="21"/>
                      <w:szCs w:val="21"/>
                    </w:rPr>
                    <w:t>11</w:t>
                  </w:r>
                  <w:r>
                    <w:rPr>
                      <w:rFonts w:hint="eastAsia"/>
                      <w:color w:val="auto"/>
                      <w:sz w:val="21"/>
                      <w:szCs w:val="21"/>
                      <w:lang w:val="en-US" w:eastAsia="zh-CN"/>
                    </w:rPr>
                    <w:t>4</w:t>
                  </w:r>
                  <w:r>
                    <w:rPr>
                      <w:rFonts w:hint="default" w:ascii="Times New Roman" w:hAnsi="Times New Roman"/>
                      <w:color w:val="auto"/>
                      <w:sz w:val="21"/>
                      <w:szCs w:val="21"/>
                    </w:rPr>
                    <w:t>°</w:t>
                  </w:r>
                  <w:r>
                    <w:rPr>
                      <w:rFonts w:hint="eastAsia"/>
                      <w:color w:val="auto"/>
                      <w:sz w:val="21"/>
                      <w:szCs w:val="21"/>
                      <w:lang w:val="en-US" w:eastAsia="zh-CN"/>
                    </w:rPr>
                    <w:t>56</w:t>
                  </w:r>
                  <w:r>
                    <w:rPr>
                      <w:rFonts w:hint="default" w:ascii="Times New Roman" w:hAnsi="Times New Roman"/>
                      <w:color w:val="auto"/>
                      <w:sz w:val="21"/>
                      <w:szCs w:val="21"/>
                    </w:rPr>
                    <w:t>'</w:t>
                  </w:r>
                  <w:r>
                    <w:rPr>
                      <w:rFonts w:hint="eastAsia"/>
                      <w:color w:val="auto"/>
                      <w:sz w:val="21"/>
                      <w:szCs w:val="21"/>
                      <w:lang w:val="en-US" w:eastAsia="zh-CN"/>
                    </w:rPr>
                    <w:t>53.826</w:t>
                  </w:r>
                  <w:r>
                    <w:rPr>
                      <w:rFonts w:hint="default" w:ascii="Times New Roman" w:hAnsi="Times New Roman"/>
                      <w:color w:val="auto"/>
                      <w:sz w:val="21"/>
                      <w:szCs w:val="21"/>
                    </w:rPr>
                    <w:t>"</w:t>
                  </w:r>
                </w:p>
              </w:tc>
            </w:tr>
            <w:tr w14:paraId="0FF0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54" w:type="dxa"/>
                  <w:noWrap w:val="0"/>
                  <w:vAlign w:val="center"/>
                </w:tcPr>
                <w:p w14:paraId="3B8A7B0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2</w:t>
                  </w:r>
                </w:p>
              </w:tc>
              <w:tc>
                <w:tcPr>
                  <w:tcW w:w="1488" w:type="dxa"/>
                  <w:noWrap w:val="0"/>
                  <w:vAlign w:val="center"/>
                </w:tcPr>
                <w:p w14:paraId="46979DB2">
                  <w:pPr>
                    <w:spacing w:line="240" w:lineRule="exact"/>
                    <w:ind w:left="-105" w:leftChars="-50" w:right="-105" w:rightChars="-50"/>
                    <w:jc w:val="center"/>
                    <w:rPr>
                      <w:rFonts w:hint="eastAsia" w:cs="Times New Roman"/>
                      <w:color w:val="0000FF"/>
                      <w:szCs w:val="21"/>
                      <w:lang w:val="en-US" w:eastAsia="zh-CN"/>
                    </w:rPr>
                  </w:pPr>
                  <w:r>
                    <w:rPr>
                      <w:rFonts w:hint="eastAsia" w:cs="Times New Roman"/>
                      <w:color w:val="0000FF"/>
                      <w:szCs w:val="21"/>
                      <w:lang w:val="en-US" w:eastAsia="zh-CN"/>
                    </w:rPr>
                    <w:t>干式粉碎</w:t>
                  </w:r>
                </w:p>
              </w:tc>
              <w:tc>
                <w:tcPr>
                  <w:tcW w:w="1272" w:type="dxa"/>
                  <w:noWrap w:val="0"/>
                  <w:vAlign w:val="center"/>
                </w:tcPr>
                <w:p w14:paraId="1AAD679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cs="Times New Roman"/>
                      <w:color w:val="0000FF"/>
                      <w:sz w:val="21"/>
                      <w:szCs w:val="21"/>
                      <w:lang w:val="en-US" w:eastAsia="zh-CN"/>
                    </w:rPr>
                  </w:pPr>
                  <w:r>
                    <w:rPr>
                      <w:rFonts w:hint="eastAsia" w:cs="Times New Roman"/>
                      <w:color w:val="0000FF"/>
                      <w:sz w:val="21"/>
                      <w:szCs w:val="21"/>
                      <w:lang w:val="en-US" w:eastAsia="zh-CN"/>
                    </w:rPr>
                    <w:t>一般排放口</w:t>
                  </w:r>
                </w:p>
              </w:tc>
              <w:tc>
                <w:tcPr>
                  <w:tcW w:w="972" w:type="dxa"/>
                  <w:noWrap w:val="0"/>
                  <w:vAlign w:val="center"/>
                </w:tcPr>
                <w:p w14:paraId="7635753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cs="Times New Roman"/>
                      <w:color w:val="0000FF"/>
                      <w:sz w:val="21"/>
                      <w:szCs w:val="21"/>
                      <w:lang w:val="en-US" w:eastAsia="zh-CN"/>
                    </w:rPr>
                  </w:pPr>
                  <w:r>
                    <w:rPr>
                      <w:rFonts w:hint="eastAsia" w:cs="Times New Roman"/>
                      <w:color w:val="0000FF"/>
                      <w:sz w:val="21"/>
                      <w:szCs w:val="21"/>
                      <w:lang w:val="en-US" w:eastAsia="zh-CN"/>
                    </w:rPr>
                    <w:t>DA002</w:t>
                  </w:r>
                </w:p>
              </w:tc>
              <w:tc>
                <w:tcPr>
                  <w:tcW w:w="792" w:type="dxa"/>
                  <w:noWrap w:val="0"/>
                  <w:vAlign w:val="center"/>
                </w:tcPr>
                <w:p w14:paraId="7D24484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cs="Times New Roman"/>
                      <w:color w:val="0000FF"/>
                      <w:sz w:val="21"/>
                      <w:szCs w:val="21"/>
                      <w:lang w:val="en-US" w:eastAsia="zh-CN"/>
                    </w:rPr>
                  </w:pPr>
                  <w:r>
                    <w:rPr>
                      <w:rFonts w:hint="eastAsia" w:cs="Times New Roman"/>
                      <w:color w:val="0000FF"/>
                      <w:sz w:val="21"/>
                      <w:szCs w:val="21"/>
                      <w:lang w:val="en-US" w:eastAsia="zh-CN"/>
                    </w:rPr>
                    <w:t>15m</w:t>
                  </w:r>
                </w:p>
              </w:tc>
              <w:tc>
                <w:tcPr>
                  <w:tcW w:w="636" w:type="dxa"/>
                  <w:noWrap w:val="0"/>
                  <w:vAlign w:val="center"/>
                </w:tcPr>
                <w:p w14:paraId="149E781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cs="Times New Roman"/>
                      <w:color w:val="0000FF"/>
                      <w:sz w:val="21"/>
                      <w:szCs w:val="21"/>
                      <w:lang w:val="en-US" w:eastAsia="zh-CN"/>
                    </w:rPr>
                  </w:pPr>
                  <w:r>
                    <w:rPr>
                      <w:rFonts w:hint="eastAsia" w:cs="Times New Roman"/>
                      <w:color w:val="0000FF"/>
                      <w:sz w:val="21"/>
                      <w:szCs w:val="21"/>
                      <w:lang w:val="en-US" w:eastAsia="zh-CN"/>
                    </w:rPr>
                    <w:t>0.23</w:t>
                  </w:r>
                </w:p>
              </w:tc>
              <w:tc>
                <w:tcPr>
                  <w:tcW w:w="1109" w:type="dxa"/>
                  <w:noWrap w:val="0"/>
                  <w:vAlign w:val="center"/>
                </w:tcPr>
                <w:p w14:paraId="08A241E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cs="Times New Roman"/>
                      <w:color w:val="0000FF"/>
                      <w:sz w:val="21"/>
                      <w:szCs w:val="21"/>
                      <w:lang w:val="en-US" w:eastAsia="zh-CN"/>
                    </w:rPr>
                  </w:pPr>
                  <w:r>
                    <w:rPr>
                      <w:rFonts w:hint="eastAsia" w:cs="Times New Roman"/>
                      <w:color w:val="0000FF"/>
                      <w:sz w:val="21"/>
                      <w:szCs w:val="21"/>
                      <w:lang w:val="en-US" w:eastAsia="zh-CN"/>
                    </w:rPr>
                    <w:t>25</w:t>
                  </w:r>
                </w:p>
              </w:tc>
              <w:tc>
                <w:tcPr>
                  <w:tcW w:w="1651" w:type="dxa"/>
                  <w:noWrap w:val="0"/>
                  <w:vAlign w:val="center"/>
                </w:tcPr>
                <w:p w14:paraId="5D14F17D">
                  <w:pPr>
                    <w:pStyle w:val="103"/>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olor w:val="0000FF"/>
                      <w:sz w:val="21"/>
                      <w:szCs w:val="21"/>
                    </w:rPr>
                  </w:pPr>
                  <w:r>
                    <w:rPr>
                      <w:rFonts w:hint="eastAsia"/>
                      <w:color w:val="0000FF"/>
                      <w:sz w:val="21"/>
                      <w:szCs w:val="21"/>
                      <w:lang w:val="en-US" w:eastAsia="zh-CN"/>
                    </w:rPr>
                    <w:t>北纬</w:t>
                  </w:r>
                  <w:r>
                    <w:rPr>
                      <w:rFonts w:hint="default" w:ascii="Times New Roman" w:hAnsi="Times New Roman"/>
                      <w:color w:val="0000FF"/>
                      <w:sz w:val="21"/>
                      <w:szCs w:val="21"/>
                    </w:rPr>
                    <w:t>3</w:t>
                  </w:r>
                  <w:r>
                    <w:rPr>
                      <w:rFonts w:hint="eastAsia"/>
                      <w:color w:val="0000FF"/>
                      <w:sz w:val="21"/>
                      <w:szCs w:val="21"/>
                      <w:lang w:val="en-US" w:eastAsia="zh-CN"/>
                    </w:rPr>
                    <w:t>6</w:t>
                  </w:r>
                  <w:r>
                    <w:rPr>
                      <w:rFonts w:hint="default" w:ascii="Times New Roman" w:hAnsi="Times New Roman"/>
                      <w:color w:val="0000FF"/>
                      <w:sz w:val="21"/>
                      <w:szCs w:val="21"/>
                    </w:rPr>
                    <w:t>°</w:t>
                  </w:r>
                  <w:r>
                    <w:rPr>
                      <w:rFonts w:hint="eastAsia"/>
                      <w:color w:val="0000FF"/>
                      <w:sz w:val="21"/>
                      <w:szCs w:val="21"/>
                      <w:lang w:val="en-US" w:eastAsia="zh-CN"/>
                    </w:rPr>
                    <w:t>6</w:t>
                  </w:r>
                  <w:r>
                    <w:rPr>
                      <w:rFonts w:hint="default" w:ascii="Times New Roman" w:hAnsi="Times New Roman"/>
                      <w:color w:val="0000FF"/>
                      <w:sz w:val="21"/>
                      <w:szCs w:val="21"/>
                    </w:rPr>
                    <w:t>'</w:t>
                  </w:r>
                  <w:r>
                    <w:rPr>
                      <w:rFonts w:hint="eastAsia"/>
                      <w:color w:val="0000FF"/>
                      <w:sz w:val="21"/>
                      <w:szCs w:val="21"/>
                      <w:lang w:val="en-US" w:eastAsia="zh-CN"/>
                    </w:rPr>
                    <w:t>11.845</w:t>
                  </w:r>
                  <w:r>
                    <w:rPr>
                      <w:rFonts w:hint="default" w:ascii="Times New Roman" w:hAnsi="Times New Roman"/>
                      <w:color w:val="0000FF"/>
                      <w:sz w:val="21"/>
                      <w:szCs w:val="21"/>
                    </w:rPr>
                    <w:t>"</w:t>
                  </w:r>
                </w:p>
                <w:p w14:paraId="6137C21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color w:val="0000FF"/>
                      <w:sz w:val="21"/>
                      <w:szCs w:val="21"/>
                      <w:lang w:val="en-US" w:eastAsia="zh-CN"/>
                    </w:rPr>
                  </w:pPr>
                  <w:r>
                    <w:rPr>
                      <w:rFonts w:hint="eastAsia"/>
                      <w:color w:val="0000FF"/>
                      <w:sz w:val="21"/>
                      <w:szCs w:val="21"/>
                      <w:lang w:val="en-US" w:eastAsia="zh-CN"/>
                    </w:rPr>
                    <w:t>东经</w:t>
                  </w:r>
                  <w:r>
                    <w:rPr>
                      <w:rFonts w:hint="default" w:ascii="Times New Roman" w:hAnsi="Times New Roman"/>
                      <w:color w:val="0000FF"/>
                      <w:sz w:val="21"/>
                      <w:szCs w:val="21"/>
                    </w:rPr>
                    <w:t>11</w:t>
                  </w:r>
                  <w:r>
                    <w:rPr>
                      <w:rFonts w:hint="eastAsia"/>
                      <w:color w:val="0000FF"/>
                      <w:sz w:val="21"/>
                      <w:szCs w:val="21"/>
                      <w:lang w:val="en-US" w:eastAsia="zh-CN"/>
                    </w:rPr>
                    <w:t>4</w:t>
                  </w:r>
                  <w:r>
                    <w:rPr>
                      <w:rFonts w:hint="default" w:ascii="Times New Roman" w:hAnsi="Times New Roman"/>
                      <w:color w:val="0000FF"/>
                      <w:sz w:val="21"/>
                      <w:szCs w:val="21"/>
                    </w:rPr>
                    <w:t>°</w:t>
                  </w:r>
                  <w:r>
                    <w:rPr>
                      <w:rFonts w:hint="eastAsia"/>
                      <w:color w:val="0000FF"/>
                      <w:sz w:val="21"/>
                      <w:szCs w:val="21"/>
                      <w:lang w:val="en-US" w:eastAsia="zh-CN"/>
                    </w:rPr>
                    <w:t>56</w:t>
                  </w:r>
                  <w:r>
                    <w:rPr>
                      <w:rFonts w:hint="default" w:ascii="Times New Roman" w:hAnsi="Times New Roman"/>
                      <w:color w:val="0000FF"/>
                      <w:sz w:val="21"/>
                      <w:szCs w:val="21"/>
                    </w:rPr>
                    <w:t>'</w:t>
                  </w:r>
                  <w:r>
                    <w:rPr>
                      <w:rFonts w:hint="eastAsia"/>
                      <w:color w:val="0000FF"/>
                      <w:sz w:val="21"/>
                      <w:szCs w:val="21"/>
                      <w:lang w:val="en-US" w:eastAsia="zh-CN"/>
                    </w:rPr>
                    <w:t>53.477</w:t>
                  </w:r>
                  <w:r>
                    <w:rPr>
                      <w:rFonts w:hint="default" w:ascii="Times New Roman" w:hAnsi="Times New Roman"/>
                      <w:color w:val="0000FF"/>
                      <w:sz w:val="21"/>
                      <w:szCs w:val="21"/>
                    </w:rPr>
                    <w:t>"</w:t>
                  </w:r>
                </w:p>
              </w:tc>
            </w:tr>
          </w:tbl>
          <w:p w14:paraId="19197B9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w:t>
            </w:r>
            <w:r>
              <w:rPr>
                <w:rFonts w:hint="eastAsia" w:cs="Times New Roman"/>
                <w:b w:val="0"/>
                <w:bCs w:val="0"/>
                <w:color w:val="auto"/>
                <w:sz w:val="24"/>
                <w:lang w:val="en-US" w:eastAsia="zh-CN"/>
              </w:rPr>
              <w:t>4</w:t>
            </w:r>
            <w:r>
              <w:rPr>
                <w:rFonts w:hint="default" w:ascii="Times New Roman" w:hAnsi="Times New Roman" w:cs="Times New Roman"/>
                <w:b w:val="0"/>
                <w:bCs w:val="0"/>
                <w:color w:val="auto"/>
                <w:sz w:val="24"/>
              </w:rPr>
              <w:t>）污染防治措施可行性分析</w:t>
            </w:r>
          </w:p>
          <w:p w14:paraId="1D2E181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①干式粉碎、挤出废气治理措施可行性论证</w:t>
            </w:r>
          </w:p>
          <w:p w14:paraId="7077B70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cs="Times New Roman"/>
                <w:color w:val="0000FF"/>
                <w:sz w:val="24"/>
                <w:lang w:val="en-US" w:eastAsia="zh-CN"/>
              </w:rPr>
            </w:pPr>
            <w:r>
              <w:rPr>
                <w:rFonts w:hint="eastAsia" w:cs="Times New Roman"/>
                <w:color w:val="0000FF"/>
                <w:sz w:val="24"/>
                <w:lang w:val="en-US" w:eastAsia="zh-CN"/>
              </w:rPr>
              <w:t>根据《排污许可证申请与核发技术规范 废弃资源加工工业》（HJ 1034-2019）附录A，本项目</w:t>
            </w:r>
            <w:r>
              <w:rPr>
                <w:rFonts w:hint="eastAsia" w:cs="Times New Roman"/>
                <w:color w:val="0000FF"/>
                <w:sz w:val="24"/>
                <w:szCs w:val="24"/>
                <w:highlight w:val="none"/>
                <w:lang w:val="en-US" w:eastAsia="zh-CN"/>
              </w:rPr>
              <w:t>干式粉碎</w:t>
            </w:r>
            <w:r>
              <w:rPr>
                <w:rFonts w:hint="eastAsia" w:cs="Times New Roman"/>
                <w:color w:val="0000FF"/>
                <w:sz w:val="24"/>
                <w:lang w:val="en-US" w:eastAsia="zh-CN"/>
              </w:rPr>
              <w:t>采用的处理工艺-袋式除尘器</w:t>
            </w:r>
            <w:r>
              <w:rPr>
                <w:rFonts w:hint="eastAsia" w:cs="Times New Roman"/>
                <w:color w:val="0000FF"/>
                <w:sz w:val="24"/>
                <w:szCs w:val="24"/>
                <w:highlight w:val="none"/>
                <w:lang w:val="en-US" w:eastAsia="zh-CN"/>
              </w:rPr>
              <w:t>，挤出</w:t>
            </w:r>
            <w:r>
              <w:rPr>
                <w:rFonts w:hint="eastAsia" w:cs="Times New Roman"/>
                <w:color w:val="0000FF"/>
                <w:sz w:val="24"/>
                <w:lang w:val="en-US" w:eastAsia="zh-CN"/>
              </w:rPr>
              <w:t>工序采用的处理工艺-喷淋塔+干式过滤+活性炭吸附脱附+催化燃烧为技术规范推荐的可行技术，且废气经处理后能达标排放。</w:t>
            </w:r>
          </w:p>
          <w:p w14:paraId="6CFDBBA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cs="Times New Roman"/>
                <w:b w:val="0"/>
                <w:bCs w:val="0"/>
                <w:color w:val="auto"/>
                <w:sz w:val="24"/>
                <w:lang w:val="en-US" w:eastAsia="zh-CN"/>
              </w:rPr>
            </w:pPr>
            <w:r>
              <w:rPr>
                <w:rFonts w:hint="eastAsia" w:cs="Times New Roman"/>
                <w:color w:val="auto"/>
                <w:sz w:val="24"/>
                <w:lang w:val="en-US" w:eastAsia="zh-CN"/>
              </w:rPr>
              <w:t>因此，干式粉碎、挤出废气治理措施可行。</w:t>
            </w:r>
          </w:p>
          <w:p w14:paraId="79BEEF8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cs="Times New Roman"/>
                <w:b w:val="0"/>
                <w:bCs w:val="0"/>
                <w:color w:val="auto"/>
                <w:sz w:val="24"/>
                <w:lang w:val="en-US" w:eastAsia="zh-CN"/>
              </w:rPr>
            </w:pPr>
            <w:r>
              <w:rPr>
                <w:rFonts w:hint="default" w:ascii="Times New Roman" w:hAnsi="Times New Roman" w:cs="Times New Roman"/>
                <w:b w:val="0"/>
                <w:bCs w:val="0"/>
                <w:color w:val="auto"/>
                <w:sz w:val="24"/>
              </w:rPr>
              <w:t>（</w:t>
            </w:r>
            <w:r>
              <w:rPr>
                <w:rFonts w:hint="eastAsia" w:cs="Times New Roman"/>
                <w:b w:val="0"/>
                <w:bCs w:val="0"/>
                <w:color w:val="auto"/>
                <w:sz w:val="24"/>
                <w:lang w:val="en-US" w:eastAsia="zh-CN"/>
              </w:rPr>
              <w:t>5</w:t>
            </w:r>
            <w:r>
              <w:rPr>
                <w:rFonts w:hint="default" w:ascii="Times New Roman" w:hAnsi="Times New Roman" w:cs="Times New Roman"/>
                <w:b w:val="0"/>
                <w:bCs w:val="0"/>
                <w:color w:val="auto"/>
                <w:sz w:val="24"/>
              </w:rPr>
              <w:t>）</w:t>
            </w:r>
            <w:r>
              <w:rPr>
                <w:rFonts w:hint="eastAsia" w:cs="Times New Roman"/>
                <w:b w:val="0"/>
                <w:bCs w:val="0"/>
                <w:color w:val="auto"/>
                <w:sz w:val="24"/>
                <w:lang w:val="en-US" w:eastAsia="zh-CN"/>
              </w:rPr>
              <w:t>非正常工况</w:t>
            </w:r>
          </w:p>
          <w:p w14:paraId="7B3AD008">
            <w:pPr>
              <w:pStyle w:val="9"/>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非正常排放是指生产过程中开停车（工、炉）、设备检修、工艺设备运转异常等非正常工况下的污染物排放，以及污染物排放控制措施达不到应有效率等情况下的排放，即喷淋塔+干式过滤+活性炭吸附脱附+催化燃烧</w:t>
            </w:r>
            <w:r>
              <w:rPr>
                <w:rFonts w:hint="eastAsia" w:cs="Times New Roman"/>
                <w:color w:val="auto"/>
                <w:sz w:val="24"/>
                <w:lang w:eastAsia="zh-CN"/>
              </w:rPr>
              <w:t>、</w:t>
            </w:r>
            <w:r>
              <w:rPr>
                <w:rFonts w:hint="eastAsia" w:cs="Times New Roman"/>
                <w:color w:val="auto"/>
                <w:sz w:val="24"/>
                <w:lang w:val="en-US" w:eastAsia="zh-CN"/>
              </w:rPr>
              <w:t>袋式除尘器</w:t>
            </w:r>
            <w:r>
              <w:rPr>
                <w:rFonts w:hint="eastAsia" w:ascii="Times New Roman" w:hAnsi="Times New Roman" w:eastAsia="宋体" w:cs="Times New Roman"/>
                <w:color w:val="auto"/>
                <w:sz w:val="24"/>
                <w:lang w:eastAsia="zh-CN"/>
              </w:rPr>
              <w:t>失效，造成废气污染物未经净化直接排放</w:t>
            </w:r>
            <w:r>
              <w:rPr>
                <w:rFonts w:hint="eastAsia" w:cs="Times New Roman"/>
                <w:color w:val="auto"/>
                <w:sz w:val="24"/>
                <w:lang w:eastAsia="zh-CN"/>
              </w:rPr>
              <w:t>。</w:t>
            </w:r>
            <w:r>
              <w:rPr>
                <w:rFonts w:hint="eastAsia" w:ascii="Times New Roman" w:hAnsi="Times New Roman" w:eastAsia="宋体" w:cs="Times New Roman"/>
                <w:color w:val="auto"/>
                <w:sz w:val="24"/>
                <w:lang w:eastAsia="zh-CN"/>
              </w:rPr>
              <w:t>本次非正常工况考虑干式粉碎、挤出</w:t>
            </w:r>
            <w:r>
              <w:rPr>
                <w:rFonts w:hint="eastAsia" w:cs="Times New Roman"/>
                <w:color w:val="auto"/>
                <w:sz w:val="24"/>
                <w:lang w:val="en-US" w:eastAsia="zh-CN"/>
              </w:rPr>
              <w:t>工序治理设施</w:t>
            </w:r>
            <w:r>
              <w:rPr>
                <w:rFonts w:hint="eastAsia" w:ascii="Times New Roman" w:hAnsi="Times New Roman" w:eastAsia="宋体" w:cs="Times New Roman"/>
                <w:color w:val="auto"/>
                <w:sz w:val="24"/>
                <w:lang w:eastAsia="zh-CN"/>
              </w:rPr>
              <w:t>发生故障时，废气超标排放。类比同类企业，</w:t>
            </w:r>
            <w:r>
              <w:rPr>
                <w:rFonts w:hint="eastAsia" w:cs="Times New Roman"/>
                <w:color w:val="auto"/>
                <w:sz w:val="24"/>
                <w:lang w:val="en-US" w:eastAsia="zh-CN"/>
              </w:rPr>
              <w:t>以上工序治理设施</w:t>
            </w:r>
            <w:r>
              <w:rPr>
                <w:rFonts w:hint="eastAsia" w:ascii="Times New Roman" w:hAnsi="Times New Roman" w:eastAsia="宋体" w:cs="Times New Roman"/>
                <w:color w:val="auto"/>
                <w:sz w:val="24"/>
                <w:lang w:eastAsia="zh-CN"/>
              </w:rPr>
              <w:t>发生故障的概率≤1次/年，持续时间≤30min</w:t>
            </w:r>
            <w:r>
              <w:rPr>
                <w:rFonts w:hint="eastAsia" w:cs="Times New Roman"/>
                <w:color w:val="auto"/>
                <w:sz w:val="24"/>
                <w:lang w:eastAsia="zh-CN"/>
              </w:rPr>
              <w:t>。</w:t>
            </w:r>
            <w:r>
              <w:rPr>
                <w:rFonts w:hint="eastAsia" w:ascii="Times New Roman" w:hAnsi="Times New Roman" w:eastAsia="宋体" w:cs="Times New Roman"/>
                <w:color w:val="auto"/>
                <w:sz w:val="24"/>
                <w:lang w:eastAsia="zh-CN"/>
              </w:rPr>
              <w:t>因此，项目非正常工况下污染物外排情况见表</w:t>
            </w:r>
            <w:r>
              <w:rPr>
                <w:rFonts w:hint="eastAsia" w:cs="Times New Roman"/>
                <w:color w:val="auto"/>
                <w:sz w:val="24"/>
                <w:lang w:val="en-US" w:eastAsia="zh-CN"/>
              </w:rPr>
              <w:t>21</w:t>
            </w:r>
            <w:r>
              <w:rPr>
                <w:rFonts w:hint="eastAsia" w:ascii="Times New Roman" w:hAnsi="Times New Roman" w:eastAsia="宋体" w:cs="Times New Roman"/>
                <w:color w:val="auto"/>
                <w:sz w:val="24"/>
                <w:lang w:eastAsia="zh-CN"/>
              </w:rPr>
              <w:t>。</w:t>
            </w:r>
          </w:p>
          <w:p w14:paraId="294F842B">
            <w:pPr>
              <w:pStyle w:val="9"/>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imes New Roman" w:hAnsi="Times New Roman" w:eastAsia="宋体" w:cs="Times New Roman"/>
                <w:color w:val="auto"/>
                <w:sz w:val="24"/>
                <w:lang w:eastAsia="zh-CN"/>
              </w:rPr>
            </w:pPr>
            <w:r>
              <w:rPr>
                <w:rFonts w:hint="default" w:ascii="Times New Roman" w:hAnsi="Times New Roman" w:eastAsia="宋体" w:cs="Times New Roman"/>
                <w:b/>
                <w:bCs/>
                <w:color w:val="auto"/>
                <w:sz w:val="24"/>
              </w:rPr>
              <w:t>表</w:t>
            </w:r>
            <w:r>
              <w:rPr>
                <w:rFonts w:hint="eastAsia" w:cs="Times New Roman"/>
                <w:b/>
                <w:bCs/>
                <w:color w:val="auto"/>
                <w:sz w:val="24"/>
                <w:lang w:val="en-US" w:eastAsia="zh-CN"/>
              </w:rPr>
              <w:t>21   废气污染源非正常情况下排放参数一览表</w:t>
            </w:r>
          </w:p>
          <w:tbl>
            <w:tblPr>
              <w:tblStyle w:val="29"/>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305"/>
              <w:gridCol w:w="705"/>
              <w:gridCol w:w="1110"/>
              <w:gridCol w:w="915"/>
              <w:gridCol w:w="844"/>
              <w:gridCol w:w="932"/>
              <w:gridCol w:w="746"/>
              <w:gridCol w:w="1044"/>
            </w:tblGrid>
            <w:tr w14:paraId="76B8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753" w:type="dxa"/>
                  <w:noWrap w:val="0"/>
                  <w:vAlign w:val="center"/>
                </w:tcPr>
                <w:p w14:paraId="4EC229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非正常排放源</w:t>
                  </w:r>
                </w:p>
              </w:tc>
              <w:tc>
                <w:tcPr>
                  <w:tcW w:w="1305" w:type="dxa"/>
                  <w:noWrap w:val="0"/>
                  <w:vAlign w:val="center"/>
                </w:tcPr>
                <w:p w14:paraId="79A0C1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非正常排放</w:t>
                  </w:r>
                </w:p>
                <w:p w14:paraId="69F289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原因</w:t>
                  </w:r>
                </w:p>
              </w:tc>
              <w:tc>
                <w:tcPr>
                  <w:tcW w:w="705" w:type="dxa"/>
                  <w:noWrap w:val="0"/>
                  <w:vAlign w:val="center"/>
                </w:tcPr>
                <w:p w14:paraId="047239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污染物</w:t>
                  </w:r>
                </w:p>
              </w:tc>
              <w:tc>
                <w:tcPr>
                  <w:tcW w:w="1110" w:type="dxa"/>
                  <w:noWrap w:val="0"/>
                  <w:vAlign w:val="center"/>
                </w:tcPr>
                <w:p w14:paraId="1CA6B0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非正常排放浓度（mg/m</w:t>
                  </w:r>
                  <w:r>
                    <w:rPr>
                      <w:rFonts w:hint="eastAsia" w:cs="Times New Roman"/>
                      <w:color w:val="auto"/>
                      <w:sz w:val="21"/>
                      <w:szCs w:val="21"/>
                      <w:vertAlign w:val="superscript"/>
                      <w:lang w:val="en-US" w:eastAsia="zh-CN"/>
                    </w:rPr>
                    <w:t>3</w:t>
                  </w:r>
                  <w:r>
                    <w:rPr>
                      <w:rFonts w:hint="eastAsia" w:cs="Times New Roman"/>
                      <w:color w:val="auto"/>
                      <w:sz w:val="21"/>
                      <w:szCs w:val="21"/>
                      <w:lang w:val="en-US" w:eastAsia="zh-CN"/>
                    </w:rPr>
                    <w:t>）</w:t>
                  </w:r>
                </w:p>
              </w:tc>
              <w:tc>
                <w:tcPr>
                  <w:tcW w:w="915" w:type="dxa"/>
                  <w:noWrap w:val="0"/>
                  <w:vAlign w:val="center"/>
                </w:tcPr>
                <w:p w14:paraId="66F021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非正常排放速率（kg/h）</w:t>
                  </w:r>
                </w:p>
              </w:tc>
              <w:tc>
                <w:tcPr>
                  <w:tcW w:w="844" w:type="dxa"/>
                  <w:noWrap w:val="0"/>
                  <w:vAlign w:val="center"/>
                </w:tcPr>
                <w:p w14:paraId="360A81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非正常排放量（t/a）</w:t>
                  </w:r>
                </w:p>
              </w:tc>
              <w:tc>
                <w:tcPr>
                  <w:tcW w:w="932" w:type="dxa"/>
                  <w:noWrap w:val="0"/>
                  <w:vAlign w:val="center"/>
                </w:tcPr>
                <w:p w14:paraId="416260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单次持续时间</w:t>
                  </w:r>
                  <w:r>
                    <w:rPr>
                      <w:rFonts w:hint="default" w:ascii="Times New Roman" w:hAnsi="Times New Roman" w:eastAsia="宋体" w:cs="Times New Roman"/>
                      <w:color w:val="auto"/>
                      <w:sz w:val="21"/>
                      <w:szCs w:val="21"/>
                    </w:rPr>
                    <w:t>/</w:t>
                  </w:r>
                  <w:r>
                    <w:rPr>
                      <w:rFonts w:hint="eastAsia" w:cs="Times New Roman"/>
                      <w:color w:val="auto"/>
                      <w:sz w:val="21"/>
                      <w:szCs w:val="21"/>
                      <w:lang w:val="en-US" w:eastAsia="zh-CN"/>
                    </w:rPr>
                    <w:t>h</w:t>
                  </w:r>
                </w:p>
              </w:tc>
              <w:tc>
                <w:tcPr>
                  <w:tcW w:w="746" w:type="dxa"/>
                  <w:noWrap w:val="0"/>
                  <w:vAlign w:val="center"/>
                </w:tcPr>
                <w:p w14:paraId="3E19A7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年发生频次/次</w:t>
                  </w:r>
                </w:p>
              </w:tc>
              <w:tc>
                <w:tcPr>
                  <w:tcW w:w="1044" w:type="dxa"/>
                  <w:noWrap w:val="0"/>
                  <w:vAlign w:val="center"/>
                </w:tcPr>
                <w:p w14:paraId="416637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应对</w:t>
                  </w:r>
                </w:p>
                <w:p w14:paraId="0954BA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措施</w:t>
                  </w:r>
                </w:p>
              </w:tc>
            </w:tr>
            <w:tr w14:paraId="4D5A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53" w:type="dxa"/>
                  <w:vMerge w:val="restart"/>
                  <w:noWrap w:val="0"/>
                  <w:vAlign w:val="center"/>
                </w:tcPr>
                <w:p w14:paraId="38888AAB">
                  <w:pPr>
                    <w:pStyle w:val="87"/>
                    <w:spacing w:line="280" w:lineRule="exact"/>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挤出</w:t>
                  </w:r>
                </w:p>
              </w:tc>
              <w:tc>
                <w:tcPr>
                  <w:tcW w:w="1305" w:type="dxa"/>
                  <w:vMerge w:val="restart"/>
                  <w:noWrap w:val="0"/>
                  <w:vAlign w:val="center"/>
                </w:tcPr>
                <w:p w14:paraId="70C49B20">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cs="Times New Roman"/>
                      <w:color w:val="auto"/>
                      <w:sz w:val="21"/>
                      <w:szCs w:val="21"/>
                      <w:lang w:val="en-US" w:eastAsia="zh-CN"/>
                    </w:rPr>
                  </w:pPr>
                  <w:r>
                    <w:rPr>
                      <w:rFonts w:hint="default" w:ascii="Times New Roman" w:hAnsi="Times New Roman" w:eastAsia="宋体" w:cs="Times New Roman"/>
                      <w:color w:val="auto"/>
                      <w:sz w:val="21"/>
                      <w:szCs w:val="21"/>
                    </w:rPr>
                    <w:t>喷淋塔+干式过滤+活性炭吸附脱附+催化燃烧故障，处理效率为0</w:t>
                  </w:r>
                </w:p>
              </w:tc>
              <w:tc>
                <w:tcPr>
                  <w:tcW w:w="705" w:type="dxa"/>
                  <w:noWrap w:val="0"/>
                  <w:vAlign w:val="center"/>
                </w:tcPr>
                <w:p w14:paraId="095CDFFD">
                  <w:pPr>
                    <w:pStyle w:val="87"/>
                    <w:spacing w:line="280" w:lineRule="exact"/>
                    <w:ind w:firstLine="0" w:firstLineChars="0"/>
                    <w:jc w:val="center"/>
                    <w:rPr>
                      <w:rFonts w:hint="eastAsia" w:cs="Times New Roman"/>
                      <w:color w:val="auto"/>
                      <w:sz w:val="21"/>
                      <w:szCs w:val="21"/>
                      <w:lang w:val="en-US" w:eastAsia="zh-CN"/>
                    </w:rPr>
                  </w:pPr>
                  <w:r>
                    <w:rPr>
                      <w:rFonts w:hint="default" w:ascii="Times New Roman" w:hAnsi="Times New Roman" w:cs="Times New Roman"/>
                      <w:bCs/>
                      <w:color w:val="auto"/>
                      <w:sz w:val="21"/>
                      <w:szCs w:val="21"/>
                      <w:lang w:val="en-US" w:eastAsia="zh-CN"/>
                    </w:rPr>
                    <w:t>颗粒物</w:t>
                  </w:r>
                </w:p>
              </w:tc>
              <w:tc>
                <w:tcPr>
                  <w:tcW w:w="1110" w:type="dxa"/>
                  <w:noWrap w:val="0"/>
                  <w:vAlign w:val="center"/>
                </w:tcPr>
                <w:p w14:paraId="1E2E08E7">
                  <w:pPr>
                    <w:spacing w:line="240" w:lineRule="exact"/>
                    <w:jc w:val="center"/>
                    <w:rPr>
                      <w:rFonts w:hint="default" w:ascii="Times New Roman" w:hAnsi="Times New Roman" w:eastAsia="宋体" w:cs="Times New Roman"/>
                      <w:color w:val="FF0000"/>
                      <w:sz w:val="21"/>
                      <w:szCs w:val="21"/>
                      <w:lang w:val="en-US" w:eastAsia="zh-CN"/>
                    </w:rPr>
                  </w:pPr>
                  <w:r>
                    <w:rPr>
                      <w:rFonts w:hint="eastAsia" w:cs="Times New Roman"/>
                      <w:color w:val="FF0000"/>
                      <w:szCs w:val="21"/>
                      <w:lang w:val="en-US" w:eastAsia="zh-CN"/>
                    </w:rPr>
                    <w:t>4.58</w:t>
                  </w:r>
                </w:p>
              </w:tc>
              <w:tc>
                <w:tcPr>
                  <w:tcW w:w="915" w:type="dxa"/>
                  <w:noWrap w:val="0"/>
                  <w:vAlign w:val="center"/>
                </w:tcPr>
                <w:p w14:paraId="16CEA561">
                  <w:pPr>
                    <w:spacing w:line="240" w:lineRule="exact"/>
                    <w:jc w:val="center"/>
                    <w:rPr>
                      <w:rFonts w:hint="default" w:ascii="Times New Roman" w:hAnsi="Times New Roman" w:eastAsia="宋体" w:cs="Times New Roman"/>
                      <w:color w:val="FF0000"/>
                      <w:sz w:val="21"/>
                      <w:szCs w:val="21"/>
                      <w:lang w:val="en-US" w:eastAsia="zh-CN"/>
                    </w:rPr>
                  </w:pPr>
                  <w:r>
                    <w:rPr>
                      <w:rFonts w:hint="eastAsia" w:cs="Times New Roman"/>
                      <w:color w:val="FF0000"/>
                      <w:szCs w:val="21"/>
                      <w:lang w:val="en-US" w:eastAsia="zh-CN"/>
                    </w:rPr>
                    <w:t>0.046</w:t>
                  </w:r>
                </w:p>
              </w:tc>
              <w:tc>
                <w:tcPr>
                  <w:tcW w:w="844" w:type="dxa"/>
                  <w:noWrap w:val="0"/>
                  <w:vAlign w:val="center"/>
                </w:tcPr>
                <w:p w14:paraId="6DBF9FB8">
                  <w:pPr>
                    <w:keepNext w:val="0"/>
                    <w:keepLines w:val="0"/>
                    <w:pageBreakBefore w:val="0"/>
                    <w:widowControl w:val="0"/>
                    <w:kinsoku/>
                    <w:wordWrap/>
                    <w:overflowPunct/>
                    <w:topLinePunct w:val="0"/>
                    <w:autoSpaceDE/>
                    <w:autoSpaceDN/>
                    <w:bidi w:val="0"/>
                    <w:spacing w:line="240" w:lineRule="exact"/>
                    <w:jc w:val="center"/>
                    <w:textAlignment w:val="auto"/>
                    <w:rPr>
                      <w:rFonts w:hint="default" w:cs="Times New Roman"/>
                      <w:color w:val="FF0000"/>
                      <w:szCs w:val="21"/>
                      <w:lang w:val="en-US" w:eastAsia="zh-CN"/>
                    </w:rPr>
                  </w:pPr>
                  <w:r>
                    <w:rPr>
                      <w:rFonts w:hint="eastAsia" w:cs="Times New Roman"/>
                      <w:color w:val="FF0000"/>
                      <w:szCs w:val="21"/>
                      <w:lang w:val="en-US" w:eastAsia="zh-CN"/>
                    </w:rPr>
                    <w:t>2.3×10</w:t>
                  </w:r>
                  <w:r>
                    <w:rPr>
                      <w:rFonts w:hint="eastAsia" w:cs="Times New Roman"/>
                      <w:color w:val="FF0000"/>
                      <w:szCs w:val="21"/>
                      <w:vertAlign w:val="superscript"/>
                      <w:lang w:val="en-US" w:eastAsia="zh-CN"/>
                    </w:rPr>
                    <w:t>-5</w:t>
                  </w:r>
                </w:p>
              </w:tc>
              <w:tc>
                <w:tcPr>
                  <w:tcW w:w="932" w:type="dxa"/>
                  <w:noWrap w:val="0"/>
                  <w:vAlign w:val="center"/>
                </w:tcPr>
                <w:p w14:paraId="416C6D3C">
                  <w:pPr>
                    <w:keepNext w:val="0"/>
                    <w:keepLines w:val="0"/>
                    <w:pageBreakBefore w:val="0"/>
                    <w:widowControl w:val="0"/>
                    <w:kinsoku/>
                    <w:wordWrap/>
                    <w:overflowPunct/>
                    <w:topLinePunct w:val="0"/>
                    <w:autoSpaceDE/>
                    <w:autoSpaceDN/>
                    <w:bidi w:val="0"/>
                    <w:spacing w:line="240" w:lineRule="exact"/>
                    <w:jc w:val="center"/>
                    <w:textAlignment w:val="auto"/>
                    <w:rPr>
                      <w:rFonts w:hint="eastAsia" w:cs="Times New Roman"/>
                      <w:color w:val="auto"/>
                      <w:szCs w:val="21"/>
                      <w:lang w:val="en-US" w:eastAsia="zh-CN"/>
                    </w:rPr>
                  </w:pPr>
                  <w:r>
                    <w:rPr>
                      <w:rFonts w:hint="eastAsia" w:cs="Times New Roman"/>
                      <w:color w:val="auto"/>
                      <w:szCs w:val="21"/>
                      <w:lang w:val="en-US" w:eastAsia="zh-CN"/>
                    </w:rPr>
                    <w:t>0.5</w:t>
                  </w:r>
                </w:p>
              </w:tc>
              <w:tc>
                <w:tcPr>
                  <w:tcW w:w="746" w:type="dxa"/>
                  <w:noWrap w:val="0"/>
                  <w:vAlign w:val="center"/>
                </w:tcPr>
                <w:p w14:paraId="5A1F0E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1</w:t>
                  </w:r>
                </w:p>
              </w:tc>
              <w:tc>
                <w:tcPr>
                  <w:tcW w:w="1044" w:type="dxa"/>
                  <w:vMerge w:val="restart"/>
                  <w:noWrap w:val="0"/>
                  <w:vAlign w:val="center"/>
                </w:tcPr>
                <w:p w14:paraId="3FE065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停止运行，及时检修废气处理措施</w:t>
                  </w:r>
                </w:p>
              </w:tc>
            </w:tr>
            <w:tr w14:paraId="7AE7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53" w:type="dxa"/>
                  <w:vMerge w:val="continue"/>
                  <w:noWrap w:val="0"/>
                  <w:vAlign w:val="center"/>
                </w:tcPr>
                <w:p w14:paraId="0DA72C27">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p>
              </w:tc>
              <w:tc>
                <w:tcPr>
                  <w:tcW w:w="1305" w:type="dxa"/>
                  <w:vMerge w:val="continue"/>
                  <w:noWrap w:val="0"/>
                  <w:vAlign w:val="center"/>
                </w:tcPr>
                <w:p w14:paraId="3744AECD">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p>
              </w:tc>
              <w:tc>
                <w:tcPr>
                  <w:tcW w:w="705" w:type="dxa"/>
                  <w:noWrap w:val="0"/>
                  <w:vAlign w:val="center"/>
                </w:tcPr>
                <w:p w14:paraId="2C30B4CC">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color w:val="auto"/>
                    </w:rPr>
                  </w:pPr>
                  <w:r>
                    <w:rPr>
                      <w:rFonts w:hint="eastAsia" w:cs="Times New Roman"/>
                      <w:bCs/>
                      <w:color w:val="auto"/>
                      <w:szCs w:val="21"/>
                      <w:lang w:val="en-US" w:eastAsia="zh-CN"/>
                    </w:rPr>
                    <w:t>非甲烷总烃</w:t>
                  </w:r>
                </w:p>
              </w:tc>
              <w:tc>
                <w:tcPr>
                  <w:tcW w:w="1110" w:type="dxa"/>
                  <w:noWrap w:val="0"/>
                  <w:vAlign w:val="center"/>
                </w:tcPr>
                <w:p w14:paraId="365C0DEC">
                  <w:pPr>
                    <w:spacing w:line="240" w:lineRule="exact"/>
                    <w:jc w:val="center"/>
                    <w:rPr>
                      <w:rFonts w:hint="default" w:ascii="Times New Roman" w:hAnsi="Times New Roman" w:eastAsia="宋体" w:cs="Times New Roman"/>
                      <w:color w:val="auto"/>
                      <w:sz w:val="21"/>
                      <w:szCs w:val="21"/>
                      <w:lang w:val="en-US" w:eastAsia="zh-CN"/>
                    </w:rPr>
                  </w:pPr>
                  <w:r>
                    <w:rPr>
                      <w:rFonts w:hint="default" w:cs="Times New Roman"/>
                      <w:color w:val="auto"/>
                      <w:szCs w:val="21"/>
                      <w:lang w:val="en-US" w:eastAsia="zh-CN"/>
                    </w:rPr>
                    <w:t>108.13</w:t>
                  </w:r>
                </w:p>
              </w:tc>
              <w:tc>
                <w:tcPr>
                  <w:tcW w:w="915" w:type="dxa"/>
                  <w:noWrap w:val="0"/>
                  <w:vAlign w:val="center"/>
                </w:tcPr>
                <w:p w14:paraId="26F5BCF3">
                  <w:pPr>
                    <w:spacing w:line="24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Cs w:val="21"/>
                      <w:lang w:val="en-US" w:eastAsia="zh-CN"/>
                    </w:rPr>
                    <w:t>1.08</w:t>
                  </w:r>
                </w:p>
              </w:tc>
              <w:tc>
                <w:tcPr>
                  <w:tcW w:w="844" w:type="dxa"/>
                  <w:noWrap w:val="0"/>
                  <w:vAlign w:val="center"/>
                </w:tcPr>
                <w:p w14:paraId="6C9172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Cs w:val="21"/>
                      <w:lang w:val="en-US" w:eastAsia="zh-CN"/>
                    </w:rPr>
                    <w:t>5.4×10</w:t>
                  </w:r>
                  <w:r>
                    <w:rPr>
                      <w:rFonts w:hint="eastAsia" w:cs="Times New Roman"/>
                      <w:color w:val="auto"/>
                      <w:szCs w:val="21"/>
                      <w:vertAlign w:val="superscript"/>
                      <w:lang w:val="en-US" w:eastAsia="zh-CN"/>
                    </w:rPr>
                    <w:t>-4</w:t>
                  </w:r>
                </w:p>
              </w:tc>
              <w:tc>
                <w:tcPr>
                  <w:tcW w:w="932" w:type="dxa"/>
                  <w:noWrap w:val="0"/>
                  <w:vAlign w:val="center"/>
                </w:tcPr>
                <w:p w14:paraId="61946496">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Cs w:val="21"/>
                      <w:lang w:val="en-US" w:eastAsia="zh-CN"/>
                    </w:rPr>
                    <w:t>0.5</w:t>
                  </w:r>
                </w:p>
              </w:tc>
              <w:tc>
                <w:tcPr>
                  <w:tcW w:w="746" w:type="dxa"/>
                  <w:noWrap w:val="0"/>
                  <w:vAlign w:val="center"/>
                </w:tcPr>
                <w:p w14:paraId="0AD2EE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kern w:val="2"/>
                      <w:sz w:val="21"/>
                      <w:szCs w:val="21"/>
                      <w:lang w:val="en-US" w:eastAsia="zh-CN" w:bidi="ar-SA"/>
                    </w:rPr>
                    <w:t>1</w:t>
                  </w:r>
                </w:p>
              </w:tc>
              <w:tc>
                <w:tcPr>
                  <w:tcW w:w="1044" w:type="dxa"/>
                  <w:vMerge w:val="continue"/>
                  <w:noWrap w:val="0"/>
                  <w:vAlign w:val="center"/>
                </w:tcPr>
                <w:p w14:paraId="767B43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lang w:val="en-US" w:eastAsia="zh-CN"/>
                    </w:rPr>
                  </w:pPr>
                </w:p>
              </w:tc>
            </w:tr>
            <w:tr w14:paraId="6073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53" w:type="dxa"/>
                  <w:noWrap w:val="0"/>
                  <w:vAlign w:val="center"/>
                </w:tcPr>
                <w:p w14:paraId="4D0A34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0000FF"/>
                    </w:rPr>
                  </w:pPr>
                  <w:r>
                    <w:rPr>
                      <w:rFonts w:hint="eastAsia" w:ascii="Times New Roman" w:hAnsi="Times New Roman" w:eastAsia="宋体" w:cs="Times New Roman"/>
                      <w:color w:val="0000FF"/>
                      <w:sz w:val="21"/>
                      <w:szCs w:val="21"/>
                      <w:lang w:val="en-US" w:eastAsia="zh-CN"/>
                    </w:rPr>
                    <w:t>干式粉碎</w:t>
                  </w:r>
                </w:p>
              </w:tc>
              <w:tc>
                <w:tcPr>
                  <w:tcW w:w="1305" w:type="dxa"/>
                  <w:noWrap w:val="0"/>
                  <w:vAlign w:val="center"/>
                </w:tcPr>
                <w:p w14:paraId="61FFF77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0000FF"/>
                    </w:rPr>
                  </w:pPr>
                  <w:r>
                    <w:rPr>
                      <w:rFonts w:hint="eastAsia" w:cs="Times New Roman"/>
                      <w:color w:val="0000FF"/>
                      <w:sz w:val="21"/>
                      <w:szCs w:val="21"/>
                      <w:lang w:val="en-US" w:eastAsia="zh-CN"/>
                    </w:rPr>
                    <w:t>袋式除尘器</w:t>
                  </w:r>
                  <w:r>
                    <w:rPr>
                      <w:rFonts w:hint="default" w:ascii="Times New Roman" w:hAnsi="Times New Roman" w:eastAsia="宋体" w:cs="Times New Roman"/>
                      <w:color w:val="0000FF"/>
                      <w:sz w:val="21"/>
                      <w:szCs w:val="21"/>
                    </w:rPr>
                    <w:t>故障，处理效率为0</w:t>
                  </w:r>
                </w:p>
              </w:tc>
              <w:tc>
                <w:tcPr>
                  <w:tcW w:w="705" w:type="dxa"/>
                  <w:noWrap w:val="0"/>
                  <w:vAlign w:val="center"/>
                </w:tcPr>
                <w:p w14:paraId="40187945">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default" w:cs="Times New Roman"/>
                      <w:bCs/>
                      <w:color w:val="0000FF"/>
                      <w:szCs w:val="21"/>
                      <w:lang w:val="en-US" w:eastAsia="zh-CN"/>
                    </w:rPr>
                  </w:pPr>
                  <w:r>
                    <w:rPr>
                      <w:rFonts w:hint="eastAsia" w:cs="Times New Roman"/>
                      <w:bCs/>
                      <w:color w:val="0000FF"/>
                      <w:szCs w:val="21"/>
                      <w:lang w:val="en-US" w:eastAsia="zh-CN"/>
                    </w:rPr>
                    <w:t>颗粒物</w:t>
                  </w:r>
                </w:p>
              </w:tc>
              <w:tc>
                <w:tcPr>
                  <w:tcW w:w="1110" w:type="dxa"/>
                  <w:noWrap w:val="0"/>
                  <w:vAlign w:val="center"/>
                </w:tcPr>
                <w:p w14:paraId="5CDB3EC9">
                  <w:pPr>
                    <w:spacing w:line="240" w:lineRule="exact"/>
                    <w:jc w:val="center"/>
                    <w:rPr>
                      <w:rFonts w:hint="default" w:cs="Times New Roman"/>
                      <w:color w:val="0000FF"/>
                      <w:szCs w:val="21"/>
                      <w:lang w:val="en-US" w:eastAsia="zh-CN"/>
                    </w:rPr>
                  </w:pPr>
                  <w:r>
                    <w:rPr>
                      <w:rFonts w:hint="default" w:cs="Times New Roman"/>
                      <w:color w:val="0000FF"/>
                      <w:szCs w:val="21"/>
                      <w:lang w:val="en-US" w:eastAsia="zh-CN"/>
                    </w:rPr>
                    <w:t>260.42</w:t>
                  </w:r>
                </w:p>
              </w:tc>
              <w:tc>
                <w:tcPr>
                  <w:tcW w:w="915" w:type="dxa"/>
                  <w:noWrap w:val="0"/>
                  <w:vAlign w:val="center"/>
                </w:tcPr>
                <w:p w14:paraId="7AE78C62">
                  <w:pPr>
                    <w:spacing w:line="240" w:lineRule="exact"/>
                    <w:jc w:val="center"/>
                    <w:rPr>
                      <w:rFonts w:hint="default" w:cs="Times New Roman"/>
                      <w:color w:val="0000FF"/>
                      <w:szCs w:val="21"/>
                      <w:lang w:val="en-US" w:eastAsia="zh-CN"/>
                    </w:rPr>
                  </w:pPr>
                  <w:r>
                    <w:rPr>
                      <w:rFonts w:hint="eastAsia" w:cs="Times New Roman"/>
                      <w:color w:val="0000FF"/>
                      <w:szCs w:val="21"/>
                      <w:lang w:val="en-US" w:eastAsia="zh-CN"/>
                    </w:rPr>
                    <w:t>0.52</w:t>
                  </w:r>
                </w:p>
              </w:tc>
              <w:tc>
                <w:tcPr>
                  <w:tcW w:w="844" w:type="dxa"/>
                  <w:noWrap w:val="0"/>
                  <w:vAlign w:val="center"/>
                </w:tcPr>
                <w:p w14:paraId="312C39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Times New Roman"/>
                      <w:color w:val="0000FF"/>
                      <w:szCs w:val="21"/>
                      <w:lang w:val="en-US" w:eastAsia="zh-CN"/>
                    </w:rPr>
                  </w:pPr>
                  <w:r>
                    <w:rPr>
                      <w:rFonts w:hint="eastAsia" w:cs="Times New Roman"/>
                      <w:color w:val="0000FF"/>
                      <w:szCs w:val="21"/>
                      <w:lang w:val="en-US" w:eastAsia="zh-CN"/>
                    </w:rPr>
                    <w:t>2.6×10</w:t>
                  </w:r>
                  <w:r>
                    <w:rPr>
                      <w:rFonts w:hint="eastAsia" w:cs="Times New Roman"/>
                      <w:color w:val="0000FF"/>
                      <w:szCs w:val="21"/>
                      <w:vertAlign w:val="superscript"/>
                      <w:lang w:val="en-US" w:eastAsia="zh-CN"/>
                    </w:rPr>
                    <w:t>-4</w:t>
                  </w:r>
                </w:p>
              </w:tc>
              <w:tc>
                <w:tcPr>
                  <w:tcW w:w="932" w:type="dxa"/>
                  <w:noWrap w:val="0"/>
                  <w:vAlign w:val="center"/>
                </w:tcPr>
                <w:p w14:paraId="6354026B">
                  <w:pPr>
                    <w:keepNext w:val="0"/>
                    <w:keepLines w:val="0"/>
                    <w:pageBreakBefore w:val="0"/>
                    <w:widowControl w:val="0"/>
                    <w:kinsoku/>
                    <w:wordWrap/>
                    <w:overflowPunct/>
                    <w:topLinePunct w:val="0"/>
                    <w:autoSpaceDE/>
                    <w:autoSpaceDN/>
                    <w:bidi w:val="0"/>
                    <w:spacing w:line="240" w:lineRule="exact"/>
                    <w:jc w:val="center"/>
                    <w:textAlignment w:val="auto"/>
                    <w:rPr>
                      <w:rFonts w:hint="eastAsia" w:cs="Times New Roman"/>
                      <w:color w:val="0000FF"/>
                      <w:szCs w:val="21"/>
                      <w:lang w:val="en-US" w:eastAsia="zh-CN"/>
                    </w:rPr>
                  </w:pPr>
                  <w:r>
                    <w:rPr>
                      <w:rFonts w:hint="eastAsia" w:cs="Times New Roman"/>
                      <w:color w:val="0000FF"/>
                      <w:szCs w:val="21"/>
                      <w:lang w:val="en-US" w:eastAsia="zh-CN"/>
                    </w:rPr>
                    <w:t>0.5</w:t>
                  </w:r>
                </w:p>
              </w:tc>
              <w:tc>
                <w:tcPr>
                  <w:tcW w:w="746" w:type="dxa"/>
                  <w:noWrap w:val="0"/>
                  <w:vAlign w:val="center"/>
                </w:tcPr>
                <w:p w14:paraId="489541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Times New Roman"/>
                      <w:color w:val="0000FF"/>
                      <w:kern w:val="2"/>
                      <w:sz w:val="21"/>
                      <w:szCs w:val="21"/>
                      <w:lang w:val="en-US" w:eastAsia="zh-CN" w:bidi="ar-SA"/>
                    </w:rPr>
                  </w:pPr>
                  <w:r>
                    <w:rPr>
                      <w:rFonts w:hint="eastAsia" w:cs="Times New Roman"/>
                      <w:color w:val="0000FF"/>
                      <w:kern w:val="2"/>
                      <w:sz w:val="21"/>
                      <w:szCs w:val="21"/>
                      <w:lang w:val="en-US" w:eastAsia="zh-CN" w:bidi="ar-SA"/>
                    </w:rPr>
                    <w:t>1</w:t>
                  </w:r>
                </w:p>
              </w:tc>
              <w:tc>
                <w:tcPr>
                  <w:tcW w:w="1044" w:type="dxa"/>
                  <w:noWrap w:val="0"/>
                  <w:vAlign w:val="center"/>
                </w:tcPr>
                <w:p w14:paraId="46EAD6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kern w:val="2"/>
                      <w:sz w:val="21"/>
                      <w:szCs w:val="21"/>
                      <w:lang w:val="en-US" w:eastAsia="zh-CN" w:bidi="ar-SA"/>
                    </w:rPr>
                    <w:t>停止运行，及时检修废气处理措施</w:t>
                  </w:r>
                </w:p>
              </w:tc>
            </w:tr>
          </w:tbl>
          <w:p w14:paraId="4EE399E1">
            <w:pPr>
              <w:pStyle w:val="9"/>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lang w:val="en-US" w:eastAsia="zh-CN"/>
              </w:rPr>
            </w:pPr>
            <w:r>
              <w:rPr>
                <w:rFonts w:hint="eastAsia" w:ascii="Times New Roman" w:hAnsi="Times New Roman" w:eastAsia="宋体" w:cs="Times New Roman"/>
                <w:color w:val="auto"/>
                <w:sz w:val="24"/>
                <w:lang w:eastAsia="zh-CN"/>
              </w:rPr>
              <w:t>当发现喷淋塔+干式过滤+活性炭吸附脱附+催化燃烧</w:t>
            </w:r>
            <w:r>
              <w:rPr>
                <w:rFonts w:hint="eastAsia" w:cs="Times New Roman"/>
                <w:color w:val="auto"/>
                <w:sz w:val="24"/>
                <w:lang w:eastAsia="zh-CN"/>
              </w:rPr>
              <w:t>、</w:t>
            </w:r>
            <w:r>
              <w:rPr>
                <w:rFonts w:hint="eastAsia" w:cs="Times New Roman"/>
                <w:color w:val="auto"/>
                <w:sz w:val="24"/>
                <w:lang w:val="en-US" w:eastAsia="zh-CN"/>
              </w:rPr>
              <w:t>袋式除尘器治理设施</w:t>
            </w:r>
            <w:r>
              <w:rPr>
                <w:rFonts w:hint="eastAsia" w:ascii="Times New Roman" w:hAnsi="Times New Roman" w:eastAsia="宋体" w:cs="Times New Roman"/>
                <w:color w:val="auto"/>
                <w:sz w:val="24"/>
                <w:lang w:eastAsia="zh-CN"/>
              </w:rPr>
              <w:t>出现故障时，通过关闭电源，待废气治理设施正常运行后再进行生产</w:t>
            </w:r>
            <w:r>
              <w:rPr>
                <w:rFonts w:hint="eastAsia" w:cs="Times New Roman"/>
                <w:color w:val="auto"/>
                <w:sz w:val="24"/>
                <w:lang w:eastAsia="zh-CN"/>
              </w:rPr>
              <w:t>。</w:t>
            </w:r>
            <w:r>
              <w:rPr>
                <w:rFonts w:hint="eastAsia" w:cs="Times New Roman"/>
                <w:color w:val="auto"/>
                <w:sz w:val="24"/>
                <w:lang w:val="en-US" w:eastAsia="zh-CN"/>
              </w:rPr>
              <w:t>同时</w:t>
            </w:r>
            <w:r>
              <w:rPr>
                <w:rFonts w:hint="eastAsia" w:cs="Times New Roman"/>
                <w:color w:val="auto"/>
                <w:sz w:val="24"/>
                <w:lang w:eastAsia="zh-CN"/>
              </w:rPr>
              <w:t>加强日常对废气治理设施的维护等，避免非正常排放的发生</w:t>
            </w:r>
            <w:r>
              <w:rPr>
                <w:rFonts w:hint="eastAsia" w:ascii="Times New Roman" w:hAnsi="Times New Roman" w:eastAsia="宋体" w:cs="Times New Roman"/>
                <w:color w:val="auto"/>
                <w:sz w:val="24"/>
                <w:lang w:eastAsia="zh-CN"/>
              </w:rPr>
              <w:t>。事故时及时发现，采取措施可将环境影响降到最低。</w:t>
            </w:r>
          </w:p>
          <w:p w14:paraId="187208C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w:t>
            </w:r>
            <w:r>
              <w:rPr>
                <w:rFonts w:hint="eastAsia" w:cs="Times New Roman"/>
                <w:b w:val="0"/>
                <w:bCs w:val="0"/>
                <w:color w:val="auto"/>
                <w:sz w:val="24"/>
                <w:lang w:val="en-US" w:eastAsia="zh-CN"/>
              </w:rPr>
              <w:t>6</w:t>
            </w:r>
            <w:r>
              <w:rPr>
                <w:rFonts w:hint="default" w:ascii="Times New Roman" w:hAnsi="Times New Roman" w:cs="Times New Roman"/>
                <w:b w:val="0"/>
                <w:bCs w:val="0"/>
                <w:color w:val="auto"/>
                <w:sz w:val="24"/>
              </w:rPr>
              <w:t>）废气环境影响</w:t>
            </w:r>
          </w:p>
          <w:p w14:paraId="12F15D38">
            <w:pPr>
              <w:pStyle w:val="9"/>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s="Times New Roman" w:eastAsiaTheme="minorEastAsia"/>
                <w:snapToGrid w:val="0"/>
                <w:color w:val="auto"/>
                <w:kern w:val="0"/>
                <w:sz w:val="24"/>
                <w:lang w:val="en-US" w:eastAsia="zh-CN"/>
              </w:rPr>
            </w:pPr>
            <w:r>
              <w:rPr>
                <w:rFonts w:hint="default" w:ascii="Times New Roman" w:hAnsi="Times New Roman" w:cs="Times New Roman" w:eastAsiaTheme="minorEastAsia"/>
                <w:color w:val="auto"/>
                <w:kern w:val="0"/>
                <w:sz w:val="24"/>
              </w:rPr>
              <w:t>本项目位于</w:t>
            </w:r>
            <w:r>
              <w:rPr>
                <w:rFonts w:hint="eastAsia" w:cs="Times New Roman" w:eastAsiaTheme="minorEastAsia"/>
                <w:color w:val="auto"/>
                <w:kern w:val="0"/>
                <w:sz w:val="24"/>
                <w:lang w:eastAsia="zh-CN"/>
              </w:rPr>
              <w:t>河北省邯郸市魏县绿环循环经济产业园1栋-4号</w:t>
            </w:r>
            <w:r>
              <w:rPr>
                <w:rFonts w:hint="default" w:ascii="Times New Roman" w:hAnsi="Times New Roman" w:cs="Times New Roman" w:eastAsiaTheme="minorEastAsia"/>
                <w:color w:val="auto"/>
                <w:kern w:val="0"/>
                <w:sz w:val="24"/>
              </w:rPr>
              <w:t>，魏县经济开发区-再生资源循环利用产业园</w:t>
            </w:r>
            <w:r>
              <w:rPr>
                <w:rFonts w:hint="default" w:ascii="Times New Roman" w:hAnsi="Times New Roman" w:eastAsia="宋体" w:cs="Times New Roman"/>
                <w:color w:val="auto"/>
                <w:kern w:val="2"/>
                <w:sz w:val="24"/>
                <w:szCs w:val="24"/>
                <w:lang w:val="en-US" w:eastAsia="zh-CN" w:bidi="ar-SA"/>
              </w:rPr>
              <w:t>，所在区域为环境空气质量不达标区</w:t>
            </w:r>
            <w:r>
              <w:rPr>
                <w:rFonts w:hint="eastAsia" w:cs="Times New Roman"/>
                <w:color w:val="auto"/>
                <w:kern w:val="2"/>
                <w:sz w:val="24"/>
                <w:szCs w:val="24"/>
                <w:lang w:val="en-US" w:eastAsia="zh-CN" w:bidi="ar-SA"/>
              </w:rPr>
              <w:t>。</w:t>
            </w:r>
            <w:r>
              <w:rPr>
                <w:rFonts w:hint="default" w:ascii="Times New Roman" w:hAnsi="Times New Roman" w:cs="Times New Roman" w:eastAsiaTheme="minorEastAsia"/>
                <w:snapToGrid w:val="0"/>
                <w:color w:val="auto"/>
                <w:kern w:val="0"/>
                <w:sz w:val="24"/>
              </w:rPr>
              <w:t>本项目运营过程中的废气主要为干式粉碎、挤出工序产生的有组织废气和压滤等过程产生的无组织废气</w:t>
            </w:r>
            <w:r>
              <w:rPr>
                <w:rFonts w:hint="eastAsia" w:cs="Times New Roman" w:eastAsiaTheme="minorEastAsia"/>
                <w:snapToGrid w:val="0"/>
                <w:color w:val="auto"/>
                <w:kern w:val="0"/>
                <w:sz w:val="24"/>
                <w:lang w:val="en-US" w:eastAsia="zh-CN"/>
              </w:rPr>
              <w:t>。</w:t>
            </w:r>
            <w:r>
              <w:rPr>
                <w:rFonts w:hint="eastAsia" w:cs="Times New Roman" w:eastAsiaTheme="minorEastAsia"/>
                <w:snapToGrid w:val="0"/>
                <w:color w:val="0000FF"/>
                <w:kern w:val="0"/>
                <w:sz w:val="24"/>
                <w:lang w:val="en-US" w:eastAsia="zh-CN"/>
              </w:rPr>
              <w:t>项目采取严格的环境保护措施，环保措施均为可行性技术，去除效率较高，可最大限度降低污染物排放量，对</w:t>
            </w:r>
            <w:r>
              <w:rPr>
                <w:rFonts w:hint="eastAsia" w:cs="Times New Roman"/>
                <w:color w:val="0000FF"/>
                <w:sz w:val="24"/>
                <w:lang w:val="en-US" w:eastAsia="zh-CN"/>
              </w:rPr>
              <w:t>东侧190m的中烟村，西南430m的张二庄乡卫生院，西南430m的金兰国际小区，西侧400m的蓝天实验小学，西北330m的西烟村影响较小</w:t>
            </w:r>
            <w:r>
              <w:rPr>
                <w:rFonts w:hint="eastAsia" w:cs="Times New Roman" w:eastAsiaTheme="minorEastAsia"/>
                <w:snapToGrid w:val="0"/>
                <w:color w:val="0000FF"/>
                <w:kern w:val="0"/>
                <w:sz w:val="24"/>
                <w:lang w:val="en-US" w:eastAsia="zh-CN"/>
              </w:rPr>
              <w:t>。</w:t>
            </w:r>
            <w:r>
              <w:rPr>
                <w:rFonts w:hint="default" w:ascii="Times New Roman" w:hAnsi="Times New Roman" w:eastAsia="宋体" w:cs="Times New Roman"/>
                <w:color w:val="auto"/>
                <w:kern w:val="2"/>
                <w:sz w:val="24"/>
                <w:szCs w:val="24"/>
                <w:lang w:val="en-US" w:eastAsia="zh-CN" w:bidi="ar-SA"/>
              </w:rPr>
              <w:t>各废气均设置集气罩进行收集，有效减少车间无组织排放</w:t>
            </w:r>
            <w:r>
              <w:rPr>
                <w:rFonts w:hint="eastAsia" w:ascii="Times New Roman" w:hAnsi="Times New Roman"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经源强核算：项目污染物排放均可达到相应的排放标准，</w:t>
            </w:r>
            <w:r>
              <w:rPr>
                <w:rFonts w:hint="eastAsia" w:cs="Times New Roman" w:eastAsiaTheme="minorEastAsia"/>
                <w:snapToGrid w:val="0"/>
                <w:color w:val="auto"/>
                <w:kern w:val="0"/>
                <w:sz w:val="24"/>
                <w:lang w:val="en-US" w:eastAsia="zh-CN"/>
              </w:rPr>
              <w:t>不会改变所在地大气环境质量等级，对周边大气环境和环境保护目标的影响较小。</w:t>
            </w:r>
          </w:p>
          <w:p w14:paraId="6C66D69A">
            <w:pPr>
              <w:pStyle w:val="9"/>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综上所述，本项目</w:t>
            </w:r>
            <w:r>
              <w:rPr>
                <w:rFonts w:hint="eastAsia" w:cs="Times New Roman"/>
                <w:color w:val="auto"/>
                <w:kern w:val="2"/>
                <w:sz w:val="24"/>
                <w:szCs w:val="24"/>
                <w:lang w:val="en-US" w:eastAsia="zh-CN" w:bidi="ar-SA"/>
              </w:rPr>
              <w:t>废气</w:t>
            </w:r>
            <w:r>
              <w:rPr>
                <w:rFonts w:hint="default" w:ascii="Times New Roman" w:hAnsi="Times New Roman" w:eastAsia="宋体" w:cs="Times New Roman"/>
                <w:color w:val="auto"/>
                <w:kern w:val="2"/>
                <w:sz w:val="24"/>
                <w:szCs w:val="24"/>
                <w:lang w:val="en-US" w:eastAsia="zh-CN" w:bidi="ar-SA"/>
              </w:rPr>
              <w:t>处理措施可行，建成后对周边</w:t>
            </w:r>
            <w:r>
              <w:rPr>
                <w:rFonts w:hint="eastAsia" w:cs="Times New Roman"/>
                <w:color w:val="auto"/>
                <w:kern w:val="2"/>
                <w:sz w:val="24"/>
                <w:szCs w:val="24"/>
                <w:lang w:val="en-US" w:eastAsia="zh-CN" w:bidi="ar-SA"/>
              </w:rPr>
              <w:t>大气</w:t>
            </w:r>
            <w:r>
              <w:rPr>
                <w:rFonts w:hint="default" w:ascii="Times New Roman" w:hAnsi="Times New Roman" w:eastAsia="宋体" w:cs="Times New Roman"/>
                <w:color w:val="auto"/>
                <w:kern w:val="2"/>
                <w:sz w:val="24"/>
                <w:szCs w:val="24"/>
                <w:lang w:val="en-US" w:eastAsia="zh-CN" w:bidi="ar-SA"/>
              </w:rPr>
              <w:t>环境</w:t>
            </w:r>
            <w:r>
              <w:rPr>
                <w:rFonts w:hint="eastAsia" w:cs="Times New Roman" w:eastAsiaTheme="minorEastAsia"/>
                <w:snapToGrid w:val="0"/>
                <w:color w:val="auto"/>
                <w:kern w:val="0"/>
                <w:sz w:val="24"/>
                <w:lang w:val="en-US" w:eastAsia="zh-CN"/>
              </w:rPr>
              <w:t>和环境保护目标的</w:t>
            </w:r>
            <w:r>
              <w:rPr>
                <w:rFonts w:hint="default" w:ascii="Times New Roman" w:hAnsi="Times New Roman" w:eastAsia="宋体" w:cs="Times New Roman"/>
                <w:color w:val="auto"/>
                <w:kern w:val="2"/>
                <w:sz w:val="24"/>
                <w:szCs w:val="24"/>
                <w:lang w:val="en-US" w:eastAsia="zh-CN" w:bidi="ar-SA"/>
              </w:rPr>
              <w:t>影响较小。</w:t>
            </w:r>
          </w:p>
          <w:p w14:paraId="421B3BE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imes New Roman" w:hAnsi="Times New Roman" w:eastAsia="宋体" w:cs="Times New Roman"/>
                <w:b w:val="0"/>
                <w:bCs w:val="0"/>
                <w:color w:val="auto"/>
                <w:sz w:val="24"/>
                <w:lang w:eastAsia="zh-CN"/>
              </w:rPr>
            </w:pPr>
            <w:r>
              <w:rPr>
                <w:rFonts w:hint="default" w:ascii="Times New Roman" w:hAnsi="Times New Roman" w:cs="Times New Roman"/>
                <w:b w:val="0"/>
                <w:bCs w:val="0"/>
                <w:color w:val="auto"/>
                <w:sz w:val="24"/>
              </w:rPr>
              <w:t>（</w:t>
            </w:r>
            <w:r>
              <w:rPr>
                <w:rFonts w:hint="eastAsia" w:cs="Times New Roman"/>
                <w:b w:val="0"/>
                <w:bCs w:val="0"/>
                <w:color w:val="auto"/>
                <w:sz w:val="24"/>
                <w:lang w:val="en-US" w:eastAsia="zh-CN"/>
              </w:rPr>
              <w:t>7</w:t>
            </w:r>
            <w:r>
              <w:rPr>
                <w:rFonts w:hint="default" w:ascii="Times New Roman" w:hAnsi="Times New Roman" w:cs="Times New Roman"/>
                <w:b w:val="0"/>
                <w:bCs w:val="0"/>
                <w:color w:val="auto"/>
                <w:sz w:val="24"/>
              </w:rPr>
              <w:t>）监测计划</w:t>
            </w:r>
          </w:p>
          <w:p w14:paraId="7CA2B7C0">
            <w:pPr>
              <w:pStyle w:val="9"/>
              <w:spacing w:line="48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rPr>
              <w:t>环境监测是环境管理的依据和基础，为环境统计和环境定量评价提供科学依据，并据此制定污染防治对策和规划。</w:t>
            </w:r>
            <w:r>
              <w:rPr>
                <w:rFonts w:hint="eastAsia" w:cs="Times New Roman"/>
                <w:color w:val="auto"/>
                <w:sz w:val="24"/>
                <w:lang w:val="en-US" w:eastAsia="zh-CN"/>
              </w:rPr>
              <w:t>根据《排污许可证申请与核发技术规范 废弃资源加工工业》（HJ 1034-2019）</w:t>
            </w:r>
            <w:r>
              <w:rPr>
                <w:rFonts w:hint="default" w:ascii="Times New Roman" w:hAnsi="Times New Roman" w:cs="Times New Roman" w:eastAsiaTheme="minorEastAsia"/>
                <w:color w:val="auto"/>
                <w:sz w:val="24"/>
              </w:rPr>
              <w:t>中的相关要求</w:t>
            </w:r>
            <w:r>
              <w:rPr>
                <w:rFonts w:hint="default" w:ascii="Times New Roman" w:hAnsi="Times New Roman" w:cs="Times New Roman"/>
                <w:color w:val="auto"/>
                <w:sz w:val="24"/>
              </w:rPr>
              <w:t>，废气监测点位、监测项目和监测频率见下表。</w:t>
            </w:r>
          </w:p>
          <w:p w14:paraId="3DB776CA">
            <w:pPr>
              <w:spacing w:line="480" w:lineRule="exact"/>
              <w:jc w:val="center"/>
              <w:rPr>
                <w:rFonts w:hint="eastAsia" w:cs="Times New Roman"/>
                <w:b/>
                <w:bCs/>
                <w:color w:val="auto"/>
                <w:sz w:val="24"/>
                <w:lang w:val="en-US" w:eastAsia="zh-CN"/>
              </w:rPr>
            </w:pPr>
            <w:r>
              <w:rPr>
                <w:rFonts w:hint="default" w:ascii="Times New Roman" w:hAnsi="Times New Roman" w:cs="Times New Roman"/>
                <w:b/>
                <w:bCs/>
                <w:color w:val="auto"/>
                <w:sz w:val="24"/>
              </w:rPr>
              <w:t>表</w:t>
            </w:r>
            <w:r>
              <w:rPr>
                <w:rFonts w:hint="eastAsia" w:cs="Times New Roman"/>
                <w:b/>
                <w:bCs/>
                <w:color w:val="auto"/>
                <w:sz w:val="24"/>
                <w:lang w:val="en-US" w:eastAsia="zh-CN"/>
              </w:rPr>
              <w:t xml:space="preserve">22   </w:t>
            </w:r>
            <w:r>
              <w:rPr>
                <w:rFonts w:hint="default" w:ascii="Times New Roman" w:hAnsi="Times New Roman" w:cs="Times New Roman"/>
                <w:b/>
                <w:bCs/>
                <w:color w:val="auto"/>
                <w:sz w:val="24"/>
              </w:rPr>
              <w:t>废气污染源监测计划</w:t>
            </w:r>
            <w:r>
              <w:rPr>
                <w:rFonts w:hint="eastAsia" w:cs="Times New Roman"/>
                <w:b/>
                <w:bCs/>
                <w:color w:val="auto"/>
                <w:sz w:val="24"/>
                <w:lang w:val="en-US" w:eastAsia="zh-CN"/>
              </w:rPr>
              <w:t>一览表</w:t>
            </w:r>
          </w:p>
          <w:tbl>
            <w:tblPr>
              <w:tblStyle w:val="28"/>
              <w:tblW w:w="8177"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756"/>
              <w:gridCol w:w="1334"/>
              <w:gridCol w:w="750"/>
              <w:gridCol w:w="3737"/>
            </w:tblGrid>
            <w:tr w14:paraId="2729B5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00" w:type="dxa"/>
                  <w:noWrap w:val="0"/>
                  <w:vAlign w:val="center"/>
                </w:tcPr>
                <w:p w14:paraId="3371E59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内容</w:t>
                  </w:r>
                </w:p>
              </w:tc>
              <w:tc>
                <w:tcPr>
                  <w:tcW w:w="1756" w:type="dxa"/>
                  <w:noWrap w:val="0"/>
                  <w:vAlign w:val="center"/>
                </w:tcPr>
                <w:p w14:paraId="6C852BE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监测点位</w:t>
                  </w:r>
                </w:p>
              </w:tc>
              <w:tc>
                <w:tcPr>
                  <w:tcW w:w="1334" w:type="dxa"/>
                  <w:noWrap w:val="0"/>
                  <w:vAlign w:val="center"/>
                </w:tcPr>
                <w:p w14:paraId="2FDACCE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监测</w:t>
                  </w:r>
                  <w:r>
                    <w:rPr>
                      <w:rFonts w:hint="eastAsia" w:cs="Times New Roman"/>
                      <w:color w:val="auto"/>
                      <w:sz w:val="21"/>
                      <w:szCs w:val="21"/>
                      <w:lang w:val="en-US" w:eastAsia="zh-CN"/>
                    </w:rPr>
                    <w:t>因子</w:t>
                  </w:r>
                </w:p>
              </w:tc>
              <w:tc>
                <w:tcPr>
                  <w:tcW w:w="750" w:type="dxa"/>
                  <w:noWrap w:val="0"/>
                  <w:vAlign w:val="center"/>
                </w:tcPr>
                <w:p w14:paraId="2761EC7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监测频</w:t>
                  </w:r>
                  <w:r>
                    <w:rPr>
                      <w:rFonts w:hint="eastAsia" w:cs="Times New Roman"/>
                      <w:color w:val="auto"/>
                      <w:sz w:val="21"/>
                      <w:szCs w:val="21"/>
                      <w:lang w:val="en-US" w:eastAsia="zh-CN"/>
                    </w:rPr>
                    <w:t>次</w:t>
                  </w:r>
                </w:p>
              </w:tc>
              <w:tc>
                <w:tcPr>
                  <w:tcW w:w="3737" w:type="dxa"/>
                  <w:noWrap w:val="0"/>
                  <w:vAlign w:val="center"/>
                </w:tcPr>
                <w:p w14:paraId="3D55F1A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eastAsia" w:ascii="Times New Roman" w:hAnsi="Times New Roman" w:eastAsia="宋体" w:cs="Times New Roman"/>
                      <w:color w:val="auto"/>
                      <w:sz w:val="21"/>
                      <w:szCs w:val="21"/>
                      <w:lang w:eastAsia="zh-CN"/>
                    </w:rPr>
                    <w:t>执行排放标准</w:t>
                  </w:r>
                </w:p>
              </w:tc>
            </w:tr>
            <w:tr w14:paraId="3A9977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00" w:type="dxa"/>
                  <w:vMerge w:val="restart"/>
                  <w:noWrap w:val="0"/>
                  <w:vAlign w:val="center"/>
                </w:tcPr>
                <w:p w14:paraId="3734B43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废气</w:t>
                  </w:r>
                </w:p>
              </w:tc>
              <w:tc>
                <w:tcPr>
                  <w:tcW w:w="1756" w:type="dxa"/>
                  <w:vMerge w:val="restart"/>
                  <w:noWrap w:val="0"/>
                  <w:vAlign w:val="center"/>
                </w:tcPr>
                <w:p w14:paraId="7D350E6F">
                  <w:pPr>
                    <w:spacing w:line="240" w:lineRule="exact"/>
                    <w:ind w:left="-105" w:leftChars="-50" w:right="-105" w:rightChars="-50"/>
                    <w:jc w:val="center"/>
                    <w:rPr>
                      <w:rFonts w:hint="eastAsia" w:cs="Times New Roman"/>
                      <w:color w:val="auto"/>
                      <w:szCs w:val="21"/>
                      <w:lang w:val="en-US" w:eastAsia="zh-CN"/>
                    </w:rPr>
                  </w:pPr>
                  <w:r>
                    <w:rPr>
                      <w:rFonts w:hint="eastAsia" w:cs="Times New Roman"/>
                      <w:color w:val="auto"/>
                      <w:szCs w:val="21"/>
                      <w:lang w:val="en-US" w:eastAsia="zh-CN"/>
                    </w:rPr>
                    <w:t>挤出</w:t>
                  </w:r>
                </w:p>
                <w:p w14:paraId="20734287">
                  <w:pPr>
                    <w:spacing w:line="240" w:lineRule="exact"/>
                    <w:ind w:left="-105" w:leftChars="-50" w:right="-105" w:rightChars="-50"/>
                    <w:jc w:val="center"/>
                    <w:rPr>
                      <w:rFonts w:hint="default" w:ascii="Times New Roman" w:hAnsi="Times New Roman" w:cs="Times New Roman"/>
                      <w:color w:val="auto"/>
                      <w:sz w:val="21"/>
                      <w:szCs w:val="21"/>
                      <w:lang w:val="en-US" w:eastAsia="zh-CN"/>
                    </w:rPr>
                  </w:pPr>
                  <w:r>
                    <w:rPr>
                      <w:rFonts w:hint="eastAsia" w:cs="Times New Roman"/>
                      <w:color w:val="auto"/>
                      <w:szCs w:val="21"/>
                      <w:lang w:val="en-US" w:eastAsia="zh-CN"/>
                    </w:rPr>
                    <w:t>废气排放口</w:t>
                  </w:r>
                </w:p>
              </w:tc>
              <w:tc>
                <w:tcPr>
                  <w:tcW w:w="1334" w:type="dxa"/>
                  <w:noWrap w:val="0"/>
                  <w:vAlign w:val="center"/>
                </w:tcPr>
                <w:p w14:paraId="3F280C78">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default" w:ascii="Times New Roman" w:hAnsi="Times New Roman" w:eastAsia="宋体" w:cs="Times New Roman"/>
                      <w:color w:val="auto"/>
                      <w:sz w:val="21"/>
                      <w:szCs w:val="21"/>
                      <w:lang w:eastAsia="zh-CN"/>
                    </w:rPr>
                  </w:pPr>
                  <w:r>
                    <w:rPr>
                      <w:rFonts w:hint="eastAsia" w:ascii="宋体" w:hAnsi="宋体" w:cs="宋体"/>
                      <w:bCs/>
                      <w:color w:val="000000" w:themeColor="text1"/>
                      <w:szCs w:val="21"/>
                      <w:lang w:val="en-US" w:eastAsia="zh-CN"/>
                      <w14:textFill>
                        <w14:solidFill>
                          <w14:schemeClr w14:val="tx1"/>
                        </w14:solidFill>
                      </w14:textFill>
                    </w:rPr>
                    <w:t>颗粒物</w:t>
                  </w:r>
                </w:p>
              </w:tc>
              <w:tc>
                <w:tcPr>
                  <w:tcW w:w="750" w:type="dxa"/>
                  <w:vMerge w:val="restart"/>
                  <w:noWrap w:val="0"/>
                  <w:vAlign w:val="center"/>
                </w:tcPr>
                <w:p w14:paraId="79CFABE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每</w:t>
                  </w:r>
                  <w:r>
                    <w:rPr>
                      <w:rFonts w:hint="eastAsia" w:cs="Times New Roman"/>
                      <w:color w:val="auto"/>
                      <w:sz w:val="21"/>
                      <w:szCs w:val="21"/>
                      <w:lang w:val="en-US" w:eastAsia="zh-CN"/>
                    </w:rPr>
                    <w:t>半</w:t>
                  </w:r>
                  <w:r>
                    <w:rPr>
                      <w:rFonts w:hint="eastAsia" w:cs="Times New Roman"/>
                      <w:color w:val="auto"/>
                      <w:sz w:val="21"/>
                      <w:szCs w:val="21"/>
                      <w:lang w:eastAsia="zh-CN"/>
                    </w:rPr>
                    <w:t>年</w:t>
                  </w:r>
                  <w:r>
                    <w:rPr>
                      <w:rFonts w:hint="default" w:ascii="Times New Roman" w:hAnsi="Times New Roman" w:cs="Times New Roman"/>
                      <w:color w:val="auto"/>
                      <w:sz w:val="21"/>
                      <w:szCs w:val="21"/>
                      <w:lang w:eastAsia="zh-CN"/>
                    </w:rPr>
                    <w:t>一次</w:t>
                  </w:r>
                </w:p>
              </w:tc>
              <w:tc>
                <w:tcPr>
                  <w:tcW w:w="3737" w:type="dxa"/>
                  <w:vMerge w:val="restart"/>
                  <w:noWrap w:val="0"/>
                  <w:vAlign w:val="center"/>
                </w:tcPr>
                <w:p w14:paraId="792504CA">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ascii="Times New Roman" w:hAnsi="Times New Roman" w:cs="Times New Roman"/>
                      <w:color w:val="auto"/>
                      <w:sz w:val="21"/>
                      <w:szCs w:val="21"/>
                      <w:lang w:eastAsia="zh-CN"/>
                    </w:rPr>
                  </w:pPr>
                  <w:r>
                    <w:rPr>
                      <w:rFonts w:hint="eastAsia"/>
                      <w:color w:val="auto"/>
                      <w:szCs w:val="21"/>
                    </w:rPr>
                    <w:t>《合成树脂工业污染物排放标准》（GB31572-2015，含2024年修改单）表5大气污染物特别排放限值</w:t>
                  </w:r>
                </w:p>
              </w:tc>
            </w:tr>
            <w:tr w14:paraId="04804F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00" w:type="dxa"/>
                  <w:vMerge w:val="continue"/>
                  <w:noWrap w:val="0"/>
                  <w:vAlign w:val="center"/>
                </w:tcPr>
                <w:p w14:paraId="3F7143E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1756" w:type="dxa"/>
                  <w:vMerge w:val="continue"/>
                  <w:noWrap w:val="0"/>
                  <w:vAlign w:val="center"/>
                </w:tcPr>
                <w:p w14:paraId="082AB921">
                  <w:pPr>
                    <w:spacing w:line="240" w:lineRule="exact"/>
                    <w:ind w:left="-105" w:leftChars="-50" w:right="-105" w:rightChars="-50"/>
                    <w:jc w:val="center"/>
                    <w:rPr>
                      <w:rFonts w:hint="eastAsia" w:cs="Times New Roman"/>
                      <w:color w:val="auto"/>
                      <w:szCs w:val="21"/>
                      <w:lang w:val="en-US" w:eastAsia="zh-CN"/>
                    </w:rPr>
                  </w:pPr>
                </w:p>
              </w:tc>
              <w:tc>
                <w:tcPr>
                  <w:tcW w:w="1334" w:type="dxa"/>
                  <w:noWrap w:val="0"/>
                  <w:vAlign w:val="center"/>
                </w:tcPr>
                <w:p w14:paraId="7C4B916C">
                  <w:pPr>
                    <w:keepNext w:val="0"/>
                    <w:keepLines w:val="0"/>
                    <w:pageBreakBefore w:val="0"/>
                    <w:widowControl w:val="0"/>
                    <w:tabs>
                      <w:tab w:val="left" w:pos="415"/>
                    </w:tabs>
                    <w:kinsoku/>
                    <w:wordWrap/>
                    <w:overflowPunct/>
                    <w:topLinePunct w:val="0"/>
                    <w:autoSpaceDE/>
                    <w:autoSpaceDN/>
                    <w:bidi w:val="0"/>
                    <w:adjustRightInd w:val="0"/>
                    <w:snapToGrid w:val="0"/>
                    <w:spacing w:line="300" w:lineRule="exact"/>
                    <w:ind w:left="0" w:leftChars="0"/>
                    <w:jc w:val="center"/>
                    <w:textAlignment w:val="auto"/>
                    <w:rPr>
                      <w:rFonts w:hint="default" w:cs="Times New Roman"/>
                      <w:color w:val="auto"/>
                      <w:szCs w:val="21"/>
                      <w:lang w:val="en-US" w:eastAsia="zh-CN"/>
                    </w:rPr>
                  </w:pPr>
                  <w:r>
                    <w:rPr>
                      <w:rFonts w:hint="eastAsia" w:ascii="宋体" w:hAnsi="宋体" w:cs="宋体"/>
                      <w:bCs/>
                      <w:color w:val="000000" w:themeColor="text1"/>
                      <w:szCs w:val="21"/>
                      <w:lang w:eastAsia="zh-CN"/>
                      <w14:textFill>
                        <w14:solidFill>
                          <w14:schemeClr w14:val="tx1"/>
                        </w14:solidFill>
                      </w14:textFill>
                    </w:rPr>
                    <w:t>非甲烷总</w:t>
                  </w:r>
                  <w:r>
                    <w:rPr>
                      <w:rFonts w:hint="eastAsia" w:ascii="宋体" w:hAnsi="宋体" w:eastAsia="宋体" w:cs="宋体"/>
                      <w:bCs/>
                      <w:color w:val="000000" w:themeColor="text1"/>
                      <w:szCs w:val="21"/>
                      <w:lang w:eastAsia="zh-CN"/>
                      <w14:textFill>
                        <w14:solidFill>
                          <w14:schemeClr w14:val="tx1"/>
                        </w14:solidFill>
                      </w14:textFill>
                    </w:rPr>
                    <w:t>烃</w:t>
                  </w:r>
                </w:p>
              </w:tc>
              <w:tc>
                <w:tcPr>
                  <w:tcW w:w="750" w:type="dxa"/>
                  <w:vMerge w:val="continue"/>
                  <w:noWrap w:val="0"/>
                  <w:vAlign w:val="center"/>
                </w:tcPr>
                <w:p w14:paraId="716BB29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cs="Times New Roman"/>
                      <w:color w:val="auto"/>
                      <w:sz w:val="21"/>
                      <w:szCs w:val="21"/>
                      <w:lang w:eastAsia="zh-CN"/>
                    </w:rPr>
                  </w:pPr>
                </w:p>
              </w:tc>
              <w:tc>
                <w:tcPr>
                  <w:tcW w:w="3737" w:type="dxa"/>
                  <w:vMerge w:val="continue"/>
                  <w:noWrap w:val="0"/>
                  <w:vAlign w:val="center"/>
                </w:tcPr>
                <w:p w14:paraId="5ECA4921">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color w:val="auto"/>
                      <w:szCs w:val="21"/>
                    </w:rPr>
                  </w:pPr>
                </w:p>
              </w:tc>
            </w:tr>
            <w:tr w14:paraId="7A0DA6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00" w:type="dxa"/>
                  <w:vMerge w:val="continue"/>
                  <w:noWrap w:val="0"/>
                  <w:vAlign w:val="center"/>
                </w:tcPr>
                <w:p w14:paraId="3AEEA38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1756" w:type="dxa"/>
                  <w:noWrap w:val="0"/>
                  <w:vAlign w:val="center"/>
                </w:tcPr>
                <w:p w14:paraId="617FC8DF">
                  <w:pPr>
                    <w:spacing w:line="240" w:lineRule="exact"/>
                    <w:ind w:left="-105" w:leftChars="-50" w:right="-105" w:rightChars="-50"/>
                    <w:jc w:val="center"/>
                    <w:rPr>
                      <w:rFonts w:hint="eastAsia" w:cs="Times New Roman"/>
                      <w:color w:val="0000FF"/>
                      <w:szCs w:val="21"/>
                      <w:lang w:val="en-US" w:eastAsia="zh-CN"/>
                    </w:rPr>
                  </w:pPr>
                  <w:r>
                    <w:rPr>
                      <w:rFonts w:hint="eastAsia" w:cs="Times New Roman"/>
                      <w:color w:val="0000FF"/>
                      <w:szCs w:val="21"/>
                      <w:lang w:val="en-US" w:eastAsia="zh-CN"/>
                    </w:rPr>
                    <w:t>干式粉碎</w:t>
                  </w:r>
                </w:p>
              </w:tc>
              <w:tc>
                <w:tcPr>
                  <w:tcW w:w="1334" w:type="dxa"/>
                  <w:noWrap w:val="0"/>
                  <w:vAlign w:val="center"/>
                </w:tcPr>
                <w:p w14:paraId="7AAB1F74">
                  <w:pPr>
                    <w:keepNext w:val="0"/>
                    <w:keepLines w:val="0"/>
                    <w:pageBreakBefore w:val="0"/>
                    <w:widowControl w:val="0"/>
                    <w:tabs>
                      <w:tab w:val="left" w:pos="415"/>
                    </w:tabs>
                    <w:kinsoku/>
                    <w:wordWrap/>
                    <w:overflowPunct/>
                    <w:topLinePunct w:val="0"/>
                    <w:autoSpaceDE/>
                    <w:autoSpaceDN/>
                    <w:bidi w:val="0"/>
                    <w:adjustRightInd w:val="0"/>
                    <w:snapToGrid w:val="0"/>
                    <w:spacing w:line="300" w:lineRule="exact"/>
                    <w:ind w:left="0" w:leftChars="0"/>
                    <w:jc w:val="center"/>
                    <w:textAlignment w:val="auto"/>
                    <w:rPr>
                      <w:rFonts w:hint="eastAsia" w:ascii="宋体" w:hAnsi="宋体" w:cs="宋体"/>
                      <w:bCs/>
                      <w:color w:val="0000FF"/>
                      <w:szCs w:val="21"/>
                      <w:lang w:eastAsia="zh-CN"/>
                    </w:rPr>
                  </w:pPr>
                  <w:r>
                    <w:rPr>
                      <w:rFonts w:hint="eastAsia" w:ascii="宋体" w:hAnsi="宋体" w:cs="宋体"/>
                      <w:bCs/>
                      <w:color w:val="0000FF"/>
                      <w:szCs w:val="21"/>
                      <w:lang w:val="en-US" w:eastAsia="zh-CN"/>
                    </w:rPr>
                    <w:t>颗粒物</w:t>
                  </w:r>
                </w:p>
              </w:tc>
              <w:tc>
                <w:tcPr>
                  <w:tcW w:w="750" w:type="dxa"/>
                  <w:vMerge w:val="restart"/>
                  <w:noWrap w:val="0"/>
                  <w:vAlign w:val="center"/>
                </w:tcPr>
                <w:p w14:paraId="1EEE308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eastAsia="zh-CN"/>
                    </w:rPr>
                    <w:t>每</w:t>
                  </w:r>
                  <w:r>
                    <w:rPr>
                      <w:rFonts w:hint="eastAsia" w:cs="Times New Roman"/>
                      <w:color w:val="auto"/>
                      <w:sz w:val="21"/>
                      <w:szCs w:val="21"/>
                      <w:lang w:eastAsia="zh-CN"/>
                    </w:rPr>
                    <w:t>年</w:t>
                  </w:r>
                  <w:r>
                    <w:rPr>
                      <w:rFonts w:hint="default" w:ascii="Times New Roman" w:hAnsi="Times New Roman" w:cs="Times New Roman"/>
                      <w:color w:val="auto"/>
                      <w:sz w:val="21"/>
                      <w:szCs w:val="21"/>
                      <w:lang w:eastAsia="zh-CN"/>
                    </w:rPr>
                    <w:t>一次</w:t>
                  </w:r>
                </w:p>
              </w:tc>
              <w:tc>
                <w:tcPr>
                  <w:tcW w:w="3737" w:type="dxa"/>
                  <w:vMerge w:val="continue"/>
                  <w:noWrap w:val="0"/>
                  <w:vAlign w:val="center"/>
                </w:tcPr>
                <w:p w14:paraId="3388948C">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color w:val="auto"/>
                      <w:szCs w:val="21"/>
                    </w:rPr>
                  </w:pPr>
                </w:p>
              </w:tc>
            </w:tr>
            <w:tr w14:paraId="1E4E0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600" w:type="dxa"/>
                  <w:vMerge w:val="continue"/>
                  <w:noWrap w:val="0"/>
                  <w:vAlign w:val="center"/>
                </w:tcPr>
                <w:p w14:paraId="490883B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1756" w:type="dxa"/>
                  <w:vMerge w:val="restart"/>
                  <w:noWrap w:val="0"/>
                  <w:vAlign w:val="center"/>
                </w:tcPr>
                <w:p w14:paraId="32211EB9">
                  <w:pPr>
                    <w:pStyle w:val="87"/>
                    <w:spacing w:line="280" w:lineRule="exact"/>
                    <w:ind w:firstLine="0" w:firstLineChars="0"/>
                    <w:jc w:val="center"/>
                    <w:rPr>
                      <w:rFonts w:hint="eastAsia" w:cs="Times New Roman"/>
                      <w:color w:val="auto"/>
                      <w:sz w:val="21"/>
                      <w:szCs w:val="21"/>
                      <w:lang w:val="en-US" w:eastAsia="zh-CN"/>
                    </w:rPr>
                  </w:pPr>
                  <w:r>
                    <w:rPr>
                      <w:rFonts w:hint="eastAsia"/>
                      <w:bCs/>
                      <w:color w:val="auto"/>
                      <w:sz w:val="21"/>
                      <w:szCs w:val="21"/>
                      <w:lang w:val="en-US" w:eastAsia="zh-CN"/>
                    </w:rPr>
                    <w:t>厂界</w:t>
                  </w:r>
                </w:p>
              </w:tc>
              <w:tc>
                <w:tcPr>
                  <w:tcW w:w="1334" w:type="dxa"/>
                  <w:noWrap w:val="0"/>
                  <w:vAlign w:val="center"/>
                </w:tcPr>
                <w:p w14:paraId="09CCDA8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cs="Times New Roman"/>
                      <w:color w:val="auto"/>
                      <w:sz w:val="21"/>
                      <w:szCs w:val="21"/>
                      <w:lang w:val="en-US" w:eastAsia="zh-CN"/>
                    </w:rPr>
                  </w:pPr>
                  <w:r>
                    <w:rPr>
                      <w:rFonts w:hint="eastAsia" w:cs="Times New Roman"/>
                      <w:bCs/>
                      <w:color w:val="auto"/>
                      <w:szCs w:val="21"/>
                      <w:lang w:val="en-US" w:eastAsia="zh-CN"/>
                    </w:rPr>
                    <w:t>颗粒物</w:t>
                  </w:r>
                </w:p>
              </w:tc>
              <w:tc>
                <w:tcPr>
                  <w:tcW w:w="750" w:type="dxa"/>
                  <w:vMerge w:val="continue"/>
                  <w:shd w:val="clear" w:color="auto" w:fill="auto"/>
                  <w:noWrap w:val="0"/>
                  <w:vAlign w:val="center"/>
                </w:tcPr>
                <w:p w14:paraId="36490B7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3737" w:type="dxa"/>
                  <w:noWrap w:val="0"/>
                  <w:vAlign w:val="center"/>
                </w:tcPr>
                <w:p w14:paraId="4846C870">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《合成树脂工业污染物排放标准》（GB31572-2015，含2024年修改单）表9企业边界大气污染物浓度限值</w:t>
                  </w:r>
                </w:p>
              </w:tc>
            </w:tr>
            <w:tr w14:paraId="69ACBE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600" w:type="dxa"/>
                  <w:vMerge w:val="continue"/>
                  <w:noWrap w:val="0"/>
                  <w:vAlign w:val="center"/>
                </w:tcPr>
                <w:p w14:paraId="62DA028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1756" w:type="dxa"/>
                  <w:vMerge w:val="continue"/>
                  <w:noWrap w:val="0"/>
                  <w:vAlign w:val="center"/>
                </w:tcPr>
                <w:p w14:paraId="09A9235F">
                  <w:pPr>
                    <w:pStyle w:val="87"/>
                    <w:spacing w:line="280" w:lineRule="exact"/>
                    <w:ind w:firstLine="0" w:firstLineChars="0"/>
                    <w:jc w:val="center"/>
                    <w:rPr>
                      <w:rFonts w:hint="eastAsia" w:cs="Times New Roman"/>
                      <w:color w:val="auto"/>
                      <w:sz w:val="21"/>
                      <w:szCs w:val="21"/>
                      <w:lang w:val="en-US" w:eastAsia="zh-CN"/>
                    </w:rPr>
                  </w:pPr>
                </w:p>
              </w:tc>
              <w:tc>
                <w:tcPr>
                  <w:tcW w:w="1334" w:type="dxa"/>
                  <w:noWrap w:val="0"/>
                  <w:vAlign w:val="center"/>
                </w:tcPr>
                <w:p w14:paraId="584BC01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cs="Times New Roman"/>
                      <w:color w:val="auto"/>
                      <w:sz w:val="21"/>
                      <w:szCs w:val="21"/>
                      <w:lang w:val="en-US" w:eastAsia="zh-CN"/>
                    </w:rPr>
                  </w:pPr>
                  <w:r>
                    <w:rPr>
                      <w:rFonts w:hint="eastAsia" w:cs="Times New Roman"/>
                      <w:color w:val="auto"/>
                      <w:sz w:val="21"/>
                      <w:szCs w:val="21"/>
                      <w:lang w:val="en-US" w:eastAsia="zh-CN"/>
                    </w:rPr>
                    <w:t>臭气浓度</w:t>
                  </w:r>
                </w:p>
              </w:tc>
              <w:tc>
                <w:tcPr>
                  <w:tcW w:w="750" w:type="dxa"/>
                  <w:vMerge w:val="continue"/>
                  <w:shd w:val="clear" w:color="auto" w:fill="auto"/>
                  <w:noWrap w:val="0"/>
                  <w:vAlign w:val="center"/>
                </w:tcPr>
                <w:p w14:paraId="2B4DABB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3737" w:type="dxa"/>
                  <w:noWrap w:val="0"/>
                  <w:vAlign w:val="center"/>
                </w:tcPr>
                <w:p w14:paraId="64E92520">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《恶臭污染物排放标准》（GB14554-93）表1二级新扩改建标准要求</w:t>
                  </w:r>
                </w:p>
              </w:tc>
            </w:tr>
            <w:tr w14:paraId="5B91A8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600" w:type="dxa"/>
                  <w:vMerge w:val="continue"/>
                  <w:noWrap w:val="0"/>
                  <w:vAlign w:val="center"/>
                </w:tcPr>
                <w:p w14:paraId="1083011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1756" w:type="dxa"/>
                  <w:vMerge w:val="continue"/>
                  <w:noWrap w:val="0"/>
                  <w:vAlign w:val="center"/>
                </w:tcPr>
                <w:p w14:paraId="4104AD68">
                  <w:pPr>
                    <w:pStyle w:val="87"/>
                    <w:spacing w:line="280" w:lineRule="exact"/>
                    <w:ind w:firstLine="0" w:firstLineChars="0"/>
                    <w:jc w:val="center"/>
                    <w:rPr>
                      <w:rFonts w:hint="eastAsia" w:cs="Times New Roman"/>
                      <w:color w:val="auto"/>
                      <w:sz w:val="21"/>
                      <w:szCs w:val="21"/>
                      <w:lang w:val="en-US" w:eastAsia="zh-CN"/>
                    </w:rPr>
                  </w:pPr>
                </w:p>
              </w:tc>
              <w:tc>
                <w:tcPr>
                  <w:tcW w:w="1334" w:type="dxa"/>
                  <w:vMerge w:val="restart"/>
                  <w:noWrap w:val="0"/>
                  <w:vAlign w:val="center"/>
                </w:tcPr>
                <w:p w14:paraId="45EEAE8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cs="Times New Roman"/>
                      <w:color w:val="auto"/>
                      <w:sz w:val="21"/>
                      <w:szCs w:val="21"/>
                      <w:lang w:val="en-US" w:eastAsia="zh-CN"/>
                    </w:rPr>
                  </w:pPr>
                  <w:r>
                    <w:rPr>
                      <w:rFonts w:hint="eastAsia" w:cs="Times New Roman"/>
                      <w:color w:val="auto"/>
                      <w:sz w:val="21"/>
                      <w:szCs w:val="21"/>
                      <w:lang w:val="en-US" w:eastAsia="zh-CN"/>
                    </w:rPr>
                    <w:t>非甲烷总烃</w:t>
                  </w:r>
                </w:p>
              </w:tc>
              <w:tc>
                <w:tcPr>
                  <w:tcW w:w="750" w:type="dxa"/>
                  <w:vMerge w:val="continue"/>
                  <w:noWrap w:val="0"/>
                  <w:vAlign w:val="center"/>
                </w:tcPr>
                <w:p w14:paraId="4F5519F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3737" w:type="dxa"/>
                  <w:noWrap w:val="0"/>
                  <w:vAlign w:val="center"/>
                </w:tcPr>
                <w:p w14:paraId="77E7121D">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color w:val="auto"/>
                      <w:szCs w:val="21"/>
                    </w:rPr>
                  </w:pPr>
                  <w:r>
                    <w:rPr>
                      <w:rFonts w:hint="default" w:ascii="Times New Roman" w:hAnsi="Times New Roman" w:cs="Times New Roman"/>
                      <w:color w:val="auto"/>
                      <w:sz w:val="21"/>
                      <w:szCs w:val="21"/>
                    </w:rPr>
                    <w:t>《合成树脂工业污染物排放标准》（GB31572-2015，含2024年修改单）表9企业边界大气污染物浓度限值</w:t>
                  </w:r>
                </w:p>
              </w:tc>
            </w:tr>
            <w:tr w14:paraId="7960FC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600" w:type="dxa"/>
                  <w:vMerge w:val="continue"/>
                  <w:noWrap w:val="0"/>
                  <w:vAlign w:val="center"/>
                </w:tcPr>
                <w:p w14:paraId="64C81A8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1756" w:type="dxa"/>
                  <w:noWrap w:val="0"/>
                  <w:vAlign w:val="center"/>
                </w:tcPr>
                <w:p w14:paraId="0CA7866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cs="Times New Roman"/>
                      <w:color w:val="auto"/>
                      <w:sz w:val="21"/>
                      <w:szCs w:val="21"/>
                      <w:lang w:val="en-US" w:eastAsia="zh-CN"/>
                    </w:rPr>
                  </w:pPr>
                  <w:r>
                    <w:rPr>
                      <w:rFonts w:hint="eastAsia" w:ascii="宋体" w:hAnsi="宋体" w:eastAsia="宋体" w:cs="宋体"/>
                      <w:bCs/>
                      <w:color w:val="auto"/>
                      <w:kern w:val="2"/>
                      <w:sz w:val="21"/>
                      <w:szCs w:val="21"/>
                      <w:lang w:val="en-US" w:eastAsia="zh-CN" w:bidi="ar-SA"/>
                    </w:rPr>
                    <w:t>厂房外监控点</w:t>
                  </w:r>
                </w:p>
              </w:tc>
              <w:tc>
                <w:tcPr>
                  <w:tcW w:w="1334" w:type="dxa"/>
                  <w:vMerge w:val="continue"/>
                  <w:noWrap w:val="0"/>
                  <w:vAlign w:val="center"/>
                </w:tcPr>
                <w:p w14:paraId="2FB456BD">
                  <w:pPr>
                    <w:spacing w:line="240" w:lineRule="exact"/>
                    <w:ind w:left="-105" w:leftChars="-50" w:right="-105" w:rightChars="-50"/>
                    <w:jc w:val="center"/>
                    <w:rPr>
                      <w:rFonts w:hint="eastAsia" w:cs="Times New Roman"/>
                      <w:color w:val="auto"/>
                      <w:sz w:val="21"/>
                      <w:szCs w:val="21"/>
                      <w:lang w:val="en-US" w:eastAsia="zh-CN"/>
                    </w:rPr>
                  </w:pPr>
                </w:p>
              </w:tc>
              <w:tc>
                <w:tcPr>
                  <w:tcW w:w="750" w:type="dxa"/>
                  <w:vMerge w:val="continue"/>
                  <w:noWrap w:val="0"/>
                  <w:vAlign w:val="center"/>
                </w:tcPr>
                <w:p w14:paraId="7524C7C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cs="Times New Roman"/>
                      <w:color w:val="auto"/>
                      <w:sz w:val="21"/>
                      <w:szCs w:val="21"/>
                      <w:lang w:eastAsia="zh-CN"/>
                    </w:rPr>
                  </w:pPr>
                </w:p>
              </w:tc>
              <w:tc>
                <w:tcPr>
                  <w:tcW w:w="3737" w:type="dxa"/>
                  <w:noWrap w:val="0"/>
                  <w:vAlign w:val="center"/>
                </w:tcPr>
                <w:p w14:paraId="78B81B77">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《工业企业挥发性有机物排放控制标准》（DB13/ 2322-2025）表2厂区内挥发性有机物无组织排放限值</w:t>
                  </w:r>
                </w:p>
              </w:tc>
            </w:tr>
          </w:tbl>
          <w:p w14:paraId="3B3DEE50">
            <w:pPr>
              <w:adjustRightInd w:val="0"/>
              <w:snapToGrid w:val="0"/>
              <w:spacing w:line="480" w:lineRule="exact"/>
              <w:ind w:firstLine="482" w:firstLineChars="200"/>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2、废水</w:t>
            </w:r>
          </w:p>
          <w:p w14:paraId="5F2CD364">
            <w:pPr>
              <w:numPr>
                <w:ilvl w:val="0"/>
                <w:numId w:val="0"/>
              </w:numPr>
              <w:spacing w:line="48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w:t>
            </w:r>
            <w:r>
              <w:rPr>
                <w:rFonts w:hint="eastAsia" w:cs="Times New Roman"/>
                <w:b w:val="0"/>
                <w:bCs w:val="0"/>
                <w:color w:val="auto"/>
                <w:sz w:val="24"/>
                <w:lang w:val="en-US" w:eastAsia="zh-CN"/>
              </w:rPr>
              <w:t>1</w:t>
            </w:r>
            <w:r>
              <w:rPr>
                <w:rFonts w:hint="default" w:ascii="Times New Roman" w:hAnsi="Times New Roman" w:cs="Times New Roman"/>
                <w:b w:val="0"/>
                <w:bCs w:val="0"/>
                <w:color w:val="auto"/>
                <w:sz w:val="24"/>
              </w:rPr>
              <w:t>）</w:t>
            </w:r>
            <w:r>
              <w:rPr>
                <w:rFonts w:hint="eastAsia" w:cs="Times New Roman"/>
                <w:b w:val="0"/>
                <w:bCs w:val="0"/>
                <w:color w:val="auto"/>
                <w:sz w:val="24"/>
                <w:lang w:val="en-US" w:eastAsia="zh-CN"/>
              </w:rPr>
              <w:t>污染</w:t>
            </w:r>
            <w:r>
              <w:rPr>
                <w:rFonts w:hint="default" w:ascii="Times New Roman" w:hAnsi="Times New Roman" w:cs="Times New Roman"/>
                <w:b w:val="0"/>
                <w:bCs w:val="0"/>
                <w:color w:val="auto"/>
                <w:sz w:val="24"/>
              </w:rPr>
              <w:t>源及治理措施</w:t>
            </w:r>
          </w:p>
          <w:p w14:paraId="0CB6FE28">
            <w:pPr>
              <w:numPr>
                <w:ilvl w:val="0"/>
                <w:numId w:val="0"/>
              </w:numPr>
              <w:spacing w:line="480" w:lineRule="exact"/>
              <w:ind w:firstLine="480" w:firstLineChars="200"/>
              <w:rPr>
                <w:rFonts w:hint="default" w:ascii="Times New Roman" w:hAnsi="Times New Roman" w:cs="Times New Roman" w:eastAsiaTheme="minorEastAsia"/>
                <w:color w:val="auto"/>
                <w:sz w:val="24"/>
                <w:lang w:eastAsia="zh-CN"/>
              </w:rPr>
            </w:pPr>
            <w:r>
              <w:rPr>
                <w:rFonts w:hint="eastAsia" w:cs="Times New Roman" w:eastAsiaTheme="minorEastAsia"/>
                <w:color w:val="000000" w:themeColor="text1"/>
                <w:sz w:val="24"/>
                <w:szCs w:val="24"/>
                <w:lang w:val="en-US" w:eastAsia="zh-CN"/>
                <w14:textFill>
                  <w14:solidFill>
                    <w14:schemeClr w14:val="tx1"/>
                  </w14:solidFill>
                </w14:textFill>
              </w:rPr>
              <w:t>项目喷淋塔</w:t>
            </w:r>
            <w:r>
              <w:rPr>
                <w:rFonts w:hint="default" w:ascii="Times New Roman" w:hAnsi="Times New Roman" w:cs="Times New Roman"/>
                <w:color w:val="000000" w:themeColor="text1"/>
                <w:sz w:val="24"/>
                <w14:textFill>
                  <w14:solidFill>
                    <w14:schemeClr w14:val="tx1"/>
                  </w14:solidFill>
                </w14:textFill>
              </w:rPr>
              <w:t>定期补水，日常不排水</w:t>
            </w:r>
            <w:r>
              <w:rPr>
                <w:rFonts w:hint="eastAsia" w:ascii="Times New Roman" w:hAnsi="Times New Roman"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项目冷却工序定期排水，冷却工序排水同湿式粉碎、清洗、甩干、压滤废水经沉淀池处理后循环利用，不外排；</w:t>
            </w:r>
            <w:r>
              <w:rPr>
                <w:rFonts w:hint="eastAsia" w:ascii="宋体" w:hAnsi="宋体"/>
                <w:color w:val="5B9BD5" w:themeColor="accent1"/>
                <w:spacing w:val="2"/>
                <w:sz w:val="24"/>
                <w14:textFill>
                  <w14:solidFill>
                    <w14:schemeClr w14:val="accent1"/>
                  </w14:solidFill>
                </w14:textFill>
              </w:rPr>
              <w:t>生活废水</w:t>
            </w:r>
            <w:r>
              <w:rPr>
                <w:rFonts w:hint="eastAsia" w:ascii="宋体" w:hAnsi="宋体"/>
                <w:color w:val="5B9BD5" w:themeColor="accent1"/>
                <w:spacing w:val="2"/>
                <w:sz w:val="24"/>
                <w:lang w:val="en-US" w:eastAsia="zh-CN"/>
                <w14:textFill>
                  <w14:solidFill>
                    <w14:schemeClr w14:val="accent1"/>
                  </w14:solidFill>
                </w14:textFill>
              </w:rPr>
              <w:t>主要为盥洗废水，水质简单，</w:t>
            </w:r>
            <w:r>
              <w:rPr>
                <w:rFonts w:hint="eastAsia" w:ascii="宋体" w:hAnsi="宋体"/>
                <w:color w:val="auto"/>
                <w:spacing w:val="2"/>
                <w:sz w:val="24"/>
              </w:rPr>
              <w:t>产生量为</w:t>
            </w:r>
            <w:r>
              <w:rPr>
                <w:rFonts w:hint="eastAsia"/>
                <w:color w:val="auto"/>
                <w:sz w:val="24"/>
                <w:lang w:val="en-US" w:eastAsia="zh-CN"/>
              </w:rPr>
              <w:t>0.32</w:t>
            </w:r>
            <w:r>
              <w:rPr>
                <w:rFonts w:hint="eastAsia"/>
                <w:color w:val="auto"/>
                <w:sz w:val="24"/>
              </w:rPr>
              <w:t>m</w:t>
            </w:r>
            <w:r>
              <w:rPr>
                <w:rFonts w:hint="eastAsia"/>
                <w:color w:val="auto"/>
                <w:sz w:val="24"/>
                <w:vertAlign w:val="superscript"/>
                <w:lang w:val="en-US" w:eastAsia="zh-CN"/>
              </w:rPr>
              <w:t>3</w:t>
            </w:r>
            <w:r>
              <w:rPr>
                <w:color w:val="auto"/>
                <w:sz w:val="24"/>
              </w:rPr>
              <w:t>/</w:t>
            </w:r>
            <w:r>
              <w:rPr>
                <w:rFonts w:hint="eastAsia"/>
                <w:color w:val="auto"/>
                <w:sz w:val="24"/>
              </w:rPr>
              <w:t>d</w:t>
            </w:r>
            <w:r>
              <w:rPr>
                <w:rFonts w:hint="eastAsia"/>
                <w:color w:val="auto"/>
                <w:sz w:val="24"/>
                <w:lang w:eastAsia="zh-CN"/>
              </w:rPr>
              <w:t>，</w:t>
            </w:r>
            <w:r>
              <w:rPr>
                <w:rFonts w:hint="eastAsia"/>
                <w:color w:val="auto"/>
                <w:sz w:val="24"/>
                <w:lang w:val="en-US" w:eastAsia="zh-CN"/>
              </w:rPr>
              <w:t>直接泼洒抑尘</w:t>
            </w:r>
            <w:r>
              <w:rPr>
                <w:rFonts w:hint="eastAsia" w:cs="Times New Roman" w:eastAsiaTheme="minorEastAsia"/>
                <w:color w:val="000000" w:themeColor="text1"/>
                <w:sz w:val="24"/>
                <w:lang w:val="en-US" w:eastAsia="zh-CN"/>
                <w14:textFill>
                  <w14:solidFill>
                    <w14:schemeClr w14:val="tx1"/>
                  </w14:solidFill>
                </w14:textFill>
              </w:rPr>
              <w:t>。废水污染源源强核算结果及相关参数</w:t>
            </w:r>
            <w:r>
              <w:rPr>
                <w:rFonts w:hint="default" w:ascii="Times New Roman" w:hAnsi="Times New Roman" w:cs="Times New Roman" w:eastAsiaTheme="minorEastAsia"/>
                <w:color w:val="000000" w:themeColor="text1"/>
                <w:sz w:val="24"/>
                <w:lang w:eastAsia="zh-CN"/>
                <w14:textFill>
                  <w14:solidFill>
                    <w14:schemeClr w14:val="tx1"/>
                  </w14:solidFill>
                </w14:textFill>
              </w:rPr>
              <w:t>见表</w:t>
            </w:r>
            <w:r>
              <w:rPr>
                <w:rFonts w:hint="eastAsia" w:cs="Times New Roman" w:eastAsiaTheme="minorEastAsia"/>
                <w:color w:val="000000" w:themeColor="text1"/>
                <w:sz w:val="24"/>
                <w:lang w:val="en-US" w:eastAsia="zh-CN"/>
                <w14:textFill>
                  <w14:solidFill>
                    <w14:schemeClr w14:val="tx1"/>
                  </w14:solidFill>
                </w14:textFill>
              </w:rPr>
              <w:t>23</w:t>
            </w:r>
            <w:r>
              <w:rPr>
                <w:rFonts w:hint="default" w:ascii="Times New Roman" w:hAnsi="Times New Roman" w:cs="Times New Roman" w:eastAsiaTheme="minorEastAsia"/>
                <w:color w:val="000000" w:themeColor="text1"/>
                <w:sz w:val="24"/>
                <w:lang w:eastAsia="zh-CN"/>
                <w14:textFill>
                  <w14:solidFill>
                    <w14:schemeClr w14:val="tx1"/>
                  </w14:solidFill>
                </w14:textFill>
              </w:rPr>
              <w:t>。</w:t>
            </w:r>
          </w:p>
          <w:p w14:paraId="051A17B9">
            <w:pPr>
              <w:adjustRightInd w:val="0"/>
              <w:snapToGrid w:val="0"/>
              <w:spacing w:line="480" w:lineRule="exact"/>
              <w:jc w:val="center"/>
              <w:rPr>
                <w:rFonts w:hint="default" w:ascii="Times New Roman" w:hAnsi="Times New Roman" w:cs="Times New Roman" w:eastAsiaTheme="minorEastAsia"/>
                <w:color w:val="auto"/>
                <w:sz w:val="24"/>
              </w:rPr>
            </w:pPr>
            <w:r>
              <w:rPr>
                <w:rFonts w:hint="default" w:ascii="Times New Roman" w:hAnsi="Times New Roman" w:cs="Times New Roman"/>
                <w:b/>
                <w:bCs/>
                <w:color w:val="auto"/>
                <w:sz w:val="24"/>
              </w:rPr>
              <w:t>表</w:t>
            </w:r>
            <w:r>
              <w:rPr>
                <w:rFonts w:hint="eastAsia" w:cs="Times New Roman"/>
                <w:b/>
                <w:bCs/>
                <w:color w:val="auto"/>
                <w:sz w:val="24"/>
                <w:lang w:val="en-US" w:eastAsia="zh-CN"/>
              </w:rPr>
              <w:t>23   废水污染源源强核算结果及相关参数一览表</w:t>
            </w:r>
          </w:p>
          <w:tbl>
            <w:tblPr>
              <w:tblStyle w:val="29"/>
              <w:tblW w:w="8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
              <w:gridCol w:w="447"/>
              <w:gridCol w:w="506"/>
              <w:gridCol w:w="750"/>
              <w:gridCol w:w="540"/>
              <w:gridCol w:w="708"/>
              <w:gridCol w:w="799"/>
              <w:gridCol w:w="673"/>
              <w:gridCol w:w="422"/>
              <w:gridCol w:w="402"/>
              <w:gridCol w:w="375"/>
              <w:gridCol w:w="394"/>
              <w:gridCol w:w="394"/>
              <w:gridCol w:w="603"/>
              <w:gridCol w:w="690"/>
              <w:gridCol w:w="482"/>
            </w:tblGrid>
            <w:tr w14:paraId="1E4E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70" w:type="dxa"/>
                  <w:vMerge w:val="restart"/>
                  <w:tcBorders>
                    <w:tl2br w:val="nil"/>
                    <w:tr2bl w:val="nil"/>
                  </w:tcBorders>
                  <w:vAlign w:val="center"/>
                </w:tcPr>
                <w:p w14:paraId="3372B6C6">
                  <w:pPr>
                    <w:spacing w:line="240" w:lineRule="exact"/>
                    <w:ind w:left="-105" w:leftChars="-50" w:right="-105" w:rightChars="-50"/>
                    <w:jc w:val="center"/>
                    <w:rPr>
                      <w:rFonts w:hint="eastAsia" w:ascii="Times New Roman" w:hAnsi="Times New Roman" w:eastAsia="宋体" w:cs="Times New Roman"/>
                      <w:b w:val="0"/>
                      <w:bCs w:val="0"/>
                      <w:color w:val="auto"/>
                      <w:szCs w:val="21"/>
                      <w:lang w:eastAsia="zh-CN"/>
                    </w:rPr>
                  </w:pPr>
                  <w:r>
                    <w:rPr>
                      <w:rFonts w:hint="eastAsia" w:cs="Times New Roman"/>
                      <w:b w:val="0"/>
                      <w:bCs w:val="0"/>
                      <w:color w:val="auto"/>
                      <w:szCs w:val="21"/>
                      <w:lang w:val="en-US" w:eastAsia="zh-CN"/>
                    </w:rPr>
                    <w:t>序号</w:t>
                  </w:r>
                </w:p>
              </w:tc>
              <w:tc>
                <w:tcPr>
                  <w:tcW w:w="447" w:type="dxa"/>
                  <w:vMerge w:val="restart"/>
                  <w:tcBorders>
                    <w:tl2br w:val="nil"/>
                    <w:tr2bl w:val="nil"/>
                  </w:tcBorders>
                  <w:vAlign w:val="center"/>
                </w:tcPr>
                <w:p w14:paraId="11924A10">
                  <w:pPr>
                    <w:spacing w:line="240" w:lineRule="exact"/>
                    <w:ind w:left="-105" w:leftChars="-50" w:right="-105" w:rightChars="-50"/>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产排污环节</w:t>
                  </w:r>
                </w:p>
              </w:tc>
              <w:tc>
                <w:tcPr>
                  <w:tcW w:w="506" w:type="dxa"/>
                  <w:vMerge w:val="restart"/>
                  <w:tcBorders>
                    <w:tl2br w:val="nil"/>
                    <w:tr2bl w:val="nil"/>
                  </w:tcBorders>
                  <w:vAlign w:val="center"/>
                </w:tcPr>
                <w:p w14:paraId="24C591B0">
                  <w:pPr>
                    <w:spacing w:line="240" w:lineRule="exact"/>
                    <w:ind w:left="-105" w:leftChars="-50" w:right="-105" w:rightChars="-50"/>
                    <w:jc w:val="center"/>
                    <w:rPr>
                      <w:rFonts w:hint="eastAsia" w:cs="Times New Roman"/>
                      <w:color w:val="auto"/>
                      <w:szCs w:val="21"/>
                      <w:lang w:val="en-US" w:eastAsia="zh-CN"/>
                    </w:rPr>
                  </w:pPr>
                  <w:r>
                    <w:rPr>
                      <w:rFonts w:hint="eastAsia" w:cs="Times New Roman"/>
                      <w:color w:val="auto"/>
                      <w:szCs w:val="21"/>
                      <w:lang w:val="en-US" w:eastAsia="zh-CN"/>
                    </w:rPr>
                    <w:t>废水</w:t>
                  </w:r>
                </w:p>
                <w:p w14:paraId="3C39C001">
                  <w:pPr>
                    <w:spacing w:line="240" w:lineRule="exact"/>
                    <w:ind w:left="-105" w:leftChars="-50" w:right="-105" w:rightChars="-50"/>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类别</w:t>
                  </w:r>
                </w:p>
              </w:tc>
              <w:tc>
                <w:tcPr>
                  <w:tcW w:w="750" w:type="dxa"/>
                  <w:vMerge w:val="restart"/>
                  <w:tcBorders>
                    <w:tl2br w:val="nil"/>
                    <w:tr2bl w:val="nil"/>
                  </w:tcBorders>
                  <w:vAlign w:val="center"/>
                </w:tcPr>
                <w:p w14:paraId="62C984BE">
                  <w:pPr>
                    <w:spacing w:line="240" w:lineRule="exact"/>
                    <w:ind w:left="-105" w:leftChars="-50" w:right="-105" w:rightChars="-50"/>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污染物种类</w:t>
                  </w:r>
                </w:p>
              </w:tc>
              <w:tc>
                <w:tcPr>
                  <w:tcW w:w="540" w:type="dxa"/>
                  <w:vMerge w:val="restart"/>
                  <w:tcBorders>
                    <w:tl2br w:val="nil"/>
                    <w:tr2bl w:val="nil"/>
                  </w:tcBorders>
                  <w:vAlign w:val="center"/>
                </w:tcPr>
                <w:p w14:paraId="7DA3EBFF">
                  <w:pPr>
                    <w:spacing w:line="240" w:lineRule="exact"/>
                    <w:jc w:val="center"/>
                    <w:rPr>
                      <w:rFonts w:hint="default" w:ascii="Times New Roman" w:hAnsi="Times New Roman" w:cs="Times New Roman"/>
                      <w:b w:val="0"/>
                      <w:bCs w:val="0"/>
                      <w:color w:val="auto"/>
                      <w:szCs w:val="21"/>
                    </w:rPr>
                  </w:pPr>
                  <w:r>
                    <w:rPr>
                      <w:rFonts w:hint="eastAsia" w:cs="Times New Roman"/>
                      <w:b w:val="0"/>
                      <w:bCs w:val="0"/>
                      <w:color w:val="auto"/>
                      <w:szCs w:val="21"/>
                      <w:lang w:val="en-US" w:eastAsia="zh-CN"/>
                    </w:rPr>
                    <w:t>污染物</w:t>
                  </w:r>
                  <w:r>
                    <w:rPr>
                      <w:rFonts w:hint="default" w:ascii="Times New Roman" w:hAnsi="Times New Roman" w:cs="Times New Roman"/>
                      <w:b w:val="0"/>
                      <w:bCs w:val="0"/>
                      <w:color w:val="auto"/>
                      <w:szCs w:val="21"/>
                    </w:rPr>
                    <w:t>产生浓度</w:t>
                  </w:r>
                </w:p>
              </w:tc>
              <w:tc>
                <w:tcPr>
                  <w:tcW w:w="708" w:type="dxa"/>
                  <w:vMerge w:val="restart"/>
                  <w:tcBorders>
                    <w:tl2br w:val="nil"/>
                    <w:tr2bl w:val="nil"/>
                  </w:tcBorders>
                  <w:vAlign w:val="center"/>
                </w:tcPr>
                <w:p w14:paraId="702938EC">
                  <w:pPr>
                    <w:spacing w:line="240" w:lineRule="exact"/>
                    <w:jc w:val="center"/>
                    <w:rPr>
                      <w:rFonts w:hint="eastAsia" w:ascii="Times New Roman" w:hAnsi="Times New Roman" w:eastAsia="宋体" w:cs="Times New Roman"/>
                      <w:b w:val="0"/>
                      <w:bCs w:val="0"/>
                      <w:color w:val="auto"/>
                      <w:szCs w:val="21"/>
                      <w:lang w:eastAsia="zh-CN"/>
                    </w:rPr>
                  </w:pPr>
                  <w:r>
                    <w:rPr>
                      <w:rFonts w:hint="eastAsia" w:cs="Times New Roman"/>
                      <w:b w:val="0"/>
                      <w:bCs w:val="0"/>
                      <w:color w:val="auto"/>
                      <w:szCs w:val="21"/>
                      <w:lang w:val="en-US" w:eastAsia="zh-CN"/>
                    </w:rPr>
                    <w:t>污染物</w:t>
                  </w:r>
                  <w:r>
                    <w:rPr>
                      <w:rFonts w:hint="default" w:ascii="Times New Roman" w:hAnsi="Times New Roman" w:cs="Times New Roman"/>
                      <w:b w:val="0"/>
                      <w:bCs w:val="0"/>
                      <w:color w:val="auto"/>
                      <w:szCs w:val="21"/>
                    </w:rPr>
                    <w:t>产生量t/a</w:t>
                  </w:r>
                </w:p>
              </w:tc>
              <w:tc>
                <w:tcPr>
                  <w:tcW w:w="2296" w:type="dxa"/>
                  <w:gridSpan w:val="4"/>
                  <w:tcBorders>
                    <w:tl2br w:val="nil"/>
                    <w:tr2bl w:val="nil"/>
                  </w:tcBorders>
                  <w:vAlign w:val="center"/>
                </w:tcPr>
                <w:p w14:paraId="4232A31B">
                  <w:pPr>
                    <w:spacing w:line="240" w:lineRule="exact"/>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污染防治措施</w:t>
                  </w:r>
                </w:p>
              </w:tc>
              <w:tc>
                <w:tcPr>
                  <w:tcW w:w="375" w:type="dxa"/>
                  <w:vMerge w:val="restart"/>
                  <w:tcBorders>
                    <w:tl2br w:val="nil"/>
                    <w:tr2bl w:val="nil"/>
                  </w:tcBorders>
                  <w:vAlign w:val="center"/>
                </w:tcPr>
                <w:p w14:paraId="3ECB61AD">
                  <w:pPr>
                    <w:spacing w:line="240" w:lineRule="exact"/>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排放方式</w:t>
                  </w:r>
                </w:p>
              </w:tc>
              <w:tc>
                <w:tcPr>
                  <w:tcW w:w="394" w:type="dxa"/>
                  <w:vMerge w:val="restart"/>
                  <w:tcBorders>
                    <w:tl2br w:val="nil"/>
                    <w:tr2bl w:val="nil"/>
                  </w:tcBorders>
                  <w:vAlign w:val="center"/>
                </w:tcPr>
                <w:p w14:paraId="1C4E85CD">
                  <w:pPr>
                    <w:spacing w:line="240" w:lineRule="exact"/>
                    <w:jc w:val="center"/>
                    <w:rPr>
                      <w:rFonts w:hint="default" w:cs="Times New Roman"/>
                      <w:color w:val="auto"/>
                      <w:szCs w:val="21"/>
                      <w:lang w:val="en-US" w:eastAsia="zh-CN"/>
                    </w:rPr>
                  </w:pPr>
                  <w:r>
                    <w:rPr>
                      <w:rFonts w:hint="eastAsia" w:cs="Times New Roman"/>
                      <w:color w:val="auto"/>
                      <w:szCs w:val="21"/>
                      <w:lang w:val="en-US" w:eastAsia="zh-CN"/>
                    </w:rPr>
                    <w:t>排放去向</w:t>
                  </w:r>
                </w:p>
              </w:tc>
              <w:tc>
                <w:tcPr>
                  <w:tcW w:w="394" w:type="dxa"/>
                  <w:vMerge w:val="restart"/>
                  <w:tcBorders>
                    <w:tl2br w:val="nil"/>
                    <w:tr2bl w:val="nil"/>
                  </w:tcBorders>
                  <w:vAlign w:val="center"/>
                </w:tcPr>
                <w:p w14:paraId="472303F3">
                  <w:pPr>
                    <w:spacing w:line="240" w:lineRule="exact"/>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排放规律</w:t>
                  </w:r>
                </w:p>
              </w:tc>
              <w:tc>
                <w:tcPr>
                  <w:tcW w:w="603" w:type="dxa"/>
                  <w:vMerge w:val="restart"/>
                  <w:tcBorders>
                    <w:tl2br w:val="nil"/>
                    <w:tr2bl w:val="nil"/>
                  </w:tcBorders>
                  <w:vAlign w:val="center"/>
                </w:tcPr>
                <w:p w14:paraId="46F591B0">
                  <w:pPr>
                    <w:spacing w:line="240" w:lineRule="exact"/>
                    <w:jc w:val="center"/>
                    <w:rPr>
                      <w:rFonts w:hint="default" w:ascii="Times New Roman" w:hAnsi="Times New Roman" w:cs="Times New Roman"/>
                      <w:b w:val="0"/>
                      <w:bCs w:val="0"/>
                      <w:color w:val="auto"/>
                      <w:szCs w:val="21"/>
                    </w:rPr>
                  </w:pPr>
                  <w:r>
                    <w:rPr>
                      <w:rFonts w:hint="eastAsia" w:cs="Times New Roman"/>
                      <w:b w:val="0"/>
                      <w:bCs w:val="0"/>
                      <w:color w:val="auto"/>
                      <w:szCs w:val="21"/>
                      <w:lang w:val="en-US" w:eastAsia="zh-CN"/>
                    </w:rPr>
                    <w:t>废水</w:t>
                  </w:r>
                  <w:r>
                    <w:rPr>
                      <w:rFonts w:hint="default" w:ascii="Times New Roman" w:hAnsi="Times New Roman" w:cs="Times New Roman"/>
                      <w:b w:val="0"/>
                      <w:bCs w:val="0"/>
                      <w:color w:val="auto"/>
                      <w:szCs w:val="21"/>
                    </w:rPr>
                    <w:t>排放量</w:t>
                  </w:r>
                  <w:r>
                    <w:rPr>
                      <w:rFonts w:hint="eastAsia" w:cs="Times New Roman"/>
                      <w:b w:val="0"/>
                      <w:bCs w:val="0"/>
                      <w:color w:val="auto"/>
                      <w:szCs w:val="21"/>
                      <w:lang w:val="en-US" w:eastAsia="zh-CN"/>
                    </w:rPr>
                    <w:t>m</w:t>
                  </w:r>
                  <w:r>
                    <w:rPr>
                      <w:rFonts w:hint="eastAsia" w:cs="Times New Roman"/>
                      <w:b w:val="0"/>
                      <w:bCs w:val="0"/>
                      <w:color w:val="auto"/>
                      <w:szCs w:val="21"/>
                      <w:vertAlign w:val="superscript"/>
                      <w:lang w:val="en-US" w:eastAsia="zh-CN"/>
                    </w:rPr>
                    <w:t>3</w:t>
                  </w:r>
                  <w:r>
                    <w:rPr>
                      <w:rFonts w:hint="default" w:ascii="Times New Roman" w:hAnsi="Times New Roman" w:cs="Times New Roman"/>
                      <w:b w:val="0"/>
                      <w:bCs w:val="0"/>
                      <w:color w:val="auto"/>
                      <w:szCs w:val="21"/>
                    </w:rPr>
                    <w:t>/a</w:t>
                  </w:r>
                </w:p>
              </w:tc>
              <w:tc>
                <w:tcPr>
                  <w:tcW w:w="690" w:type="dxa"/>
                  <w:vMerge w:val="restart"/>
                  <w:tcBorders>
                    <w:tl2br w:val="nil"/>
                    <w:tr2bl w:val="nil"/>
                  </w:tcBorders>
                  <w:vAlign w:val="center"/>
                </w:tcPr>
                <w:p w14:paraId="10B75A3A">
                  <w:pPr>
                    <w:spacing w:line="240" w:lineRule="exact"/>
                    <w:jc w:val="center"/>
                    <w:rPr>
                      <w:rFonts w:hint="default" w:ascii="Times New Roman" w:hAnsi="Times New Roman" w:cs="Times New Roman"/>
                      <w:b w:val="0"/>
                      <w:bCs w:val="0"/>
                      <w:color w:val="auto"/>
                      <w:szCs w:val="21"/>
                    </w:rPr>
                  </w:pPr>
                  <w:r>
                    <w:rPr>
                      <w:rFonts w:hint="eastAsia" w:cs="Times New Roman"/>
                      <w:b w:val="0"/>
                      <w:bCs w:val="0"/>
                      <w:color w:val="auto"/>
                      <w:szCs w:val="21"/>
                      <w:lang w:val="en-US" w:eastAsia="zh-CN"/>
                    </w:rPr>
                    <w:t>污染物排放</w:t>
                  </w:r>
                  <w:r>
                    <w:rPr>
                      <w:rFonts w:hint="default" w:ascii="Times New Roman" w:hAnsi="Times New Roman" w:cs="Times New Roman"/>
                      <w:b w:val="0"/>
                      <w:bCs w:val="0"/>
                      <w:color w:val="auto"/>
                      <w:szCs w:val="21"/>
                    </w:rPr>
                    <w:t>浓度</w:t>
                  </w:r>
                </w:p>
              </w:tc>
              <w:tc>
                <w:tcPr>
                  <w:tcW w:w="482" w:type="dxa"/>
                  <w:vMerge w:val="restart"/>
                  <w:tcBorders>
                    <w:tl2br w:val="nil"/>
                    <w:tr2bl w:val="nil"/>
                  </w:tcBorders>
                  <w:vAlign w:val="center"/>
                </w:tcPr>
                <w:p w14:paraId="1B01893B">
                  <w:pPr>
                    <w:spacing w:line="240" w:lineRule="exact"/>
                    <w:jc w:val="center"/>
                    <w:rPr>
                      <w:rFonts w:hint="default" w:ascii="Times New Roman" w:hAnsi="Times New Roman" w:eastAsia="宋体" w:cs="Times New Roman"/>
                      <w:b w:val="0"/>
                      <w:bCs w:val="0"/>
                      <w:color w:val="auto"/>
                      <w:szCs w:val="21"/>
                      <w:lang w:val="en-US" w:eastAsia="zh-CN"/>
                    </w:rPr>
                  </w:pPr>
                  <w:r>
                    <w:rPr>
                      <w:rFonts w:hint="eastAsia" w:cs="Times New Roman"/>
                      <w:b w:val="0"/>
                      <w:bCs w:val="0"/>
                      <w:color w:val="auto"/>
                      <w:szCs w:val="21"/>
                      <w:lang w:val="en-US" w:eastAsia="zh-CN"/>
                    </w:rPr>
                    <w:t>污染物排放量t/a</w:t>
                  </w:r>
                </w:p>
              </w:tc>
            </w:tr>
            <w:tr w14:paraId="25B4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270" w:type="dxa"/>
                  <w:vMerge w:val="continue"/>
                  <w:tcBorders>
                    <w:tl2br w:val="nil"/>
                    <w:tr2bl w:val="nil"/>
                  </w:tcBorders>
                  <w:vAlign w:val="center"/>
                </w:tcPr>
                <w:p w14:paraId="4E92CF1C">
                  <w:pPr>
                    <w:spacing w:line="240" w:lineRule="exact"/>
                    <w:ind w:left="-105" w:leftChars="-50" w:right="-105" w:rightChars="-50"/>
                    <w:jc w:val="center"/>
                    <w:rPr>
                      <w:rFonts w:hint="default" w:ascii="Times New Roman" w:hAnsi="Times New Roman" w:cs="Times New Roman"/>
                      <w:color w:val="auto"/>
                      <w:szCs w:val="21"/>
                    </w:rPr>
                  </w:pPr>
                </w:p>
              </w:tc>
              <w:tc>
                <w:tcPr>
                  <w:tcW w:w="447" w:type="dxa"/>
                  <w:vMerge w:val="continue"/>
                  <w:tcBorders>
                    <w:tl2br w:val="nil"/>
                    <w:tr2bl w:val="nil"/>
                  </w:tcBorders>
                  <w:vAlign w:val="center"/>
                </w:tcPr>
                <w:p w14:paraId="27765DF2">
                  <w:pPr>
                    <w:spacing w:line="240" w:lineRule="exact"/>
                    <w:ind w:left="-105" w:leftChars="-50" w:right="-105" w:rightChars="-50"/>
                    <w:jc w:val="center"/>
                    <w:rPr>
                      <w:rFonts w:hint="default" w:ascii="Times New Roman" w:hAnsi="Times New Roman" w:cs="Times New Roman"/>
                      <w:color w:val="auto"/>
                      <w:szCs w:val="21"/>
                    </w:rPr>
                  </w:pPr>
                </w:p>
              </w:tc>
              <w:tc>
                <w:tcPr>
                  <w:tcW w:w="506" w:type="dxa"/>
                  <w:vMerge w:val="continue"/>
                  <w:tcBorders>
                    <w:tl2br w:val="nil"/>
                    <w:tr2bl w:val="nil"/>
                  </w:tcBorders>
                  <w:vAlign w:val="center"/>
                </w:tcPr>
                <w:p w14:paraId="564B9392">
                  <w:pPr>
                    <w:spacing w:line="240" w:lineRule="exact"/>
                    <w:ind w:left="-105" w:leftChars="-50" w:right="-105" w:rightChars="-50"/>
                    <w:jc w:val="center"/>
                    <w:rPr>
                      <w:rFonts w:hint="eastAsia" w:ascii="Times New Roman" w:hAnsi="Times New Roman" w:eastAsia="宋体" w:cs="Times New Roman"/>
                      <w:color w:val="auto"/>
                      <w:szCs w:val="21"/>
                      <w:lang w:val="en-US" w:eastAsia="zh-CN"/>
                    </w:rPr>
                  </w:pPr>
                </w:p>
              </w:tc>
              <w:tc>
                <w:tcPr>
                  <w:tcW w:w="750" w:type="dxa"/>
                  <w:vMerge w:val="continue"/>
                  <w:tcBorders>
                    <w:tl2br w:val="nil"/>
                    <w:tr2bl w:val="nil"/>
                  </w:tcBorders>
                  <w:vAlign w:val="center"/>
                </w:tcPr>
                <w:p w14:paraId="098CE39D">
                  <w:pPr>
                    <w:spacing w:line="240" w:lineRule="exact"/>
                    <w:ind w:left="-105" w:leftChars="-50" w:right="-105" w:rightChars="-50"/>
                    <w:jc w:val="center"/>
                    <w:rPr>
                      <w:rFonts w:hint="default" w:ascii="Times New Roman" w:hAnsi="Times New Roman" w:cs="Times New Roman"/>
                      <w:color w:val="auto"/>
                      <w:szCs w:val="21"/>
                    </w:rPr>
                  </w:pPr>
                </w:p>
              </w:tc>
              <w:tc>
                <w:tcPr>
                  <w:tcW w:w="540" w:type="dxa"/>
                  <w:vMerge w:val="continue"/>
                  <w:tcBorders>
                    <w:tl2br w:val="nil"/>
                    <w:tr2bl w:val="nil"/>
                  </w:tcBorders>
                  <w:vAlign w:val="center"/>
                </w:tcPr>
                <w:p w14:paraId="589CBB19">
                  <w:pPr>
                    <w:spacing w:line="240" w:lineRule="exact"/>
                    <w:ind w:left="-105" w:leftChars="-50" w:right="-105" w:rightChars="-50"/>
                    <w:jc w:val="center"/>
                    <w:rPr>
                      <w:rFonts w:hint="default" w:ascii="Times New Roman" w:hAnsi="Times New Roman" w:cs="Times New Roman"/>
                      <w:color w:val="auto"/>
                      <w:szCs w:val="21"/>
                    </w:rPr>
                  </w:pPr>
                </w:p>
              </w:tc>
              <w:tc>
                <w:tcPr>
                  <w:tcW w:w="708" w:type="dxa"/>
                  <w:vMerge w:val="continue"/>
                  <w:tcBorders>
                    <w:tl2br w:val="nil"/>
                    <w:tr2bl w:val="nil"/>
                  </w:tcBorders>
                  <w:vAlign w:val="center"/>
                </w:tcPr>
                <w:p w14:paraId="428D6CE6">
                  <w:pPr>
                    <w:spacing w:line="240" w:lineRule="exact"/>
                    <w:jc w:val="center"/>
                    <w:rPr>
                      <w:rFonts w:hint="default" w:ascii="Times New Roman" w:hAnsi="Times New Roman" w:cs="Times New Roman"/>
                      <w:color w:val="auto"/>
                      <w:szCs w:val="21"/>
                    </w:rPr>
                  </w:pPr>
                </w:p>
              </w:tc>
              <w:tc>
                <w:tcPr>
                  <w:tcW w:w="799" w:type="dxa"/>
                  <w:tcBorders>
                    <w:tl2br w:val="nil"/>
                    <w:tr2bl w:val="nil"/>
                  </w:tcBorders>
                  <w:vAlign w:val="center"/>
                </w:tcPr>
                <w:p w14:paraId="7F805603">
                  <w:pPr>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名称</w:t>
                  </w:r>
                </w:p>
              </w:tc>
              <w:tc>
                <w:tcPr>
                  <w:tcW w:w="673" w:type="dxa"/>
                  <w:tcBorders>
                    <w:tl2br w:val="nil"/>
                    <w:tr2bl w:val="nil"/>
                  </w:tcBorders>
                  <w:vAlign w:val="center"/>
                </w:tcPr>
                <w:p w14:paraId="3A4A4A95">
                  <w:pPr>
                    <w:spacing w:line="24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处理能力m</w:t>
                  </w:r>
                  <w:r>
                    <w:rPr>
                      <w:rFonts w:hint="eastAsia" w:cs="Times New Roman"/>
                      <w:color w:val="auto"/>
                      <w:szCs w:val="21"/>
                      <w:vertAlign w:val="superscript"/>
                      <w:lang w:val="en-US" w:eastAsia="zh-CN"/>
                    </w:rPr>
                    <w:t>3</w:t>
                  </w:r>
                  <w:r>
                    <w:rPr>
                      <w:rFonts w:hint="eastAsia" w:cs="Times New Roman"/>
                      <w:color w:val="auto"/>
                      <w:szCs w:val="21"/>
                      <w:lang w:val="en-US" w:eastAsia="zh-CN"/>
                    </w:rPr>
                    <w:t>/d</w:t>
                  </w:r>
                </w:p>
              </w:tc>
              <w:tc>
                <w:tcPr>
                  <w:tcW w:w="422" w:type="dxa"/>
                  <w:tcBorders>
                    <w:tl2br w:val="nil"/>
                    <w:tr2bl w:val="nil"/>
                  </w:tcBorders>
                  <w:vAlign w:val="center"/>
                </w:tcPr>
                <w:p w14:paraId="1E45DFEA">
                  <w:pPr>
                    <w:spacing w:line="240" w:lineRule="exact"/>
                    <w:jc w:val="center"/>
                    <w:rPr>
                      <w:rFonts w:hint="default" w:ascii="Times New Roman" w:hAnsi="Times New Roman" w:cs="Times New Roman"/>
                      <w:color w:val="auto"/>
                      <w:szCs w:val="21"/>
                    </w:rPr>
                  </w:pPr>
                  <w:r>
                    <w:rPr>
                      <w:rFonts w:hint="eastAsia" w:cs="Times New Roman"/>
                      <w:color w:val="auto"/>
                      <w:szCs w:val="21"/>
                      <w:lang w:val="en-US" w:eastAsia="zh-CN"/>
                    </w:rPr>
                    <w:t>治理效率</w:t>
                  </w:r>
                </w:p>
                <w:p w14:paraId="48520459">
                  <w:pPr>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402" w:type="dxa"/>
                  <w:tcBorders>
                    <w:tl2br w:val="nil"/>
                    <w:tr2bl w:val="nil"/>
                  </w:tcBorders>
                  <w:vAlign w:val="center"/>
                </w:tcPr>
                <w:p w14:paraId="57D3CD07">
                  <w:pPr>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是否为可行技</w:t>
                  </w:r>
                </w:p>
                <w:p w14:paraId="7686EFE3">
                  <w:pPr>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术</w:t>
                  </w:r>
                </w:p>
              </w:tc>
              <w:tc>
                <w:tcPr>
                  <w:tcW w:w="375" w:type="dxa"/>
                  <w:vMerge w:val="continue"/>
                  <w:tcBorders>
                    <w:tl2br w:val="nil"/>
                    <w:tr2bl w:val="nil"/>
                  </w:tcBorders>
                  <w:vAlign w:val="center"/>
                </w:tcPr>
                <w:p w14:paraId="54C7E6F0">
                  <w:pPr>
                    <w:spacing w:line="240" w:lineRule="exact"/>
                    <w:jc w:val="center"/>
                    <w:rPr>
                      <w:rFonts w:hint="eastAsia" w:ascii="Times New Roman" w:hAnsi="Times New Roman" w:eastAsia="宋体" w:cs="Times New Roman"/>
                      <w:color w:val="auto"/>
                      <w:szCs w:val="21"/>
                      <w:lang w:val="en-US" w:eastAsia="zh-CN"/>
                    </w:rPr>
                  </w:pPr>
                </w:p>
              </w:tc>
              <w:tc>
                <w:tcPr>
                  <w:tcW w:w="394" w:type="dxa"/>
                  <w:vMerge w:val="continue"/>
                  <w:tcBorders>
                    <w:tl2br w:val="nil"/>
                    <w:tr2bl w:val="nil"/>
                  </w:tcBorders>
                  <w:vAlign w:val="center"/>
                </w:tcPr>
                <w:p w14:paraId="5CF0A45B">
                  <w:pPr>
                    <w:spacing w:line="240" w:lineRule="exact"/>
                    <w:jc w:val="center"/>
                    <w:rPr>
                      <w:rFonts w:hint="default" w:cs="Times New Roman"/>
                      <w:color w:val="auto"/>
                      <w:szCs w:val="21"/>
                      <w:lang w:val="en-US" w:eastAsia="zh-CN"/>
                    </w:rPr>
                  </w:pPr>
                </w:p>
              </w:tc>
              <w:tc>
                <w:tcPr>
                  <w:tcW w:w="394" w:type="dxa"/>
                  <w:vMerge w:val="continue"/>
                  <w:tcBorders>
                    <w:tl2br w:val="nil"/>
                    <w:tr2bl w:val="nil"/>
                  </w:tcBorders>
                  <w:vAlign w:val="center"/>
                </w:tcPr>
                <w:p w14:paraId="41FC36EB">
                  <w:pPr>
                    <w:spacing w:line="240" w:lineRule="exact"/>
                    <w:jc w:val="center"/>
                    <w:rPr>
                      <w:rFonts w:hint="eastAsia" w:ascii="Times New Roman" w:hAnsi="Times New Roman" w:eastAsia="宋体" w:cs="Times New Roman"/>
                      <w:color w:val="auto"/>
                      <w:szCs w:val="21"/>
                      <w:lang w:val="en-US" w:eastAsia="zh-CN"/>
                    </w:rPr>
                  </w:pPr>
                </w:p>
              </w:tc>
              <w:tc>
                <w:tcPr>
                  <w:tcW w:w="603" w:type="dxa"/>
                  <w:vMerge w:val="continue"/>
                  <w:tcBorders>
                    <w:tl2br w:val="nil"/>
                    <w:tr2bl w:val="nil"/>
                  </w:tcBorders>
                  <w:vAlign w:val="center"/>
                </w:tcPr>
                <w:p w14:paraId="0009666C">
                  <w:pPr>
                    <w:spacing w:line="240" w:lineRule="exact"/>
                    <w:jc w:val="center"/>
                    <w:rPr>
                      <w:rFonts w:hint="default" w:ascii="Times New Roman" w:hAnsi="Times New Roman" w:cs="Times New Roman"/>
                      <w:color w:val="auto"/>
                      <w:szCs w:val="21"/>
                    </w:rPr>
                  </w:pPr>
                </w:p>
              </w:tc>
              <w:tc>
                <w:tcPr>
                  <w:tcW w:w="690" w:type="dxa"/>
                  <w:vMerge w:val="continue"/>
                  <w:tcBorders>
                    <w:tl2br w:val="nil"/>
                    <w:tr2bl w:val="nil"/>
                  </w:tcBorders>
                  <w:vAlign w:val="center"/>
                </w:tcPr>
                <w:p w14:paraId="6035FD1A">
                  <w:pPr>
                    <w:spacing w:line="240" w:lineRule="exact"/>
                    <w:jc w:val="center"/>
                    <w:rPr>
                      <w:rFonts w:hint="default" w:ascii="Times New Roman" w:hAnsi="Times New Roman" w:cs="Times New Roman"/>
                      <w:color w:val="auto"/>
                      <w:szCs w:val="21"/>
                    </w:rPr>
                  </w:pPr>
                </w:p>
              </w:tc>
              <w:tc>
                <w:tcPr>
                  <w:tcW w:w="482" w:type="dxa"/>
                  <w:vMerge w:val="continue"/>
                  <w:tcBorders>
                    <w:tl2br w:val="nil"/>
                    <w:tr2bl w:val="nil"/>
                  </w:tcBorders>
                  <w:vAlign w:val="center"/>
                </w:tcPr>
                <w:p w14:paraId="3659570A">
                  <w:pPr>
                    <w:spacing w:line="240" w:lineRule="exact"/>
                    <w:jc w:val="center"/>
                    <w:rPr>
                      <w:rFonts w:hint="default" w:ascii="Times New Roman" w:hAnsi="Times New Roman" w:cs="Times New Roman"/>
                      <w:color w:val="auto"/>
                      <w:szCs w:val="21"/>
                    </w:rPr>
                  </w:pPr>
                </w:p>
              </w:tc>
            </w:tr>
            <w:tr w14:paraId="390F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 w:type="dxa"/>
                  <w:vMerge w:val="restart"/>
                  <w:tcBorders>
                    <w:tl2br w:val="nil"/>
                    <w:tr2bl w:val="nil"/>
                  </w:tcBorders>
                  <w:vAlign w:val="center"/>
                </w:tcPr>
                <w:p w14:paraId="682D9E96">
                  <w:pPr>
                    <w:spacing w:line="240" w:lineRule="exact"/>
                    <w:ind w:left="-105" w:leftChars="-50" w:right="-105" w:rightChars="-50"/>
                    <w:jc w:val="center"/>
                    <w:rPr>
                      <w:rFonts w:hint="default" w:cs="Times New Roman"/>
                      <w:color w:val="auto"/>
                      <w:szCs w:val="21"/>
                      <w:lang w:val="en-US" w:eastAsia="zh-CN"/>
                    </w:rPr>
                  </w:pPr>
                  <w:r>
                    <w:rPr>
                      <w:rFonts w:hint="eastAsia" w:cs="Times New Roman"/>
                      <w:color w:val="auto"/>
                      <w:szCs w:val="21"/>
                      <w:lang w:val="en-US" w:eastAsia="zh-CN"/>
                    </w:rPr>
                    <w:t>1</w:t>
                  </w:r>
                </w:p>
              </w:tc>
              <w:tc>
                <w:tcPr>
                  <w:tcW w:w="447" w:type="dxa"/>
                  <w:vMerge w:val="restart"/>
                  <w:tcBorders>
                    <w:tl2br w:val="nil"/>
                    <w:tr2bl w:val="nil"/>
                  </w:tcBorders>
                  <w:vAlign w:val="center"/>
                </w:tcPr>
                <w:p w14:paraId="70CA9515">
                  <w:pPr>
                    <w:spacing w:line="240" w:lineRule="exact"/>
                    <w:ind w:left="-105" w:leftChars="-50" w:right="-105" w:rightChars="-5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生产</w:t>
                  </w:r>
                </w:p>
              </w:tc>
              <w:tc>
                <w:tcPr>
                  <w:tcW w:w="506" w:type="dxa"/>
                  <w:vMerge w:val="restart"/>
                  <w:tcBorders>
                    <w:tl2br w:val="nil"/>
                    <w:tr2bl w:val="nil"/>
                  </w:tcBorders>
                  <w:vAlign w:val="center"/>
                </w:tcPr>
                <w:p w14:paraId="2EDC70E1">
                  <w:pPr>
                    <w:spacing w:line="240" w:lineRule="exact"/>
                    <w:ind w:left="-105" w:leftChars="-50" w:right="-105" w:rightChars="-50"/>
                    <w:jc w:val="center"/>
                    <w:rPr>
                      <w:rFonts w:hint="default" w:cs="Times New Roman"/>
                      <w:color w:val="auto"/>
                      <w:szCs w:val="21"/>
                      <w:lang w:val="en-US" w:eastAsia="zh-CN"/>
                    </w:rPr>
                  </w:pPr>
                  <w:r>
                    <w:rPr>
                      <w:rFonts w:hint="eastAsia" w:cs="Times New Roman"/>
                      <w:color w:val="auto"/>
                      <w:szCs w:val="21"/>
                      <w:lang w:val="en-US" w:eastAsia="zh-CN"/>
                    </w:rPr>
                    <w:t>湿式粉碎、清洗等综合废水</w:t>
                  </w:r>
                </w:p>
              </w:tc>
              <w:tc>
                <w:tcPr>
                  <w:tcW w:w="750" w:type="dxa"/>
                  <w:tcBorders>
                    <w:tl2br w:val="nil"/>
                    <w:tr2bl w:val="nil"/>
                  </w:tcBorders>
                  <w:vAlign w:val="center"/>
                </w:tcPr>
                <w:p w14:paraId="59427857">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 w:val="21"/>
                      <w:szCs w:val="21"/>
                      <w:lang w:val="en-US" w:eastAsia="zh-CN"/>
                    </w:rPr>
                    <w:t>pH</w:t>
                  </w:r>
                </w:p>
              </w:tc>
              <w:tc>
                <w:tcPr>
                  <w:tcW w:w="540" w:type="dxa"/>
                  <w:tcBorders>
                    <w:tl2br w:val="nil"/>
                    <w:tr2bl w:val="nil"/>
                  </w:tcBorders>
                  <w:vAlign w:val="center"/>
                </w:tcPr>
                <w:p w14:paraId="5DBBAA71">
                  <w:pPr>
                    <w:spacing w:line="240" w:lineRule="exact"/>
                    <w:ind w:left="-105" w:leftChars="-50" w:right="-105" w:rightChars="-50"/>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6-9</w:t>
                  </w:r>
                </w:p>
              </w:tc>
              <w:tc>
                <w:tcPr>
                  <w:tcW w:w="708" w:type="dxa"/>
                  <w:tcBorders>
                    <w:tl2br w:val="nil"/>
                    <w:tr2bl w:val="nil"/>
                  </w:tcBorders>
                  <w:vAlign w:val="center"/>
                </w:tcPr>
                <w:p w14:paraId="2CF11237">
                  <w:pPr>
                    <w:spacing w:line="240" w:lineRule="exact"/>
                    <w:jc w:val="center"/>
                    <w:rPr>
                      <w:rFonts w:hint="default" w:ascii="Times New Roman" w:hAnsi="Times New Roman" w:cs="Times New Roman"/>
                      <w:bCs/>
                      <w:color w:val="auto"/>
                      <w:sz w:val="21"/>
                      <w:szCs w:val="21"/>
                    </w:rPr>
                  </w:pPr>
                  <w:r>
                    <w:rPr>
                      <w:rFonts w:hint="eastAsia" w:cs="Times New Roman"/>
                      <w:bCs/>
                      <w:color w:val="auto"/>
                      <w:sz w:val="21"/>
                      <w:szCs w:val="21"/>
                      <w:lang w:eastAsia="zh-CN"/>
                    </w:rPr>
                    <w:t>—</w:t>
                  </w:r>
                </w:p>
              </w:tc>
              <w:tc>
                <w:tcPr>
                  <w:tcW w:w="799" w:type="dxa"/>
                  <w:vMerge w:val="restart"/>
                  <w:tcBorders>
                    <w:tl2br w:val="nil"/>
                    <w:tr2bl w:val="nil"/>
                  </w:tcBorders>
                  <w:vAlign w:val="center"/>
                </w:tcPr>
                <w:p w14:paraId="44F69032">
                  <w:pPr>
                    <w:spacing w:line="28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沉淀池</w:t>
                  </w:r>
                </w:p>
              </w:tc>
              <w:tc>
                <w:tcPr>
                  <w:tcW w:w="673" w:type="dxa"/>
                  <w:vMerge w:val="restart"/>
                  <w:tcBorders>
                    <w:tl2br w:val="nil"/>
                    <w:tr2bl w:val="nil"/>
                  </w:tcBorders>
                  <w:vAlign w:val="center"/>
                </w:tcPr>
                <w:p w14:paraId="3300C2E9">
                  <w:pPr>
                    <w:spacing w:line="24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15</w:t>
                  </w:r>
                </w:p>
              </w:tc>
              <w:tc>
                <w:tcPr>
                  <w:tcW w:w="422" w:type="dxa"/>
                  <w:tcBorders>
                    <w:tl2br w:val="nil"/>
                    <w:tr2bl w:val="nil"/>
                  </w:tcBorders>
                  <w:vAlign w:val="center"/>
                </w:tcPr>
                <w:p w14:paraId="05A3E658">
                  <w:pPr>
                    <w:spacing w:line="240" w:lineRule="exact"/>
                    <w:jc w:val="center"/>
                    <w:rPr>
                      <w:rFonts w:hint="default" w:ascii="Times New Roman" w:hAnsi="Times New Roman" w:cs="Times New Roman"/>
                      <w:bCs/>
                      <w:color w:val="auto"/>
                      <w:sz w:val="21"/>
                      <w:szCs w:val="21"/>
                    </w:rPr>
                  </w:pPr>
                  <w:r>
                    <w:rPr>
                      <w:rFonts w:hint="eastAsia" w:cs="Times New Roman"/>
                      <w:bCs/>
                      <w:color w:val="auto"/>
                      <w:sz w:val="21"/>
                      <w:szCs w:val="21"/>
                      <w:lang w:eastAsia="zh-CN"/>
                    </w:rPr>
                    <w:t>—</w:t>
                  </w:r>
                </w:p>
              </w:tc>
              <w:tc>
                <w:tcPr>
                  <w:tcW w:w="402" w:type="dxa"/>
                  <w:vMerge w:val="restart"/>
                  <w:tcBorders>
                    <w:tl2br w:val="nil"/>
                    <w:tr2bl w:val="nil"/>
                  </w:tcBorders>
                  <w:vAlign w:val="center"/>
                </w:tcPr>
                <w:p w14:paraId="290443C2">
                  <w:pPr>
                    <w:spacing w:line="240" w:lineRule="exact"/>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是</w:t>
                  </w:r>
                </w:p>
              </w:tc>
              <w:tc>
                <w:tcPr>
                  <w:tcW w:w="375" w:type="dxa"/>
                  <w:vMerge w:val="restart"/>
                  <w:tcBorders>
                    <w:tl2br w:val="nil"/>
                    <w:tr2bl w:val="nil"/>
                  </w:tcBorders>
                  <w:vAlign w:val="center"/>
                </w:tcPr>
                <w:p w14:paraId="7CFF8B33">
                  <w:pPr>
                    <w:spacing w:line="240" w:lineRule="exact"/>
                    <w:jc w:val="center"/>
                    <w:rPr>
                      <w:rFonts w:hint="default" w:cs="Times New Roman"/>
                      <w:bCs/>
                      <w:color w:val="auto"/>
                      <w:sz w:val="21"/>
                      <w:szCs w:val="21"/>
                      <w:lang w:val="en-US" w:eastAsia="zh-CN"/>
                    </w:rPr>
                  </w:pPr>
                  <w:r>
                    <w:rPr>
                      <w:rFonts w:hint="eastAsia" w:cs="Times New Roman"/>
                      <w:bCs/>
                      <w:color w:val="auto"/>
                      <w:sz w:val="21"/>
                      <w:szCs w:val="21"/>
                      <w:lang w:eastAsia="zh-CN"/>
                    </w:rPr>
                    <w:t>—</w:t>
                  </w:r>
                </w:p>
              </w:tc>
              <w:tc>
                <w:tcPr>
                  <w:tcW w:w="394" w:type="dxa"/>
                  <w:vMerge w:val="restart"/>
                  <w:tcBorders>
                    <w:tl2br w:val="nil"/>
                    <w:tr2bl w:val="nil"/>
                  </w:tcBorders>
                  <w:vAlign w:val="center"/>
                </w:tcPr>
                <w:p w14:paraId="0E548637">
                  <w:pPr>
                    <w:spacing w:line="240" w:lineRule="exact"/>
                    <w:jc w:val="center"/>
                    <w:rPr>
                      <w:rFonts w:hint="eastAsia" w:cs="Times New Roman"/>
                      <w:bCs/>
                      <w:color w:val="auto"/>
                      <w:sz w:val="21"/>
                      <w:szCs w:val="21"/>
                      <w:lang w:val="en-US" w:eastAsia="zh-CN"/>
                    </w:rPr>
                  </w:pPr>
                  <w:r>
                    <w:rPr>
                      <w:rFonts w:hint="eastAsia" w:cs="Times New Roman"/>
                      <w:bCs/>
                      <w:color w:val="auto"/>
                      <w:sz w:val="21"/>
                      <w:szCs w:val="21"/>
                      <w:lang w:eastAsia="zh-CN"/>
                    </w:rPr>
                    <w:t>—</w:t>
                  </w:r>
                </w:p>
              </w:tc>
              <w:tc>
                <w:tcPr>
                  <w:tcW w:w="394" w:type="dxa"/>
                  <w:vMerge w:val="restart"/>
                  <w:tcBorders>
                    <w:tl2br w:val="nil"/>
                    <w:tr2bl w:val="nil"/>
                  </w:tcBorders>
                  <w:vAlign w:val="center"/>
                </w:tcPr>
                <w:p w14:paraId="44CBA56A">
                  <w:pPr>
                    <w:spacing w:line="240" w:lineRule="exact"/>
                    <w:jc w:val="center"/>
                    <w:rPr>
                      <w:rFonts w:hint="eastAsia" w:cs="Times New Roman"/>
                      <w:bCs/>
                      <w:color w:val="auto"/>
                      <w:sz w:val="21"/>
                      <w:szCs w:val="21"/>
                      <w:lang w:val="en-US" w:eastAsia="zh-CN"/>
                    </w:rPr>
                  </w:pPr>
                  <w:r>
                    <w:rPr>
                      <w:rFonts w:hint="eastAsia" w:cs="Times New Roman"/>
                      <w:bCs/>
                      <w:color w:val="auto"/>
                      <w:sz w:val="21"/>
                      <w:szCs w:val="21"/>
                      <w:lang w:eastAsia="zh-CN"/>
                    </w:rPr>
                    <w:t>—</w:t>
                  </w:r>
                </w:p>
              </w:tc>
              <w:tc>
                <w:tcPr>
                  <w:tcW w:w="603" w:type="dxa"/>
                  <w:vMerge w:val="restart"/>
                  <w:tcBorders>
                    <w:tl2br w:val="nil"/>
                    <w:tr2bl w:val="nil"/>
                  </w:tcBorders>
                  <w:vAlign w:val="center"/>
                </w:tcPr>
                <w:p w14:paraId="7A2C928E">
                  <w:pPr>
                    <w:spacing w:line="240" w:lineRule="exact"/>
                    <w:jc w:val="center"/>
                    <w:rPr>
                      <w:rFonts w:hint="default" w:cs="Times New Roman"/>
                      <w:bCs/>
                      <w:color w:val="auto"/>
                      <w:sz w:val="21"/>
                      <w:szCs w:val="21"/>
                      <w:lang w:val="en-US" w:eastAsia="zh-CN"/>
                    </w:rPr>
                  </w:pPr>
                  <w:r>
                    <w:rPr>
                      <w:rFonts w:hint="eastAsia" w:cs="Times New Roman"/>
                      <w:bCs/>
                      <w:color w:val="auto"/>
                      <w:sz w:val="21"/>
                      <w:szCs w:val="21"/>
                      <w:lang w:eastAsia="zh-CN"/>
                    </w:rPr>
                    <w:t>—</w:t>
                  </w:r>
                </w:p>
              </w:tc>
              <w:tc>
                <w:tcPr>
                  <w:tcW w:w="690" w:type="dxa"/>
                  <w:tcBorders>
                    <w:tl2br w:val="nil"/>
                    <w:tr2bl w:val="nil"/>
                  </w:tcBorders>
                  <w:vAlign w:val="center"/>
                </w:tcPr>
                <w:p w14:paraId="5AC7816C">
                  <w:pPr>
                    <w:spacing w:line="240" w:lineRule="exact"/>
                    <w:jc w:val="center"/>
                    <w:rPr>
                      <w:rFonts w:hint="default" w:ascii="Times New Roman" w:hAnsi="Times New Roman" w:cs="Times New Roman"/>
                      <w:bCs/>
                      <w:color w:val="auto"/>
                      <w:sz w:val="21"/>
                      <w:szCs w:val="21"/>
                    </w:rPr>
                  </w:pPr>
                  <w:r>
                    <w:rPr>
                      <w:rFonts w:hint="eastAsia" w:cs="Times New Roman"/>
                      <w:bCs/>
                      <w:color w:val="auto"/>
                      <w:sz w:val="21"/>
                      <w:szCs w:val="21"/>
                      <w:lang w:eastAsia="zh-CN"/>
                    </w:rPr>
                    <w:t>—</w:t>
                  </w:r>
                </w:p>
              </w:tc>
              <w:tc>
                <w:tcPr>
                  <w:tcW w:w="482" w:type="dxa"/>
                  <w:tcBorders>
                    <w:tl2br w:val="nil"/>
                    <w:tr2bl w:val="nil"/>
                  </w:tcBorders>
                  <w:vAlign w:val="center"/>
                </w:tcPr>
                <w:p w14:paraId="73AAD698">
                  <w:pPr>
                    <w:spacing w:line="240" w:lineRule="exact"/>
                    <w:jc w:val="center"/>
                    <w:rPr>
                      <w:rFonts w:hint="default" w:ascii="Times New Roman" w:hAnsi="Times New Roman" w:cs="Times New Roman"/>
                      <w:bCs/>
                      <w:color w:val="auto"/>
                      <w:sz w:val="21"/>
                      <w:szCs w:val="21"/>
                    </w:rPr>
                  </w:pPr>
                  <w:r>
                    <w:rPr>
                      <w:rFonts w:hint="eastAsia" w:cs="Times New Roman"/>
                      <w:bCs/>
                      <w:color w:val="auto"/>
                      <w:sz w:val="21"/>
                      <w:szCs w:val="21"/>
                      <w:lang w:eastAsia="zh-CN"/>
                    </w:rPr>
                    <w:t>—</w:t>
                  </w:r>
                </w:p>
              </w:tc>
            </w:tr>
            <w:tr w14:paraId="2186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 w:type="dxa"/>
                  <w:vMerge w:val="continue"/>
                  <w:tcBorders>
                    <w:tl2br w:val="nil"/>
                    <w:tr2bl w:val="nil"/>
                  </w:tcBorders>
                  <w:vAlign w:val="center"/>
                </w:tcPr>
                <w:p w14:paraId="366F5E94">
                  <w:pPr>
                    <w:spacing w:line="240" w:lineRule="exact"/>
                    <w:ind w:left="-105" w:leftChars="-50" w:right="-105" w:rightChars="-50"/>
                    <w:jc w:val="center"/>
                    <w:rPr>
                      <w:rFonts w:hint="eastAsia" w:cs="Times New Roman"/>
                      <w:color w:val="auto"/>
                      <w:szCs w:val="21"/>
                      <w:lang w:val="en-US" w:eastAsia="zh-CN"/>
                    </w:rPr>
                  </w:pPr>
                </w:p>
              </w:tc>
              <w:tc>
                <w:tcPr>
                  <w:tcW w:w="447" w:type="dxa"/>
                  <w:vMerge w:val="continue"/>
                  <w:tcBorders>
                    <w:tl2br w:val="nil"/>
                    <w:tr2bl w:val="nil"/>
                  </w:tcBorders>
                  <w:vAlign w:val="center"/>
                </w:tcPr>
                <w:p w14:paraId="0D8C3B55">
                  <w:pPr>
                    <w:spacing w:line="240" w:lineRule="exact"/>
                    <w:ind w:left="-105" w:leftChars="-50" w:right="-105" w:rightChars="-50"/>
                    <w:jc w:val="center"/>
                    <w:rPr>
                      <w:rFonts w:hint="eastAsia" w:cs="Times New Roman"/>
                      <w:color w:val="auto"/>
                      <w:szCs w:val="21"/>
                      <w:lang w:val="en-US" w:eastAsia="zh-CN"/>
                    </w:rPr>
                  </w:pPr>
                </w:p>
              </w:tc>
              <w:tc>
                <w:tcPr>
                  <w:tcW w:w="506" w:type="dxa"/>
                  <w:vMerge w:val="continue"/>
                  <w:tcBorders>
                    <w:tl2br w:val="nil"/>
                    <w:tr2bl w:val="nil"/>
                  </w:tcBorders>
                  <w:vAlign w:val="center"/>
                </w:tcPr>
                <w:p w14:paraId="0830EFD6">
                  <w:pPr>
                    <w:spacing w:line="240" w:lineRule="exact"/>
                    <w:ind w:left="-105" w:leftChars="-50" w:right="-105" w:rightChars="-50"/>
                    <w:jc w:val="center"/>
                    <w:rPr>
                      <w:rFonts w:hint="eastAsia" w:cs="Times New Roman"/>
                      <w:color w:val="auto"/>
                      <w:szCs w:val="21"/>
                      <w:lang w:val="en-US" w:eastAsia="zh-CN"/>
                    </w:rPr>
                  </w:pPr>
                </w:p>
              </w:tc>
              <w:tc>
                <w:tcPr>
                  <w:tcW w:w="750" w:type="dxa"/>
                  <w:tcBorders>
                    <w:tl2br w:val="nil"/>
                    <w:tr2bl w:val="nil"/>
                  </w:tcBorders>
                  <w:vAlign w:val="center"/>
                </w:tcPr>
                <w:p w14:paraId="01212399">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 w:val="21"/>
                      <w:szCs w:val="21"/>
                      <w:lang w:val="en-US" w:eastAsia="zh-CN"/>
                    </w:rPr>
                    <w:t>COD</w:t>
                  </w:r>
                </w:p>
              </w:tc>
              <w:tc>
                <w:tcPr>
                  <w:tcW w:w="540" w:type="dxa"/>
                  <w:tcBorders>
                    <w:tl2br w:val="nil"/>
                    <w:tr2bl w:val="nil"/>
                  </w:tcBorders>
                  <w:vAlign w:val="center"/>
                </w:tcPr>
                <w:p w14:paraId="4ABDA1C9">
                  <w:pPr>
                    <w:spacing w:line="240" w:lineRule="exact"/>
                    <w:ind w:left="-105" w:leftChars="-50" w:right="-105" w:rightChars="-50"/>
                    <w:jc w:val="center"/>
                    <w:rPr>
                      <w:rFonts w:hint="default" w:ascii="Times New Roman" w:hAnsi="Times New Roman" w:eastAsia="宋体" w:cs="Times New Roman"/>
                      <w:bCs/>
                      <w:color w:val="auto"/>
                      <w:sz w:val="21"/>
                      <w:szCs w:val="21"/>
                      <w:lang w:val="en-US" w:eastAsia="zh-CN"/>
                    </w:rPr>
                  </w:pPr>
                  <w:r>
                    <w:rPr>
                      <w:rFonts w:hint="eastAsia" w:cs="Times New Roman"/>
                      <w:b w:val="0"/>
                      <w:bCs w:val="0"/>
                      <w:color w:val="auto"/>
                      <w:szCs w:val="21"/>
                      <w:lang w:val="en-US" w:eastAsia="zh-CN"/>
                    </w:rPr>
                    <w:t>350</w:t>
                  </w:r>
                  <w:r>
                    <w:rPr>
                      <w:rFonts w:hint="default" w:ascii="Times New Roman" w:hAnsi="Times New Roman" w:cs="Times New Roman"/>
                      <w:b w:val="0"/>
                      <w:bCs w:val="0"/>
                      <w:color w:val="auto"/>
                      <w:szCs w:val="21"/>
                    </w:rPr>
                    <w:t>mg/</w:t>
                  </w:r>
                  <w:r>
                    <w:rPr>
                      <w:rFonts w:hint="eastAsia" w:cs="Times New Roman"/>
                      <w:b w:val="0"/>
                      <w:bCs w:val="0"/>
                      <w:color w:val="auto"/>
                      <w:szCs w:val="21"/>
                      <w:lang w:val="en-US" w:eastAsia="zh-CN"/>
                    </w:rPr>
                    <w:t>L</w:t>
                  </w:r>
                </w:p>
              </w:tc>
              <w:tc>
                <w:tcPr>
                  <w:tcW w:w="708" w:type="dxa"/>
                  <w:tcBorders>
                    <w:tl2br w:val="nil"/>
                    <w:tr2bl w:val="nil"/>
                  </w:tcBorders>
                  <w:vAlign w:val="center"/>
                </w:tcPr>
                <w:p w14:paraId="2B8C92E5">
                  <w:pPr>
                    <w:spacing w:line="24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1.07</w:t>
                  </w:r>
                </w:p>
              </w:tc>
              <w:tc>
                <w:tcPr>
                  <w:tcW w:w="799" w:type="dxa"/>
                  <w:vMerge w:val="continue"/>
                  <w:tcBorders>
                    <w:tl2br w:val="nil"/>
                    <w:tr2bl w:val="nil"/>
                  </w:tcBorders>
                  <w:vAlign w:val="center"/>
                </w:tcPr>
                <w:p w14:paraId="027FFB71">
                  <w:pPr>
                    <w:spacing w:line="280" w:lineRule="exact"/>
                    <w:ind w:firstLine="0" w:firstLineChars="0"/>
                    <w:jc w:val="center"/>
                    <w:rPr>
                      <w:rFonts w:hint="default" w:ascii="Times New Roman" w:hAnsi="Times New Roman" w:cs="Times New Roman"/>
                      <w:bCs/>
                      <w:color w:val="auto"/>
                      <w:sz w:val="21"/>
                      <w:szCs w:val="21"/>
                    </w:rPr>
                  </w:pPr>
                </w:p>
              </w:tc>
              <w:tc>
                <w:tcPr>
                  <w:tcW w:w="673" w:type="dxa"/>
                  <w:vMerge w:val="continue"/>
                  <w:tcBorders>
                    <w:tl2br w:val="nil"/>
                    <w:tr2bl w:val="nil"/>
                  </w:tcBorders>
                  <w:vAlign w:val="center"/>
                </w:tcPr>
                <w:p w14:paraId="2298122B">
                  <w:pPr>
                    <w:spacing w:line="240" w:lineRule="exact"/>
                    <w:jc w:val="center"/>
                    <w:rPr>
                      <w:rFonts w:hint="default" w:ascii="Times New Roman" w:hAnsi="Times New Roman" w:cs="Times New Roman"/>
                      <w:bCs/>
                      <w:color w:val="auto"/>
                      <w:sz w:val="21"/>
                      <w:szCs w:val="21"/>
                    </w:rPr>
                  </w:pPr>
                </w:p>
              </w:tc>
              <w:tc>
                <w:tcPr>
                  <w:tcW w:w="422" w:type="dxa"/>
                  <w:tcBorders>
                    <w:tl2br w:val="nil"/>
                    <w:tr2bl w:val="nil"/>
                  </w:tcBorders>
                  <w:vAlign w:val="center"/>
                </w:tcPr>
                <w:p w14:paraId="68B62857">
                  <w:pPr>
                    <w:spacing w:line="24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eastAsia="zh-CN"/>
                    </w:rPr>
                    <w:t>—</w:t>
                  </w:r>
                </w:p>
              </w:tc>
              <w:tc>
                <w:tcPr>
                  <w:tcW w:w="402" w:type="dxa"/>
                  <w:vMerge w:val="continue"/>
                  <w:tcBorders>
                    <w:tl2br w:val="nil"/>
                    <w:tr2bl w:val="nil"/>
                  </w:tcBorders>
                  <w:vAlign w:val="center"/>
                </w:tcPr>
                <w:p w14:paraId="42846397">
                  <w:pPr>
                    <w:spacing w:line="240" w:lineRule="exact"/>
                    <w:jc w:val="center"/>
                    <w:rPr>
                      <w:rFonts w:hint="default" w:ascii="Times New Roman" w:hAnsi="Times New Roman" w:cs="Times New Roman"/>
                      <w:bCs/>
                      <w:color w:val="auto"/>
                      <w:sz w:val="21"/>
                      <w:szCs w:val="21"/>
                    </w:rPr>
                  </w:pPr>
                </w:p>
              </w:tc>
              <w:tc>
                <w:tcPr>
                  <w:tcW w:w="375" w:type="dxa"/>
                  <w:vMerge w:val="continue"/>
                  <w:tcBorders>
                    <w:tl2br w:val="nil"/>
                    <w:tr2bl w:val="nil"/>
                  </w:tcBorders>
                  <w:vAlign w:val="center"/>
                </w:tcPr>
                <w:p w14:paraId="0EE1BCC5">
                  <w:pPr>
                    <w:spacing w:line="240" w:lineRule="exact"/>
                    <w:jc w:val="center"/>
                    <w:rPr>
                      <w:rFonts w:hint="eastAsia" w:cs="Times New Roman"/>
                      <w:color w:val="auto"/>
                      <w:szCs w:val="21"/>
                      <w:lang w:val="en-US" w:eastAsia="zh-CN"/>
                    </w:rPr>
                  </w:pPr>
                </w:p>
              </w:tc>
              <w:tc>
                <w:tcPr>
                  <w:tcW w:w="394" w:type="dxa"/>
                  <w:vMerge w:val="continue"/>
                  <w:tcBorders>
                    <w:tl2br w:val="nil"/>
                    <w:tr2bl w:val="nil"/>
                  </w:tcBorders>
                  <w:vAlign w:val="center"/>
                </w:tcPr>
                <w:p w14:paraId="5EB7FDBC">
                  <w:pPr>
                    <w:spacing w:line="240" w:lineRule="exact"/>
                    <w:jc w:val="center"/>
                    <w:rPr>
                      <w:rFonts w:hint="default" w:ascii="Times New Roman" w:hAnsi="Times New Roman" w:cs="Times New Roman"/>
                      <w:bCs/>
                      <w:color w:val="auto"/>
                      <w:sz w:val="21"/>
                      <w:szCs w:val="21"/>
                    </w:rPr>
                  </w:pPr>
                </w:p>
              </w:tc>
              <w:tc>
                <w:tcPr>
                  <w:tcW w:w="394" w:type="dxa"/>
                  <w:vMerge w:val="continue"/>
                  <w:tcBorders>
                    <w:tl2br w:val="nil"/>
                    <w:tr2bl w:val="nil"/>
                  </w:tcBorders>
                  <w:vAlign w:val="center"/>
                </w:tcPr>
                <w:p w14:paraId="46964774">
                  <w:pPr>
                    <w:spacing w:line="240" w:lineRule="exact"/>
                    <w:jc w:val="center"/>
                    <w:rPr>
                      <w:rFonts w:hint="default" w:ascii="Times New Roman" w:hAnsi="Times New Roman" w:cs="Times New Roman"/>
                      <w:bCs/>
                      <w:color w:val="auto"/>
                      <w:sz w:val="21"/>
                      <w:szCs w:val="21"/>
                    </w:rPr>
                  </w:pPr>
                </w:p>
              </w:tc>
              <w:tc>
                <w:tcPr>
                  <w:tcW w:w="603" w:type="dxa"/>
                  <w:vMerge w:val="continue"/>
                  <w:tcBorders>
                    <w:tl2br w:val="nil"/>
                    <w:tr2bl w:val="nil"/>
                  </w:tcBorders>
                  <w:vAlign w:val="center"/>
                </w:tcPr>
                <w:p w14:paraId="402CE2A7">
                  <w:pPr>
                    <w:spacing w:line="240" w:lineRule="exact"/>
                    <w:jc w:val="center"/>
                    <w:rPr>
                      <w:rFonts w:hint="default" w:ascii="Times New Roman" w:hAnsi="Times New Roman" w:cs="Times New Roman"/>
                      <w:bCs/>
                      <w:color w:val="auto"/>
                      <w:sz w:val="21"/>
                      <w:szCs w:val="21"/>
                    </w:rPr>
                  </w:pPr>
                </w:p>
              </w:tc>
              <w:tc>
                <w:tcPr>
                  <w:tcW w:w="690" w:type="dxa"/>
                  <w:tcBorders>
                    <w:tl2br w:val="nil"/>
                    <w:tr2bl w:val="nil"/>
                  </w:tcBorders>
                  <w:vAlign w:val="center"/>
                </w:tcPr>
                <w:p w14:paraId="226199A8">
                  <w:pPr>
                    <w:spacing w:line="240" w:lineRule="exact"/>
                    <w:jc w:val="center"/>
                    <w:rPr>
                      <w:rFonts w:hint="default" w:ascii="Times New Roman" w:hAnsi="Times New Roman" w:cs="Times New Roman"/>
                      <w:bCs/>
                      <w:color w:val="auto"/>
                      <w:sz w:val="21"/>
                      <w:szCs w:val="21"/>
                    </w:rPr>
                  </w:pPr>
                  <w:r>
                    <w:rPr>
                      <w:rFonts w:hint="eastAsia" w:cs="Times New Roman"/>
                      <w:bCs/>
                      <w:color w:val="auto"/>
                      <w:sz w:val="21"/>
                      <w:szCs w:val="21"/>
                      <w:lang w:eastAsia="zh-CN"/>
                    </w:rPr>
                    <w:t>—</w:t>
                  </w:r>
                </w:p>
              </w:tc>
              <w:tc>
                <w:tcPr>
                  <w:tcW w:w="482" w:type="dxa"/>
                  <w:tcBorders>
                    <w:tl2br w:val="nil"/>
                    <w:tr2bl w:val="nil"/>
                  </w:tcBorders>
                  <w:vAlign w:val="center"/>
                </w:tcPr>
                <w:p w14:paraId="6C4D3CCB">
                  <w:pPr>
                    <w:spacing w:line="24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eastAsia="zh-CN"/>
                    </w:rPr>
                    <w:t>—</w:t>
                  </w:r>
                </w:p>
              </w:tc>
            </w:tr>
            <w:tr w14:paraId="1116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 w:type="dxa"/>
                  <w:vMerge w:val="continue"/>
                  <w:tcBorders>
                    <w:tl2br w:val="nil"/>
                    <w:tr2bl w:val="nil"/>
                  </w:tcBorders>
                  <w:vAlign w:val="center"/>
                </w:tcPr>
                <w:p w14:paraId="72930CD5">
                  <w:pPr>
                    <w:spacing w:line="240" w:lineRule="exact"/>
                    <w:ind w:left="-105" w:leftChars="-50" w:right="-105" w:rightChars="-50"/>
                    <w:jc w:val="center"/>
                    <w:rPr>
                      <w:rFonts w:hint="eastAsia" w:cs="Times New Roman"/>
                      <w:color w:val="auto"/>
                      <w:szCs w:val="21"/>
                      <w:lang w:val="en-US" w:eastAsia="zh-CN"/>
                    </w:rPr>
                  </w:pPr>
                </w:p>
              </w:tc>
              <w:tc>
                <w:tcPr>
                  <w:tcW w:w="447" w:type="dxa"/>
                  <w:vMerge w:val="continue"/>
                  <w:tcBorders>
                    <w:tl2br w:val="nil"/>
                    <w:tr2bl w:val="nil"/>
                  </w:tcBorders>
                  <w:vAlign w:val="center"/>
                </w:tcPr>
                <w:p w14:paraId="1E0DAA3A">
                  <w:pPr>
                    <w:spacing w:line="240" w:lineRule="exact"/>
                    <w:ind w:left="-105" w:leftChars="-50" w:right="-105" w:rightChars="-50"/>
                    <w:jc w:val="center"/>
                    <w:rPr>
                      <w:rFonts w:hint="eastAsia" w:cs="Times New Roman"/>
                      <w:color w:val="auto"/>
                      <w:szCs w:val="21"/>
                      <w:lang w:val="en-US" w:eastAsia="zh-CN"/>
                    </w:rPr>
                  </w:pPr>
                </w:p>
              </w:tc>
              <w:tc>
                <w:tcPr>
                  <w:tcW w:w="506" w:type="dxa"/>
                  <w:vMerge w:val="continue"/>
                  <w:tcBorders>
                    <w:tl2br w:val="nil"/>
                    <w:tr2bl w:val="nil"/>
                  </w:tcBorders>
                  <w:vAlign w:val="center"/>
                </w:tcPr>
                <w:p w14:paraId="54FD68C6">
                  <w:pPr>
                    <w:spacing w:line="240" w:lineRule="exact"/>
                    <w:ind w:left="-105" w:leftChars="-50" w:right="-105" w:rightChars="-50"/>
                    <w:jc w:val="center"/>
                    <w:rPr>
                      <w:rFonts w:hint="eastAsia" w:cs="Times New Roman"/>
                      <w:color w:val="auto"/>
                      <w:szCs w:val="21"/>
                      <w:lang w:val="en-US" w:eastAsia="zh-CN"/>
                    </w:rPr>
                  </w:pPr>
                </w:p>
              </w:tc>
              <w:tc>
                <w:tcPr>
                  <w:tcW w:w="750" w:type="dxa"/>
                  <w:tcBorders>
                    <w:tl2br w:val="nil"/>
                    <w:tr2bl w:val="nil"/>
                  </w:tcBorders>
                  <w:vAlign w:val="center"/>
                </w:tcPr>
                <w:p w14:paraId="3513B64D">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default" w:ascii="Times New Roman" w:hAnsi="Times New Roman" w:cs="Times New Roman"/>
                      <w:color w:val="auto"/>
                      <w:sz w:val="21"/>
                      <w:szCs w:val="21"/>
                      <w:lang w:val="en-US" w:eastAsia="zh-CN"/>
                    </w:rPr>
                  </w:pPr>
                  <w:r>
                    <w:rPr>
                      <w:rFonts w:hint="eastAsia" w:cs="Times New Roman"/>
                      <w:color w:val="000000" w:themeColor="text1"/>
                      <w:sz w:val="21"/>
                      <w:szCs w:val="21"/>
                      <w:lang w:val="en-US" w:eastAsia="zh-CN"/>
                      <w14:textFill>
                        <w14:solidFill>
                          <w14:schemeClr w14:val="tx1"/>
                        </w14:solidFill>
                      </w14:textFill>
                    </w:rPr>
                    <w:t>BOD</w:t>
                  </w:r>
                  <w:r>
                    <w:rPr>
                      <w:rFonts w:hint="eastAsia" w:cs="Times New Roman"/>
                      <w:color w:val="000000" w:themeColor="text1"/>
                      <w:sz w:val="21"/>
                      <w:szCs w:val="21"/>
                      <w:vertAlign w:val="subscript"/>
                      <w:lang w:val="en-US" w:eastAsia="zh-CN"/>
                      <w14:textFill>
                        <w14:solidFill>
                          <w14:schemeClr w14:val="tx1"/>
                        </w14:solidFill>
                      </w14:textFill>
                    </w:rPr>
                    <w:t>5</w:t>
                  </w:r>
                </w:p>
              </w:tc>
              <w:tc>
                <w:tcPr>
                  <w:tcW w:w="540" w:type="dxa"/>
                  <w:tcBorders>
                    <w:tl2br w:val="nil"/>
                    <w:tr2bl w:val="nil"/>
                  </w:tcBorders>
                  <w:vAlign w:val="center"/>
                </w:tcPr>
                <w:p w14:paraId="2B5CB39E">
                  <w:pPr>
                    <w:spacing w:line="240" w:lineRule="exact"/>
                    <w:ind w:left="-105" w:leftChars="-50" w:right="-105" w:rightChars="-50"/>
                    <w:jc w:val="center"/>
                    <w:rPr>
                      <w:rFonts w:hint="eastAsia" w:cs="Times New Roman"/>
                      <w:b w:val="0"/>
                      <w:bCs w:val="0"/>
                      <w:color w:val="auto"/>
                      <w:szCs w:val="21"/>
                      <w:lang w:val="en-US" w:eastAsia="zh-CN"/>
                    </w:rPr>
                  </w:pPr>
                  <w:r>
                    <w:rPr>
                      <w:rFonts w:hint="eastAsia" w:cs="Times New Roman"/>
                      <w:bCs/>
                      <w:color w:val="000000" w:themeColor="text1"/>
                      <w:sz w:val="21"/>
                      <w:szCs w:val="21"/>
                      <w:lang w:val="en-US" w:eastAsia="zh-CN"/>
                      <w14:textFill>
                        <w14:solidFill>
                          <w14:schemeClr w14:val="tx1"/>
                        </w14:solidFill>
                      </w14:textFill>
                    </w:rPr>
                    <w:t>200</w:t>
                  </w:r>
                  <w:r>
                    <w:rPr>
                      <w:rFonts w:hint="default" w:ascii="Times New Roman" w:hAnsi="Times New Roman" w:cs="Times New Roman"/>
                      <w:b w:val="0"/>
                      <w:bCs w:val="0"/>
                      <w:color w:val="auto"/>
                      <w:szCs w:val="21"/>
                    </w:rPr>
                    <w:t>mg/</w:t>
                  </w:r>
                  <w:r>
                    <w:rPr>
                      <w:rFonts w:hint="eastAsia" w:cs="Times New Roman"/>
                      <w:b w:val="0"/>
                      <w:bCs w:val="0"/>
                      <w:color w:val="auto"/>
                      <w:szCs w:val="21"/>
                      <w:lang w:val="en-US" w:eastAsia="zh-CN"/>
                    </w:rPr>
                    <w:t>L</w:t>
                  </w:r>
                </w:p>
              </w:tc>
              <w:tc>
                <w:tcPr>
                  <w:tcW w:w="708" w:type="dxa"/>
                  <w:tcBorders>
                    <w:tl2br w:val="nil"/>
                    <w:tr2bl w:val="nil"/>
                  </w:tcBorders>
                  <w:vAlign w:val="center"/>
                </w:tcPr>
                <w:p w14:paraId="1AAE2305">
                  <w:pPr>
                    <w:spacing w:line="240" w:lineRule="exact"/>
                    <w:jc w:val="center"/>
                    <w:rPr>
                      <w:rFonts w:hint="default" w:cs="Times New Roman"/>
                      <w:bCs/>
                      <w:color w:val="auto"/>
                      <w:sz w:val="21"/>
                      <w:szCs w:val="21"/>
                      <w:lang w:val="en-US" w:eastAsia="zh-CN"/>
                    </w:rPr>
                  </w:pPr>
                  <w:r>
                    <w:rPr>
                      <w:rFonts w:hint="eastAsia" w:cs="Times New Roman"/>
                      <w:bCs/>
                      <w:color w:val="auto"/>
                      <w:sz w:val="21"/>
                      <w:szCs w:val="21"/>
                      <w:lang w:val="en-US" w:eastAsia="zh-CN"/>
                    </w:rPr>
                    <w:t>0.61</w:t>
                  </w:r>
                </w:p>
              </w:tc>
              <w:tc>
                <w:tcPr>
                  <w:tcW w:w="799" w:type="dxa"/>
                  <w:vMerge w:val="continue"/>
                  <w:tcBorders>
                    <w:tl2br w:val="nil"/>
                    <w:tr2bl w:val="nil"/>
                  </w:tcBorders>
                  <w:vAlign w:val="center"/>
                </w:tcPr>
                <w:p w14:paraId="49EF573A">
                  <w:pPr>
                    <w:spacing w:line="280" w:lineRule="exact"/>
                    <w:ind w:firstLine="0" w:firstLineChars="0"/>
                    <w:jc w:val="center"/>
                    <w:rPr>
                      <w:rFonts w:hint="default" w:ascii="Times New Roman" w:hAnsi="Times New Roman" w:cs="Times New Roman"/>
                      <w:bCs/>
                      <w:color w:val="auto"/>
                      <w:sz w:val="21"/>
                      <w:szCs w:val="21"/>
                    </w:rPr>
                  </w:pPr>
                </w:p>
              </w:tc>
              <w:tc>
                <w:tcPr>
                  <w:tcW w:w="673" w:type="dxa"/>
                  <w:vMerge w:val="continue"/>
                  <w:tcBorders>
                    <w:tl2br w:val="nil"/>
                    <w:tr2bl w:val="nil"/>
                  </w:tcBorders>
                  <w:vAlign w:val="center"/>
                </w:tcPr>
                <w:p w14:paraId="3BFB4B2E">
                  <w:pPr>
                    <w:spacing w:line="240" w:lineRule="exact"/>
                    <w:jc w:val="center"/>
                    <w:rPr>
                      <w:rFonts w:hint="default" w:ascii="Times New Roman" w:hAnsi="Times New Roman" w:cs="Times New Roman"/>
                      <w:bCs/>
                      <w:color w:val="auto"/>
                      <w:sz w:val="21"/>
                      <w:szCs w:val="21"/>
                    </w:rPr>
                  </w:pPr>
                </w:p>
              </w:tc>
              <w:tc>
                <w:tcPr>
                  <w:tcW w:w="422" w:type="dxa"/>
                  <w:tcBorders>
                    <w:tl2br w:val="nil"/>
                    <w:tr2bl w:val="nil"/>
                  </w:tcBorders>
                  <w:vAlign w:val="center"/>
                </w:tcPr>
                <w:p w14:paraId="6A24F465">
                  <w:pPr>
                    <w:spacing w:line="240" w:lineRule="exact"/>
                    <w:jc w:val="center"/>
                    <w:rPr>
                      <w:rFonts w:hint="default" w:cs="Times New Roman"/>
                      <w:bCs/>
                      <w:color w:val="auto"/>
                      <w:sz w:val="21"/>
                      <w:szCs w:val="21"/>
                      <w:lang w:val="en-US" w:eastAsia="zh-CN"/>
                    </w:rPr>
                  </w:pPr>
                  <w:r>
                    <w:rPr>
                      <w:rFonts w:hint="eastAsia" w:cs="Times New Roman"/>
                      <w:bCs/>
                      <w:color w:val="auto"/>
                      <w:sz w:val="21"/>
                      <w:szCs w:val="21"/>
                      <w:lang w:eastAsia="zh-CN"/>
                    </w:rPr>
                    <w:t>—</w:t>
                  </w:r>
                </w:p>
              </w:tc>
              <w:tc>
                <w:tcPr>
                  <w:tcW w:w="402" w:type="dxa"/>
                  <w:vMerge w:val="continue"/>
                  <w:tcBorders>
                    <w:tl2br w:val="nil"/>
                    <w:tr2bl w:val="nil"/>
                  </w:tcBorders>
                  <w:vAlign w:val="center"/>
                </w:tcPr>
                <w:p w14:paraId="09FEBD5D">
                  <w:pPr>
                    <w:spacing w:line="240" w:lineRule="exact"/>
                    <w:jc w:val="center"/>
                    <w:rPr>
                      <w:rFonts w:hint="default" w:ascii="Times New Roman" w:hAnsi="Times New Roman" w:cs="Times New Roman"/>
                      <w:bCs/>
                      <w:color w:val="auto"/>
                      <w:sz w:val="21"/>
                      <w:szCs w:val="21"/>
                    </w:rPr>
                  </w:pPr>
                </w:p>
              </w:tc>
              <w:tc>
                <w:tcPr>
                  <w:tcW w:w="375" w:type="dxa"/>
                  <w:vMerge w:val="continue"/>
                  <w:tcBorders>
                    <w:tl2br w:val="nil"/>
                    <w:tr2bl w:val="nil"/>
                  </w:tcBorders>
                  <w:vAlign w:val="center"/>
                </w:tcPr>
                <w:p w14:paraId="67B5F89F">
                  <w:pPr>
                    <w:spacing w:line="240" w:lineRule="exact"/>
                    <w:jc w:val="center"/>
                    <w:rPr>
                      <w:rFonts w:hint="eastAsia" w:cs="Times New Roman"/>
                      <w:color w:val="auto"/>
                      <w:szCs w:val="21"/>
                      <w:lang w:val="en-US" w:eastAsia="zh-CN"/>
                    </w:rPr>
                  </w:pPr>
                </w:p>
              </w:tc>
              <w:tc>
                <w:tcPr>
                  <w:tcW w:w="394" w:type="dxa"/>
                  <w:vMerge w:val="continue"/>
                  <w:tcBorders>
                    <w:tl2br w:val="nil"/>
                    <w:tr2bl w:val="nil"/>
                  </w:tcBorders>
                  <w:vAlign w:val="center"/>
                </w:tcPr>
                <w:p w14:paraId="20EE5270">
                  <w:pPr>
                    <w:spacing w:line="240" w:lineRule="exact"/>
                    <w:jc w:val="center"/>
                    <w:rPr>
                      <w:rFonts w:hint="default" w:ascii="Times New Roman" w:hAnsi="Times New Roman" w:cs="Times New Roman"/>
                      <w:bCs/>
                      <w:color w:val="auto"/>
                      <w:sz w:val="21"/>
                      <w:szCs w:val="21"/>
                    </w:rPr>
                  </w:pPr>
                </w:p>
              </w:tc>
              <w:tc>
                <w:tcPr>
                  <w:tcW w:w="394" w:type="dxa"/>
                  <w:vMerge w:val="continue"/>
                  <w:tcBorders>
                    <w:tl2br w:val="nil"/>
                    <w:tr2bl w:val="nil"/>
                  </w:tcBorders>
                  <w:vAlign w:val="center"/>
                </w:tcPr>
                <w:p w14:paraId="05A95236">
                  <w:pPr>
                    <w:spacing w:line="240" w:lineRule="exact"/>
                    <w:jc w:val="center"/>
                    <w:rPr>
                      <w:rFonts w:hint="default" w:ascii="Times New Roman" w:hAnsi="Times New Roman" w:cs="Times New Roman"/>
                      <w:bCs/>
                      <w:color w:val="auto"/>
                      <w:sz w:val="21"/>
                      <w:szCs w:val="21"/>
                    </w:rPr>
                  </w:pPr>
                </w:p>
              </w:tc>
              <w:tc>
                <w:tcPr>
                  <w:tcW w:w="603" w:type="dxa"/>
                  <w:vMerge w:val="continue"/>
                  <w:tcBorders>
                    <w:tl2br w:val="nil"/>
                    <w:tr2bl w:val="nil"/>
                  </w:tcBorders>
                  <w:vAlign w:val="center"/>
                </w:tcPr>
                <w:p w14:paraId="32E61E20">
                  <w:pPr>
                    <w:spacing w:line="240" w:lineRule="exact"/>
                    <w:jc w:val="center"/>
                    <w:rPr>
                      <w:rFonts w:hint="default" w:ascii="Times New Roman" w:hAnsi="Times New Roman" w:cs="Times New Roman"/>
                      <w:bCs/>
                      <w:color w:val="auto"/>
                      <w:sz w:val="21"/>
                      <w:szCs w:val="21"/>
                    </w:rPr>
                  </w:pPr>
                </w:p>
              </w:tc>
              <w:tc>
                <w:tcPr>
                  <w:tcW w:w="690" w:type="dxa"/>
                  <w:tcBorders>
                    <w:tl2br w:val="nil"/>
                    <w:tr2bl w:val="nil"/>
                  </w:tcBorders>
                  <w:vAlign w:val="center"/>
                </w:tcPr>
                <w:p w14:paraId="508A69F4">
                  <w:pPr>
                    <w:spacing w:line="240" w:lineRule="exact"/>
                    <w:jc w:val="center"/>
                    <w:rPr>
                      <w:rFonts w:hint="default" w:cs="Times New Roman"/>
                      <w:b w:val="0"/>
                      <w:bCs w:val="0"/>
                      <w:color w:val="auto"/>
                      <w:szCs w:val="21"/>
                      <w:lang w:val="en-US" w:eastAsia="zh-CN"/>
                    </w:rPr>
                  </w:pPr>
                  <w:r>
                    <w:rPr>
                      <w:rFonts w:hint="eastAsia" w:cs="Times New Roman"/>
                      <w:bCs/>
                      <w:color w:val="auto"/>
                      <w:sz w:val="21"/>
                      <w:szCs w:val="21"/>
                      <w:lang w:eastAsia="zh-CN"/>
                    </w:rPr>
                    <w:t>—</w:t>
                  </w:r>
                </w:p>
              </w:tc>
              <w:tc>
                <w:tcPr>
                  <w:tcW w:w="482" w:type="dxa"/>
                  <w:tcBorders>
                    <w:tl2br w:val="nil"/>
                    <w:tr2bl w:val="nil"/>
                  </w:tcBorders>
                  <w:vAlign w:val="center"/>
                </w:tcPr>
                <w:p w14:paraId="545E2D00">
                  <w:pPr>
                    <w:spacing w:line="240" w:lineRule="exact"/>
                    <w:jc w:val="center"/>
                    <w:rPr>
                      <w:rFonts w:hint="default" w:cs="Times New Roman"/>
                      <w:bCs/>
                      <w:color w:val="auto"/>
                      <w:sz w:val="21"/>
                      <w:szCs w:val="21"/>
                      <w:lang w:val="en-US" w:eastAsia="zh-CN"/>
                    </w:rPr>
                  </w:pPr>
                  <w:r>
                    <w:rPr>
                      <w:rFonts w:hint="eastAsia" w:cs="Times New Roman"/>
                      <w:bCs/>
                      <w:color w:val="auto"/>
                      <w:sz w:val="21"/>
                      <w:szCs w:val="21"/>
                      <w:lang w:eastAsia="zh-CN"/>
                    </w:rPr>
                    <w:t>—</w:t>
                  </w:r>
                </w:p>
              </w:tc>
            </w:tr>
            <w:tr w14:paraId="146B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70" w:type="dxa"/>
                  <w:vMerge w:val="continue"/>
                  <w:tcBorders>
                    <w:tl2br w:val="nil"/>
                    <w:tr2bl w:val="nil"/>
                  </w:tcBorders>
                  <w:vAlign w:val="center"/>
                </w:tcPr>
                <w:p w14:paraId="086B8C12">
                  <w:pPr>
                    <w:spacing w:line="240" w:lineRule="exact"/>
                    <w:ind w:left="-105" w:leftChars="-50" w:right="-105" w:rightChars="-50"/>
                    <w:jc w:val="center"/>
                    <w:rPr>
                      <w:rFonts w:hint="eastAsia" w:cs="Times New Roman"/>
                      <w:color w:val="auto"/>
                      <w:szCs w:val="21"/>
                      <w:lang w:val="en-US" w:eastAsia="zh-CN"/>
                    </w:rPr>
                  </w:pPr>
                </w:p>
              </w:tc>
              <w:tc>
                <w:tcPr>
                  <w:tcW w:w="447" w:type="dxa"/>
                  <w:vMerge w:val="continue"/>
                  <w:tcBorders>
                    <w:tl2br w:val="nil"/>
                    <w:tr2bl w:val="nil"/>
                  </w:tcBorders>
                  <w:vAlign w:val="center"/>
                </w:tcPr>
                <w:p w14:paraId="1B4ACD63">
                  <w:pPr>
                    <w:spacing w:line="240" w:lineRule="exact"/>
                    <w:ind w:left="-105" w:leftChars="-50" w:right="-105" w:rightChars="-50"/>
                    <w:jc w:val="center"/>
                    <w:rPr>
                      <w:rFonts w:hint="eastAsia" w:cs="Times New Roman"/>
                      <w:color w:val="auto"/>
                      <w:szCs w:val="21"/>
                      <w:lang w:val="en-US" w:eastAsia="zh-CN"/>
                    </w:rPr>
                  </w:pPr>
                </w:p>
              </w:tc>
              <w:tc>
                <w:tcPr>
                  <w:tcW w:w="506" w:type="dxa"/>
                  <w:vMerge w:val="continue"/>
                  <w:tcBorders>
                    <w:tl2br w:val="nil"/>
                    <w:tr2bl w:val="nil"/>
                  </w:tcBorders>
                  <w:vAlign w:val="center"/>
                </w:tcPr>
                <w:p w14:paraId="678638C7">
                  <w:pPr>
                    <w:spacing w:line="240" w:lineRule="exact"/>
                    <w:ind w:left="-105" w:leftChars="-50" w:right="-105" w:rightChars="-50"/>
                    <w:jc w:val="center"/>
                    <w:rPr>
                      <w:rFonts w:hint="eastAsia" w:cs="Times New Roman"/>
                      <w:color w:val="auto"/>
                      <w:szCs w:val="21"/>
                      <w:lang w:val="en-US" w:eastAsia="zh-CN"/>
                    </w:rPr>
                  </w:pPr>
                </w:p>
              </w:tc>
              <w:tc>
                <w:tcPr>
                  <w:tcW w:w="750" w:type="dxa"/>
                  <w:tcBorders>
                    <w:tl2br w:val="nil"/>
                    <w:tr2bl w:val="nil"/>
                  </w:tcBorders>
                  <w:vAlign w:val="center"/>
                </w:tcPr>
                <w:p w14:paraId="07F930B4">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 w:val="21"/>
                      <w:szCs w:val="21"/>
                      <w:lang w:val="en-US" w:eastAsia="zh-CN"/>
                    </w:rPr>
                    <w:t>SS</w:t>
                  </w:r>
                </w:p>
              </w:tc>
              <w:tc>
                <w:tcPr>
                  <w:tcW w:w="540" w:type="dxa"/>
                  <w:tcBorders>
                    <w:tl2br w:val="nil"/>
                    <w:tr2bl w:val="nil"/>
                  </w:tcBorders>
                  <w:vAlign w:val="center"/>
                </w:tcPr>
                <w:p w14:paraId="22F357CA">
                  <w:pPr>
                    <w:spacing w:line="240" w:lineRule="exact"/>
                    <w:ind w:left="-105" w:leftChars="-50" w:right="-105" w:rightChars="-50"/>
                    <w:jc w:val="center"/>
                    <w:rPr>
                      <w:rFonts w:hint="default" w:ascii="Times New Roman" w:hAnsi="Times New Roman" w:eastAsia="宋体" w:cs="Times New Roman"/>
                      <w:bCs/>
                      <w:color w:val="auto"/>
                      <w:sz w:val="21"/>
                      <w:szCs w:val="21"/>
                      <w:lang w:val="en-US" w:eastAsia="zh-CN"/>
                    </w:rPr>
                  </w:pPr>
                  <w:r>
                    <w:rPr>
                      <w:rFonts w:hint="eastAsia" w:cs="Times New Roman"/>
                      <w:b w:val="0"/>
                      <w:bCs w:val="0"/>
                      <w:color w:val="auto"/>
                      <w:szCs w:val="21"/>
                      <w:lang w:val="en-US" w:eastAsia="zh-CN"/>
                    </w:rPr>
                    <w:t>600</w:t>
                  </w:r>
                  <w:r>
                    <w:rPr>
                      <w:rFonts w:hint="default" w:ascii="Times New Roman" w:hAnsi="Times New Roman" w:cs="Times New Roman"/>
                      <w:b w:val="0"/>
                      <w:bCs w:val="0"/>
                      <w:color w:val="auto"/>
                      <w:szCs w:val="21"/>
                    </w:rPr>
                    <w:t>mg/</w:t>
                  </w:r>
                  <w:r>
                    <w:rPr>
                      <w:rFonts w:hint="eastAsia" w:cs="Times New Roman"/>
                      <w:b w:val="0"/>
                      <w:bCs w:val="0"/>
                      <w:color w:val="auto"/>
                      <w:szCs w:val="21"/>
                      <w:lang w:val="en-US" w:eastAsia="zh-CN"/>
                    </w:rPr>
                    <w:t>L</w:t>
                  </w:r>
                </w:p>
              </w:tc>
              <w:tc>
                <w:tcPr>
                  <w:tcW w:w="708" w:type="dxa"/>
                  <w:tcBorders>
                    <w:tl2br w:val="nil"/>
                    <w:tr2bl w:val="nil"/>
                  </w:tcBorders>
                  <w:vAlign w:val="center"/>
                </w:tcPr>
                <w:p w14:paraId="27173EA5">
                  <w:pPr>
                    <w:spacing w:line="24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1.84</w:t>
                  </w:r>
                </w:p>
              </w:tc>
              <w:tc>
                <w:tcPr>
                  <w:tcW w:w="799" w:type="dxa"/>
                  <w:vMerge w:val="continue"/>
                  <w:tcBorders>
                    <w:tl2br w:val="nil"/>
                    <w:tr2bl w:val="nil"/>
                  </w:tcBorders>
                  <w:vAlign w:val="center"/>
                </w:tcPr>
                <w:p w14:paraId="3BE77719">
                  <w:pPr>
                    <w:spacing w:line="280" w:lineRule="exact"/>
                    <w:ind w:firstLine="0" w:firstLineChars="0"/>
                    <w:jc w:val="center"/>
                    <w:rPr>
                      <w:rFonts w:hint="default" w:ascii="Times New Roman" w:hAnsi="Times New Roman" w:cs="Times New Roman"/>
                      <w:bCs/>
                      <w:color w:val="auto"/>
                      <w:sz w:val="21"/>
                      <w:szCs w:val="21"/>
                    </w:rPr>
                  </w:pPr>
                </w:p>
              </w:tc>
              <w:tc>
                <w:tcPr>
                  <w:tcW w:w="673" w:type="dxa"/>
                  <w:vMerge w:val="continue"/>
                  <w:tcBorders>
                    <w:tl2br w:val="nil"/>
                    <w:tr2bl w:val="nil"/>
                  </w:tcBorders>
                  <w:vAlign w:val="center"/>
                </w:tcPr>
                <w:p w14:paraId="738D836B">
                  <w:pPr>
                    <w:spacing w:line="240" w:lineRule="exact"/>
                    <w:jc w:val="center"/>
                    <w:rPr>
                      <w:rFonts w:hint="default" w:ascii="Times New Roman" w:hAnsi="Times New Roman" w:cs="Times New Roman"/>
                      <w:bCs/>
                      <w:color w:val="auto"/>
                      <w:sz w:val="21"/>
                      <w:szCs w:val="21"/>
                    </w:rPr>
                  </w:pPr>
                </w:p>
              </w:tc>
              <w:tc>
                <w:tcPr>
                  <w:tcW w:w="422" w:type="dxa"/>
                  <w:tcBorders>
                    <w:tl2br w:val="nil"/>
                    <w:tr2bl w:val="nil"/>
                  </w:tcBorders>
                  <w:vAlign w:val="center"/>
                </w:tcPr>
                <w:p w14:paraId="56B4C86E">
                  <w:pPr>
                    <w:spacing w:line="24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eastAsia="zh-CN"/>
                    </w:rPr>
                    <w:t>—</w:t>
                  </w:r>
                </w:p>
              </w:tc>
              <w:tc>
                <w:tcPr>
                  <w:tcW w:w="402" w:type="dxa"/>
                  <w:vMerge w:val="continue"/>
                  <w:tcBorders>
                    <w:tl2br w:val="nil"/>
                    <w:tr2bl w:val="nil"/>
                  </w:tcBorders>
                  <w:vAlign w:val="center"/>
                </w:tcPr>
                <w:p w14:paraId="1558578D">
                  <w:pPr>
                    <w:spacing w:line="240" w:lineRule="exact"/>
                    <w:jc w:val="center"/>
                    <w:rPr>
                      <w:rFonts w:hint="default" w:ascii="Times New Roman" w:hAnsi="Times New Roman" w:cs="Times New Roman"/>
                      <w:bCs/>
                      <w:color w:val="auto"/>
                      <w:sz w:val="21"/>
                      <w:szCs w:val="21"/>
                    </w:rPr>
                  </w:pPr>
                </w:p>
              </w:tc>
              <w:tc>
                <w:tcPr>
                  <w:tcW w:w="375" w:type="dxa"/>
                  <w:vMerge w:val="continue"/>
                  <w:tcBorders>
                    <w:tl2br w:val="nil"/>
                    <w:tr2bl w:val="nil"/>
                  </w:tcBorders>
                  <w:vAlign w:val="center"/>
                </w:tcPr>
                <w:p w14:paraId="093CCCE8">
                  <w:pPr>
                    <w:spacing w:line="240" w:lineRule="exact"/>
                    <w:jc w:val="center"/>
                    <w:rPr>
                      <w:rFonts w:hint="eastAsia" w:cs="Times New Roman"/>
                      <w:color w:val="auto"/>
                      <w:szCs w:val="21"/>
                      <w:lang w:val="en-US" w:eastAsia="zh-CN"/>
                    </w:rPr>
                  </w:pPr>
                </w:p>
              </w:tc>
              <w:tc>
                <w:tcPr>
                  <w:tcW w:w="394" w:type="dxa"/>
                  <w:vMerge w:val="continue"/>
                  <w:tcBorders>
                    <w:tl2br w:val="nil"/>
                    <w:tr2bl w:val="nil"/>
                  </w:tcBorders>
                  <w:vAlign w:val="center"/>
                </w:tcPr>
                <w:p w14:paraId="3D60022B">
                  <w:pPr>
                    <w:spacing w:line="240" w:lineRule="exact"/>
                    <w:jc w:val="center"/>
                    <w:rPr>
                      <w:rFonts w:hint="default" w:ascii="Times New Roman" w:hAnsi="Times New Roman" w:cs="Times New Roman"/>
                      <w:bCs/>
                      <w:color w:val="auto"/>
                      <w:sz w:val="21"/>
                      <w:szCs w:val="21"/>
                    </w:rPr>
                  </w:pPr>
                </w:p>
              </w:tc>
              <w:tc>
                <w:tcPr>
                  <w:tcW w:w="394" w:type="dxa"/>
                  <w:vMerge w:val="continue"/>
                  <w:tcBorders>
                    <w:tl2br w:val="nil"/>
                    <w:tr2bl w:val="nil"/>
                  </w:tcBorders>
                  <w:vAlign w:val="center"/>
                </w:tcPr>
                <w:p w14:paraId="6318348F">
                  <w:pPr>
                    <w:spacing w:line="240" w:lineRule="exact"/>
                    <w:jc w:val="center"/>
                    <w:rPr>
                      <w:rFonts w:hint="default" w:ascii="Times New Roman" w:hAnsi="Times New Roman" w:cs="Times New Roman"/>
                      <w:bCs/>
                      <w:color w:val="auto"/>
                      <w:sz w:val="21"/>
                      <w:szCs w:val="21"/>
                    </w:rPr>
                  </w:pPr>
                </w:p>
              </w:tc>
              <w:tc>
                <w:tcPr>
                  <w:tcW w:w="603" w:type="dxa"/>
                  <w:vMerge w:val="continue"/>
                  <w:tcBorders>
                    <w:tl2br w:val="nil"/>
                    <w:tr2bl w:val="nil"/>
                  </w:tcBorders>
                  <w:vAlign w:val="center"/>
                </w:tcPr>
                <w:p w14:paraId="0E4034CA">
                  <w:pPr>
                    <w:spacing w:line="240" w:lineRule="exact"/>
                    <w:jc w:val="center"/>
                    <w:rPr>
                      <w:rFonts w:hint="default" w:ascii="Times New Roman" w:hAnsi="Times New Roman" w:cs="Times New Roman"/>
                      <w:bCs/>
                      <w:color w:val="auto"/>
                      <w:sz w:val="21"/>
                      <w:szCs w:val="21"/>
                    </w:rPr>
                  </w:pPr>
                </w:p>
              </w:tc>
              <w:tc>
                <w:tcPr>
                  <w:tcW w:w="690" w:type="dxa"/>
                  <w:tcBorders>
                    <w:tl2br w:val="nil"/>
                    <w:tr2bl w:val="nil"/>
                  </w:tcBorders>
                  <w:vAlign w:val="center"/>
                </w:tcPr>
                <w:p w14:paraId="31D37FE5">
                  <w:pPr>
                    <w:spacing w:line="240" w:lineRule="exact"/>
                    <w:jc w:val="center"/>
                    <w:rPr>
                      <w:rFonts w:hint="default" w:ascii="Times New Roman" w:hAnsi="Times New Roman" w:cs="Times New Roman"/>
                      <w:bCs/>
                      <w:color w:val="auto"/>
                      <w:sz w:val="21"/>
                      <w:szCs w:val="21"/>
                    </w:rPr>
                  </w:pPr>
                  <w:r>
                    <w:rPr>
                      <w:rFonts w:hint="eastAsia" w:cs="Times New Roman"/>
                      <w:bCs/>
                      <w:color w:val="auto"/>
                      <w:sz w:val="21"/>
                      <w:szCs w:val="21"/>
                      <w:lang w:eastAsia="zh-CN"/>
                    </w:rPr>
                    <w:t>—</w:t>
                  </w:r>
                </w:p>
              </w:tc>
              <w:tc>
                <w:tcPr>
                  <w:tcW w:w="482" w:type="dxa"/>
                  <w:tcBorders>
                    <w:tl2br w:val="nil"/>
                    <w:tr2bl w:val="nil"/>
                  </w:tcBorders>
                  <w:vAlign w:val="center"/>
                </w:tcPr>
                <w:p w14:paraId="3D4CB7C9">
                  <w:pPr>
                    <w:spacing w:line="24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eastAsia="zh-CN"/>
                    </w:rPr>
                    <w:t>—</w:t>
                  </w:r>
                </w:p>
              </w:tc>
            </w:tr>
            <w:tr w14:paraId="4F93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270" w:type="dxa"/>
                  <w:vMerge w:val="continue"/>
                  <w:tcBorders>
                    <w:tl2br w:val="nil"/>
                    <w:tr2bl w:val="nil"/>
                  </w:tcBorders>
                  <w:vAlign w:val="center"/>
                </w:tcPr>
                <w:p w14:paraId="54123D8B">
                  <w:pPr>
                    <w:spacing w:line="240" w:lineRule="exact"/>
                    <w:ind w:left="-105" w:leftChars="-50" w:right="-105" w:rightChars="-50"/>
                    <w:jc w:val="center"/>
                    <w:rPr>
                      <w:rFonts w:hint="eastAsia" w:cs="Times New Roman"/>
                      <w:color w:val="auto"/>
                      <w:szCs w:val="21"/>
                      <w:lang w:val="en-US" w:eastAsia="zh-CN"/>
                    </w:rPr>
                  </w:pPr>
                </w:p>
              </w:tc>
              <w:tc>
                <w:tcPr>
                  <w:tcW w:w="447" w:type="dxa"/>
                  <w:vMerge w:val="continue"/>
                  <w:tcBorders>
                    <w:tl2br w:val="nil"/>
                    <w:tr2bl w:val="nil"/>
                  </w:tcBorders>
                  <w:vAlign w:val="center"/>
                </w:tcPr>
                <w:p w14:paraId="1C3FE0F2">
                  <w:pPr>
                    <w:spacing w:line="240" w:lineRule="exact"/>
                    <w:ind w:left="-105" w:leftChars="-50" w:right="-105" w:rightChars="-50"/>
                    <w:jc w:val="center"/>
                    <w:rPr>
                      <w:rFonts w:hint="eastAsia" w:cs="Times New Roman"/>
                      <w:color w:val="auto"/>
                      <w:szCs w:val="21"/>
                      <w:lang w:val="en-US" w:eastAsia="zh-CN"/>
                    </w:rPr>
                  </w:pPr>
                </w:p>
              </w:tc>
              <w:tc>
                <w:tcPr>
                  <w:tcW w:w="506" w:type="dxa"/>
                  <w:vMerge w:val="continue"/>
                  <w:tcBorders>
                    <w:tl2br w:val="nil"/>
                    <w:tr2bl w:val="nil"/>
                  </w:tcBorders>
                  <w:vAlign w:val="center"/>
                </w:tcPr>
                <w:p w14:paraId="53DF5734">
                  <w:pPr>
                    <w:spacing w:line="240" w:lineRule="exact"/>
                    <w:ind w:left="-105" w:leftChars="-50" w:right="-105" w:rightChars="-50"/>
                    <w:jc w:val="center"/>
                    <w:rPr>
                      <w:rFonts w:hint="eastAsia" w:cs="Times New Roman"/>
                      <w:color w:val="auto"/>
                      <w:szCs w:val="21"/>
                      <w:lang w:val="en-US" w:eastAsia="zh-CN"/>
                    </w:rPr>
                  </w:pPr>
                </w:p>
              </w:tc>
              <w:tc>
                <w:tcPr>
                  <w:tcW w:w="750" w:type="dxa"/>
                  <w:tcBorders>
                    <w:tl2br w:val="nil"/>
                    <w:tr2bl w:val="nil"/>
                  </w:tcBorders>
                  <w:vAlign w:val="center"/>
                </w:tcPr>
                <w:p w14:paraId="42CA3AF6">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氨氮</w:t>
                  </w:r>
                </w:p>
              </w:tc>
              <w:tc>
                <w:tcPr>
                  <w:tcW w:w="540" w:type="dxa"/>
                  <w:tcBorders>
                    <w:tl2br w:val="nil"/>
                    <w:tr2bl w:val="nil"/>
                  </w:tcBorders>
                  <w:vAlign w:val="center"/>
                </w:tcPr>
                <w:p w14:paraId="3612B72A">
                  <w:pPr>
                    <w:spacing w:line="240" w:lineRule="exact"/>
                    <w:ind w:left="-105" w:leftChars="-50" w:right="-105" w:rightChars="-50"/>
                    <w:jc w:val="center"/>
                    <w:rPr>
                      <w:rFonts w:hint="default" w:ascii="Times New Roman" w:hAnsi="Times New Roman" w:eastAsia="宋体" w:cs="Times New Roman"/>
                      <w:bCs/>
                      <w:color w:val="auto"/>
                      <w:sz w:val="21"/>
                      <w:szCs w:val="21"/>
                      <w:lang w:val="en-US" w:eastAsia="zh-CN"/>
                    </w:rPr>
                  </w:pPr>
                  <w:r>
                    <w:rPr>
                      <w:rFonts w:hint="eastAsia" w:cs="Times New Roman"/>
                      <w:b w:val="0"/>
                      <w:bCs w:val="0"/>
                      <w:color w:val="auto"/>
                      <w:szCs w:val="21"/>
                      <w:lang w:val="en-US" w:eastAsia="zh-CN"/>
                    </w:rPr>
                    <w:t>30</w:t>
                  </w:r>
                  <w:r>
                    <w:rPr>
                      <w:rFonts w:hint="default" w:ascii="Times New Roman" w:hAnsi="Times New Roman" w:cs="Times New Roman"/>
                      <w:b w:val="0"/>
                      <w:bCs w:val="0"/>
                      <w:color w:val="auto"/>
                      <w:szCs w:val="21"/>
                    </w:rPr>
                    <w:t>mg/</w:t>
                  </w:r>
                  <w:r>
                    <w:rPr>
                      <w:rFonts w:hint="eastAsia" w:cs="Times New Roman"/>
                      <w:b w:val="0"/>
                      <w:bCs w:val="0"/>
                      <w:color w:val="auto"/>
                      <w:szCs w:val="21"/>
                      <w:lang w:val="en-US" w:eastAsia="zh-CN"/>
                    </w:rPr>
                    <w:t>L</w:t>
                  </w:r>
                </w:p>
              </w:tc>
              <w:tc>
                <w:tcPr>
                  <w:tcW w:w="708" w:type="dxa"/>
                  <w:tcBorders>
                    <w:tl2br w:val="nil"/>
                    <w:tr2bl w:val="nil"/>
                  </w:tcBorders>
                  <w:vAlign w:val="center"/>
                </w:tcPr>
                <w:p w14:paraId="255267E9">
                  <w:pPr>
                    <w:spacing w:line="24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0.09</w:t>
                  </w:r>
                </w:p>
              </w:tc>
              <w:tc>
                <w:tcPr>
                  <w:tcW w:w="799" w:type="dxa"/>
                  <w:vMerge w:val="continue"/>
                  <w:tcBorders>
                    <w:tl2br w:val="nil"/>
                    <w:tr2bl w:val="nil"/>
                  </w:tcBorders>
                  <w:vAlign w:val="center"/>
                </w:tcPr>
                <w:p w14:paraId="23D9BA25">
                  <w:pPr>
                    <w:spacing w:line="280" w:lineRule="exact"/>
                    <w:ind w:firstLine="0" w:firstLineChars="0"/>
                    <w:jc w:val="center"/>
                    <w:rPr>
                      <w:rFonts w:hint="default" w:ascii="Times New Roman" w:hAnsi="Times New Roman" w:cs="Times New Roman"/>
                      <w:bCs/>
                      <w:color w:val="auto"/>
                      <w:sz w:val="21"/>
                      <w:szCs w:val="21"/>
                    </w:rPr>
                  </w:pPr>
                </w:p>
              </w:tc>
              <w:tc>
                <w:tcPr>
                  <w:tcW w:w="673" w:type="dxa"/>
                  <w:vMerge w:val="continue"/>
                  <w:tcBorders>
                    <w:tl2br w:val="nil"/>
                    <w:tr2bl w:val="nil"/>
                  </w:tcBorders>
                  <w:vAlign w:val="center"/>
                </w:tcPr>
                <w:p w14:paraId="1A4E36D6">
                  <w:pPr>
                    <w:spacing w:line="240" w:lineRule="exact"/>
                    <w:jc w:val="center"/>
                    <w:rPr>
                      <w:rFonts w:hint="default" w:ascii="Times New Roman" w:hAnsi="Times New Roman" w:cs="Times New Roman"/>
                      <w:bCs/>
                      <w:color w:val="auto"/>
                      <w:sz w:val="21"/>
                      <w:szCs w:val="21"/>
                    </w:rPr>
                  </w:pPr>
                </w:p>
              </w:tc>
              <w:tc>
                <w:tcPr>
                  <w:tcW w:w="422" w:type="dxa"/>
                  <w:tcBorders>
                    <w:tl2br w:val="nil"/>
                    <w:tr2bl w:val="nil"/>
                  </w:tcBorders>
                  <w:vAlign w:val="center"/>
                </w:tcPr>
                <w:p w14:paraId="3B960620">
                  <w:pPr>
                    <w:spacing w:line="24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eastAsia="zh-CN"/>
                    </w:rPr>
                    <w:t>—</w:t>
                  </w:r>
                </w:p>
              </w:tc>
              <w:tc>
                <w:tcPr>
                  <w:tcW w:w="402" w:type="dxa"/>
                  <w:vMerge w:val="continue"/>
                  <w:tcBorders>
                    <w:tl2br w:val="nil"/>
                    <w:tr2bl w:val="nil"/>
                  </w:tcBorders>
                  <w:vAlign w:val="center"/>
                </w:tcPr>
                <w:p w14:paraId="013E0AE0">
                  <w:pPr>
                    <w:spacing w:line="240" w:lineRule="exact"/>
                    <w:jc w:val="center"/>
                    <w:rPr>
                      <w:rFonts w:hint="default" w:ascii="Times New Roman" w:hAnsi="Times New Roman" w:cs="Times New Roman"/>
                      <w:bCs/>
                      <w:color w:val="auto"/>
                      <w:sz w:val="21"/>
                      <w:szCs w:val="21"/>
                    </w:rPr>
                  </w:pPr>
                </w:p>
              </w:tc>
              <w:tc>
                <w:tcPr>
                  <w:tcW w:w="375" w:type="dxa"/>
                  <w:vMerge w:val="continue"/>
                  <w:tcBorders>
                    <w:tl2br w:val="nil"/>
                    <w:tr2bl w:val="nil"/>
                  </w:tcBorders>
                  <w:vAlign w:val="center"/>
                </w:tcPr>
                <w:p w14:paraId="0153EF72">
                  <w:pPr>
                    <w:spacing w:line="240" w:lineRule="exact"/>
                    <w:jc w:val="center"/>
                    <w:rPr>
                      <w:rFonts w:hint="eastAsia" w:cs="Times New Roman"/>
                      <w:color w:val="auto"/>
                      <w:szCs w:val="21"/>
                      <w:lang w:val="en-US" w:eastAsia="zh-CN"/>
                    </w:rPr>
                  </w:pPr>
                </w:p>
              </w:tc>
              <w:tc>
                <w:tcPr>
                  <w:tcW w:w="394" w:type="dxa"/>
                  <w:vMerge w:val="continue"/>
                  <w:tcBorders>
                    <w:tl2br w:val="nil"/>
                    <w:tr2bl w:val="nil"/>
                  </w:tcBorders>
                  <w:vAlign w:val="center"/>
                </w:tcPr>
                <w:p w14:paraId="66B32A34">
                  <w:pPr>
                    <w:spacing w:line="240" w:lineRule="exact"/>
                    <w:jc w:val="center"/>
                    <w:rPr>
                      <w:rFonts w:hint="default" w:ascii="Times New Roman" w:hAnsi="Times New Roman" w:cs="Times New Roman"/>
                      <w:bCs/>
                      <w:color w:val="auto"/>
                      <w:sz w:val="21"/>
                      <w:szCs w:val="21"/>
                    </w:rPr>
                  </w:pPr>
                </w:p>
              </w:tc>
              <w:tc>
                <w:tcPr>
                  <w:tcW w:w="394" w:type="dxa"/>
                  <w:vMerge w:val="continue"/>
                  <w:tcBorders>
                    <w:tl2br w:val="nil"/>
                    <w:tr2bl w:val="nil"/>
                  </w:tcBorders>
                  <w:vAlign w:val="center"/>
                </w:tcPr>
                <w:p w14:paraId="64876F99">
                  <w:pPr>
                    <w:spacing w:line="240" w:lineRule="exact"/>
                    <w:jc w:val="center"/>
                    <w:rPr>
                      <w:rFonts w:hint="default" w:ascii="Times New Roman" w:hAnsi="Times New Roman" w:cs="Times New Roman"/>
                      <w:bCs/>
                      <w:color w:val="auto"/>
                      <w:sz w:val="21"/>
                      <w:szCs w:val="21"/>
                    </w:rPr>
                  </w:pPr>
                </w:p>
              </w:tc>
              <w:tc>
                <w:tcPr>
                  <w:tcW w:w="603" w:type="dxa"/>
                  <w:vMerge w:val="continue"/>
                  <w:tcBorders>
                    <w:tl2br w:val="nil"/>
                    <w:tr2bl w:val="nil"/>
                  </w:tcBorders>
                  <w:vAlign w:val="center"/>
                </w:tcPr>
                <w:p w14:paraId="426BA65B">
                  <w:pPr>
                    <w:spacing w:line="240" w:lineRule="exact"/>
                    <w:jc w:val="center"/>
                    <w:rPr>
                      <w:rFonts w:hint="default" w:ascii="Times New Roman" w:hAnsi="Times New Roman" w:cs="Times New Roman"/>
                      <w:bCs/>
                      <w:color w:val="auto"/>
                      <w:sz w:val="21"/>
                      <w:szCs w:val="21"/>
                    </w:rPr>
                  </w:pPr>
                </w:p>
              </w:tc>
              <w:tc>
                <w:tcPr>
                  <w:tcW w:w="690" w:type="dxa"/>
                  <w:tcBorders>
                    <w:tl2br w:val="nil"/>
                    <w:tr2bl w:val="nil"/>
                  </w:tcBorders>
                  <w:vAlign w:val="center"/>
                </w:tcPr>
                <w:p w14:paraId="5B3E8ED4">
                  <w:pPr>
                    <w:spacing w:line="240" w:lineRule="exact"/>
                    <w:jc w:val="center"/>
                    <w:rPr>
                      <w:rFonts w:hint="default" w:ascii="Times New Roman" w:hAnsi="Times New Roman" w:cs="Times New Roman"/>
                      <w:bCs/>
                      <w:color w:val="auto"/>
                      <w:sz w:val="21"/>
                      <w:szCs w:val="21"/>
                    </w:rPr>
                  </w:pPr>
                  <w:r>
                    <w:rPr>
                      <w:rFonts w:hint="eastAsia" w:cs="Times New Roman"/>
                      <w:bCs/>
                      <w:color w:val="auto"/>
                      <w:sz w:val="21"/>
                      <w:szCs w:val="21"/>
                      <w:lang w:eastAsia="zh-CN"/>
                    </w:rPr>
                    <w:t>—</w:t>
                  </w:r>
                </w:p>
              </w:tc>
              <w:tc>
                <w:tcPr>
                  <w:tcW w:w="482" w:type="dxa"/>
                  <w:tcBorders>
                    <w:tl2br w:val="nil"/>
                    <w:tr2bl w:val="nil"/>
                  </w:tcBorders>
                  <w:vAlign w:val="center"/>
                </w:tcPr>
                <w:p w14:paraId="01671837">
                  <w:pPr>
                    <w:spacing w:line="24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eastAsia="zh-CN"/>
                    </w:rPr>
                    <w:t>—</w:t>
                  </w:r>
                </w:p>
              </w:tc>
            </w:tr>
            <w:tr w14:paraId="44299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70" w:type="dxa"/>
                  <w:vMerge w:val="restart"/>
                  <w:tcBorders>
                    <w:tl2br w:val="nil"/>
                    <w:tr2bl w:val="nil"/>
                  </w:tcBorders>
                  <w:vAlign w:val="center"/>
                </w:tcPr>
                <w:p w14:paraId="73B12C54">
                  <w:pPr>
                    <w:spacing w:line="240" w:lineRule="exact"/>
                    <w:ind w:left="-105" w:leftChars="-50" w:right="-105" w:rightChars="-50"/>
                    <w:jc w:val="center"/>
                    <w:rPr>
                      <w:rFonts w:hint="default" w:cs="Times New Roman"/>
                      <w:color w:val="auto"/>
                      <w:szCs w:val="21"/>
                      <w:lang w:val="en-US" w:eastAsia="zh-CN"/>
                    </w:rPr>
                  </w:pPr>
                  <w:r>
                    <w:rPr>
                      <w:rFonts w:hint="eastAsia" w:cs="Times New Roman"/>
                      <w:color w:val="auto"/>
                      <w:szCs w:val="21"/>
                      <w:lang w:val="en-US" w:eastAsia="zh-CN"/>
                    </w:rPr>
                    <w:t>2</w:t>
                  </w:r>
                </w:p>
              </w:tc>
              <w:tc>
                <w:tcPr>
                  <w:tcW w:w="447" w:type="dxa"/>
                  <w:vMerge w:val="restart"/>
                  <w:tcBorders>
                    <w:tl2br w:val="nil"/>
                    <w:tr2bl w:val="nil"/>
                  </w:tcBorders>
                  <w:vAlign w:val="center"/>
                </w:tcPr>
                <w:p w14:paraId="18BDD116">
                  <w:pPr>
                    <w:spacing w:line="240" w:lineRule="exact"/>
                    <w:ind w:left="-105" w:leftChars="-50" w:right="-105" w:rightChars="-50"/>
                    <w:jc w:val="center"/>
                    <w:rPr>
                      <w:rFonts w:hint="default" w:cs="Times New Roman"/>
                      <w:color w:val="auto"/>
                      <w:szCs w:val="21"/>
                      <w:lang w:val="en-US" w:eastAsia="zh-CN"/>
                    </w:rPr>
                  </w:pPr>
                  <w:r>
                    <w:rPr>
                      <w:rFonts w:hint="eastAsia" w:cs="Times New Roman"/>
                      <w:color w:val="auto"/>
                      <w:szCs w:val="21"/>
                      <w:lang w:val="en-US" w:eastAsia="zh-CN"/>
                    </w:rPr>
                    <w:t>职工生活</w:t>
                  </w:r>
                </w:p>
              </w:tc>
              <w:tc>
                <w:tcPr>
                  <w:tcW w:w="506" w:type="dxa"/>
                  <w:vMerge w:val="restart"/>
                  <w:tcBorders>
                    <w:tl2br w:val="nil"/>
                    <w:tr2bl w:val="nil"/>
                  </w:tcBorders>
                  <w:vAlign w:val="center"/>
                </w:tcPr>
                <w:p w14:paraId="069F49D3">
                  <w:pPr>
                    <w:spacing w:line="240" w:lineRule="exact"/>
                    <w:ind w:left="-105" w:leftChars="-50" w:right="-105" w:rightChars="-50"/>
                    <w:jc w:val="center"/>
                    <w:rPr>
                      <w:rFonts w:hint="default" w:cs="Times New Roman"/>
                      <w:color w:val="auto"/>
                      <w:szCs w:val="21"/>
                      <w:lang w:val="en-US" w:eastAsia="zh-CN"/>
                    </w:rPr>
                  </w:pPr>
                  <w:r>
                    <w:rPr>
                      <w:rFonts w:hint="eastAsia" w:cs="Times New Roman"/>
                      <w:color w:val="auto"/>
                      <w:szCs w:val="21"/>
                      <w:lang w:val="en-US" w:eastAsia="zh-CN"/>
                    </w:rPr>
                    <w:t>生活废水</w:t>
                  </w:r>
                </w:p>
              </w:tc>
              <w:tc>
                <w:tcPr>
                  <w:tcW w:w="750" w:type="dxa"/>
                  <w:tcBorders>
                    <w:tl2br w:val="nil"/>
                    <w:tr2bl w:val="nil"/>
                  </w:tcBorders>
                  <w:vAlign w:val="center"/>
                </w:tcPr>
                <w:p w14:paraId="6365F7C5">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 w:val="21"/>
                      <w:szCs w:val="21"/>
                      <w:lang w:val="en-US" w:eastAsia="zh-CN"/>
                    </w:rPr>
                    <w:t>pH</w:t>
                  </w:r>
                </w:p>
              </w:tc>
              <w:tc>
                <w:tcPr>
                  <w:tcW w:w="540" w:type="dxa"/>
                  <w:tcBorders>
                    <w:tl2br w:val="nil"/>
                    <w:tr2bl w:val="nil"/>
                  </w:tcBorders>
                  <w:vAlign w:val="center"/>
                </w:tcPr>
                <w:p w14:paraId="6F4790BA">
                  <w:pPr>
                    <w:spacing w:line="240" w:lineRule="exact"/>
                    <w:ind w:left="-105" w:leftChars="-50" w:right="-105" w:rightChars="-50"/>
                    <w:jc w:val="center"/>
                    <w:rPr>
                      <w:rFonts w:hint="eastAsia" w:cs="Times New Roman"/>
                      <w:b w:val="0"/>
                      <w:bCs w:val="0"/>
                      <w:color w:val="auto"/>
                      <w:szCs w:val="21"/>
                      <w:lang w:val="en-US" w:eastAsia="zh-CN"/>
                    </w:rPr>
                  </w:pPr>
                  <w:r>
                    <w:rPr>
                      <w:rFonts w:hint="eastAsia" w:cs="Times New Roman"/>
                      <w:bCs/>
                      <w:color w:val="auto"/>
                      <w:sz w:val="21"/>
                      <w:szCs w:val="21"/>
                      <w:lang w:val="en-US" w:eastAsia="zh-CN"/>
                    </w:rPr>
                    <w:t>6-9</w:t>
                  </w:r>
                  <w:r>
                    <w:rPr>
                      <w:rFonts w:hint="default" w:ascii="Times New Roman" w:hAnsi="Times New Roman" w:cs="Times New Roman"/>
                      <w:b w:val="0"/>
                      <w:bCs w:val="0"/>
                      <w:color w:val="auto"/>
                      <w:szCs w:val="21"/>
                    </w:rPr>
                    <w:t>mg/</w:t>
                  </w:r>
                  <w:r>
                    <w:rPr>
                      <w:rFonts w:hint="eastAsia" w:cs="Times New Roman"/>
                      <w:b w:val="0"/>
                      <w:bCs w:val="0"/>
                      <w:color w:val="auto"/>
                      <w:szCs w:val="21"/>
                      <w:lang w:val="en-US" w:eastAsia="zh-CN"/>
                    </w:rPr>
                    <w:t>L</w:t>
                  </w:r>
                </w:p>
              </w:tc>
              <w:tc>
                <w:tcPr>
                  <w:tcW w:w="708" w:type="dxa"/>
                  <w:tcBorders>
                    <w:tl2br w:val="nil"/>
                    <w:tr2bl w:val="nil"/>
                  </w:tcBorders>
                  <w:vAlign w:val="center"/>
                </w:tcPr>
                <w:p w14:paraId="5128F9FF">
                  <w:pPr>
                    <w:spacing w:line="240" w:lineRule="exact"/>
                    <w:jc w:val="center"/>
                    <w:rPr>
                      <w:rFonts w:hint="eastAsia" w:cs="Times New Roman"/>
                      <w:bCs/>
                      <w:color w:val="auto"/>
                      <w:sz w:val="21"/>
                      <w:szCs w:val="21"/>
                      <w:lang w:val="en-US" w:eastAsia="zh-CN"/>
                    </w:rPr>
                  </w:pPr>
                  <w:r>
                    <w:rPr>
                      <w:rFonts w:hint="eastAsia" w:cs="Times New Roman"/>
                      <w:bCs/>
                      <w:color w:val="auto"/>
                      <w:sz w:val="21"/>
                      <w:szCs w:val="21"/>
                      <w:lang w:eastAsia="zh-CN"/>
                    </w:rPr>
                    <w:t>—</w:t>
                  </w:r>
                </w:p>
              </w:tc>
              <w:tc>
                <w:tcPr>
                  <w:tcW w:w="799" w:type="dxa"/>
                  <w:vMerge w:val="restart"/>
                  <w:tcBorders>
                    <w:tl2br w:val="nil"/>
                    <w:tr2bl w:val="nil"/>
                  </w:tcBorders>
                  <w:vAlign w:val="center"/>
                </w:tcPr>
                <w:p w14:paraId="35489455">
                  <w:pPr>
                    <w:spacing w:line="240" w:lineRule="exact"/>
                    <w:jc w:val="center"/>
                    <w:rPr>
                      <w:rFonts w:hint="default" w:ascii="Times New Roman" w:hAnsi="Times New Roman" w:cs="Times New Roman"/>
                      <w:bCs/>
                      <w:color w:val="auto"/>
                      <w:sz w:val="21"/>
                      <w:szCs w:val="21"/>
                    </w:rPr>
                  </w:pPr>
                  <w:r>
                    <w:rPr>
                      <w:rFonts w:hint="eastAsia" w:cs="Times New Roman"/>
                      <w:bCs/>
                      <w:color w:val="auto"/>
                      <w:sz w:val="21"/>
                      <w:szCs w:val="21"/>
                      <w:lang w:eastAsia="zh-CN"/>
                    </w:rPr>
                    <w:t>—</w:t>
                  </w:r>
                </w:p>
              </w:tc>
              <w:tc>
                <w:tcPr>
                  <w:tcW w:w="673" w:type="dxa"/>
                  <w:vMerge w:val="restart"/>
                  <w:tcBorders>
                    <w:tl2br w:val="nil"/>
                    <w:tr2bl w:val="nil"/>
                  </w:tcBorders>
                  <w:vAlign w:val="center"/>
                </w:tcPr>
                <w:p w14:paraId="266ED717">
                  <w:pPr>
                    <w:spacing w:line="240" w:lineRule="exact"/>
                    <w:jc w:val="center"/>
                    <w:rPr>
                      <w:rFonts w:hint="default" w:ascii="Times New Roman" w:hAnsi="Times New Roman" w:cs="Times New Roman"/>
                      <w:bCs/>
                      <w:color w:val="auto"/>
                      <w:sz w:val="21"/>
                      <w:szCs w:val="21"/>
                    </w:rPr>
                  </w:pPr>
                  <w:r>
                    <w:rPr>
                      <w:rFonts w:hint="eastAsia" w:cs="Times New Roman"/>
                      <w:bCs/>
                      <w:color w:val="auto"/>
                      <w:sz w:val="21"/>
                      <w:szCs w:val="21"/>
                      <w:lang w:eastAsia="zh-CN"/>
                    </w:rPr>
                    <w:t>—</w:t>
                  </w:r>
                </w:p>
              </w:tc>
              <w:tc>
                <w:tcPr>
                  <w:tcW w:w="422" w:type="dxa"/>
                  <w:tcBorders>
                    <w:tl2br w:val="nil"/>
                    <w:tr2bl w:val="nil"/>
                  </w:tcBorders>
                  <w:vAlign w:val="center"/>
                </w:tcPr>
                <w:p w14:paraId="27FB12F3">
                  <w:pPr>
                    <w:spacing w:line="240" w:lineRule="exact"/>
                    <w:jc w:val="center"/>
                    <w:rPr>
                      <w:rFonts w:hint="eastAsia" w:cs="Times New Roman"/>
                      <w:bCs/>
                      <w:color w:val="auto"/>
                      <w:sz w:val="21"/>
                      <w:szCs w:val="21"/>
                      <w:lang w:val="en-US" w:eastAsia="zh-CN"/>
                    </w:rPr>
                  </w:pPr>
                  <w:r>
                    <w:rPr>
                      <w:rFonts w:hint="eastAsia" w:cs="Times New Roman"/>
                      <w:bCs/>
                      <w:color w:val="auto"/>
                      <w:sz w:val="21"/>
                      <w:szCs w:val="21"/>
                      <w:lang w:eastAsia="zh-CN"/>
                    </w:rPr>
                    <w:t>—</w:t>
                  </w:r>
                </w:p>
              </w:tc>
              <w:tc>
                <w:tcPr>
                  <w:tcW w:w="402" w:type="dxa"/>
                  <w:vMerge w:val="restart"/>
                  <w:tcBorders>
                    <w:tl2br w:val="nil"/>
                    <w:tr2bl w:val="nil"/>
                  </w:tcBorders>
                  <w:vAlign w:val="center"/>
                </w:tcPr>
                <w:p w14:paraId="7CE45EF8">
                  <w:pPr>
                    <w:spacing w:line="240" w:lineRule="exact"/>
                    <w:jc w:val="center"/>
                    <w:rPr>
                      <w:rFonts w:hint="default" w:ascii="Times New Roman" w:hAnsi="Times New Roman" w:cs="Times New Roman"/>
                      <w:bCs/>
                      <w:color w:val="auto"/>
                      <w:sz w:val="21"/>
                      <w:szCs w:val="21"/>
                    </w:rPr>
                  </w:pPr>
                  <w:r>
                    <w:rPr>
                      <w:rFonts w:hint="eastAsia" w:cs="Times New Roman"/>
                      <w:bCs/>
                      <w:color w:val="auto"/>
                      <w:sz w:val="21"/>
                      <w:szCs w:val="21"/>
                      <w:lang w:eastAsia="zh-CN"/>
                    </w:rPr>
                    <w:t>—</w:t>
                  </w:r>
                </w:p>
              </w:tc>
              <w:tc>
                <w:tcPr>
                  <w:tcW w:w="375" w:type="dxa"/>
                  <w:vMerge w:val="restart"/>
                  <w:tcBorders>
                    <w:tl2br w:val="nil"/>
                    <w:tr2bl w:val="nil"/>
                  </w:tcBorders>
                  <w:vAlign w:val="center"/>
                </w:tcPr>
                <w:p w14:paraId="574DDED3">
                  <w:pPr>
                    <w:spacing w:line="240" w:lineRule="exact"/>
                    <w:jc w:val="center"/>
                    <w:rPr>
                      <w:rFonts w:hint="eastAsia" w:cs="Times New Roman"/>
                      <w:color w:val="auto"/>
                      <w:szCs w:val="21"/>
                      <w:lang w:val="en-US" w:eastAsia="zh-CN"/>
                    </w:rPr>
                  </w:pPr>
                  <w:r>
                    <w:rPr>
                      <w:rFonts w:hint="eastAsia" w:cs="Times New Roman"/>
                      <w:bCs/>
                      <w:color w:val="auto"/>
                      <w:sz w:val="21"/>
                      <w:szCs w:val="21"/>
                      <w:lang w:eastAsia="zh-CN"/>
                    </w:rPr>
                    <w:t>—</w:t>
                  </w:r>
                </w:p>
              </w:tc>
              <w:tc>
                <w:tcPr>
                  <w:tcW w:w="394" w:type="dxa"/>
                  <w:vMerge w:val="restart"/>
                  <w:tcBorders>
                    <w:tl2br w:val="nil"/>
                    <w:tr2bl w:val="nil"/>
                  </w:tcBorders>
                  <w:vAlign w:val="center"/>
                </w:tcPr>
                <w:p w14:paraId="7B93C404">
                  <w:pPr>
                    <w:spacing w:line="240" w:lineRule="exact"/>
                    <w:jc w:val="center"/>
                    <w:rPr>
                      <w:rFonts w:hint="default" w:ascii="Times New Roman" w:hAnsi="Times New Roman" w:cs="Times New Roman"/>
                      <w:bCs/>
                      <w:color w:val="auto"/>
                      <w:sz w:val="21"/>
                      <w:szCs w:val="21"/>
                    </w:rPr>
                  </w:pPr>
                  <w:r>
                    <w:rPr>
                      <w:rFonts w:hint="eastAsia" w:cs="Times New Roman"/>
                      <w:bCs/>
                      <w:color w:val="auto"/>
                      <w:sz w:val="21"/>
                      <w:szCs w:val="21"/>
                      <w:lang w:eastAsia="zh-CN"/>
                    </w:rPr>
                    <w:t>—</w:t>
                  </w:r>
                </w:p>
              </w:tc>
              <w:tc>
                <w:tcPr>
                  <w:tcW w:w="394" w:type="dxa"/>
                  <w:vMerge w:val="restart"/>
                  <w:tcBorders>
                    <w:tl2br w:val="nil"/>
                    <w:tr2bl w:val="nil"/>
                  </w:tcBorders>
                  <w:vAlign w:val="center"/>
                </w:tcPr>
                <w:p w14:paraId="048237AA">
                  <w:pPr>
                    <w:spacing w:line="240" w:lineRule="exact"/>
                    <w:jc w:val="center"/>
                    <w:rPr>
                      <w:rFonts w:hint="default" w:ascii="Times New Roman" w:hAnsi="Times New Roman" w:cs="Times New Roman"/>
                      <w:bCs/>
                      <w:color w:val="auto"/>
                      <w:sz w:val="21"/>
                      <w:szCs w:val="21"/>
                    </w:rPr>
                  </w:pPr>
                  <w:r>
                    <w:rPr>
                      <w:rFonts w:hint="eastAsia" w:cs="Times New Roman"/>
                      <w:bCs/>
                      <w:color w:val="auto"/>
                      <w:sz w:val="21"/>
                      <w:szCs w:val="21"/>
                      <w:lang w:eastAsia="zh-CN"/>
                    </w:rPr>
                    <w:t>—</w:t>
                  </w:r>
                </w:p>
              </w:tc>
              <w:tc>
                <w:tcPr>
                  <w:tcW w:w="603" w:type="dxa"/>
                  <w:vMerge w:val="restart"/>
                  <w:tcBorders>
                    <w:tl2br w:val="nil"/>
                    <w:tr2bl w:val="nil"/>
                  </w:tcBorders>
                  <w:vAlign w:val="center"/>
                </w:tcPr>
                <w:p w14:paraId="0F582D24">
                  <w:pPr>
                    <w:spacing w:line="240" w:lineRule="exact"/>
                    <w:jc w:val="center"/>
                    <w:rPr>
                      <w:rFonts w:hint="default" w:ascii="Times New Roman" w:hAnsi="Times New Roman" w:cs="Times New Roman"/>
                      <w:bCs/>
                      <w:color w:val="auto"/>
                      <w:sz w:val="21"/>
                      <w:szCs w:val="21"/>
                    </w:rPr>
                  </w:pPr>
                  <w:r>
                    <w:rPr>
                      <w:rFonts w:hint="eastAsia" w:cs="Times New Roman"/>
                      <w:bCs/>
                      <w:color w:val="auto"/>
                      <w:sz w:val="21"/>
                      <w:szCs w:val="21"/>
                      <w:lang w:eastAsia="zh-CN"/>
                    </w:rPr>
                    <w:t>—</w:t>
                  </w:r>
                </w:p>
              </w:tc>
              <w:tc>
                <w:tcPr>
                  <w:tcW w:w="690" w:type="dxa"/>
                  <w:tcBorders>
                    <w:tl2br w:val="nil"/>
                    <w:tr2bl w:val="nil"/>
                  </w:tcBorders>
                  <w:vAlign w:val="center"/>
                </w:tcPr>
                <w:p w14:paraId="5DE5B2EB">
                  <w:pPr>
                    <w:spacing w:line="240" w:lineRule="exact"/>
                    <w:jc w:val="center"/>
                    <w:rPr>
                      <w:rFonts w:hint="eastAsia" w:cs="Times New Roman"/>
                      <w:b w:val="0"/>
                      <w:bCs w:val="0"/>
                      <w:color w:val="auto"/>
                      <w:szCs w:val="21"/>
                      <w:lang w:val="en-US" w:eastAsia="zh-CN"/>
                    </w:rPr>
                  </w:pPr>
                  <w:r>
                    <w:rPr>
                      <w:rFonts w:hint="eastAsia" w:cs="Times New Roman"/>
                      <w:bCs/>
                      <w:color w:val="auto"/>
                      <w:sz w:val="21"/>
                      <w:szCs w:val="21"/>
                      <w:lang w:eastAsia="zh-CN"/>
                    </w:rPr>
                    <w:t>—</w:t>
                  </w:r>
                </w:p>
              </w:tc>
              <w:tc>
                <w:tcPr>
                  <w:tcW w:w="482" w:type="dxa"/>
                  <w:tcBorders>
                    <w:tl2br w:val="nil"/>
                    <w:tr2bl w:val="nil"/>
                  </w:tcBorders>
                  <w:vAlign w:val="center"/>
                </w:tcPr>
                <w:p w14:paraId="5DB8C035">
                  <w:pPr>
                    <w:spacing w:line="240" w:lineRule="exact"/>
                    <w:jc w:val="center"/>
                    <w:rPr>
                      <w:rFonts w:hint="eastAsia" w:cs="Times New Roman"/>
                      <w:bCs/>
                      <w:color w:val="auto"/>
                      <w:sz w:val="21"/>
                      <w:szCs w:val="21"/>
                      <w:lang w:val="en-US" w:eastAsia="zh-CN"/>
                    </w:rPr>
                  </w:pPr>
                  <w:r>
                    <w:rPr>
                      <w:rFonts w:hint="eastAsia" w:cs="Times New Roman"/>
                      <w:bCs/>
                      <w:color w:val="auto"/>
                      <w:sz w:val="21"/>
                      <w:szCs w:val="21"/>
                      <w:lang w:eastAsia="zh-CN"/>
                    </w:rPr>
                    <w:t>—</w:t>
                  </w:r>
                </w:p>
              </w:tc>
            </w:tr>
            <w:tr w14:paraId="062C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70" w:type="dxa"/>
                  <w:vMerge w:val="continue"/>
                  <w:tcBorders>
                    <w:tl2br w:val="nil"/>
                    <w:tr2bl w:val="nil"/>
                  </w:tcBorders>
                  <w:vAlign w:val="center"/>
                </w:tcPr>
                <w:p w14:paraId="0727A306">
                  <w:pPr>
                    <w:spacing w:line="240" w:lineRule="exact"/>
                    <w:ind w:left="-105" w:leftChars="-50" w:right="-105" w:rightChars="-50"/>
                    <w:jc w:val="center"/>
                    <w:rPr>
                      <w:rFonts w:hint="eastAsia" w:cs="Times New Roman"/>
                      <w:color w:val="auto"/>
                      <w:szCs w:val="21"/>
                      <w:lang w:val="en-US" w:eastAsia="zh-CN"/>
                    </w:rPr>
                  </w:pPr>
                </w:p>
              </w:tc>
              <w:tc>
                <w:tcPr>
                  <w:tcW w:w="447" w:type="dxa"/>
                  <w:vMerge w:val="continue"/>
                  <w:tcBorders>
                    <w:tl2br w:val="nil"/>
                    <w:tr2bl w:val="nil"/>
                  </w:tcBorders>
                  <w:vAlign w:val="center"/>
                </w:tcPr>
                <w:p w14:paraId="5A2A5E7C">
                  <w:pPr>
                    <w:spacing w:line="240" w:lineRule="exact"/>
                    <w:ind w:left="-105" w:leftChars="-50" w:right="-105" w:rightChars="-50"/>
                    <w:jc w:val="center"/>
                    <w:rPr>
                      <w:rFonts w:hint="eastAsia" w:cs="Times New Roman"/>
                      <w:color w:val="auto"/>
                      <w:szCs w:val="21"/>
                      <w:lang w:val="en-US" w:eastAsia="zh-CN"/>
                    </w:rPr>
                  </w:pPr>
                </w:p>
              </w:tc>
              <w:tc>
                <w:tcPr>
                  <w:tcW w:w="506" w:type="dxa"/>
                  <w:vMerge w:val="continue"/>
                  <w:tcBorders>
                    <w:tl2br w:val="nil"/>
                    <w:tr2bl w:val="nil"/>
                  </w:tcBorders>
                  <w:vAlign w:val="center"/>
                </w:tcPr>
                <w:p w14:paraId="5D411F26">
                  <w:pPr>
                    <w:spacing w:line="240" w:lineRule="exact"/>
                    <w:ind w:left="-105" w:leftChars="-50" w:right="-105" w:rightChars="-50"/>
                    <w:jc w:val="center"/>
                    <w:rPr>
                      <w:rFonts w:hint="eastAsia" w:cs="Times New Roman"/>
                      <w:color w:val="auto"/>
                      <w:szCs w:val="21"/>
                      <w:lang w:val="en-US" w:eastAsia="zh-CN"/>
                    </w:rPr>
                  </w:pPr>
                </w:p>
              </w:tc>
              <w:tc>
                <w:tcPr>
                  <w:tcW w:w="750" w:type="dxa"/>
                  <w:tcBorders>
                    <w:tl2br w:val="nil"/>
                    <w:tr2bl w:val="nil"/>
                  </w:tcBorders>
                  <w:vAlign w:val="center"/>
                </w:tcPr>
                <w:p w14:paraId="062B06B0">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 w:val="21"/>
                      <w:szCs w:val="21"/>
                      <w:lang w:val="en-US" w:eastAsia="zh-CN"/>
                    </w:rPr>
                    <w:t>COD</w:t>
                  </w:r>
                </w:p>
              </w:tc>
              <w:tc>
                <w:tcPr>
                  <w:tcW w:w="540" w:type="dxa"/>
                  <w:tcBorders>
                    <w:tl2br w:val="nil"/>
                    <w:tr2bl w:val="nil"/>
                  </w:tcBorders>
                  <w:vAlign w:val="center"/>
                </w:tcPr>
                <w:p w14:paraId="63E8207D">
                  <w:pPr>
                    <w:spacing w:line="240" w:lineRule="exact"/>
                    <w:ind w:left="-105" w:leftChars="-50" w:right="-105" w:rightChars="-50"/>
                    <w:jc w:val="center"/>
                    <w:rPr>
                      <w:rFonts w:hint="default" w:cs="Times New Roman"/>
                      <w:b w:val="0"/>
                      <w:bCs w:val="0"/>
                      <w:color w:val="auto"/>
                      <w:szCs w:val="21"/>
                      <w:lang w:val="en-US" w:eastAsia="zh-CN"/>
                    </w:rPr>
                  </w:pPr>
                  <w:r>
                    <w:rPr>
                      <w:rFonts w:hint="eastAsia" w:cs="Times New Roman"/>
                      <w:b w:val="0"/>
                      <w:bCs w:val="0"/>
                      <w:color w:val="auto"/>
                      <w:szCs w:val="21"/>
                      <w:lang w:val="en-US" w:eastAsia="zh-CN"/>
                    </w:rPr>
                    <w:t>280</w:t>
                  </w:r>
                  <w:r>
                    <w:rPr>
                      <w:rFonts w:hint="default" w:ascii="Times New Roman" w:hAnsi="Times New Roman" w:cs="Times New Roman"/>
                      <w:b w:val="0"/>
                      <w:bCs w:val="0"/>
                      <w:color w:val="auto"/>
                      <w:szCs w:val="21"/>
                    </w:rPr>
                    <w:t>mg/</w:t>
                  </w:r>
                  <w:r>
                    <w:rPr>
                      <w:rFonts w:hint="eastAsia" w:cs="Times New Roman"/>
                      <w:b w:val="0"/>
                      <w:bCs w:val="0"/>
                      <w:color w:val="auto"/>
                      <w:szCs w:val="21"/>
                      <w:lang w:val="en-US" w:eastAsia="zh-CN"/>
                    </w:rPr>
                    <w:t>L</w:t>
                  </w:r>
                </w:p>
              </w:tc>
              <w:tc>
                <w:tcPr>
                  <w:tcW w:w="708" w:type="dxa"/>
                  <w:tcBorders>
                    <w:tl2br w:val="nil"/>
                    <w:tr2bl w:val="nil"/>
                  </w:tcBorders>
                  <w:vAlign w:val="center"/>
                </w:tcPr>
                <w:p w14:paraId="2AB5551E">
                  <w:pPr>
                    <w:spacing w:line="240" w:lineRule="exact"/>
                    <w:jc w:val="center"/>
                    <w:rPr>
                      <w:rFonts w:hint="default" w:cs="Times New Roman"/>
                      <w:bCs/>
                      <w:color w:val="auto"/>
                      <w:sz w:val="21"/>
                      <w:szCs w:val="21"/>
                      <w:lang w:val="en-US" w:eastAsia="zh-CN"/>
                    </w:rPr>
                  </w:pPr>
                  <w:r>
                    <w:rPr>
                      <w:rFonts w:hint="eastAsia" w:cs="Times New Roman"/>
                      <w:bCs/>
                      <w:color w:val="auto"/>
                      <w:sz w:val="21"/>
                      <w:szCs w:val="21"/>
                      <w:lang w:val="en-US" w:eastAsia="zh-CN"/>
                    </w:rPr>
                    <w:t>0.03</w:t>
                  </w:r>
                </w:p>
              </w:tc>
              <w:tc>
                <w:tcPr>
                  <w:tcW w:w="799" w:type="dxa"/>
                  <w:vMerge w:val="continue"/>
                  <w:tcBorders>
                    <w:tl2br w:val="nil"/>
                    <w:tr2bl w:val="nil"/>
                  </w:tcBorders>
                  <w:vAlign w:val="center"/>
                </w:tcPr>
                <w:p w14:paraId="04409104">
                  <w:pPr>
                    <w:spacing w:line="280" w:lineRule="exact"/>
                    <w:ind w:firstLine="0" w:firstLineChars="0"/>
                    <w:jc w:val="center"/>
                    <w:rPr>
                      <w:rFonts w:hint="eastAsia" w:cs="Times New Roman"/>
                      <w:bCs/>
                      <w:color w:val="auto"/>
                      <w:sz w:val="21"/>
                      <w:szCs w:val="21"/>
                      <w:lang w:eastAsia="zh-CN"/>
                    </w:rPr>
                  </w:pPr>
                </w:p>
              </w:tc>
              <w:tc>
                <w:tcPr>
                  <w:tcW w:w="673" w:type="dxa"/>
                  <w:vMerge w:val="continue"/>
                  <w:tcBorders>
                    <w:tl2br w:val="nil"/>
                    <w:tr2bl w:val="nil"/>
                  </w:tcBorders>
                  <w:vAlign w:val="center"/>
                </w:tcPr>
                <w:p w14:paraId="2CA95E23">
                  <w:pPr>
                    <w:spacing w:line="240" w:lineRule="exact"/>
                    <w:jc w:val="center"/>
                    <w:rPr>
                      <w:rFonts w:hint="eastAsia" w:cs="Times New Roman"/>
                      <w:bCs/>
                      <w:color w:val="auto"/>
                      <w:sz w:val="21"/>
                      <w:szCs w:val="21"/>
                      <w:lang w:eastAsia="zh-CN"/>
                    </w:rPr>
                  </w:pPr>
                </w:p>
              </w:tc>
              <w:tc>
                <w:tcPr>
                  <w:tcW w:w="422" w:type="dxa"/>
                  <w:tcBorders>
                    <w:tl2br w:val="nil"/>
                    <w:tr2bl w:val="nil"/>
                  </w:tcBorders>
                  <w:vAlign w:val="center"/>
                </w:tcPr>
                <w:p w14:paraId="37160B4A">
                  <w:pPr>
                    <w:spacing w:line="240" w:lineRule="exact"/>
                    <w:jc w:val="center"/>
                    <w:rPr>
                      <w:rFonts w:hint="eastAsia" w:cs="Times New Roman"/>
                      <w:bCs/>
                      <w:color w:val="auto"/>
                      <w:sz w:val="21"/>
                      <w:szCs w:val="21"/>
                      <w:lang w:eastAsia="zh-CN"/>
                    </w:rPr>
                  </w:pPr>
                  <w:r>
                    <w:rPr>
                      <w:rFonts w:hint="eastAsia" w:cs="Times New Roman"/>
                      <w:bCs/>
                      <w:color w:val="auto"/>
                      <w:sz w:val="21"/>
                      <w:szCs w:val="21"/>
                      <w:lang w:eastAsia="zh-CN"/>
                    </w:rPr>
                    <w:t>—</w:t>
                  </w:r>
                </w:p>
              </w:tc>
              <w:tc>
                <w:tcPr>
                  <w:tcW w:w="402" w:type="dxa"/>
                  <w:vMerge w:val="continue"/>
                  <w:tcBorders>
                    <w:tl2br w:val="nil"/>
                    <w:tr2bl w:val="nil"/>
                  </w:tcBorders>
                  <w:vAlign w:val="center"/>
                </w:tcPr>
                <w:p w14:paraId="38D64446">
                  <w:pPr>
                    <w:spacing w:line="240" w:lineRule="exact"/>
                    <w:jc w:val="center"/>
                    <w:rPr>
                      <w:rFonts w:hint="eastAsia" w:cs="Times New Roman"/>
                      <w:bCs/>
                      <w:color w:val="auto"/>
                      <w:sz w:val="21"/>
                      <w:szCs w:val="21"/>
                      <w:lang w:eastAsia="zh-CN"/>
                    </w:rPr>
                  </w:pPr>
                </w:p>
              </w:tc>
              <w:tc>
                <w:tcPr>
                  <w:tcW w:w="375" w:type="dxa"/>
                  <w:vMerge w:val="continue"/>
                  <w:tcBorders>
                    <w:tl2br w:val="nil"/>
                    <w:tr2bl w:val="nil"/>
                  </w:tcBorders>
                  <w:vAlign w:val="center"/>
                </w:tcPr>
                <w:p w14:paraId="069528AC">
                  <w:pPr>
                    <w:spacing w:line="240" w:lineRule="exact"/>
                    <w:jc w:val="center"/>
                    <w:rPr>
                      <w:rFonts w:hint="eastAsia" w:cs="Times New Roman"/>
                      <w:bCs/>
                      <w:color w:val="auto"/>
                      <w:sz w:val="21"/>
                      <w:szCs w:val="21"/>
                      <w:lang w:eastAsia="zh-CN"/>
                    </w:rPr>
                  </w:pPr>
                </w:p>
              </w:tc>
              <w:tc>
                <w:tcPr>
                  <w:tcW w:w="394" w:type="dxa"/>
                  <w:vMerge w:val="continue"/>
                  <w:tcBorders>
                    <w:tl2br w:val="nil"/>
                    <w:tr2bl w:val="nil"/>
                  </w:tcBorders>
                  <w:vAlign w:val="center"/>
                </w:tcPr>
                <w:p w14:paraId="69F17833">
                  <w:pPr>
                    <w:spacing w:line="240" w:lineRule="exact"/>
                    <w:jc w:val="center"/>
                    <w:rPr>
                      <w:rFonts w:hint="eastAsia" w:cs="Times New Roman"/>
                      <w:bCs/>
                      <w:color w:val="auto"/>
                      <w:sz w:val="21"/>
                      <w:szCs w:val="21"/>
                      <w:lang w:eastAsia="zh-CN"/>
                    </w:rPr>
                  </w:pPr>
                </w:p>
              </w:tc>
              <w:tc>
                <w:tcPr>
                  <w:tcW w:w="394" w:type="dxa"/>
                  <w:vMerge w:val="continue"/>
                  <w:tcBorders>
                    <w:tl2br w:val="nil"/>
                    <w:tr2bl w:val="nil"/>
                  </w:tcBorders>
                  <w:vAlign w:val="center"/>
                </w:tcPr>
                <w:p w14:paraId="754ED080">
                  <w:pPr>
                    <w:spacing w:line="240" w:lineRule="exact"/>
                    <w:jc w:val="center"/>
                    <w:rPr>
                      <w:rFonts w:hint="eastAsia" w:cs="Times New Roman"/>
                      <w:bCs/>
                      <w:color w:val="auto"/>
                      <w:sz w:val="21"/>
                      <w:szCs w:val="21"/>
                      <w:lang w:eastAsia="zh-CN"/>
                    </w:rPr>
                  </w:pPr>
                </w:p>
              </w:tc>
              <w:tc>
                <w:tcPr>
                  <w:tcW w:w="603" w:type="dxa"/>
                  <w:vMerge w:val="continue"/>
                  <w:tcBorders>
                    <w:tl2br w:val="nil"/>
                    <w:tr2bl w:val="nil"/>
                  </w:tcBorders>
                  <w:vAlign w:val="center"/>
                </w:tcPr>
                <w:p w14:paraId="7F47CB89">
                  <w:pPr>
                    <w:spacing w:line="240" w:lineRule="exact"/>
                    <w:jc w:val="center"/>
                    <w:rPr>
                      <w:rFonts w:hint="eastAsia" w:cs="Times New Roman"/>
                      <w:bCs/>
                      <w:color w:val="auto"/>
                      <w:sz w:val="21"/>
                      <w:szCs w:val="21"/>
                      <w:lang w:eastAsia="zh-CN"/>
                    </w:rPr>
                  </w:pPr>
                </w:p>
              </w:tc>
              <w:tc>
                <w:tcPr>
                  <w:tcW w:w="690" w:type="dxa"/>
                  <w:tcBorders>
                    <w:tl2br w:val="nil"/>
                    <w:tr2bl w:val="nil"/>
                  </w:tcBorders>
                  <w:vAlign w:val="center"/>
                </w:tcPr>
                <w:p w14:paraId="210DBD11">
                  <w:pPr>
                    <w:spacing w:line="240" w:lineRule="exact"/>
                    <w:jc w:val="center"/>
                    <w:rPr>
                      <w:rFonts w:hint="eastAsia" w:cs="Times New Roman"/>
                      <w:bCs/>
                      <w:color w:val="auto"/>
                      <w:sz w:val="21"/>
                      <w:szCs w:val="21"/>
                      <w:lang w:eastAsia="zh-CN"/>
                    </w:rPr>
                  </w:pPr>
                  <w:r>
                    <w:rPr>
                      <w:rFonts w:hint="eastAsia" w:cs="Times New Roman"/>
                      <w:bCs/>
                      <w:color w:val="auto"/>
                      <w:sz w:val="21"/>
                      <w:szCs w:val="21"/>
                      <w:lang w:eastAsia="zh-CN"/>
                    </w:rPr>
                    <w:t>—</w:t>
                  </w:r>
                </w:p>
              </w:tc>
              <w:tc>
                <w:tcPr>
                  <w:tcW w:w="482" w:type="dxa"/>
                  <w:tcBorders>
                    <w:tl2br w:val="nil"/>
                    <w:tr2bl w:val="nil"/>
                  </w:tcBorders>
                  <w:vAlign w:val="center"/>
                </w:tcPr>
                <w:p w14:paraId="7B2F82B2">
                  <w:pPr>
                    <w:spacing w:line="240" w:lineRule="exact"/>
                    <w:jc w:val="center"/>
                    <w:rPr>
                      <w:rFonts w:hint="eastAsia" w:cs="Times New Roman"/>
                      <w:bCs/>
                      <w:color w:val="auto"/>
                      <w:sz w:val="21"/>
                      <w:szCs w:val="21"/>
                      <w:lang w:eastAsia="zh-CN"/>
                    </w:rPr>
                  </w:pPr>
                  <w:r>
                    <w:rPr>
                      <w:rFonts w:hint="eastAsia" w:cs="Times New Roman"/>
                      <w:bCs/>
                      <w:color w:val="auto"/>
                      <w:sz w:val="21"/>
                      <w:szCs w:val="21"/>
                      <w:lang w:eastAsia="zh-CN"/>
                    </w:rPr>
                    <w:t>—</w:t>
                  </w:r>
                </w:p>
              </w:tc>
            </w:tr>
            <w:tr w14:paraId="4625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0" w:type="dxa"/>
                  <w:vMerge w:val="continue"/>
                  <w:tcBorders>
                    <w:tl2br w:val="nil"/>
                    <w:tr2bl w:val="nil"/>
                  </w:tcBorders>
                  <w:vAlign w:val="center"/>
                </w:tcPr>
                <w:p w14:paraId="0CA85A39">
                  <w:pPr>
                    <w:spacing w:line="240" w:lineRule="exact"/>
                    <w:ind w:left="-105" w:leftChars="-50" w:right="-105" w:rightChars="-50"/>
                    <w:jc w:val="center"/>
                    <w:rPr>
                      <w:rFonts w:hint="eastAsia" w:cs="Times New Roman"/>
                      <w:color w:val="auto"/>
                      <w:szCs w:val="21"/>
                      <w:lang w:val="en-US" w:eastAsia="zh-CN"/>
                    </w:rPr>
                  </w:pPr>
                </w:p>
              </w:tc>
              <w:tc>
                <w:tcPr>
                  <w:tcW w:w="447" w:type="dxa"/>
                  <w:vMerge w:val="continue"/>
                  <w:tcBorders>
                    <w:tl2br w:val="nil"/>
                    <w:tr2bl w:val="nil"/>
                  </w:tcBorders>
                  <w:vAlign w:val="center"/>
                </w:tcPr>
                <w:p w14:paraId="2A3BB33A">
                  <w:pPr>
                    <w:spacing w:line="240" w:lineRule="exact"/>
                    <w:ind w:left="-105" w:leftChars="-50" w:right="-105" w:rightChars="-50"/>
                    <w:jc w:val="center"/>
                    <w:rPr>
                      <w:rFonts w:hint="eastAsia" w:cs="Times New Roman"/>
                      <w:color w:val="auto"/>
                      <w:szCs w:val="21"/>
                      <w:lang w:val="en-US" w:eastAsia="zh-CN"/>
                    </w:rPr>
                  </w:pPr>
                </w:p>
              </w:tc>
              <w:tc>
                <w:tcPr>
                  <w:tcW w:w="506" w:type="dxa"/>
                  <w:vMerge w:val="continue"/>
                  <w:tcBorders>
                    <w:tl2br w:val="nil"/>
                    <w:tr2bl w:val="nil"/>
                  </w:tcBorders>
                  <w:vAlign w:val="center"/>
                </w:tcPr>
                <w:p w14:paraId="123EE488">
                  <w:pPr>
                    <w:spacing w:line="240" w:lineRule="exact"/>
                    <w:ind w:left="-105" w:leftChars="-50" w:right="-105" w:rightChars="-50"/>
                    <w:jc w:val="center"/>
                    <w:rPr>
                      <w:rFonts w:hint="eastAsia" w:cs="Times New Roman"/>
                      <w:color w:val="auto"/>
                      <w:szCs w:val="21"/>
                      <w:lang w:val="en-US" w:eastAsia="zh-CN"/>
                    </w:rPr>
                  </w:pPr>
                </w:p>
              </w:tc>
              <w:tc>
                <w:tcPr>
                  <w:tcW w:w="750" w:type="dxa"/>
                  <w:tcBorders>
                    <w:tl2br w:val="nil"/>
                    <w:tr2bl w:val="nil"/>
                  </w:tcBorders>
                  <w:vAlign w:val="center"/>
                </w:tcPr>
                <w:p w14:paraId="4968013B">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default" w:ascii="Times New Roman" w:hAnsi="Times New Roman" w:cs="Times New Roman"/>
                      <w:color w:val="auto"/>
                      <w:szCs w:val="21"/>
                      <w:lang w:val="en-US" w:eastAsia="zh-CN"/>
                    </w:rPr>
                  </w:pPr>
                  <w:r>
                    <w:rPr>
                      <w:rFonts w:hint="eastAsia" w:cs="Times New Roman"/>
                      <w:color w:val="000000" w:themeColor="text1"/>
                      <w:sz w:val="21"/>
                      <w:szCs w:val="21"/>
                      <w:lang w:val="en-US" w:eastAsia="zh-CN"/>
                      <w14:textFill>
                        <w14:solidFill>
                          <w14:schemeClr w14:val="tx1"/>
                        </w14:solidFill>
                      </w14:textFill>
                    </w:rPr>
                    <w:t>BOD</w:t>
                  </w:r>
                  <w:r>
                    <w:rPr>
                      <w:rFonts w:hint="eastAsia" w:cs="Times New Roman"/>
                      <w:color w:val="000000" w:themeColor="text1"/>
                      <w:sz w:val="21"/>
                      <w:szCs w:val="21"/>
                      <w:vertAlign w:val="subscript"/>
                      <w:lang w:val="en-US" w:eastAsia="zh-CN"/>
                      <w14:textFill>
                        <w14:solidFill>
                          <w14:schemeClr w14:val="tx1"/>
                        </w14:solidFill>
                      </w14:textFill>
                    </w:rPr>
                    <w:t>5</w:t>
                  </w:r>
                </w:p>
              </w:tc>
              <w:tc>
                <w:tcPr>
                  <w:tcW w:w="540" w:type="dxa"/>
                  <w:tcBorders>
                    <w:tl2br w:val="nil"/>
                    <w:tr2bl w:val="nil"/>
                  </w:tcBorders>
                  <w:vAlign w:val="center"/>
                </w:tcPr>
                <w:p w14:paraId="03CEF467">
                  <w:pPr>
                    <w:spacing w:line="240" w:lineRule="exact"/>
                    <w:ind w:left="-105" w:leftChars="-50" w:right="-105" w:rightChars="-50"/>
                    <w:jc w:val="center"/>
                    <w:rPr>
                      <w:rFonts w:hint="default" w:cs="Times New Roman"/>
                      <w:b w:val="0"/>
                      <w:bCs w:val="0"/>
                      <w:color w:val="auto"/>
                      <w:szCs w:val="21"/>
                      <w:lang w:val="en-US" w:eastAsia="zh-CN"/>
                    </w:rPr>
                  </w:pPr>
                  <w:r>
                    <w:rPr>
                      <w:rFonts w:hint="eastAsia" w:cs="Times New Roman"/>
                      <w:b w:val="0"/>
                      <w:bCs w:val="0"/>
                      <w:color w:val="auto"/>
                      <w:szCs w:val="21"/>
                      <w:lang w:val="en-US" w:eastAsia="zh-CN"/>
                    </w:rPr>
                    <w:t>190</w:t>
                  </w:r>
                  <w:r>
                    <w:rPr>
                      <w:rFonts w:hint="default" w:ascii="Times New Roman" w:hAnsi="Times New Roman" w:cs="Times New Roman"/>
                      <w:b w:val="0"/>
                      <w:bCs w:val="0"/>
                      <w:color w:val="auto"/>
                      <w:szCs w:val="21"/>
                    </w:rPr>
                    <w:t>mg/</w:t>
                  </w:r>
                  <w:r>
                    <w:rPr>
                      <w:rFonts w:hint="eastAsia" w:cs="Times New Roman"/>
                      <w:b w:val="0"/>
                      <w:bCs w:val="0"/>
                      <w:color w:val="auto"/>
                      <w:szCs w:val="21"/>
                      <w:lang w:val="en-US" w:eastAsia="zh-CN"/>
                    </w:rPr>
                    <w:t>L</w:t>
                  </w:r>
                </w:p>
              </w:tc>
              <w:tc>
                <w:tcPr>
                  <w:tcW w:w="708" w:type="dxa"/>
                  <w:tcBorders>
                    <w:tl2br w:val="nil"/>
                    <w:tr2bl w:val="nil"/>
                  </w:tcBorders>
                  <w:vAlign w:val="center"/>
                </w:tcPr>
                <w:p w14:paraId="0C8E9216">
                  <w:pPr>
                    <w:spacing w:line="240" w:lineRule="exact"/>
                    <w:jc w:val="center"/>
                    <w:rPr>
                      <w:rFonts w:hint="default" w:cs="Times New Roman"/>
                      <w:bCs/>
                      <w:color w:val="auto"/>
                      <w:sz w:val="21"/>
                      <w:szCs w:val="21"/>
                      <w:lang w:val="en-US" w:eastAsia="zh-CN"/>
                    </w:rPr>
                  </w:pPr>
                  <w:r>
                    <w:rPr>
                      <w:rFonts w:hint="eastAsia" w:cs="Times New Roman"/>
                      <w:bCs/>
                      <w:color w:val="auto"/>
                      <w:sz w:val="21"/>
                      <w:szCs w:val="21"/>
                      <w:lang w:val="en-US" w:eastAsia="zh-CN"/>
                    </w:rPr>
                    <w:t>0.02</w:t>
                  </w:r>
                </w:p>
              </w:tc>
              <w:tc>
                <w:tcPr>
                  <w:tcW w:w="799" w:type="dxa"/>
                  <w:vMerge w:val="continue"/>
                  <w:tcBorders>
                    <w:tl2br w:val="nil"/>
                    <w:tr2bl w:val="nil"/>
                  </w:tcBorders>
                  <w:vAlign w:val="center"/>
                </w:tcPr>
                <w:p w14:paraId="003FA7AF">
                  <w:pPr>
                    <w:spacing w:line="280" w:lineRule="exact"/>
                    <w:ind w:firstLine="0" w:firstLineChars="0"/>
                    <w:jc w:val="center"/>
                    <w:rPr>
                      <w:rFonts w:hint="default" w:ascii="Times New Roman" w:hAnsi="Times New Roman" w:cs="Times New Roman"/>
                      <w:bCs/>
                      <w:color w:val="auto"/>
                      <w:sz w:val="21"/>
                      <w:szCs w:val="21"/>
                    </w:rPr>
                  </w:pPr>
                </w:p>
              </w:tc>
              <w:tc>
                <w:tcPr>
                  <w:tcW w:w="673" w:type="dxa"/>
                  <w:vMerge w:val="continue"/>
                  <w:tcBorders>
                    <w:tl2br w:val="nil"/>
                    <w:tr2bl w:val="nil"/>
                  </w:tcBorders>
                  <w:vAlign w:val="center"/>
                </w:tcPr>
                <w:p w14:paraId="1A3BC150">
                  <w:pPr>
                    <w:spacing w:line="240" w:lineRule="exact"/>
                    <w:jc w:val="center"/>
                    <w:rPr>
                      <w:rFonts w:hint="default" w:ascii="Times New Roman" w:hAnsi="Times New Roman" w:cs="Times New Roman"/>
                      <w:bCs/>
                      <w:color w:val="auto"/>
                      <w:sz w:val="21"/>
                      <w:szCs w:val="21"/>
                    </w:rPr>
                  </w:pPr>
                </w:p>
              </w:tc>
              <w:tc>
                <w:tcPr>
                  <w:tcW w:w="422" w:type="dxa"/>
                  <w:tcBorders>
                    <w:tl2br w:val="nil"/>
                    <w:tr2bl w:val="nil"/>
                  </w:tcBorders>
                  <w:vAlign w:val="center"/>
                </w:tcPr>
                <w:p w14:paraId="0F95110E">
                  <w:pPr>
                    <w:spacing w:line="240" w:lineRule="exact"/>
                    <w:jc w:val="center"/>
                    <w:rPr>
                      <w:rFonts w:hint="eastAsia" w:cs="Times New Roman"/>
                      <w:bCs/>
                      <w:color w:val="auto"/>
                      <w:sz w:val="21"/>
                      <w:szCs w:val="21"/>
                      <w:lang w:val="en-US" w:eastAsia="zh-CN"/>
                    </w:rPr>
                  </w:pPr>
                  <w:r>
                    <w:rPr>
                      <w:rFonts w:hint="eastAsia" w:cs="Times New Roman"/>
                      <w:bCs/>
                      <w:color w:val="auto"/>
                      <w:sz w:val="21"/>
                      <w:szCs w:val="21"/>
                      <w:lang w:eastAsia="zh-CN"/>
                    </w:rPr>
                    <w:t>—</w:t>
                  </w:r>
                </w:p>
              </w:tc>
              <w:tc>
                <w:tcPr>
                  <w:tcW w:w="402" w:type="dxa"/>
                  <w:vMerge w:val="continue"/>
                  <w:tcBorders>
                    <w:tl2br w:val="nil"/>
                    <w:tr2bl w:val="nil"/>
                  </w:tcBorders>
                  <w:vAlign w:val="center"/>
                </w:tcPr>
                <w:p w14:paraId="71D37436">
                  <w:pPr>
                    <w:spacing w:line="240" w:lineRule="exact"/>
                    <w:jc w:val="center"/>
                    <w:rPr>
                      <w:rFonts w:hint="default" w:ascii="Times New Roman" w:hAnsi="Times New Roman" w:cs="Times New Roman"/>
                      <w:bCs/>
                      <w:color w:val="auto"/>
                      <w:sz w:val="21"/>
                      <w:szCs w:val="21"/>
                    </w:rPr>
                  </w:pPr>
                </w:p>
              </w:tc>
              <w:tc>
                <w:tcPr>
                  <w:tcW w:w="375" w:type="dxa"/>
                  <w:vMerge w:val="continue"/>
                  <w:tcBorders>
                    <w:tl2br w:val="nil"/>
                    <w:tr2bl w:val="nil"/>
                  </w:tcBorders>
                  <w:vAlign w:val="center"/>
                </w:tcPr>
                <w:p w14:paraId="1620CDDB">
                  <w:pPr>
                    <w:spacing w:line="240" w:lineRule="exact"/>
                    <w:jc w:val="center"/>
                    <w:rPr>
                      <w:rFonts w:hint="eastAsia" w:cs="Times New Roman"/>
                      <w:color w:val="auto"/>
                      <w:szCs w:val="21"/>
                      <w:lang w:val="en-US" w:eastAsia="zh-CN"/>
                    </w:rPr>
                  </w:pPr>
                </w:p>
              </w:tc>
              <w:tc>
                <w:tcPr>
                  <w:tcW w:w="394" w:type="dxa"/>
                  <w:vMerge w:val="continue"/>
                  <w:tcBorders>
                    <w:tl2br w:val="nil"/>
                    <w:tr2bl w:val="nil"/>
                  </w:tcBorders>
                  <w:vAlign w:val="center"/>
                </w:tcPr>
                <w:p w14:paraId="4C5E84DD">
                  <w:pPr>
                    <w:spacing w:line="240" w:lineRule="exact"/>
                    <w:jc w:val="center"/>
                    <w:rPr>
                      <w:rFonts w:hint="default" w:ascii="Times New Roman" w:hAnsi="Times New Roman" w:cs="Times New Roman"/>
                      <w:bCs/>
                      <w:color w:val="auto"/>
                      <w:sz w:val="21"/>
                      <w:szCs w:val="21"/>
                    </w:rPr>
                  </w:pPr>
                </w:p>
              </w:tc>
              <w:tc>
                <w:tcPr>
                  <w:tcW w:w="394" w:type="dxa"/>
                  <w:vMerge w:val="continue"/>
                  <w:tcBorders>
                    <w:tl2br w:val="nil"/>
                    <w:tr2bl w:val="nil"/>
                  </w:tcBorders>
                  <w:vAlign w:val="center"/>
                </w:tcPr>
                <w:p w14:paraId="6BD14A32">
                  <w:pPr>
                    <w:spacing w:line="240" w:lineRule="exact"/>
                    <w:jc w:val="center"/>
                    <w:rPr>
                      <w:rFonts w:hint="default" w:ascii="Times New Roman" w:hAnsi="Times New Roman" w:cs="Times New Roman"/>
                      <w:bCs/>
                      <w:color w:val="auto"/>
                      <w:sz w:val="21"/>
                      <w:szCs w:val="21"/>
                    </w:rPr>
                  </w:pPr>
                </w:p>
              </w:tc>
              <w:tc>
                <w:tcPr>
                  <w:tcW w:w="603" w:type="dxa"/>
                  <w:vMerge w:val="continue"/>
                  <w:tcBorders>
                    <w:tl2br w:val="nil"/>
                    <w:tr2bl w:val="nil"/>
                  </w:tcBorders>
                  <w:vAlign w:val="center"/>
                </w:tcPr>
                <w:p w14:paraId="53252713">
                  <w:pPr>
                    <w:spacing w:line="240" w:lineRule="exact"/>
                    <w:jc w:val="center"/>
                    <w:rPr>
                      <w:rFonts w:hint="default" w:ascii="Times New Roman" w:hAnsi="Times New Roman" w:cs="Times New Roman"/>
                      <w:bCs/>
                      <w:color w:val="auto"/>
                      <w:sz w:val="21"/>
                      <w:szCs w:val="21"/>
                    </w:rPr>
                  </w:pPr>
                </w:p>
              </w:tc>
              <w:tc>
                <w:tcPr>
                  <w:tcW w:w="690" w:type="dxa"/>
                  <w:tcBorders>
                    <w:tl2br w:val="nil"/>
                    <w:tr2bl w:val="nil"/>
                  </w:tcBorders>
                  <w:vAlign w:val="center"/>
                </w:tcPr>
                <w:p w14:paraId="430E18C6">
                  <w:pPr>
                    <w:spacing w:line="240" w:lineRule="exact"/>
                    <w:jc w:val="center"/>
                    <w:rPr>
                      <w:rFonts w:hint="eastAsia" w:cs="Times New Roman"/>
                      <w:b w:val="0"/>
                      <w:bCs w:val="0"/>
                      <w:color w:val="auto"/>
                      <w:szCs w:val="21"/>
                      <w:lang w:val="en-US" w:eastAsia="zh-CN"/>
                    </w:rPr>
                  </w:pPr>
                  <w:r>
                    <w:rPr>
                      <w:rFonts w:hint="eastAsia" w:cs="Times New Roman"/>
                      <w:bCs/>
                      <w:color w:val="auto"/>
                      <w:sz w:val="21"/>
                      <w:szCs w:val="21"/>
                      <w:lang w:eastAsia="zh-CN"/>
                    </w:rPr>
                    <w:t>—</w:t>
                  </w:r>
                </w:p>
              </w:tc>
              <w:tc>
                <w:tcPr>
                  <w:tcW w:w="482" w:type="dxa"/>
                  <w:tcBorders>
                    <w:tl2br w:val="nil"/>
                    <w:tr2bl w:val="nil"/>
                  </w:tcBorders>
                  <w:vAlign w:val="center"/>
                </w:tcPr>
                <w:p w14:paraId="53CB9471">
                  <w:pPr>
                    <w:spacing w:line="240" w:lineRule="exact"/>
                    <w:jc w:val="center"/>
                    <w:rPr>
                      <w:rFonts w:hint="eastAsia" w:cs="Times New Roman"/>
                      <w:bCs/>
                      <w:color w:val="auto"/>
                      <w:sz w:val="21"/>
                      <w:szCs w:val="21"/>
                      <w:lang w:val="en-US" w:eastAsia="zh-CN"/>
                    </w:rPr>
                  </w:pPr>
                  <w:r>
                    <w:rPr>
                      <w:rFonts w:hint="eastAsia" w:cs="Times New Roman"/>
                      <w:bCs/>
                      <w:color w:val="auto"/>
                      <w:sz w:val="21"/>
                      <w:szCs w:val="21"/>
                      <w:lang w:eastAsia="zh-CN"/>
                    </w:rPr>
                    <w:t>—</w:t>
                  </w:r>
                </w:p>
              </w:tc>
            </w:tr>
            <w:tr w14:paraId="358A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70" w:type="dxa"/>
                  <w:vMerge w:val="continue"/>
                  <w:tcBorders>
                    <w:tl2br w:val="nil"/>
                    <w:tr2bl w:val="nil"/>
                  </w:tcBorders>
                  <w:vAlign w:val="center"/>
                </w:tcPr>
                <w:p w14:paraId="4A283D17">
                  <w:pPr>
                    <w:spacing w:line="240" w:lineRule="exact"/>
                    <w:ind w:left="-105" w:leftChars="-50" w:right="-105" w:rightChars="-50"/>
                    <w:jc w:val="center"/>
                    <w:rPr>
                      <w:rFonts w:hint="eastAsia" w:cs="Times New Roman"/>
                      <w:color w:val="auto"/>
                      <w:szCs w:val="21"/>
                      <w:lang w:val="en-US" w:eastAsia="zh-CN"/>
                    </w:rPr>
                  </w:pPr>
                </w:p>
              </w:tc>
              <w:tc>
                <w:tcPr>
                  <w:tcW w:w="447" w:type="dxa"/>
                  <w:vMerge w:val="continue"/>
                  <w:tcBorders>
                    <w:tl2br w:val="nil"/>
                    <w:tr2bl w:val="nil"/>
                  </w:tcBorders>
                  <w:vAlign w:val="center"/>
                </w:tcPr>
                <w:p w14:paraId="06AC23B8">
                  <w:pPr>
                    <w:spacing w:line="240" w:lineRule="exact"/>
                    <w:ind w:left="-105" w:leftChars="-50" w:right="-105" w:rightChars="-50"/>
                    <w:jc w:val="center"/>
                    <w:rPr>
                      <w:rFonts w:hint="eastAsia" w:cs="Times New Roman"/>
                      <w:color w:val="auto"/>
                      <w:szCs w:val="21"/>
                      <w:lang w:val="en-US" w:eastAsia="zh-CN"/>
                    </w:rPr>
                  </w:pPr>
                </w:p>
              </w:tc>
              <w:tc>
                <w:tcPr>
                  <w:tcW w:w="506" w:type="dxa"/>
                  <w:vMerge w:val="continue"/>
                  <w:tcBorders>
                    <w:tl2br w:val="nil"/>
                    <w:tr2bl w:val="nil"/>
                  </w:tcBorders>
                  <w:vAlign w:val="center"/>
                </w:tcPr>
                <w:p w14:paraId="664DA7F1">
                  <w:pPr>
                    <w:spacing w:line="240" w:lineRule="exact"/>
                    <w:ind w:left="-105" w:leftChars="-50" w:right="-105" w:rightChars="-50"/>
                    <w:jc w:val="center"/>
                    <w:rPr>
                      <w:rFonts w:hint="eastAsia" w:cs="Times New Roman"/>
                      <w:color w:val="auto"/>
                      <w:szCs w:val="21"/>
                      <w:lang w:val="en-US" w:eastAsia="zh-CN"/>
                    </w:rPr>
                  </w:pPr>
                </w:p>
              </w:tc>
              <w:tc>
                <w:tcPr>
                  <w:tcW w:w="750" w:type="dxa"/>
                  <w:tcBorders>
                    <w:tl2br w:val="nil"/>
                    <w:tr2bl w:val="nil"/>
                  </w:tcBorders>
                  <w:vAlign w:val="center"/>
                </w:tcPr>
                <w:p w14:paraId="49DA50AA">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 w:val="21"/>
                      <w:szCs w:val="21"/>
                      <w:lang w:val="en-US" w:eastAsia="zh-CN"/>
                    </w:rPr>
                    <w:t>SS</w:t>
                  </w:r>
                </w:p>
              </w:tc>
              <w:tc>
                <w:tcPr>
                  <w:tcW w:w="540" w:type="dxa"/>
                  <w:tcBorders>
                    <w:tl2br w:val="nil"/>
                    <w:tr2bl w:val="nil"/>
                  </w:tcBorders>
                  <w:vAlign w:val="center"/>
                </w:tcPr>
                <w:p w14:paraId="0D8961CF">
                  <w:pPr>
                    <w:spacing w:line="240" w:lineRule="exact"/>
                    <w:ind w:left="-105" w:leftChars="-50" w:right="-105" w:rightChars="-50"/>
                    <w:jc w:val="center"/>
                    <w:rPr>
                      <w:rFonts w:hint="default" w:cs="Times New Roman"/>
                      <w:b w:val="0"/>
                      <w:bCs w:val="0"/>
                      <w:color w:val="auto"/>
                      <w:szCs w:val="21"/>
                      <w:lang w:val="en-US" w:eastAsia="zh-CN"/>
                    </w:rPr>
                  </w:pPr>
                  <w:r>
                    <w:rPr>
                      <w:rFonts w:hint="eastAsia" w:cs="Times New Roman"/>
                      <w:b w:val="0"/>
                      <w:bCs w:val="0"/>
                      <w:color w:val="auto"/>
                      <w:szCs w:val="21"/>
                      <w:lang w:val="en-US" w:eastAsia="zh-CN"/>
                    </w:rPr>
                    <w:t>200</w:t>
                  </w:r>
                  <w:r>
                    <w:rPr>
                      <w:rFonts w:hint="default" w:ascii="Times New Roman" w:hAnsi="Times New Roman" w:cs="Times New Roman"/>
                      <w:b w:val="0"/>
                      <w:bCs w:val="0"/>
                      <w:color w:val="auto"/>
                      <w:szCs w:val="21"/>
                    </w:rPr>
                    <w:t>mg/</w:t>
                  </w:r>
                  <w:r>
                    <w:rPr>
                      <w:rFonts w:hint="eastAsia" w:cs="Times New Roman"/>
                      <w:b w:val="0"/>
                      <w:bCs w:val="0"/>
                      <w:color w:val="auto"/>
                      <w:szCs w:val="21"/>
                      <w:lang w:val="en-US" w:eastAsia="zh-CN"/>
                    </w:rPr>
                    <w:t>L</w:t>
                  </w:r>
                </w:p>
              </w:tc>
              <w:tc>
                <w:tcPr>
                  <w:tcW w:w="708" w:type="dxa"/>
                  <w:tcBorders>
                    <w:tl2br w:val="nil"/>
                    <w:tr2bl w:val="nil"/>
                  </w:tcBorders>
                  <w:vAlign w:val="center"/>
                </w:tcPr>
                <w:p w14:paraId="07B75141">
                  <w:pPr>
                    <w:spacing w:line="240" w:lineRule="exact"/>
                    <w:jc w:val="center"/>
                    <w:rPr>
                      <w:rFonts w:hint="default" w:cs="Times New Roman"/>
                      <w:bCs/>
                      <w:color w:val="auto"/>
                      <w:sz w:val="21"/>
                      <w:szCs w:val="21"/>
                      <w:lang w:val="en-US" w:eastAsia="zh-CN"/>
                    </w:rPr>
                  </w:pPr>
                  <w:r>
                    <w:rPr>
                      <w:rFonts w:hint="eastAsia" w:cs="Times New Roman"/>
                      <w:bCs/>
                      <w:color w:val="auto"/>
                      <w:sz w:val="21"/>
                      <w:szCs w:val="21"/>
                      <w:lang w:val="en-US" w:eastAsia="zh-CN"/>
                    </w:rPr>
                    <w:t>0.02</w:t>
                  </w:r>
                </w:p>
              </w:tc>
              <w:tc>
                <w:tcPr>
                  <w:tcW w:w="799" w:type="dxa"/>
                  <w:vMerge w:val="continue"/>
                  <w:tcBorders>
                    <w:tl2br w:val="nil"/>
                    <w:tr2bl w:val="nil"/>
                  </w:tcBorders>
                  <w:vAlign w:val="center"/>
                </w:tcPr>
                <w:p w14:paraId="063DE58F">
                  <w:pPr>
                    <w:spacing w:line="280" w:lineRule="exact"/>
                    <w:ind w:firstLine="0" w:firstLineChars="0"/>
                    <w:jc w:val="center"/>
                    <w:rPr>
                      <w:rFonts w:hint="default" w:ascii="Times New Roman" w:hAnsi="Times New Roman" w:cs="Times New Roman"/>
                      <w:bCs/>
                      <w:color w:val="auto"/>
                      <w:sz w:val="21"/>
                      <w:szCs w:val="21"/>
                    </w:rPr>
                  </w:pPr>
                </w:p>
              </w:tc>
              <w:tc>
                <w:tcPr>
                  <w:tcW w:w="673" w:type="dxa"/>
                  <w:vMerge w:val="continue"/>
                  <w:tcBorders>
                    <w:tl2br w:val="nil"/>
                    <w:tr2bl w:val="nil"/>
                  </w:tcBorders>
                  <w:vAlign w:val="center"/>
                </w:tcPr>
                <w:p w14:paraId="00178B36">
                  <w:pPr>
                    <w:spacing w:line="240" w:lineRule="exact"/>
                    <w:jc w:val="center"/>
                    <w:rPr>
                      <w:rFonts w:hint="default" w:ascii="Times New Roman" w:hAnsi="Times New Roman" w:cs="Times New Roman"/>
                      <w:bCs/>
                      <w:color w:val="auto"/>
                      <w:sz w:val="21"/>
                      <w:szCs w:val="21"/>
                    </w:rPr>
                  </w:pPr>
                </w:p>
              </w:tc>
              <w:tc>
                <w:tcPr>
                  <w:tcW w:w="422" w:type="dxa"/>
                  <w:tcBorders>
                    <w:tl2br w:val="nil"/>
                    <w:tr2bl w:val="nil"/>
                  </w:tcBorders>
                  <w:vAlign w:val="center"/>
                </w:tcPr>
                <w:p w14:paraId="417B41F6">
                  <w:pPr>
                    <w:spacing w:line="240" w:lineRule="exact"/>
                    <w:jc w:val="center"/>
                    <w:rPr>
                      <w:rFonts w:hint="eastAsia" w:cs="Times New Roman"/>
                      <w:bCs/>
                      <w:color w:val="auto"/>
                      <w:sz w:val="21"/>
                      <w:szCs w:val="21"/>
                      <w:lang w:val="en-US" w:eastAsia="zh-CN"/>
                    </w:rPr>
                  </w:pPr>
                  <w:r>
                    <w:rPr>
                      <w:rFonts w:hint="eastAsia" w:cs="Times New Roman"/>
                      <w:bCs/>
                      <w:color w:val="auto"/>
                      <w:sz w:val="21"/>
                      <w:szCs w:val="21"/>
                      <w:lang w:eastAsia="zh-CN"/>
                    </w:rPr>
                    <w:t>—</w:t>
                  </w:r>
                </w:p>
              </w:tc>
              <w:tc>
                <w:tcPr>
                  <w:tcW w:w="402" w:type="dxa"/>
                  <w:vMerge w:val="continue"/>
                  <w:tcBorders>
                    <w:tl2br w:val="nil"/>
                    <w:tr2bl w:val="nil"/>
                  </w:tcBorders>
                  <w:vAlign w:val="center"/>
                </w:tcPr>
                <w:p w14:paraId="016C835F">
                  <w:pPr>
                    <w:spacing w:line="240" w:lineRule="exact"/>
                    <w:jc w:val="center"/>
                    <w:rPr>
                      <w:rFonts w:hint="default" w:ascii="Times New Roman" w:hAnsi="Times New Roman" w:cs="Times New Roman"/>
                      <w:bCs/>
                      <w:color w:val="auto"/>
                      <w:sz w:val="21"/>
                      <w:szCs w:val="21"/>
                    </w:rPr>
                  </w:pPr>
                </w:p>
              </w:tc>
              <w:tc>
                <w:tcPr>
                  <w:tcW w:w="375" w:type="dxa"/>
                  <w:vMerge w:val="continue"/>
                  <w:tcBorders>
                    <w:tl2br w:val="nil"/>
                    <w:tr2bl w:val="nil"/>
                  </w:tcBorders>
                  <w:vAlign w:val="center"/>
                </w:tcPr>
                <w:p w14:paraId="7A0915C9">
                  <w:pPr>
                    <w:spacing w:line="240" w:lineRule="exact"/>
                    <w:jc w:val="center"/>
                    <w:rPr>
                      <w:rFonts w:hint="eastAsia" w:cs="Times New Roman"/>
                      <w:color w:val="auto"/>
                      <w:szCs w:val="21"/>
                      <w:lang w:val="en-US" w:eastAsia="zh-CN"/>
                    </w:rPr>
                  </w:pPr>
                </w:p>
              </w:tc>
              <w:tc>
                <w:tcPr>
                  <w:tcW w:w="394" w:type="dxa"/>
                  <w:vMerge w:val="continue"/>
                  <w:tcBorders>
                    <w:tl2br w:val="nil"/>
                    <w:tr2bl w:val="nil"/>
                  </w:tcBorders>
                  <w:vAlign w:val="center"/>
                </w:tcPr>
                <w:p w14:paraId="766BC02D">
                  <w:pPr>
                    <w:spacing w:line="240" w:lineRule="exact"/>
                    <w:jc w:val="center"/>
                    <w:rPr>
                      <w:rFonts w:hint="default" w:ascii="Times New Roman" w:hAnsi="Times New Roman" w:cs="Times New Roman"/>
                      <w:bCs/>
                      <w:color w:val="auto"/>
                      <w:sz w:val="21"/>
                      <w:szCs w:val="21"/>
                    </w:rPr>
                  </w:pPr>
                </w:p>
              </w:tc>
              <w:tc>
                <w:tcPr>
                  <w:tcW w:w="394" w:type="dxa"/>
                  <w:vMerge w:val="continue"/>
                  <w:tcBorders>
                    <w:tl2br w:val="nil"/>
                    <w:tr2bl w:val="nil"/>
                  </w:tcBorders>
                  <w:vAlign w:val="center"/>
                </w:tcPr>
                <w:p w14:paraId="632327EE">
                  <w:pPr>
                    <w:spacing w:line="240" w:lineRule="exact"/>
                    <w:jc w:val="center"/>
                    <w:rPr>
                      <w:rFonts w:hint="default" w:ascii="Times New Roman" w:hAnsi="Times New Roman" w:cs="Times New Roman"/>
                      <w:bCs/>
                      <w:color w:val="auto"/>
                      <w:sz w:val="21"/>
                      <w:szCs w:val="21"/>
                    </w:rPr>
                  </w:pPr>
                </w:p>
              </w:tc>
              <w:tc>
                <w:tcPr>
                  <w:tcW w:w="603" w:type="dxa"/>
                  <w:vMerge w:val="continue"/>
                  <w:tcBorders>
                    <w:tl2br w:val="nil"/>
                    <w:tr2bl w:val="nil"/>
                  </w:tcBorders>
                  <w:vAlign w:val="center"/>
                </w:tcPr>
                <w:p w14:paraId="3B87FC13">
                  <w:pPr>
                    <w:spacing w:line="240" w:lineRule="exact"/>
                    <w:jc w:val="center"/>
                    <w:rPr>
                      <w:rFonts w:hint="default" w:ascii="Times New Roman" w:hAnsi="Times New Roman" w:cs="Times New Roman"/>
                      <w:bCs/>
                      <w:color w:val="auto"/>
                      <w:sz w:val="21"/>
                      <w:szCs w:val="21"/>
                    </w:rPr>
                  </w:pPr>
                </w:p>
              </w:tc>
              <w:tc>
                <w:tcPr>
                  <w:tcW w:w="690" w:type="dxa"/>
                  <w:tcBorders>
                    <w:tl2br w:val="nil"/>
                    <w:tr2bl w:val="nil"/>
                  </w:tcBorders>
                  <w:vAlign w:val="center"/>
                </w:tcPr>
                <w:p w14:paraId="7C480EF4">
                  <w:pPr>
                    <w:spacing w:line="240" w:lineRule="exact"/>
                    <w:jc w:val="center"/>
                    <w:rPr>
                      <w:rFonts w:hint="eastAsia" w:cs="Times New Roman"/>
                      <w:b w:val="0"/>
                      <w:bCs w:val="0"/>
                      <w:color w:val="auto"/>
                      <w:szCs w:val="21"/>
                      <w:lang w:val="en-US" w:eastAsia="zh-CN"/>
                    </w:rPr>
                  </w:pPr>
                  <w:r>
                    <w:rPr>
                      <w:rFonts w:hint="eastAsia" w:cs="Times New Roman"/>
                      <w:bCs/>
                      <w:color w:val="auto"/>
                      <w:sz w:val="21"/>
                      <w:szCs w:val="21"/>
                      <w:lang w:eastAsia="zh-CN"/>
                    </w:rPr>
                    <w:t>—</w:t>
                  </w:r>
                </w:p>
              </w:tc>
              <w:tc>
                <w:tcPr>
                  <w:tcW w:w="482" w:type="dxa"/>
                  <w:tcBorders>
                    <w:tl2br w:val="nil"/>
                    <w:tr2bl w:val="nil"/>
                  </w:tcBorders>
                  <w:vAlign w:val="center"/>
                </w:tcPr>
                <w:p w14:paraId="49F38BF5">
                  <w:pPr>
                    <w:spacing w:line="240" w:lineRule="exact"/>
                    <w:jc w:val="center"/>
                    <w:rPr>
                      <w:rFonts w:hint="eastAsia" w:cs="Times New Roman"/>
                      <w:bCs/>
                      <w:color w:val="auto"/>
                      <w:sz w:val="21"/>
                      <w:szCs w:val="21"/>
                      <w:lang w:val="en-US" w:eastAsia="zh-CN"/>
                    </w:rPr>
                  </w:pPr>
                  <w:r>
                    <w:rPr>
                      <w:rFonts w:hint="eastAsia" w:cs="Times New Roman"/>
                      <w:bCs/>
                      <w:color w:val="auto"/>
                      <w:sz w:val="21"/>
                      <w:szCs w:val="21"/>
                      <w:lang w:eastAsia="zh-CN"/>
                    </w:rPr>
                    <w:t>—</w:t>
                  </w:r>
                </w:p>
              </w:tc>
            </w:tr>
            <w:tr w14:paraId="4AB5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70" w:type="dxa"/>
                  <w:vMerge w:val="continue"/>
                  <w:tcBorders>
                    <w:tl2br w:val="nil"/>
                    <w:tr2bl w:val="nil"/>
                  </w:tcBorders>
                  <w:vAlign w:val="center"/>
                </w:tcPr>
                <w:p w14:paraId="7B2BBDDD">
                  <w:pPr>
                    <w:spacing w:line="240" w:lineRule="exact"/>
                    <w:ind w:left="-105" w:leftChars="-50" w:right="-105" w:rightChars="-50"/>
                    <w:jc w:val="center"/>
                    <w:rPr>
                      <w:rFonts w:hint="eastAsia" w:cs="Times New Roman"/>
                      <w:color w:val="auto"/>
                      <w:szCs w:val="21"/>
                      <w:lang w:val="en-US" w:eastAsia="zh-CN"/>
                    </w:rPr>
                  </w:pPr>
                </w:p>
              </w:tc>
              <w:tc>
                <w:tcPr>
                  <w:tcW w:w="447" w:type="dxa"/>
                  <w:vMerge w:val="continue"/>
                  <w:tcBorders>
                    <w:tl2br w:val="nil"/>
                    <w:tr2bl w:val="nil"/>
                  </w:tcBorders>
                  <w:vAlign w:val="center"/>
                </w:tcPr>
                <w:p w14:paraId="0659A31F">
                  <w:pPr>
                    <w:spacing w:line="240" w:lineRule="exact"/>
                    <w:ind w:left="-105" w:leftChars="-50" w:right="-105" w:rightChars="-50"/>
                    <w:jc w:val="center"/>
                    <w:rPr>
                      <w:rFonts w:hint="eastAsia" w:cs="Times New Roman"/>
                      <w:color w:val="auto"/>
                      <w:szCs w:val="21"/>
                      <w:lang w:val="en-US" w:eastAsia="zh-CN"/>
                    </w:rPr>
                  </w:pPr>
                </w:p>
              </w:tc>
              <w:tc>
                <w:tcPr>
                  <w:tcW w:w="506" w:type="dxa"/>
                  <w:vMerge w:val="continue"/>
                  <w:tcBorders>
                    <w:tl2br w:val="nil"/>
                    <w:tr2bl w:val="nil"/>
                  </w:tcBorders>
                  <w:vAlign w:val="center"/>
                </w:tcPr>
                <w:p w14:paraId="6A632AB5">
                  <w:pPr>
                    <w:spacing w:line="240" w:lineRule="exact"/>
                    <w:ind w:left="-105" w:leftChars="-50" w:right="-105" w:rightChars="-50"/>
                    <w:jc w:val="center"/>
                    <w:rPr>
                      <w:rFonts w:hint="eastAsia" w:cs="Times New Roman"/>
                      <w:color w:val="auto"/>
                      <w:szCs w:val="21"/>
                      <w:lang w:val="en-US" w:eastAsia="zh-CN"/>
                    </w:rPr>
                  </w:pPr>
                </w:p>
              </w:tc>
              <w:tc>
                <w:tcPr>
                  <w:tcW w:w="750" w:type="dxa"/>
                  <w:tcBorders>
                    <w:tl2br w:val="nil"/>
                    <w:tr2bl w:val="nil"/>
                  </w:tcBorders>
                  <w:vAlign w:val="center"/>
                </w:tcPr>
                <w:p w14:paraId="20D57391">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氨氮</w:t>
                  </w:r>
                </w:p>
              </w:tc>
              <w:tc>
                <w:tcPr>
                  <w:tcW w:w="540" w:type="dxa"/>
                  <w:tcBorders>
                    <w:tl2br w:val="nil"/>
                    <w:tr2bl w:val="nil"/>
                  </w:tcBorders>
                  <w:vAlign w:val="center"/>
                </w:tcPr>
                <w:p w14:paraId="7C08CB41">
                  <w:pPr>
                    <w:spacing w:line="240" w:lineRule="exact"/>
                    <w:ind w:left="-105" w:leftChars="-50" w:right="-105" w:rightChars="-50"/>
                    <w:jc w:val="center"/>
                    <w:rPr>
                      <w:rFonts w:hint="default" w:cs="Times New Roman"/>
                      <w:b w:val="0"/>
                      <w:bCs w:val="0"/>
                      <w:color w:val="auto"/>
                      <w:szCs w:val="21"/>
                      <w:lang w:val="en-US" w:eastAsia="zh-CN"/>
                    </w:rPr>
                  </w:pPr>
                  <w:r>
                    <w:rPr>
                      <w:rFonts w:hint="eastAsia" w:cs="Times New Roman"/>
                      <w:b w:val="0"/>
                      <w:bCs w:val="0"/>
                      <w:color w:val="auto"/>
                      <w:szCs w:val="21"/>
                      <w:lang w:val="en-US" w:eastAsia="zh-CN"/>
                    </w:rPr>
                    <w:t>25</w:t>
                  </w:r>
                  <w:r>
                    <w:rPr>
                      <w:rFonts w:hint="default" w:ascii="Times New Roman" w:hAnsi="Times New Roman" w:cs="Times New Roman"/>
                      <w:b w:val="0"/>
                      <w:bCs w:val="0"/>
                      <w:color w:val="auto"/>
                      <w:szCs w:val="21"/>
                    </w:rPr>
                    <w:t>mg/</w:t>
                  </w:r>
                  <w:r>
                    <w:rPr>
                      <w:rFonts w:hint="eastAsia" w:cs="Times New Roman"/>
                      <w:b w:val="0"/>
                      <w:bCs w:val="0"/>
                      <w:color w:val="auto"/>
                      <w:szCs w:val="21"/>
                      <w:lang w:val="en-US" w:eastAsia="zh-CN"/>
                    </w:rPr>
                    <w:t>L</w:t>
                  </w:r>
                </w:p>
              </w:tc>
              <w:tc>
                <w:tcPr>
                  <w:tcW w:w="708" w:type="dxa"/>
                  <w:tcBorders>
                    <w:tl2br w:val="nil"/>
                    <w:tr2bl w:val="nil"/>
                  </w:tcBorders>
                  <w:vAlign w:val="center"/>
                </w:tcPr>
                <w:p w14:paraId="2B099564">
                  <w:pPr>
                    <w:spacing w:line="240" w:lineRule="exact"/>
                    <w:jc w:val="center"/>
                    <w:rPr>
                      <w:rFonts w:hint="default" w:cs="Times New Roman"/>
                      <w:bCs/>
                      <w:color w:val="auto"/>
                      <w:sz w:val="21"/>
                      <w:szCs w:val="21"/>
                      <w:lang w:val="en-US" w:eastAsia="zh-CN"/>
                    </w:rPr>
                  </w:pPr>
                  <w:r>
                    <w:rPr>
                      <w:rFonts w:hint="eastAsia" w:cs="Times New Roman"/>
                      <w:bCs/>
                      <w:color w:val="auto"/>
                      <w:sz w:val="21"/>
                      <w:szCs w:val="21"/>
                      <w:lang w:val="en-US" w:eastAsia="zh-CN"/>
                    </w:rPr>
                    <w:t>0.003</w:t>
                  </w:r>
                </w:p>
              </w:tc>
              <w:tc>
                <w:tcPr>
                  <w:tcW w:w="799" w:type="dxa"/>
                  <w:vMerge w:val="continue"/>
                  <w:tcBorders>
                    <w:tl2br w:val="nil"/>
                    <w:tr2bl w:val="nil"/>
                  </w:tcBorders>
                  <w:vAlign w:val="center"/>
                </w:tcPr>
                <w:p w14:paraId="28F51299">
                  <w:pPr>
                    <w:spacing w:line="280" w:lineRule="exact"/>
                    <w:ind w:firstLine="0" w:firstLineChars="0"/>
                    <w:jc w:val="center"/>
                    <w:rPr>
                      <w:rFonts w:hint="default" w:ascii="Times New Roman" w:hAnsi="Times New Roman" w:cs="Times New Roman"/>
                      <w:bCs/>
                      <w:color w:val="auto"/>
                      <w:sz w:val="21"/>
                      <w:szCs w:val="21"/>
                    </w:rPr>
                  </w:pPr>
                </w:p>
              </w:tc>
              <w:tc>
                <w:tcPr>
                  <w:tcW w:w="673" w:type="dxa"/>
                  <w:vMerge w:val="continue"/>
                  <w:tcBorders>
                    <w:tl2br w:val="nil"/>
                    <w:tr2bl w:val="nil"/>
                  </w:tcBorders>
                  <w:vAlign w:val="center"/>
                </w:tcPr>
                <w:p w14:paraId="7B176887">
                  <w:pPr>
                    <w:spacing w:line="240" w:lineRule="exact"/>
                    <w:jc w:val="center"/>
                    <w:rPr>
                      <w:rFonts w:hint="default" w:ascii="Times New Roman" w:hAnsi="Times New Roman" w:cs="Times New Roman"/>
                      <w:bCs/>
                      <w:color w:val="auto"/>
                      <w:sz w:val="21"/>
                      <w:szCs w:val="21"/>
                    </w:rPr>
                  </w:pPr>
                </w:p>
              </w:tc>
              <w:tc>
                <w:tcPr>
                  <w:tcW w:w="422" w:type="dxa"/>
                  <w:tcBorders>
                    <w:tl2br w:val="nil"/>
                    <w:tr2bl w:val="nil"/>
                  </w:tcBorders>
                  <w:vAlign w:val="center"/>
                </w:tcPr>
                <w:p w14:paraId="652E689B">
                  <w:pPr>
                    <w:spacing w:line="240" w:lineRule="exact"/>
                    <w:jc w:val="center"/>
                    <w:rPr>
                      <w:rFonts w:hint="eastAsia" w:cs="Times New Roman"/>
                      <w:bCs/>
                      <w:color w:val="auto"/>
                      <w:sz w:val="21"/>
                      <w:szCs w:val="21"/>
                      <w:lang w:val="en-US" w:eastAsia="zh-CN"/>
                    </w:rPr>
                  </w:pPr>
                  <w:r>
                    <w:rPr>
                      <w:rFonts w:hint="eastAsia" w:cs="Times New Roman"/>
                      <w:bCs/>
                      <w:color w:val="auto"/>
                      <w:sz w:val="21"/>
                      <w:szCs w:val="21"/>
                      <w:lang w:eastAsia="zh-CN"/>
                    </w:rPr>
                    <w:t>—</w:t>
                  </w:r>
                </w:p>
              </w:tc>
              <w:tc>
                <w:tcPr>
                  <w:tcW w:w="402" w:type="dxa"/>
                  <w:vMerge w:val="continue"/>
                  <w:tcBorders>
                    <w:tl2br w:val="nil"/>
                    <w:tr2bl w:val="nil"/>
                  </w:tcBorders>
                  <w:vAlign w:val="center"/>
                </w:tcPr>
                <w:p w14:paraId="0AF92599">
                  <w:pPr>
                    <w:spacing w:line="240" w:lineRule="exact"/>
                    <w:jc w:val="center"/>
                    <w:rPr>
                      <w:rFonts w:hint="default" w:ascii="Times New Roman" w:hAnsi="Times New Roman" w:cs="Times New Roman"/>
                      <w:bCs/>
                      <w:color w:val="auto"/>
                      <w:sz w:val="21"/>
                      <w:szCs w:val="21"/>
                    </w:rPr>
                  </w:pPr>
                </w:p>
              </w:tc>
              <w:tc>
                <w:tcPr>
                  <w:tcW w:w="375" w:type="dxa"/>
                  <w:vMerge w:val="continue"/>
                  <w:tcBorders>
                    <w:tl2br w:val="nil"/>
                    <w:tr2bl w:val="nil"/>
                  </w:tcBorders>
                  <w:vAlign w:val="center"/>
                </w:tcPr>
                <w:p w14:paraId="614BED8A">
                  <w:pPr>
                    <w:spacing w:line="240" w:lineRule="exact"/>
                    <w:jc w:val="center"/>
                    <w:rPr>
                      <w:rFonts w:hint="eastAsia" w:cs="Times New Roman"/>
                      <w:color w:val="auto"/>
                      <w:szCs w:val="21"/>
                      <w:lang w:val="en-US" w:eastAsia="zh-CN"/>
                    </w:rPr>
                  </w:pPr>
                </w:p>
              </w:tc>
              <w:tc>
                <w:tcPr>
                  <w:tcW w:w="394" w:type="dxa"/>
                  <w:vMerge w:val="continue"/>
                  <w:tcBorders>
                    <w:tl2br w:val="nil"/>
                    <w:tr2bl w:val="nil"/>
                  </w:tcBorders>
                  <w:vAlign w:val="center"/>
                </w:tcPr>
                <w:p w14:paraId="69F5A0F9">
                  <w:pPr>
                    <w:spacing w:line="240" w:lineRule="exact"/>
                    <w:jc w:val="center"/>
                    <w:rPr>
                      <w:rFonts w:hint="default" w:ascii="Times New Roman" w:hAnsi="Times New Roman" w:cs="Times New Roman"/>
                      <w:bCs/>
                      <w:color w:val="auto"/>
                      <w:sz w:val="21"/>
                      <w:szCs w:val="21"/>
                    </w:rPr>
                  </w:pPr>
                </w:p>
              </w:tc>
              <w:tc>
                <w:tcPr>
                  <w:tcW w:w="394" w:type="dxa"/>
                  <w:vMerge w:val="continue"/>
                  <w:tcBorders>
                    <w:tl2br w:val="nil"/>
                    <w:tr2bl w:val="nil"/>
                  </w:tcBorders>
                  <w:vAlign w:val="center"/>
                </w:tcPr>
                <w:p w14:paraId="62A7233C">
                  <w:pPr>
                    <w:spacing w:line="240" w:lineRule="exact"/>
                    <w:jc w:val="center"/>
                    <w:rPr>
                      <w:rFonts w:hint="default" w:ascii="Times New Roman" w:hAnsi="Times New Roman" w:cs="Times New Roman"/>
                      <w:bCs/>
                      <w:color w:val="auto"/>
                      <w:sz w:val="21"/>
                      <w:szCs w:val="21"/>
                    </w:rPr>
                  </w:pPr>
                </w:p>
              </w:tc>
              <w:tc>
                <w:tcPr>
                  <w:tcW w:w="603" w:type="dxa"/>
                  <w:vMerge w:val="continue"/>
                  <w:tcBorders>
                    <w:tl2br w:val="nil"/>
                    <w:tr2bl w:val="nil"/>
                  </w:tcBorders>
                  <w:vAlign w:val="center"/>
                </w:tcPr>
                <w:p w14:paraId="6AA0D0CE">
                  <w:pPr>
                    <w:spacing w:line="240" w:lineRule="exact"/>
                    <w:jc w:val="center"/>
                    <w:rPr>
                      <w:rFonts w:hint="default" w:ascii="Times New Roman" w:hAnsi="Times New Roman" w:cs="Times New Roman"/>
                      <w:bCs/>
                      <w:color w:val="auto"/>
                      <w:sz w:val="21"/>
                      <w:szCs w:val="21"/>
                    </w:rPr>
                  </w:pPr>
                </w:p>
              </w:tc>
              <w:tc>
                <w:tcPr>
                  <w:tcW w:w="690" w:type="dxa"/>
                  <w:tcBorders>
                    <w:tl2br w:val="nil"/>
                    <w:tr2bl w:val="nil"/>
                  </w:tcBorders>
                  <w:vAlign w:val="center"/>
                </w:tcPr>
                <w:p w14:paraId="3482C8D2">
                  <w:pPr>
                    <w:spacing w:line="240" w:lineRule="exact"/>
                    <w:jc w:val="center"/>
                    <w:rPr>
                      <w:rFonts w:hint="eastAsia" w:cs="Times New Roman"/>
                      <w:b w:val="0"/>
                      <w:bCs w:val="0"/>
                      <w:color w:val="auto"/>
                      <w:szCs w:val="21"/>
                      <w:lang w:val="en-US" w:eastAsia="zh-CN"/>
                    </w:rPr>
                  </w:pPr>
                  <w:r>
                    <w:rPr>
                      <w:rFonts w:hint="eastAsia" w:cs="Times New Roman"/>
                      <w:bCs/>
                      <w:color w:val="auto"/>
                      <w:sz w:val="21"/>
                      <w:szCs w:val="21"/>
                      <w:lang w:eastAsia="zh-CN"/>
                    </w:rPr>
                    <w:t>—</w:t>
                  </w:r>
                </w:p>
              </w:tc>
              <w:tc>
                <w:tcPr>
                  <w:tcW w:w="482" w:type="dxa"/>
                  <w:tcBorders>
                    <w:tl2br w:val="nil"/>
                    <w:tr2bl w:val="nil"/>
                  </w:tcBorders>
                  <w:vAlign w:val="center"/>
                </w:tcPr>
                <w:p w14:paraId="445974DB">
                  <w:pPr>
                    <w:spacing w:line="240" w:lineRule="exact"/>
                    <w:jc w:val="center"/>
                    <w:rPr>
                      <w:rFonts w:hint="eastAsia" w:cs="Times New Roman"/>
                      <w:bCs/>
                      <w:color w:val="auto"/>
                      <w:sz w:val="21"/>
                      <w:szCs w:val="21"/>
                      <w:lang w:val="en-US" w:eastAsia="zh-CN"/>
                    </w:rPr>
                  </w:pPr>
                  <w:r>
                    <w:rPr>
                      <w:rFonts w:hint="eastAsia" w:cs="Times New Roman"/>
                      <w:bCs/>
                      <w:color w:val="auto"/>
                      <w:sz w:val="21"/>
                      <w:szCs w:val="21"/>
                      <w:lang w:eastAsia="zh-CN"/>
                    </w:rPr>
                    <w:t>—</w:t>
                  </w:r>
                </w:p>
              </w:tc>
            </w:tr>
          </w:tbl>
          <w:p w14:paraId="439F8352">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cs="Times New Roman"/>
                <w:b w:val="0"/>
                <w:bCs w:val="0"/>
                <w:color w:val="auto"/>
                <w:sz w:val="24"/>
              </w:rPr>
              <w:t>（</w:t>
            </w:r>
            <w:r>
              <w:rPr>
                <w:rFonts w:hint="eastAsia" w:cs="Times New Roman"/>
                <w:b w:val="0"/>
                <w:bCs w:val="0"/>
                <w:color w:val="auto"/>
                <w:sz w:val="24"/>
                <w:lang w:val="en-US" w:eastAsia="zh-CN"/>
              </w:rPr>
              <w:t>2</w:t>
            </w:r>
            <w:r>
              <w:rPr>
                <w:rFonts w:hint="default" w:ascii="Times New Roman" w:hAnsi="Times New Roman" w:cs="Times New Roman"/>
                <w:b w:val="0"/>
                <w:bCs w:val="0"/>
                <w:color w:val="auto"/>
                <w:sz w:val="24"/>
              </w:rPr>
              <w:t>）</w:t>
            </w:r>
            <w:r>
              <w:rPr>
                <w:rFonts w:hint="eastAsia" w:cs="Times New Roman"/>
                <w:b w:val="0"/>
                <w:bCs w:val="0"/>
                <w:color w:val="auto"/>
                <w:sz w:val="24"/>
                <w:lang w:val="en-US" w:eastAsia="zh-CN"/>
              </w:rPr>
              <w:t>环保措施可行性分析</w:t>
            </w:r>
          </w:p>
          <w:p w14:paraId="7CCABAB0">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eastAsia" w:cs="Times New Roman" w:eastAsiaTheme="minorEastAsia"/>
                <w:color w:val="0000FF"/>
                <w:sz w:val="24"/>
                <w:lang w:val="en-US" w:eastAsia="zh-CN"/>
              </w:rPr>
            </w:pPr>
            <w:r>
              <w:rPr>
                <w:rFonts w:hint="eastAsia" w:cs="Times New Roman" w:eastAsiaTheme="minorEastAsia"/>
                <w:color w:val="0000FF"/>
                <w:sz w:val="24"/>
                <w:lang w:val="en-US" w:eastAsia="zh-CN"/>
              </w:rPr>
              <w:t>废水沉淀池是应用沉淀作用去除水中悬浮物的一种构筑物。本项目清洗过程无需添加清洗剂，仅用清水进行清洗，湿式粉碎、清洗等废水中含有的污染物主要为SS等，水质简单，经沉淀池沉淀后，可使部分悬浮物沉淀至池底，形成沉淀池底泥。本项目湿式粉碎、清洗用水对水质要求不高，经过沉淀池处理后的水可以满足要求。</w:t>
            </w:r>
          </w:p>
          <w:p w14:paraId="6F9014E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cs="Times New Roman" w:eastAsiaTheme="minorEastAsia"/>
                <w:color w:val="auto"/>
                <w:sz w:val="24"/>
                <w:lang w:val="en-US" w:eastAsia="zh-CN"/>
              </w:rPr>
            </w:pPr>
            <w:r>
              <w:rPr>
                <w:rFonts w:hint="eastAsia" w:cs="Times New Roman" w:eastAsiaTheme="minorEastAsia"/>
                <w:color w:val="auto"/>
                <w:sz w:val="24"/>
                <w:lang w:val="en-US" w:eastAsia="zh-CN"/>
              </w:rPr>
              <w:t>综上，本项目废水治理措施可行。</w:t>
            </w:r>
          </w:p>
          <w:p w14:paraId="6EFC6EB1">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cs="Times New Roman" w:eastAsiaTheme="minorEastAsia"/>
                <w:color w:val="auto"/>
                <w:sz w:val="24"/>
                <w:lang w:val="en-US" w:eastAsia="zh-CN"/>
              </w:rPr>
            </w:pPr>
            <w:r>
              <w:rPr>
                <w:rFonts w:hint="default" w:ascii="Times New Roman" w:hAnsi="Times New Roman" w:cs="Times New Roman" w:eastAsiaTheme="minorEastAsia"/>
                <w:color w:val="auto"/>
                <w:sz w:val="24"/>
              </w:rPr>
              <w:t>综上</w:t>
            </w:r>
            <w:r>
              <w:rPr>
                <w:rFonts w:hint="eastAsia" w:cs="Times New Roman" w:eastAsiaTheme="minorEastAsia"/>
                <w:color w:val="auto"/>
                <w:sz w:val="24"/>
                <w:lang w:val="en-US" w:eastAsia="zh-CN"/>
              </w:rPr>
              <w:t>所述</w:t>
            </w:r>
            <w:r>
              <w:rPr>
                <w:rFonts w:hint="eastAsia" w:cs="Times New Roman" w:eastAsiaTheme="minorEastAsia"/>
                <w:color w:val="auto"/>
                <w:sz w:val="24"/>
                <w:lang w:eastAsia="zh-CN"/>
              </w:rPr>
              <w:t>，</w:t>
            </w:r>
            <w:r>
              <w:rPr>
                <w:rFonts w:hint="eastAsia" w:cs="Times New Roman" w:eastAsiaTheme="minorEastAsia"/>
                <w:color w:val="auto"/>
                <w:sz w:val="24"/>
                <w:lang w:val="en-US" w:eastAsia="zh-CN"/>
              </w:rPr>
              <w:t>经地表水环境影响分析，项目拟采取的水污染控制措施合理、有效。项目生产运行产生的地表水环境影响可接受，不会对地表水环境造成明显影响。</w:t>
            </w:r>
          </w:p>
          <w:p w14:paraId="43AFAA00">
            <w:pPr>
              <w:keepNext w:val="0"/>
              <w:keepLines w:val="0"/>
              <w:pageBreakBefore w:val="0"/>
              <w:numPr>
                <w:ilvl w:val="0"/>
                <w:numId w:val="3"/>
              </w:numPr>
              <w:kinsoku/>
              <w:wordWrap/>
              <w:overflowPunct/>
              <w:topLinePunct w:val="0"/>
              <w:autoSpaceDE/>
              <w:autoSpaceDN/>
              <w:bidi w:val="0"/>
              <w:adjustRightInd w:val="0"/>
              <w:snapToGrid w:val="0"/>
              <w:spacing w:line="460" w:lineRule="exact"/>
              <w:ind w:firstLine="475" w:firstLineChars="197"/>
              <w:textAlignment w:val="auto"/>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噪声</w:t>
            </w:r>
          </w:p>
          <w:p w14:paraId="1C2FAD96">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Times New Roman" w:hAnsi="Times New Roman" w:eastAsia="宋体" w:cs="Times New Roman"/>
                <w:b w:val="0"/>
                <w:bCs w:val="0"/>
                <w:color w:val="auto"/>
                <w:sz w:val="24"/>
                <w:lang w:eastAsia="zh-CN"/>
              </w:rPr>
            </w:pPr>
            <w:r>
              <w:rPr>
                <w:rFonts w:hint="default" w:ascii="Times New Roman" w:hAnsi="Times New Roman" w:cs="Times New Roman"/>
                <w:b w:val="0"/>
                <w:bCs w:val="0"/>
                <w:color w:val="auto"/>
                <w:sz w:val="24"/>
              </w:rPr>
              <w:t>（</w:t>
            </w:r>
            <w:r>
              <w:rPr>
                <w:rFonts w:hint="eastAsia" w:cs="Times New Roman"/>
                <w:b w:val="0"/>
                <w:bCs w:val="0"/>
                <w:color w:val="auto"/>
                <w:sz w:val="24"/>
                <w:lang w:val="en-US" w:eastAsia="zh-CN"/>
              </w:rPr>
              <w:t>1</w:t>
            </w:r>
            <w:r>
              <w:rPr>
                <w:rFonts w:hint="default" w:ascii="Times New Roman" w:hAnsi="Times New Roman" w:cs="Times New Roman"/>
                <w:b w:val="0"/>
                <w:bCs w:val="0"/>
                <w:color w:val="auto"/>
                <w:sz w:val="24"/>
              </w:rPr>
              <w:t>）噪声源及治理措施</w:t>
            </w:r>
          </w:p>
          <w:p w14:paraId="5CEA147C">
            <w:pPr>
              <w:pStyle w:val="83"/>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cs="Times New Roman" w:eastAsiaTheme="minorEastAsia"/>
                <w:color w:val="auto"/>
                <w:sz w:val="24"/>
                <w:szCs w:val="24"/>
              </w:rPr>
            </w:pPr>
            <w:r>
              <w:rPr>
                <w:rFonts w:hint="eastAsia" w:cs="Times New Roman" w:eastAsiaTheme="minorEastAsia"/>
                <w:color w:val="auto"/>
                <w:sz w:val="24"/>
                <w:szCs w:val="24"/>
                <w:lang w:val="en-US" w:eastAsia="zh-CN"/>
              </w:rPr>
              <w:t>项目</w:t>
            </w:r>
            <w:r>
              <w:rPr>
                <w:rFonts w:hint="default" w:ascii="Times New Roman" w:hAnsi="Times New Roman" w:cs="Times New Roman" w:eastAsiaTheme="minorEastAsia"/>
                <w:color w:val="auto"/>
                <w:sz w:val="24"/>
                <w:szCs w:val="24"/>
              </w:rPr>
              <w:t>投入运行后，主要噪声源为</w:t>
            </w:r>
            <w:r>
              <w:rPr>
                <w:rFonts w:hint="default" w:ascii="Times New Roman" w:hAnsi="Times New Roman" w:cs="Times New Roman" w:eastAsiaTheme="minorEastAsia"/>
                <w:color w:val="000000" w:themeColor="text1"/>
                <w:sz w:val="24"/>
                <w:szCs w:val="24"/>
                <w14:textFill>
                  <w14:solidFill>
                    <w14:schemeClr w14:val="tx1"/>
                  </w14:solidFill>
                </w14:textFill>
              </w:rPr>
              <w:t>机械设备、风机</w:t>
            </w:r>
            <w:r>
              <w:rPr>
                <w:rFonts w:hint="default" w:ascii="Times New Roman" w:hAnsi="Times New Roman" w:cs="Times New Roman" w:eastAsiaTheme="minorEastAsia"/>
                <w:color w:val="auto"/>
                <w:sz w:val="24"/>
                <w:szCs w:val="24"/>
              </w:rPr>
              <w:t>等运行时产生的机械噪声，源强在</w:t>
            </w:r>
            <w:r>
              <w:rPr>
                <w:rFonts w:hint="eastAsia" w:cs="Times New Roman" w:eastAsiaTheme="minorEastAsia"/>
                <w:color w:val="auto"/>
                <w:sz w:val="24"/>
                <w:szCs w:val="24"/>
                <w:lang w:val="en-US" w:eastAsia="zh-CN"/>
              </w:rPr>
              <w:t>70</w:t>
            </w:r>
            <w:r>
              <w:rPr>
                <w:rFonts w:hint="default" w:ascii="Times New Roman" w:hAnsi="Times New Roman" w:cs="Times New Roman" w:eastAsiaTheme="minorEastAsia"/>
                <w:color w:val="auto"/>
                <w:sz w:val="24"/>
                <w:szCs w:val="24"/>
              </w:rPr>
              <w:t>～</w:t>
            </w:r>
            <w:r>
              <w:rPr>
                <w:rFonts w:hint="eastAsia" w:cs="Times New Roman" w:eastAsiaTheme="minorEastAsia"/>
                <w:color w:val="auto"/>
                <w:sz w:val="24"/>
                <w:szCs w:val="24"/>
                <w:lang w:val="en-US" w:eastAsia="zh-CN"/>
              </w:rPr>
              <w:t>85</w:t>
            </w:r>
            <w:r>
              <w:rPr>
                <w:rFonts w:hint="default" w:ascii="Times New Roman" w:hAnsi="Times New Roman" w:cs="Times New Roman" w:eastAsiaTheme="minorEastAsia"/>
                <w:color w:val="auto"/>
                <w:sz w:val="24"/>
                <w:szCs w:val="24"/>
              </w:rPr>
              <w:t>dB(A)之间，企业</w:t>
            </w:r>
            <w:r>
              <w:rPr>
                <w:rFonts w:hint="eastAsia" w:cs="Times New Roman" w:eastAsiaTheme="minorEastAsia"/>
                <w:color w:val="auto"/>
                <w:sz w:val="24"/>
                <w:szCs w:val="24"/>
                <w:lang w:val="en-US" w:eastAsia="zh-CN"/>
              </w:rPr>
              <w:t>通过采取</w:t>
            </w:r>
            <w:r>
              <w:rPr>
                <w:rFonts w:hint="default" w:ascii="Times New Roman" w:hAnsi="Times New Roman" w:cs="Times New Roman" w:eastAsiaTheme="minorEastAsia"/>
                <w:color w:val="auto"/>
                <w:sz w:val="24"/>
                <w:szCs w:val="24"/>
              </w:rPr>
              <w:t>基础减振</w:t>
            </w:r>
            <w:r>
              <w:rPr>
                <w:rFonts w:hint="eastAsia" w:cs="Times New Roman" w:eastAsiaTheme="minorEastAsia"/>
                <w:color w:val="auto"/>
                <w:sz w:val="24"/>
                <w:szCs w:val="24"/>
                <w:lang w:eastAsia="zh-CN"/>
              </w:rPr>
              <w:t>、</w:t>
            </w:r>
            <w:r>
              <w:rPr>
                <w:rFonts w:hint="default" w:ascii="Times New Roman" w:hAnsi="Times New Roman" w:cs="Times New Roman" w:eastAsiaTheme="minorEastAsia"/>
                <w:color w:val="auto"/>
                <w:sz w:val="24"/>
                <w:szCs w:val="24"/>
              </w:rPr>
              <w:t>厂房隔声</w:t>
            </w:r>
            <w:r>
              <w:rPr>
                <w:rFonts w:hint="eastAsia" w:cs="Times New Roman" w:eastAsiaTheme="minorEastAsia"/>
                <w:color w:val="auto"/>
                <w:sz w:val="24"/>
                <w:szCs w:val="24"/>
                <w:lang w:val="en-US" w:eastAsia="zh-CN"/>
              </w:rPr>
              <w:t>等措施，</w:t>
            </w:r>
            <w:r>
              <w:rPr>
                <w:rFonts w:hint="default" w:ascii="Times New Roman" w:hAnsi="Times New Roman" w:cs="Times New Roman" w:eastAsiaTheme="minorEastAsia"/>
                <w:color w:val="auto"/>
                <w:sz w:val="24"/>
                <w:szCs w:val="24"/>
              </w:rPr>
              <w:t>具有2</w:t>
            </w:r>
            <w:r>
              <w:rPr>
                <w:rFonts w:hint="eastAsia" w:cs="Times New Roman" w:eastAsiaTheme="minorEastAsia"/>
                <w:color w:val="auto"/>
                <w:sz w:val="24"/>
                <w:szCs w:val="24"/>
                <w:lang w:val="en-US" w:eastAsia="zh-CN"/>
              </w:rPr>
              <w:t>0</w:t>
            </w:r>
            <w:r>
              <w:rPr>
                <w:rFonts w:hint="default" w:ascii="Times New Roman" w:hAnsi="Times New Roman" w:cs="Times New Roman" w:eastAsiaTheme="minorEastAsia"/>
                <w:color w:val="auto"/>
                <w:sz w:val="24"/>
                <w:szCs w:val="24"/>
              </w:rPr>
              <w:t>dB（A）以上隔声效果。项目主要设备噪声源强及降噪措施见表</w:t>
            </w:r>
            <w:r>
              <w:rPr>
                <w:rFonts w:hint="eastAsia" w:cs="Times New Roman" w:eastAsiaTheme="minorEastAsia"/>
                <w:color w:val="auto"/>
                <w:sz w:val="24"/>
                <w:szCs w:val="24"/>
                <w:lang w:val="en-US" w:eastAsia="zh-CN"/>
              </w:rPr>
              <w:t>24</w:t>
            </w:r>
            <w:r>
              <w:rPr>
                <w:rFonts w:hint="default" w:ascii="Times New Roman" w:hAnsi="Times New Roman" w:cs="Times New Roman" w:eastAsiaTheme="minorEastAsia"/>
                <w:color w:val="auto"/>
                <w:sz w:val="24"/>
                <w:szCs w:val="24"/>
              </w:rPr>
              <w:t>所示。</w:t>
            </w:r>
          </w:p>
          <w:p w14:paraId="690AA120">
            <w:pPr>
              <w:pStyle w:val="83"/>
              <w:spacing w:line="480" w:lineRule="exact"/>
              <w:jc w:val="center"/>
              <w:rPr>
                <w:rFonts w:hint="eastAsia" w:cs="Times New Roman"/>
                <w:b/>
                <w:bCs/>
                <w:color w:val="auto"/>
                <w:sz w:val="24"/>
                <w:lang w:val="en-US" w:eastAsia="zh-CN"/>
              </w:rPr>
            </w:pPr>
            <w:r>
              <w:rPr>
                <w:rFonts w:hint="default" w:ascii="Times New Roman" w:hAnsi="Times New Roman" w:cs="Times New Roman"/>
                <w:b/>
                <w:bCs/>
                <w:color w:val="auto"/>
                <w:sz w:val="24"/>
              </w:rPr>
              <w:t>表</w:t>
            </w:r>
            <w:r>
              <w:rPr>
                <w:rFonts w:hint="eastAsia" w:cs="Times New Roman"/>
                <w:b/>
                <w:bCs/>
                <w:color w:val="auto"/>
                <w:sz w:val="24"/>
                <w:lang w:val="en-US" w:eastAsia="zh-CN"/>
              </w:rPr>
              <w:t>24   项目主要噪声源统计一览表</w:t>
            </w:r>
          </w:p>
          <w:tbl>
            <w:tblPr>
              <w:tblStyle w:val="29"/>
              <w:tblW w:w="8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870"/>
              <w:gridCol w:w="990"/>
              <w:gridCol w:w="1575"/>
              <w:gridCol w:w="2266"/>
              <w:gridCol w:w="1341"/>
            </w:tblGrid>
            <w:tr w14:paraId="4E9E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3" w:type="dxa"/>
                  <w:vAlign w:val="center"/>
                </w:tcPr>
                <w:p w14:paraId="7B35BE24">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sz w:val="21"/>
                      <w:szCs w:val="21"/>
                      <w:vertAlign w:val="baseline"/>
                    </w:rPr>
                    <w:t>主要噪声源</w:t>
                  </w:r>
                </w:p>
              </w:tc>
              <w:tc>
                <w:tcPr>
                  <w:tcW w:w="870" w:type="dxa"/>
                  <w:vAlign w:val="center"/>
                </w:tcPr>
                <w:p w14:paraId="5B4E52AD">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sz w:val="21"/>
                      <w:szCs w:val="21"/>
                      <w:vertAlign w:val="baseline"/>
                    </w:rPr>
                    <w:t>数量</w:t>
                  </w:r>
                </w:p>
                <w:p w14:paraId="30272B9E">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sz w:val="21"/>
                      <w:szCs w:val="21"/>
                      <w:vertAlign w:val="baseline"/>
                    </w:rPr>
                    <w:t>(</w:t>
                  </w:r>
                  <w:r>
                    <w:rPr>
                      <w:rFonts w:hint="eastAsia" w:cs="Times New Roman" w:eastAsiaTheme="minorEastAsia"/>
                      <w:color w:val="auto"/>
                      <w:sz w:val="21"/>
                      <w:szCs w:val="21"/>
                      <w:vertAlign w:val="baseline"/>
                      <w:lang w:val="en-US" w:eastAsia="zh-CN"/>
                    </w:rPr>
                    <w:t>台</w:t>
                  </w:r>
                  <w:r>
                    <w:rPr>
                      <w:rFonts w:hint="default" w:ascii="Times New Roman" w:hAnsi="Times New Roman" w:cs="Times New Roman" w:eastAsiaTheme="minorEastAsia"/>
                      <w:color w:val="auto"/>
                      <w:sz w:val="21"/>
                      <w:szCs w:val="21"/>
                      <w:vertAlign w:val="baseline"/>
                    </w:rPr>
                    <w:t>/套)</w:t>
                  </w:r>
                </w:p>
              </w:tc>
              <w:tc>
                <w:tcPr>
                  <w:tcW w:w="990" w:type="dxa"/>
                  <w:vAlign w:val="center"/>
                </w:tcPr>
                <w:p w14:paraId="7ED36432">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sz w:val="21"/>
                      <w:szCs w:val="21"/>
                      <w:vertAlign w:val="baseline"/>
                    </w:rPr>
                    <w:t>单机噪声dB(A)</w:t>
                  </w:r>
                </w:p>
              </w:tc>
              <w:tc>
                <w:tcPr>
                  <w:tcW w:w="1575" w:type="dxa"/>
                  <w:vAlign w:val="center"/>
                </w:tcPr>
                <w:p w14:paraId="35800881">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eastAsiaTheme="minorEastAsia"/>
                      <w:color w:val="auto"/>
                      <w:sz w:val="21"/>
                      <w:szCs w:val="21"/>
                      <w:vertAlign w:val="baseline"/>
                      <w:lang w:eastAsia="zh-CN"/>
                    </w:rPr>
                  </w:pPr>
                  <w:r>
                    <w:rPr>
                      <w:rFonts w:hint="eastAsia" w:cs="Times New Roman" w:eastAsiaTheme="minorEastAsia"/>
                      <w:color w:val="auto"/>
                      <w:sz w:val="21"/>
                      <w:szCs w:val="21"/>
                      <w:vertAlign w:val="baseline"/>
                      <w:lang w:val="en-US" w:eastAsia="zh-CN"/>
                    </w:rPr>
                    <w:t>持续时间（h/d）</w:t>
                  </w:r>
                </w:p>
              </w:tc>
              <w:tc>
                <w:tcPr>
                  <w:tcW w:w="2266" w:type="dxa"/>
                  <w:vAlign w:val="center"/>
                </w:tcPr>
                <w:p w14:paraId="77461757">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sz w:val="21"/>
                      <w:szCs w:val="21"/>
                      <w:vertAlign w:val="baseline"/>
                    </w:rPr>
                    <w:t>降噪措施</w:t>
                  </w:r>
                </w:p>
              </w:tc>
              <w:tc>
                <w:tcPr>
                  <w:tcW w:w="1341" w:type="dxa"/>
                  <w:vAlign w:val="center"/>
                </w:tcPr>
                <w:p w14:paraId="077CC4B3">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sz w:val="21"/>
                      <w:szCs w:val="21"/>
                      <w:vertAlign w:val="baseline"/>
                    </w:rPr>
                    <w:t>采取措施后源强dB（A）</w:t>
                  </w:r>
                </w:p>
              </w:tc>
            </w:tr>
            <w:tr w14:paraId="622C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0ED6C7B6">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上料机</w:t>
                  </w:r>
                </w:p>
              </w:tc>
              <w:tc>
                <w:tcPr>
                  <w:tcW w:w="870" w:type="dxa"/>
                  <w:vAlign w:val="center"/>
                </w:tcPr>
                <w:p w14:paraId="490FB440">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6</w:t>
                  </w:r>
                </w:p>
              </w:tc>
              <w:tc>
                <w:tcPr>
                  <w:tcW w:w="990" w:type="dxa"/>
                  <w:vAlign w:val="center"/>
                </w:tcPr>
                <w:p w14:paraId="248B414D">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70</w:t>
                  </w:r>
                </w:p>
              </w:tc>
              <w:tc>
                <w:tcPr>
                  <w:tcW w:w="1575" w:type="dxa"/>
                  <w:vMerge w:val="restart"/>
                  <w:vAlign w:val="center"/>
                </w:tcPr>
                <w:p w14:paraId="49B00504">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16</w:t>
                  </w:r>
                </w:p>
              </w:tc>
              <w:tc>
                <w:tcPr>
                  <w:tcW w:w="2266" w:type="dxa"/>
                  <w:vAlign w:val="center"/>
                </w:tcPr>
                <w:p w14:paraId="74929F9A">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Cs w:val="21"/>
                    </w:rPr>
                    <w:t>基础减振、厂房隔声</w:t>
                  </w:r>
                  <w:r>
                    <w:rPr>
                      <w:rFonts w:hint="eastAsia" w:cs="Times New Roman"/>
                      <w:color w:val="auto"/>
                      <w:szCs w:val="21"/>
                      <w:lang w:val="en-US" w:eastAsia="zh-CN"/>
                    </w:rPr>
                    <w:t>等</w:t>
                  </w:r>
                </w:p>
              </w:tc>
              <w:tc>
                <w:tcPr>
                  <w:tcW w:w="1341" w:type="dxa"/>
                  <w:vAlign w:val="center"/>
                </w:tcPr>
                <w:p w14:paraId="658081AA">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50</w:t>
                  </w:r>
                </w:p>
              </w:tc>
            </w:tr>
            <w:tr w14:paraId="6CCA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623C83F7">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auto"/>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粉碎机</w:t>
                  </w:r>
                </w:p>
              </w:tc>
              <w:tc>
                <w:tcPr>
                  <w:tcW w:w="870" w:type="dxa"/>
                  <w:vAlign w:val="center"/>
                </w:tcPr>
                <w:p w14:paraId="356EBAA1">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2</w:t>
                  </w:r>
                </w:p>
              </w:tc>
              <w:tc>
                <w:tcPr>
                  <w:tcW w:w="990" w:type="dxa"/>
                  <w:vAlign w:val="center"/>
                </w:tcPr>
                <w:p w14:paraId="5B4B11B1">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80</w:t>
                  </w:r>
                </w:p>
              </w:tc>
              <w:tc>
                <w:tcPr>
                  <w:tcW w:w="1575" w:type="dxa"/>
                  <w:vMerge w:val="continue"/>
                  <w:vAlign w:val="center"/>
                </w:tcPr>
                <w:p w14:paraId="4182EA9C">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color w:val="auto"/>
                      <w:sz w:val="21"/>
                      <w:szCs w:val="21"/>
                      <w:vertAlign w:val="baseline"/>
                    </w:rPr>
                  </w:pPr>
                </w:p>
              </w:tc>
              <w:tc>
                <w:tcPr>
                  <w:tcW w:w="2266" w:type="dxa"/>
                  <w:vAlign w:val="center"/>
                </w:tcPr>
                <w:p w14:paraId="2840D408">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基础减振、厂房隔声</w:t>
                  </w:r>
                  <w:r>
                    <w:rPr>
                      <w:rFonts w:hint="eastAsia" w:cs="Times New Roman"/>
                      <w:color w:val="auto"/>
                      <w:szCs w:val="21"/>
                      <w:lang w:val="en-US" w:eastAsia="zh-CN"/>
                    </w:rPr>
                    <w:t>等</w:t>
                  </w:r>
                </w:p>
              </w:tc>
              <w:tc>
                <w:tcPr>
                  <w:tcW w:w="1341" w:type="dxa"/>
                  <w:vAlign w:val="center"/>
                </w:tcPr>
                <w:p w14:paraId="640EDA1B">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60</w:t>
                  </w:r>
                </w:p>
              </w:tc>
            </w:tr>
            <w:tr w14:paraId="3436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6B1DAFFD">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提料机</w:t>
                  </w:r>
                </w:p>
              </w:tc>
              <w:tc>
                <w:tcPr>
                  <w:tcW w:w="870" w:type="dxa"/>
                  <w:vAlign w:val="center"/>
                </w:tcPr>
                <w:p w14:paraId="73D5057D">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2</w:t>
                  </w:r>
                </w:p>
              </w:tc>
              <w:tc>
                <w:tcPr>
                  <w:tcW w:w="990" w:type="dxa"/>
                  <w:vAlign w:val="center"/>
                </w:tcPr>
                <w:p w14:paraId="14088F2E">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70</w:t>
                  </w:r>
                </w:p>
              </w:tc>
              <w:tc>
                <w:tcPr>
                  <w:tcW w:w="1575" w:type="dxa"/>
                  <w:vMerge w:val="continue"/>
                  <w:vAlign w:val="center"/>
                </w:tcPr>
                <w:p w14:paraId="6DB82BB8">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color w:val="auto"/>
                      <w:sz w:val="21"/>
                      <w:szCs w:val="21"/>
                      <w:vertAlign w:val="baseline"/>
                    </w:rPr>
                  </w:pPr>
                </w:p>
              </w:tc>
              <w:tc>
                <w:tcPr>
                  <w:tcW w:w="2266" w:type="dxa"/>
                  <w:vAlign w:val="center"/>
                </w:tcPr>
                <w:p w14:paraId="649486A4">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基础减振、厂房隔声</w:t>
                  </w:r>
                  <w:r>
                    <w:rPr>
                      <w:rFonts w:hint="eastAsia" w:cs="Times New Roman"/>
                      <w:color w:val="auto"/>
                      <w:szCs w:val="21"/>
                      <w:lang w:val="en-US" w:eastAsia="zh-CN"/>
                    </w:rPr>
                    <w:t>等</w:t>
                  </w:r>
                </w:p>
              </w:tc>
              <w:tc>
                <w:tcPr>
                  <w:tcW w:w="1341" w:type="dxa"/>
                  <w:vAlign w:val="center"/>
                </w:tcPr>
                <w:p w14:paraId="325E12A4">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50</w:t>
                  </w:r>
                </w:p>
              </w:tc>
            </w:tr>
            <w:tr w14:paraId="774D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2791460C">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auto"/>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甩干机</w:t>
                  </w:r>
                </w:p>
              </w:tc>
              <w:tc>
                <w:tcPr>
                  <w:tcW w:w="870" w:type="dxa"/>
                  <w:vAlign w:val="center"/>
                </w:tcPr>
                <w:p w14:paraId="0EA74177">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2</w:t>
                  </w:r>
                </w:p>
              </w:tc>
              <w:tc>
                <w:tcPr>
                  <w:tcW w:w="990" w:type="dxa"/>
                  <w:vAlign w:val="center"/>
                </w:tcPr>
                <w:p w14:paraId="7DCDFAFD">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75</w:t>
                  </w:r>
                </w:p>
              </w:tc>
              <w:tc>
                <w:tcPr>
                  <w:tcW w:w="1575" w:type="dxa"/>
                  <w:vMerge w:val="continue"/>
                  <w:vAlign w:val="center"/>
                </w:tcPr>
                <w:p w14:paraId="49325A13">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color w:val="auto"/>
                      <w:sz w:val="21"/>
                      <w:szCs w:val="21"/>
                      <w:vertAlign w:val="baseline"/>
                    </w:rPr>
                  </w:pPr>
                </w:p>
              </w:tc>
              <w:tc>
                <w:tcPr>
                  <w:tcW w:w="2266" w:type="dxa"/>
                  <w:vAlign w:val="center"/>
                </w:tcPr>
                <w:p w14:paraId="2B7ABD30">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基础减振、厂房隔声</w:t>
                  </w:r>
                  <w:r>
                    <w:rPr>
                      <w:rFonts w:hint="eastAsia" w:cs="Times New Roman"/>
                      <w:color w:val="auto"/>
                      <w:szCs w:val="21"/>
                      <w:lang w:val="en-US" w:eastAsia="zh-CN"/>
                    </w:rPr>
                    <w:t>等</w:t>
                  </w:r>
                </w:p>
              </w:tc>
              <w:tc>
                <w:tcPr>
                  <w:tcW w:w="1341" w:type="dxa"/>
                  <w:vAlign w:val="center"/>
                </w:tcPr>
                <w:p w14:paraId="638ECBEF">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55</w:t>
                  </w:r>
                </w:p>
              </w:tc>
            </w:tr>
            <w:tr w14:paraId="5452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71073D4E">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auto"/>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加热挤出机</w:t>
                  </w:r>
                </w:p>
              </w:tc>
              <w:tc>
                <w:tcPr>
                  <w:tcW w:w="870" w:type="dxa"/>
                  <w:vAlign w:val="center"/>
                </w:tcPr>
                <w:p w14:paraId="61E34601">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4</w:t>
                  </w:r>
                </w:p>
              </w:tc>
              <w:tc>
                <w:tcPr>
                  <w:tcW w:w="990" w:type="dxa"/>
                  <w:vAlign w:val="center"/>
                </w:tcPr>
                <w:p w14:paraId="0CD73FF0">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75</w:t>
                  </w:r>
                </w:p>
              </w:tc>
              <w:tc>
                <w:tcPr>
                  <w:tcW w:w="1575" w:type="dxa"/>
                  <w:vMerge w:val="continue"/>
                  <w:vAlign w:val="center"/>
                </w:tcPr>
                <w:p w14:paraId="6E597B70">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color w:val="auto"/>
                      <w:sz w:val="21"/>
                      <w:szCs w:val="21"/>
                      <w:vertAlign w:val="baseline"/>
                    </w:rPr>
                  </w:pPr>
                </w:p>
              </w:tc>
              <w:tc>
                <w:tcPr>
                  <w:tcW w:w="2266" w:type="dxa"/>
                  <w:vAlign w:val="center"/>
                </w:tcPr>
                <w:p w14:paraId="3DF8FE57">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szCs w:val="21"/>
                      <w:lang w:eastAsia="zh-CN"/>
                    </w:rPr>
                  </w:pPr>
                  <w:r>
                    <w:rPr>
                      <w:rFonts w:hint="default" w:ascii="Times New Roman" w:hAnsi="Times New Roman" w:cs="Times New Roman"/>
                      <w:color w:val="auto"/>
                      <w:szCs w:val="21"/>
                    </w:rPr>
                    <w:t>基础减振</w:t>
                  </w:r>
                  <w:r>
                    <w:rPr>
                      <w:rFonts w:hint="eastAsia" w:cs="Times New Roman"/>
                      <w:color w:val="auto"/>
                      <w:szCs w:val="21"/>
                      <w:lang w:eastAsia="zh-CN"/>
                    </w:rPr>
                    <w:t>、</w:t>
                  </w:r>
                  <w:r>
                    <w:rPr>
                      <w:rFonts w:hint="default" w:ascii="Times New Roman" w:hAnsi="Times New Roman" w:cs="Times New Roman"/>
                      <w:color w:val="auto"/>
                      <w:szCs w:val="21"/>
                    </w:rPr>
                    <w:t>厂房隔声</w:t>
                  </w:r>
                  <w:r>
                    <w:rPr>
                      <w:rFonts w:hint="eastAsia" w:cs="Times New Roman"/>
                      <w:color w:val="auto"/>
                      <w:szCs w:val="21"/>
                      <w:lang w:val="en-US" w:eastAsia="zh-CN"/>
                    </w:rPr>
                    <w:t>等</w:t>
                  </w:r>
                </w:p>
              </w:tc>
              <w:tc>
                <w:tcPr>
                  <w:tcW w:w="1341" w:type="dxa"/>
                  <w:vAlign w:val="center"/>
                </w:tcPr>
                <w:p w14:paraId="4EDD9573">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55</w:t>
                  </w:r>
                </w:p>
              </w:tc>
            </w:tr>
            <w:tr w14:paraId="02EA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3AF55B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eastAsiaTheme="minorEastAsia"/>
                      <w:color w:val="auto"/>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拌料机</w:t>
                  </w:r>
                </w:p>
              </w:tc>
              <w:tc>
                <w:tcPr>
                  <w:tcW w:w="870" w:type="dxa"/>
                  <w:vAlign w:val="center"/>
                </w:tcPr>
                <w:p w14:paraId="5675F6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eastAsiaTheme="minorEastAsia"/>
                      <w:color w:val="auto"/>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c>
                <w:tcPr>
                  <w:tcW w:w="990" w:type="dxa"/>
                  <w:vAlign w:val="center"/>
                </w:tcPr>
                <w:p w14:paraId="324E81A5">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70</w:t>
                  </w:r>
                </w:p>
              </w:tc>
              <w:tc>
                <w:tcPr>
                  <w:tcW w:w="1575" w:type="dxa"/>
                  <w:vMerge w:val="continue"/>
                  <w:vAlign w:val="center"/>
                </w:tcPr>
                <w:p w14:paraId="78DB36A3">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color w:val="auto"/>
                      <w:sz w:val="21"/>
                      <w:szCs w:val="21"/>
                      <w:vertAlign w:val="baseline"/>
                    </w:rPr>
                  </w:pPr>
                </w:p>
              </w:tc>
              <w:tc>
                <w:tcPr>
                  <w:tcW w:w="2266" w:type="dxa"/>
                  <w:vAlign w:val="center"/>
                </w:tcPr>
                <w:p w14:paraId="74544CD4">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基础减振、厂房隔声</w:t>
                  </w:r>
                  <w:r>
                    <w:rPr>
                      <w:rFonts w:hint="eastAsia" w:cs="Times New Roman"/>
                      <w:color w:val="auto"/>
                      <w:szCs w:val="21"/>
                      <w:lang w:val="en-US" w:eastAsia="zh-CN"/>
                    </w:rPr>
                    <w:t>等</w:t>
                  </w:r>
                </w:p>
              </w:tc>
              <w:tc>
                <w:tcPr>
                  <w:tcW w:w="1341" w:type="dxa"/>
                  <w:vAlign w:val="center"/>
                </w:tcPr>
                <w:p w14:paraId="5826360D">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50</w:t>
                  </w:r>
                </w:p>
              </w:tc>
            </w:tr>
            <w:tr w14:paraId="65BF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399F9861">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auto"/>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切粒机</w:t>
                  </w:r>
                </w:p>
              </w:tc>
              <w:tc>
                <w:tcPr>
                  <w:tcW w:w="870" w:type="dxa"/>
                  <w:vAlign w:val="center"/>
                </w:tcPr>
                <w:p w14:paraId="0E3C5647">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4</w:t>
                  </w:r>
                </w:p>
              </w:tc>
              <w:tc>
                <w:tcPr>
                  <w:tcW w:w="990" w:type="dxa"/>
                  <w:vAlign w:val="center"/>
                </w:tcPr>
                <w:p w14:paraId="414745B4">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75</w:t>
                  </w:r>
                </w:p>
              </w:tc>
              <w:tc>
                <w:tcPr>
                  <w:tcW w:w="1575" w:type="dxa"/>
                  <w:vMerge w:val="continue"/>
                  <w:vAlign w:val="center"/>
                </w:tcPr>
                <w:p w14:paraId="452D8F02">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color w:val="auto"/>
                      <w:sz w:val="21"/>
                      <w:szCs w:val="21"/>
                      <w:vertAlign w:val="baseline"/>
                    </w:rPr>
                  </w:pPr>
                </w:p>
              </w:tc>
              <w:tc>
                <w:tcPr>
                  <w:tcW w:w="2266" w:type="dxa"/>
                  <w:vAlign w:val="center"/>
                </w:tcPr>
                <w:p w14:paraId="4639056E">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基础减振、厂房隔声</w:t>
                  </w:r>
                  <w:r>
                    <w:rPr>
                      <w:rFonts w:hint="eastAsia" w:cs="Times New Roman"/>
                      <w:color w:val="auto"/>
                      <w:szCs w:val="21"/>
                      <w:lang w:val="en-US" w:eastAsia="zh-CN"/>
                    </w:rPr>
                    <w:t>等</w:t>
                  </w:r>
                </w:p>
              </w:tc>
              <w:tc>
                <w:tcPr>
                  <w:tcW w:w="1341" w:type="dxa"/>
                  <w:vAlign w:val="center"/>
                </w:tcPr>
                <w:p w14:paraId="5F51A375">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55</w:t>
                  </w:r>
                </w:p>
              </w:tc>
            </w:tr>
            <w:tr w14:paraId="6E2C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46C81449">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auto"/>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吹</w:t>
                  </w:r>
                  <w:r>
                    <w:rPr>
                      <w:rFonts w:hint="eastAsia" w:ascii="Times New Roman" w:hAnsi="Times New Roman" w:eastAsia="宋体" w:cs="Times New Roman"/>
                      <w:sz w:val="21"/>
                      <w:szCs w:val="21"/>
                      <w:vertAlign w:val="baseline"/>
                      <w:lang w:val="en-US" w:eastAsia="zh-CN"/>
                    </w:rPr>
                    <w:t>风</w:t>
                  </w:r>
                  <w:r>
                    <w:rPr>
                      <w:rFonts w:hint="default" w:ascii="Times New Roman" w:hAnsi="Times New Roman" w:eastAsia="宋体" w:cs="Times New Roman"/>
                      <w:sz w:val="21"/>
                      <w:szCs w:val="21"/>
                      <w:vertAlign w:val="baseline"/>
                      <w:lang w:val="en-US" w:eastAsia="zh-CN"/>
                    </w:rPr>
                    <w:t>振动机</w:t>
                  </w:r>
                </w:p>
              </w:tc>
              <w:tc>
                <w:tcPr>
                  <w:tcW w:w="870" w:type="dxa"/>
                  <w:vAlign w:val="center"/>
                </w:tcPr>
                <w:p w14:paraId="7D28978E">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4</w:t>
                  </w:r>
                </w:p>
              </w:tc>
              <w:tc>
                <w:tcPr>
                  <w:tcW w:w="990" w:type="dxa"/>
                  <w:vAlign w:val="center"/>
                </w:tcPr>
                <w:p w14:paraId="036C5819">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80</w:t>
                  </w:r>
                </w:p>
              </w:tc>
              <w:tc>
                <w:tcPr>
                  <w:tcW w:w="1575" w:type="dxa"/>
                  <w:vMerge w:val="continue"/>
                  <w:vAlign w:val="center"/>
                </w:tcPr>
                <w:p w14:paraId="03D33FBA">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color w:val="auto"/>
                      <w:sz w:val="21"/>
                      <w:szCs w:val="21"/>
                      <w:vertAlign w:val="baseline"/>
                    </w:rPr>
                  </w:pPr>
                </w:p>
              </w:tc>
              <w:tc>
                <w:tcPr>
                  <w:tcW w:w="2266" w:type="dxa"/>
                  <w:vAlign w:val="center"/>
                </w:tcPr>
                <w:p w14:paraId="2E2097F9">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基础减振、厂房隔声</w:t>
                  </w:r>
                  <w:r>
                    <w:rPr>
                      <w:rFonts w:hint="eastAsia" w:cs="Times New Roman"/>
                      <w:color w:val="auto"/>
                      <w:szCs w:val="21"/>
                      <w:lang w:val="en-US" w:eastAsia="zh-CN"/>
                    </w:rPr>
                    <w:t>等</w:t>
                  </w:r>
                </w:p>
              </w:tc>
              <w:tc>
                <w:tcPr>
                  <w:tcW w:w="1341" w:type="dxa"/>
                  <w:vAlign w:val="center"/>
                </w:tcPr>
                <w:p w14:paraId="7F2B695F">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60</w:t>
                  </w:r>
                </w:p>
              </w:tc>
            </w:tr>
            <w:tr w14:paraId="48DE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196E41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eastAsiaTheme="minorEastAsia"/>
                      <w:color w:val="auto"/>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压滤机</w:t>
                  </w:r>
                </w:p>
              </w:tc>
              <w:tc>
                <w:tcPr>
                  <w:tcW w:w="870" w:type="dxa"/>
                  <w:vAlign w:val="center"/>
                </w:tcPr>
                <w:p w14:paraId="7035A7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eastAsiaTheme="minorEastAsia"/>
                      <w:color w:val="auto"/>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1</w:t>
                  </w:r>
                </w:p>
              </w:tc>
              <w:tc>
                <w:tcPr>
                  <w:tcW w:w="990" w:type="dxa"/>
                  <w:vAlign w:val="center"/>
                </w:tcPr>
                <w:p w14:paraId="34C17B4F">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75</w:t>
                  </w:r>
                </w:p>
              </w:tc>
              <w:tc>
                <w:tcPr>
                  <w:tcW w:w="1575" w:type="dxa"/>
                  <w:vMerge w:val="continue"/>
                  <w:vAlign w:val="center"/>
                </w:tcPr>
                <w:p w14:paraId="6530691E">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color w:val="auto"/>
                      <w:sz w:val="21"/>
                      <w:szCs w:val="21"/>
                      <w:vertAlign w:val="baseline"/>
                    </w:rPr>
                  </w:pPr>
                </w:p>
              </w:tc>
              <w:tc>
                <w:tcPr>
                  <w:tcW w:w="2266" w:type="dxa"/>
                  <w:vAlign w:val="center"/>
                </w:tcPr>
                <w:p w14:paraId="22B7529A">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基础减振、厂房隔声</w:t>
                  </w:r>
                  <w:r>
                    <w:rPr>
                      <w:rFonts w:hint="eastAsia" w:cs="Times New Roman"/>
                      <w:color w:val="auto"/>
                      <w:szCs w:val="21"/>
                      <w:lang w:val="en-US" w:eastAsia="zh-CN"/>
                    </w:rPr>
                    <w:t>等</w:t>
                  </w:r>
                </w:p>
              </w:tc>
              <w:tc>
                <w:tcPr>
                  <w:tcW w:w="1341" w:type="dxa"/>
                  <w:vAlign w:val="center"/>
                </w:tcPr>
                <w:p w14:paraId="7B5A797A">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55</w:t>
                  </w:r>
                </w:p>
              </w:tc>
            </w:tr>
            <w:tr w14:paraId="0B96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1410506E">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泵类</w:t>
                  </w:r>
                </w:p>
              </w:tc>
              <w:tc>
                <w:tcPr>
                  <w:tcW w:w="870" w:type="dxa"/>
                  <w:vAlign w:val="center"/>
                </w:tcPr>
                <w:p w14:paraId="5118010D">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2</w:t>
                  </w:r>
                </w:p>
              </w:tc>
              <w:tc>
                <w:tcPr>
                  <w:tcW w:w="990" w:type="dxa"/>
                  <w:vAlign w:val="center"/>
                </w:tcPr>
                <w:p w14:paraId="18CA5C70">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80</w:t>
                  </w:r>
                </w:p>
              </w:tc>
              <w:tc>
                <w:tcPr>
                  <w:tcW w:w="1575" w:type="dxa"/>
                  <w:vMerge w:val="continue"/>
                  <w:vAlign w:val="center"/>
                </w:tcPr>
                <w:p w14:paraId="1B1EEA4D">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color w:val="auto"/>
                      <w:sz w:val="21"/>
                      <w:szCs w:val="21"/>
                      <w:vertAlign w:val="baseline"/>
                    </w:rPr>
                  </w:pPr>
                </w:p>
              </w:tc>
              <w:tc>
                <w:tcPr>
                  <w:tcW w:w="2266" w:type="dxa"/>
                  <w:vAlign w:val="center"/>
                </w:tcPr>
                <w:p w14:paraId="24165465">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基础减振</w:t>
                  </w:r>
                  <w:r>
                    <w:rPr>
                      <w:rFonts w:hint="eastAsia" w:cs="Times New Roman"/>
                      <w:color w:val="auto"/>
                      <w:szCs w:val="21"/>
                      <w:lang w:eastAsia="zh-CN"/>
                    </w:rPr>
                    <w:t>、</w:t>
                  </w:r>
                  <w:r>
                    <w:rPr>
                      <w:rFonts w:hint="default" w:ascii="Times New Roman" w:hAnsi="Times New Roman" w:cs="Times New Roman"/>
                      <w:color w:val="auto"/>
                      <w:szCs w:val="21"/>
                    </w:rPr>
                    <w:t>厂房隔声</w:t>
                  </w:r>
                  <w:r>
                    <w:rPr>
                      <w:rFonts w:hint="eastAsia" w:cs="Times New Roman"/>
                      <w:color w:val="auto"/>
                      <w:szCs w:val="21"/>
                      <w:lang w:val="en-US" w:eastAsia="zh-CN"/>
                    </w:rPr>
                    <w:t>等</w:t>
                  </w:r>
                </w:p>
              </w:tc>
              <w:tc>
                <w:tcPr>
                  <w:tcW w:w="1341" w:type="dxa"/>
                  <w:vAlign w:val="center"/>
                </w:tcPr>
                <w:p w14:paraId="4362058A">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60</w:t>
                  </w:r>
                </w:p>
              </w:tc>
            </w:tr>
            <w:tr w14:paraId="1B83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70416411">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0000FF"/>
                      <w:sz w:val="21"/>
                      <w:szCs w:val="21"/>
                      <w:vertAlign w:val="baseline"/>
                      <w:lang w:val="en-US" w:eastAsia="zh-CN"/>
                    </w:rPr>
                  </w:pPr>
                  <w:r>
                    <w:rPr>
                      <w:rFonts w:hint="eastAsia" w:cs="Times New Roman" w:eastAsiaTheme="minorEastAsia"/>
                      <w:color w:val="0000FF"/>
                      <w:sz w:val="21"/>
                      <w:szCs w:val="21"/>
                      <w:vertAlign w:val="baseline"/>
                      <w:lang w:val="en-US" w:eastAsia="zh-CN"/>
                    </w:rPr>
                    <w:t>室内风机</w:t>
                  </w:r>
                </w:p>
              </w:tc>
              <w:tc>
                <w:tcPr>
                  <w:tcW w:w="870" w:type="dxa"/>
                  <w:vAlign w:val="center"/>
                </w:tcPr>
                <w:p w14:paraId="438D808B">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0000FF"/>
                      <w:sz w:val="21"/>
                      <w:szCs w:val="21"/>
                      <w:vertAlign w:val="baseline"/>
                      <w:lang w:val="en-US" w:eastAsia="zh-CN"/>
                    </w:rPr>
                  </w:pPr>
                  <w:r>
                    <w:rPr>
                      <w:rFonts w:hint="eastAsia" w:cs="Times New Roman" w:eastAsiaTheme="minorEastAsia"/>
                      <w:color w:val="0000FF"/>
                      <w:sz w:val="21"/>
                      <w:szCs w:val="21"/>
                      <w:vertAlign w:val="baseline"/>
                      <w:lang w:val="en-US" w:eastAsia="zh-CN"/>
                    </w:rPr>
                    <w:t>1</w:t>
                  </w:r>
                </w:p>
              </w:tc>
              <w:tc>
                <w:tcPr>
                  <w:tcW w:w="990" w:type="dxa"/>
                  <w:vAlign w:val="center"/>
                </w:tcPr>
                <w:p w14:paraId="799E0D80">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0000FF"/>
                      <w:sz w:val="21"/>
                      <w:szCs w:val="21"/>
                      <w:vertAlign w:val="baseline"/>
                      <w:lang w:val="en-US" w:eastAsia="zh-CN"/>
                    </w:rPr>
                  </w:pPr>
                  <w:r>
                    <w:rPr>
                      <w:rFonts w:hint="eastAsia" w:cs="Times New Roman" w:eastAsiaTheme="minorEastAsia"/>
                      <w:color w:val="0000FF"/>
                      <w:sz w:val="21"/>
                      <w:szCs w:val="21"/>
                      <w:vertAlign w:val="baseline"/>
                      <w:lang w:val="en-US" w:eastAsia="zh-CN"/>
                    </w:rPr>
                    <w:t>85</w:t>
                  </w:r>
                </w:p>
              </w:tc>
              <w:tc>
                <w:tcPr>
                  <w:tcW w:w="1575" w:type="dxa"/>
                  <w:vMerge w:val="continue"/>
                  <w:vAlign w:val="center"/>
                </w:tcPr>
                <w:p w14:paraId="572B210F">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color w:val="0000FF"/>
                      <w:sz w:val="21"/>
                      <w:szCs w:val="21"/>
                      <w:vertAlign w:val="baseline"/>
                    </w:rPr>
                  </w:pPr>
                </w:p>
              </w:tc>
              <w:tc>
                <w:tcPr>
                  <w:tcW w:w="2266" w:type="dxa"/>
                  <w:vAlign w:val="center"/>
                </w:tcPr>
                <w:p w14:paraId="5C79E42A">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FF"/>
                      <w:szCs w:val="21"/>
                    </w:rPr>
                  </w:pPr>
                  <w:r>
                    <w:rPr>
                      <w:rFonts w:hint="default" w:ascii="Times New Roman" w:hAnsi="Times New Roman" w:cs="Times New Roman"/>
                      <w:color w:val="0000FF"/>
                      <w:szCs w:val="21"/>
                    </w:rPr>
                    <w:t>基础减振、厂房隔声</w:t>
                  </w:r>
                  <w:r>
                    <w:rPr>
                      <w:rFonts w:hint="eastAsia" w:cs="Times New Roman"/>
                      <w:color w:val="0000FF"/>
                      <w:szCs w:val="21"/>
                      <w:lang w:val="en-US" w:eastAsia="zh-CN"/>
                    </w:rPr>
                    <w:t>等</w:t>
                  </w:r>
                </w:p>
              </w:tc>
              <w:tc>
                <w:tcPr>
                  <w:tcW w:w="1341" w:type="dxa"/>
                  <w:vAlign w:val="center"/>
                </w:tcPr>
                <w:p w14:paraId="772722B2">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0000FF"/>
                      <w:sz w:val="21"/>
                      <w:szCs w:val="21"/>
                      <w:vertAlign w:val="baseline"/>
                      <w:lang w:val="en-US" w:eastAsia="zh-CN"/>
                    </w:rPr>
                  </w:pPr>
                  <w:r>
                    <w:rPr>
                      <w:rFonts w:hint="eastAsia" w:cs="Times New Roman" w:eastAsiaTheme="minorEastAsia"/>
                      <w:color w:val="0000FF"/>
                      <w:sz w:val="21"/>
                      <w:szCs w:val="21"/>
                      <w:vertAlign w:val="baseline"/>
                      <w:lang w:val="en-US" w:eastAsia="zh-CN"/>
                    </w:rPr>
                    <w:t>65</w:t>
                  </w:r>
                </w:p>
              </w:tc>
            </w:tr>
            <w:tr w14:paraId="2FF7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350AA63A">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0000FF"/>
                      <w:sz w:val="21"/>
                      <w:szCs w:val="21"/>
                      <w:vertAlign w:val="baseline"/>
                      <w:lang w:val="en-US" w:eastAsia="zh-CN"/>
                    </w:rPr>
                  </w:pPr>
                  <w:r>
                    <w:rPr>
                      <w:rFonts w:hint="eastAsia" w:cs="Times New Roman" w:eastAsiaTheme="minorEastAsia"/>
                      <w:color w:val="0000FF"/>
                      <w:sz w:val="21"/>
                      <w:szCs w:val="21"/>
                      <w:vertAlign w:val="baseline"/>
                      <w:lang w:val="en-US" w:eastAsia="zh-CN"/>
                    </w:rPr>
                    <w:t>室外风机</w:t>
                  </w:r>
                </w:p>
              </w:tc>
              <w:tc>
                <w:tcPr>
                  <w:tcW w:w="870" w:type="dxa"/>
                  <w:vAlign w:val="center"/>
                </w:tcPr>
                <w:p w14:paraId="4348348D">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cs="Times New Roman" w:eastAsiaTheme="minorEastAsia"/>
                      <w:color w:val="0000FF"/>
                      <w:sz w:val="21"/>
                      <w:szCs w:val="21"/>
                      <w:vertAlign w:val="baseline"/>
                      <w:lang w:val="en-US" w:eastAsia="zh-CN"/>
                    </w:rPr>
                  </w:pPr>
                  <w:r>
                    <w:rPr>
                      <w:rFonts w:hint="eastAsia" w:cs="Times New Roman" w:eastAsiaTheme="minorEastAsia"/>
                      <w:color w:val="0000FF"/>
                      <w:sz w:val="21"/>
                      <w:szCs w:val="21"/>
                      <w:vertAlign w:val="baseline"/>
                      <w:lang w:val="en-US" w:eastAsia="zh-CN"/>
                    </w:rPr>
                    <w:t>1</w:t>
                  </w:r>
                </w:p>
              </w:tc>
              <w:tc>
                <w:tcPr>
                  <w:tcW w:w="990" w:type="dxa"/>
                  <w:vAlign w:val="center"/>
                </w:tcPr>
                <w:p w14:paraId="15AF07C3">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cs="Times New Roman" w:eastAsiaTheme="minorEastAsia"/>
                      <w:color w:val="0000FF"/>
                      <w:sz w:val="21"/>
                      <w:szCs w:val="21"/>
                      <w:vertAlign w:val="baseline"/>
                      <w:lang w:val="en-US" w:eastAsia="zh-CN"/>
                    </w:rPr>
                  </w:pPr>
                  <w:r>
                    <w:rPr>
                      <w:rFonts w:hint="eastAsia" w:cs="Times New Roman" w:eastAsiaTheme="minorEastAsia"/>
                      <w:color w:val="0000FF"/>
                      <w:sz w:val="21"/>
                      <w:szCs w:val="21"/>
                      <w:vertAlign w:val="baseline"/>
                      <w:lang w:val="en-US" w:eastAsia="zh-CN"/>
                    </w:rPr>
                    <w:t>85</w:t>
                  </w:r>
                </w:p>
              </w:tc>
              <w:tc>
                <w:tcPr>
                  <w:tcW w:w="1575" w:type="dxa"/>
                  <w:vMerge w:val="continue"/>
                  <w:vAlign w:val="center"/>
                </w:tcPr>
                <w:p w14:paraId="0F43CBCD">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color w:val="0000FF"/>
                      <w:sz w:val="21"/>
                      <w:szCs w:val="21"/>
                      <w:vertAlign w:val="baseline"/>
                    </w:rPr>
                  </w:pPr>
                </w:p>
              </w:tc>
              <w:tc>
                <w:tcPr>
                  <w:tcW w:w="2266" w:type="dxa"/>
                  <w:vAlign w:val="center"/>
                </w:tcPr>
                <w:p w14:paraId="72DA1F32">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基础减震、隔声罩等</w:t>
                  </w:r>
                </w:p>
              </w:tc>
              <w:tc>
                <w:tcPr>
                  <w:tcW w:w="1341" w:type="dxa"/>
                  <w:vAlign w:val="center"/>
                </w:tcPr>
                <w:p w14:paraId="07A07E9E">
                  <w:pPr>
                    <w:pStyle w:val="83"/>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cs="Times New Roman" w:eastAsiaTheme="minorEastAsia"/>
                      <w:color w:val="0000FF"/>
                      <w:sz w:val="21"/>
                      <w:szCs w:val="21"/>
                      <w:vertAlign w:val="baseline"/>
                      <w:lang w:val="en-US" w:eastAsia="zh-CN"/>
                    </w:rPr>
                  </w:pPr>
                  <w:r>
                    <w:rPr>
                      <w:rFonts w:hint="eastAsia" w:cs="Times New Roman" w:eastAsiaTheme="minorEastAsia"/>
                      <w:color w:val="0000FF"/>
                      <w:sz w:val="21"/>
                      <w:szCs w:val="21"/>
                      <w:vertAlign w:val="baseline"/>
                      <w:lang w:val="en-US" w:eastAsia="zh-CN"/>
                    </w:rPr>
                    <w:t>65</w:t>
                  </w:r>
                </w:p>
              </w:tc>
            </w:tr>
          </w:tbl>
          <w:p w14:paraId="65C5C15F">
            <w:pPr>
              <w:keepNext w:val="0"/>
              <w:keepLines w:val="0"/>
              <w:pageBreakBefore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Times New Roman" w:hAnsi="Times New Roman" w:eastAsia="宋体" w:cs="Times New Roman"/>
                <w:color w:val="auto"/>
                <w:sz w:val="24"/>
                <w:lang w:eastAsia="zh-CN"/>
              </w:rPr>
            </w:pPr>
            <w:r>
              <w:rPr>
                <w:rFonts w:hint="default" w:ascii="Times New Roman" w:hAnsi="Times New Roman" w:cs="Times New Roman"/>
                <w:b/>
                <w:bCs/>
                <w:color w:val="auto"/>
                <w:sz w:val="24"/>
              </w:rPr>
              <w:t>（</w:t>
            </w:r>
            <w:r>
              <w:rPr>
                <w:rFonts w:hint="eastAsia" w:cs="Times New Roman"/>
                <w:b/>
                <w:bCs/>
                <w:color w:val="auto"/>
                <w:sz w:val="24"/>
                <w:lang w:val="en-US" w:eastAsia="zh-CN"/>
              </w:rPr>
              <w:t>2</w:t>
            </w:r>
            <w:r>
              <w:rPr>
                <w:rFonts w:hint="default" w:ascii="Times New Roman" w:hAnsi="Times New Roman" w:cs="Times New Roman"/>
                <w:b/>
                <w:bCs/>
                <w:color w:val="auto"/>
                <w:sz w:val="24"/>
              </w:rPr>
              <w:t>）噪声排放情况</w:t>
            </w:r>
          </w:p>
          <w:p w14:paraId="4E8FBF16">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cs="Times New Roman" w:eastAsiaTheme="minorEastAsia"/>
                <w:color w:val="auto"/>
                <w:kern w:val="0"/>
                <w:sz w:val="24"/>
                <w:szCs w:val="24"/>
                <w:lang w:val="en-US" w:eastAsia="zh-CN" w:bidi="ar-SA"/>
              </w:rPr>
            </w:pPr>
            <w:r>
              <w:rPr>
                <w:rFonts w:hint="eastAsia" w:ascii="Times New Roman" w:hAnsi="Times New Roman" w:cs="Times New Roman" w:eastAsiaTheme="minorEastAsia"/>
                <w:color w:val="auto"/>
                <w:kern w:val="0"/>
                <w:sz w:val="24"/>
                <w:szCs w:val="24"/>
                <w:lang w:val="en-US" w:eastAsia="zh-CN" w:bidi="ar-SA"/>
              </w:rPr>
              <w:t>①噪声源强及噪声源分布情况，各噪声源距预测点的距离见表</w:t>
            </w:r>
            <w:r>
              <w:rPr>
                <w:rFonts w:hint="eastAsia" w:cs="Times New Roman" w:eastAsiaTheme="minorEastAsia"/>
                <w:color w:val="auto"/>
                <w:kern w:val="0"/>
                <w:sz w:val="24"/>
                <w:szCs w:val="24"/>
                <w:lang w:val="en-US" w:eastAsia="zh-CN" w:bidi="ar-SA"/>
              </w:rPr>
              <w:t>25。</w:t>
            </w:r>
          </w:p>
          <w:p w14:paraId="789DCE44">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cs="Times New Roman" w:eastAsiaTheme="minorEastAsia"/>
                <w:color w:val="auto"/>
                <w:kern w:val="0"/>
                <w:sz w:val="24"/>
                <w:szCs w:val="24"/>
                <w:lang w:val="en-US" w:eastAsia="zh-CN" w:bidi="ar-SA"/>
              </w:rPr>
            </w:pPr>
          </w:p>
          <w:p w14:paraId="381267FE">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cs="Times New Roman" w:eastAsiaTheme="minorEastAsia"/>
                <w:color w:val="auto"/>
                <w:kern w:val="0"/>
                <w:sz w:val="24"/>
                <w:szCs w:val="24"/>
                <w:lang w:val="en-US" w:eastAsia="zh-CN" w:bidi="ar-SA"/>
              </w:rPr>
            </w:pPr>
          </w:p>
          <w:p w14:paraId="095085E2">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cs="Times New Roman" w:eastAsiaTheme="minorEastAsia"/>
                <w:color w:val="auto"/>
                <w:kern w:val="0"/>
                <w:sz w:val="24"/>
                <w:szCs w:val="24"/>
                <w:lang w:val="en-US" w:eastAsia="zh-CN" w:bidi="ar-SA"/>
              </w:rPr>
            </w:pPr>
          </w:p>
        </w:tc>
      </w:tr>
    </w:tbl>
    <w:p w14:paraId="3DC117DD">
      <w:pPr>
        <w:adjustRightInd w:val="0"/>
        <w:snapToGrid w:val="0"/>
        <w:spacing w:line="360" w:lineRule="auto"/>
        <w:rPr>
          <w:rFonts w:hint="default" w:ascii="Times New Roman" w:hAnsi="Times New Roman" w:cs="Times New Roman"/>
          <w:b/>
          <w:color w:val="auto"/>
          <w:kern w:val="0"/>
          <w:sz w:val="28"/>
          <w:szCs w:val="28"/>
          <w:highlight w:val="yellow"/>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09F9677D">
      <w:pPr>
        <w:pStyle w:val="99"/>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25-1</w:t>
      </w:r>
      <w:r>
        <w:rPr>
          <w:rFonts w:hint="default" w:ascii="Times New Roman" w:hAnsi="Times New Roman" w:cs="Times New Roman"/>
          <w:color w:val="000000" w:themeColor="text1"/>
          <w14:textFill>
            <w14:solidFill>
              <w14:schemeClr w14:val="tx1"/>
            </w14:solidFill>
          </w14:textFill>
        </w:rPr>
        <w:t xml:space="preserve">  </w:t>
      </w:r>
      <w:r>
        <w:rPr>
          <w:rFonts w:hint="eastAsia" w:cs="Times New Roman"/>
          <w:color w:val="000000" w:themeColor="text1"/>
          <w:lang w:val="en-US" w:eastAsia="zh-CN"/>
          <w14:textFill>
            <w14:solidFill>
              <w14:schemeClr w14:val="tx1"/>
            </w14:solidFill>
          </w14:textFill>
        </w:rPr>
        <w:t>项目工业企业</w:t>
      </w:r>
      <w:r>
        <w:rPr>
          <w:rFonts w:hint="default" w:ascii="Times New Roman" w:hAnsi="Times New Roman" w:cs="Times New Roman"/>
          <w:color w:val="000000" w:themeColor="text1"/>
          <w14:textFill>
            <w14:solidFill>
              <w14:schemeClr w14:val="tx1"/>
            </w14:solidFill>
          </w14:textFill>
        </w:rPr>
        <w:t>噪声源强调查清单</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室内声源</w:t>
      </w:r>
      <w:r>
        <w:rPr>
          <w:rFonts w:hint="eastAsia" w:cs="Times New Roman"/>
          <w:color w:val="000000" w:themeColor="text1"/>
          <w:lang w:eastAsia="zh-CN"/>
          <w14:textFill>
            <w14:solidFill>
              <w14:schemeClr w14:val="tx1"/>
            </w14:solidFill>
          </w14:textFill>
        </w:rPr>
        <w:t>）</w:t>
      </w:r>
    </w:p>
    <w:tbl>
      <w:tblPr>
        <w:tblStyle w:val="28"/>
        <w:tblpPr w:leftFromText="180" w:rightFromText="180" w:vertAnchor="text" w:horzAnchor="page" w:tblpXSpec="center" w:tblpY="323"/>
        <w:tblOverlap w:val="never"/>
        <w:tblW w:w="13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514"/>
        <w:gridCol w:w="825"/>
        <w:gridCol w:w="840"/>
        <w:gridCol w:w="675"/>
        <w:gridCol w:w="510"/>
        <w:gridCol w:w="390"/>
        <w:gridCol w:w="420"/>
        <w:gridCol w:w="435"/>
        <w:gridCol w:w="435"/>
        <w:gridCol w:w="465"/>
        <w:gridCol w:w="450"/>
        <w:gridCol w:w="525"/>
        <w:gridCol w:w="540"/>
        <w:gridCol w:w="495"/>
        <w:gridCol w:w="510"/>
        <w:gridCol w:w="510"/>
        <w:gridCol w:w="465"/>
        <w:gridCol w:w="564"/>
        <w:gridCol w:w="564"/>
        <w:gridCol w:w="564"/>
        <w:gridCol w:w="502"/>
        <w:gridCol w:w="425"/>
        <w:gridCol w:w="435"/>
        <w:gridCol w:w="435"/>
        <w:gridCol w:w="780"/>
      </w:tblGrid>
      <w:tr w14:paraId="2A96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420" w:type="dxa"/>
            <w:vMerge w:val="restart"/>
            <w:vAlign w:val="center"/>
          </w:tcPr>
          <w:p w14:paraId="777F819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bookmarkStart w:id="2" w:name="PT_6"/>
            <w:r>
              <w:rPr>
                <w:rFonts w:hint="default" w:ascii="Times New Roman" w:hAnsi="Times New Roman" w:cs="Times New Roman" w:eastAsiaTheme="minorEastAsia"/>
                <w:b w:val="0"/>
                <w:bCs/>
                <w:sz w:val="21"/>
                <w:szCs w:val="21"/>
              </w:rPr>
              <w:t>序号</w:t>
            </w:r>
          </w:p>
        </w:tc>
        <w:tc>
          <w:tcPr>
            <w:tcW w:w="514" w:type="dxa"/>
            <w:vMerge w:val="restart"/>
            <w:vAlign w:val="center"/>
          </w:tcPr>
          <w:p w14:paraId="70934B7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建筑物名称</w:t>
            </w:r>
          </w:p>
        </w:tc>
        <w:tc>
          <w:tcPr>
            <w:tcW w:w="825" w:type="dxa"/>
            <w:vMerge w:val="restart"/>
            <w:vAlign w:val="center"/>
          </w:tcPr>
          <w:p w14:paraId="74936D7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声源名称</w:t>
            </w:r>
          </w:p>
        </w:tc>
        <w:tc>
          <w:tcPr>
            <w:tcW w:w="840" w:type="dxa"/>
            <w:vAlign w:val="center"/>
          </w:tcPr>
          <w:p w14:paraId="30AE998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lang w:eastAsia="zh-CN"/>
              </w:rPr>
            </w:pPr>
            <w:r>
              <w:rPr>
                <w:rFonts w:hint="default" w:ascii="Times New Roman" w:hAnsi="Times New Roman" w:cs="Times New Roman" w:eastAsiaTheme="minorEastAsia"/>
                <w:b w:val="0"/>
                <w:bCs/>
                <w:sz w:val="21"/>
                <w:szCs w:val="21"/>
                <w:lang w:eastAsia="zh-CN"/>
              </w:rPr>
              <w:t>声源源强</w:t>
            </w:r>
          </w:p>
        </w:tc>
        <w:tc>
          <w:tcPr>
            <w:tcW w:w="675" w:type="dxa"/>
            <w:vMerge w:val="restart"/>
            <w:vAlign w:val="center"/>
          </w:tcPr>
          <w:p w14:paraId="1756F99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声源控制措施</w:t>
            </w:r>
          </w:p>
        </w:tc>
        <w:tc>
          <w:tcPr>
            <w:tcW w:w="1320" w:type="dxa"/>
            <w:gridSpan w:val="3"/>
            <w:vAlign w:val="center"/>
          </w:tcPr>
          <w:p w14:paraId="770B875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空间相对位置/m</w:t>
            </w:r>
          </w:p>
        </w:tc>
        <w:tc>
          <w:tcPr>
            <w:tcW w:w="1785" w:type="dxa"/>
            <w:gridSpan w:val="4"/>
            <w:vAlign w:val="center"/>
          </w:tcPr>
          <w:p w14:paraId="33D9D47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距室内边界距离/m</w:t>
            </w:r>
          </w:p>
        </w:tc>
        <w:tc>
          <w:tcPr>
            <w:tcW w:w="2070" w:type="dxa"/>
            <w:gridSpan w:val="4"/>
            <w:vAlign w:val="center"/>
          </w:tcPr>
          <w:p w14:paraId="09CB942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室内边界声级/dB(A)</w:t>
            </w:r>
          </w:p>
        </w:tc>
        <w:tc>
          <w:tcPr>
            <w:tcW w:w="510" w:type="dxa"/>
            <w:vMerge w:val="restart"/>
            <w:vAlign w:val="center"/>
          </w:tcPr>
          <w:p w14:paraId="5036F75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运行时段</w:t>
            </w:r>
          </w:p>
        </w:tc>
        <w:tc>
          <w:tcPr>
            <w:tcW w:w="2157" w:type="dxa"/>
            <w:gridSpan w:val="4"/>
            <w:vAlign w:val="center"/>
          </w:tcPr>
          <w:p w14:paraId="499EFA0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建筑物插入损失/ dB(A)</w:t>
            </w:r>
          </w:p>
        </w:tc>
        <w:tc>
          <w:tcPr>
            <w:tcW w:w="2577" w:type="dxa"/>
            <w:gridSpan w:val="5"/>
            <w:vAlign w:val="center"/>
          </w:tcPr>
          <w:p w14:paraId="30BBAA0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建筑物外噪声声压级/dB(A)</w:t>
            </w:r>
          </w:p>
        </w:tc>
      </w:tr>
      <w:tr w14:paraId="62B0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68" w:hRule="atLeast"/>
          <w:jc w:val="center"/>
        </w:trPr>
        <w:tc>
          <w:tcPr>
            <w:tcW w:w="420" w:type="dxa"/>
            <w:vMerge w:val="continue"/>
            <w:shd w:val="clear" w:color="auto" w:fill="FFFFFF"/>
            <w:tcMar>
              <w:top w:w="0" w:type="dxa"/>
              <w:left w:w="0" w:type="dxa"/>
              <w:bottom w:w="0" w:type="dxa"/>
              <w:right w:w="0" w:type="dxa"/>
            </w:tcMar>
            <w:vAlign w:val="center"/>
          </w:tcPr>
          <w:p w14:paraId="1245C75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lang w:val="en-US" w:eastAsia="zh-CN"/>
              </w:rPr>
            </w:pPr>
          </w:p>
        </w:tc>
        <w:tc>
          <w:tcPr>
            <w:tcW w:w="514" w:type="dxa"/>
            <w:vMerge w:val="continue"/>
            <w:shd w:val="clear" w:color="auto" w:fill="FFFFFF"/>
            <w:tcMar>
              <w:top w:w="0" w:type="dxa"/>
              <w:left w:w="0" w:type="dxa"/>
              <w:bottom w:w="0" w:type="dxa"/>
              <w:right w:w="0" w:type="dxa"/>
            </w:tcMar>
            <w:vAlign w:val="center"/>
          </w:tcPr>
          <w:p w14:paraId="1195DDB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p>
        </w:tc>
        <w:tc>
          <w:tcPr>
            <w:tcW w:w="825" w:type="dxa"/>
            <w:vMerge w:val="continue"/>
            <w:shd w:val="clear" w:color="auto" w:fill="FFFFFF"/>
            <w:tcMar>
              <w:top w:w="0" w:type="dxa"/>
              <w:left w:w="0" w:type="dxa"/>
              <w:bottom w:w="0" w:type="dxa"/>
              <w:right w:w="0" w:type="dxa"/>
            </w:tcMar>
            <w:vAlign w:val="center"/>
          </w:tcPr>
          <w:p w14:paraId="3D4ABE8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p>
        </w:tc>
        <w:tc>
          <w:tcPr>
            <w:tcW w:w="840" w:type="dxa"/>
            <w:shd w:val="clear" w:color="auto" w:fill="FFFFFF"/>
            <w:tcMar>
              <w:top w:w="0" w:type="dxa"/>
              <w:left w:w="0" w:type="dxa"/>
              <w:bottom w:w="0" w:type="dxa"/>
              <w:right w:w="0" w:type="dxa"/>
            </w:tcMar>
            <w:vAlign w:val="center"/>
          </w:tcPr>
          <w:p w14:paraId="6307171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声功率级/dB(A)</w:t>
            </w:r>
          </w:p>
        </w:tc>
        <w:tc>
          <w:tcPr>
            <w:tcW w:w="675" w:type="dxa"/>
            <w:vMerge w:val="continue"/>
            <w:shd w:val="clear" w:color="auto" w:fill="FFFFFF"/>
            <w:tcMar>
              <w:top w:w="0" w:type="dxa"/>
              <w:left w:w="0" w:type="dxa"/>
              <w:bottom w:w="0" w:type="dxa"/>
              <w:right w:w="0" w:type="dxa"/>
            </w:tcMar>
            <w:vAlign w:val="center"/>
          </w:tcPr>
          <w:p w14:paraId="45D508E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p>
        </w:tc>
        <w:tc>
          <w:tcPr>
            <w:tcW w:w="510" w:type="dxa"/>
            <w:shd w:val="clear" w:color="auto" w:fill="FFFFFF"/>
            <w:tcMar>
              <w:top w:w="0" w:type="dxa"/>
              <w:left w:w="0" w:type="dxa"/>
              <w:bottom w:w="0" w:type="dxa"/>
              <w:right w:w="0" w:type="dxa"/>
            </w:tcMar>
            <w:vAlign w:val="center"/>
          </w:tcPr>
          <w:p w14:paraId="2FF141E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X</w:t>
            </w:r>
          </w:p>
        </w:tc>
        <w:tc>
          <w:tcPr>
            <w:tcW w:w="390" w:type="dxa"/>
            <w:shd w:val="clear" w:color="auto" w:fill="FFFFFF"/>
            <w:tcMar>
              <w:top w:w="0" w:type="dxa"/>
              <w:left w:w="0" w:type="dxa"/>
              <w:bottom w:w="0" w:type="dxa"/>
              <w:right w:w="0" w:type="dxa"/>
            </w:tcMar>
            <w:vAlign w:val="center"/>
          </w:tcPr>
          <w:p w14:paraId="26963D0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Y</w:t>
            </w:r>
          </w:p>
        </w:tc>
        <w:tc>
          <w:tcPr>
            <w:tcW w:w="420" w:type="dxa"/>
            <w:shd w:val="clear" w:color="auto" w:fill="FFFFFF"/>
            <w:tcMar>
              <w:top w:w="0" w:type="dxa"/>
              <w:left w:w="0" w:type="dxa"/>
              <w:bottom w:w="0" w:type="dxa"/>
              <w:right w:w="0" w:type="dxa"/>
            </w:tcMar>
            <w:vAlign w:val="center"/>
          </w:tcPr>
          <w:p w14:paraId="33BA5AC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Z</w:t>
            </w:r>
          </w:p>
        </w:tc>
        <w:tc>
          <w:tcPr>
            <w:tcW w:w="435" w:type="dxa"/>
            <w:shd w:val="clear" w:color="auto" w:fill="FFFFFF"/>
            <w:tcMar>
              <w:top w:w="0" w:type="dxa"/>
              <w:left w:w="0" w:type="dxa"/>
              <w:bottom w:w="0" w:type="dxa"/>
              <w:right w:w="0" w:type="dxa"/>
            </w:tcMar>
            <w:vAlign w:val="center"/>
          </w:tcPr>
          <w:p w14:paraId="1857E9F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东</w:t>
            </w:r>
          </w:p>
        </w:tc>
        <w:tc>
          <w:tcPr>
            <w:tcW w:w="435" w:type="dxa"/>
            <w:shd w:val="clear" w:color="auto" w:fill="FFFFFF"/>
            <w:tcMar>
              <w:top w:w="0" w:type="dxa"/>
              <w:left w:w="0" w:type="dxa"/>
              <w:bottom w:w="0" w:type="dxa"/>
              <w:right w:w="0" w:type="dxa"/>
            </w:tcMar>
            <w:vAlign w:val="center"/>
          </w:tcPr>
          <w:p w14:paraId="431D888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南</w:t>
            </w:r>
          </w:p>
        </w:tc>
        <w:tc>
          <w:tcPr>
            <w:tcW w:w="465" w:type="dxa"/>
            <w:shd w:val="clear" w:color="auto" w:fill="FFFFFF"/>
            <w:tcMar>
              <w:top w:w="0" w:type="dxa"/>
              <w:left w:w="0" w:type="dxa"/>
              <w:bottom w:w="0" w:type="dxa"/>
              <w:right w:w="0" w:type="dxa"/>
            </w:tcMar>
            <w:vAlign w:val="center"/>
          </w:tcPr>
          <w:p w14:paraId="5930A70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西</w:t>
            </w:r>
          </w:p>
        </w:tc>
        <w:tc>
          <w:tcPr>
            <w:tcW w:w="450" w:type="dxa"/>
            <w:shd w:val="clear" w:color="auto" w:fill="FFFFFF"/>
            <w:tcMar>
              <w:top w:w="0" w:type="dxa"/>
              <w:left w:w="0" w:type="dxa"/>
              <w:bottom w:w="0" w:type="dxa"/>
              <w:right w:w="0" w:type="dxa"/>
            </w:tcMar>
            <w:vAlign w:val="center"/>
          </w:tcPr>
          <w:p w14:paraId="58B220F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北</w:t>
            </w:r>
          </w:p>
        </w:tc>
        <w:tc>
          <w:tcPr>
            <w:tcW w:w="525" w:type="dxa"/>
            <w:shd w:val="clear" w:color="auto" w:fill="FFFFFF"/>
            <w:tcMar>
              <w:top w:w="0" w:type="dxa"/>
              <w:left w:w="0" w:type="dxa"/>
              <w:bottom w:w="0" w:type="dxa"/>
              <w:right w:w="0" w:type="dxa"/>
            </w:tcMar>
            <w:vAlign w:val="center"/>
          </w:tcPr>
          <w:p w14:paraId="7A0C7E3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东</w:t>
            </w:r>
          </w:p>
        </w:tc>
        <w:tc>
          <w:tcPr>
            <w:tcW w:w="540" w:type="dxa"/>
            <w:shd w:val="clear" w:color="auto" w:fill="FFFFFF"/>
            <w:tcMar>
              <w:top w:w="0" w:type="dxa"/>
              <w:left w:w="0" w:type="dxa"/>
              <w:bottom w:w="0" w:type="dxa"/>
              <w:right w:w="0" w:type="dxa"/>
            </w:tcMar>
            <w:vAlign w:val="center"/>
          </w:tcPr>
          <w:p w14:paraId="0887606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南</w:t>
            </w:r>
          </w:p>
        </w:tc>
        <w:tc>
          <w:tcPr>
            <w:tcW w:w="495" w:type="dxa"/>
            <w:shd w:val="clear" w:color="auto" w:fill="FFFFFF"/>
            <w:tcMar>
              <w:top w:w="0" w:type="dxa"/>
              <w:left w:w="0" w:type="dxa"/>
              <w:bottom w:w="0" w:type="dxa"/>
              <w:right w:w="0" w:type="dxa"/>
            </w:tcMar>
            <w:vAlign w:val="center"/>
          </w:tcPr>
          <w:p w14:paraId="5BB46DF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西</w:t>
            </w:r>
          </w:p>
        </w:tc>
        <w:tc>
          <w:tcPr>
            <w:tcW w:w="510" w:type="dxa"/>
            <w:shd w:val="clear" w:color="auto" w:fill="FFFFFF"/>
            <w:tcMar>
              <w:top w:w="0" w:type="dxa"/>
              <w:left w:w="0" w:type="dxa"/>
              <w:bottom w:w="0" w:type="dxa"/>
              <w:right w:w="0" w:type="dxa"/>
            </w:tcMar>
            <w:vAlign w:val="center"/>
          </w:tcPr>
          <w:p w14:paraId="1C3597B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北</w:t>
            </w:r>
          </w:p>
        </w:tc>
        <w:tc>
          <w:tcPr>
            <w:tcW w:w="510" w:type="dxa"/>
            <w:vMerge w:val="continue"/>
            <w:shd w:val="clear" w:color="auto" w:fill="FFFFFF"/>
            <w:tcMar>
              <w:top w:w="0" w:type="dxa"/>
              <w:left w:w="0" w:type="dxa"/>
              <w:bottom w:w="0" w:type="dxa"/>
              <w:right w:w="0" w:type="dxa"/>
            </w:tcMar>
            <w:vAlign w:val="center"/>
          </w:tcPr>
          <w:p w14:paraId="345F140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p>
        </w:tc>
        <w:tc>
          <w:tcPr>
            <w:tcW w:w="465" w:type="dxa"/>
            <w:shd w:val="clear" w:color="auto" w:fill="FFFFFF"/>
            <w:tcMar>
              <w:top w:w="0" w:type="dxa"/>
              <w:left w:w="0" w:type="dxa"/>
              <w:bottom w:w="0" w:type="dxa"/>
              <w:right w:w="0" w:type="dxa"/>
            </w:tcMar>
            <w:vAlign w:val="center"/>
          </w:tcPr>
          <w:p w14:paraId="58EB78C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东</w:t>
            </w:r>
          </w:p>
        </w:tc>
        <w:tc>
          <w:tcPr>
            <w:tcW w:w="564" w:type="dxa"/>
            <w:shd w:val="clear" w:color="auto" w:fill="FFFFFF"/>
            <w:tcMar>
              <w:top w:w="0" w:type="dxa"/>
              <w:left w:w="0" w:type="dxa"/>
              <w:bottom w:w="0" w:type="dxa"/>
              <w:right w:w="0" w:type="dxa"/>
            </w:tcMar>
            <w:vAlign w:val="center"/>
          </w:tcPr>
          <w:p w14:paraId="263E86B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南</w:t>
            </w:r>
          </w:p>
        </w:tc>
        <w:tc>
          <w:tcPr>
            <w:tcW w:w="564" w:type="dxa"/>
            <w:shd w:val="clear" w:color="auto" w:fill="FFFFFF"/>
            <w:tcMar>
              <w:top w:w="0" w:type="dxa"/>
              <w:left w:w="0" w:type="dxa"/>
              <w:bottom w:w="0" w:type="dxa"/>
              <w:right w:w="0" w:type="dxa"/>
            </w:tcMar>
            <w:vAlign w:val="center"/>
          </w:tcPr>
          <w:p w14:paraId="7C7A0C2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西</w:t>
            </w:r>
          </w:p>
        </w:tc>
        <w:tc>
          <w:tcPr>
            <w:tcW w:w="564" w:type="dxa"/>
            <w:shd w:val="clear" w:color="auto" w:fill="FFFFFF"/>
            <w:tcMar>
              <w:top w:w="0" w:type="dxa"/>
              <w:left w:w="0" w:type="dxa"/>
              <w:bottom w:w="0" w:type="dxa"/>
              <w:right w:w="0" w:type="dxa"/>
            </w:tcMar>
            <w:vAlign w:val="center"/>
          </w:tcPr>
          <w:p w14:paraId="01F5F78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北</w:t>
            </w:r>
          </w:p>
        </w:tc>
        <w:tc>
          <w:tcPr>
            <w:tcW w:w="502" w:type="dxa"/>
            <w:shd w:val="clear" w:color="auto" w:fill="FFFFFF"/>
            <w:tcMar>
              <w:top w:w="0" w:type="dxa"/>
              <w:left w:w="0" w:type="dxa"/>
              <w:bottom w:w="0" w:type="dxa"/>
              <w:right w:w="0" w:type="dxa"/>
            </w:tcMar>
            <w:vAlign w:val="center"/>
          </w:tcPr>
          <w:p w14:paraId="42F83FF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东</w:t>
            </w:r>
          </w:p>
        </w:tc>
        <w:tc>
          <w:tcPr>
            <w:tcW w:w="425" w:type="dxa"/>
            <w:shd w:val="clear" w:color="auto" w:fill="FFFFFF"/>
            <w:tcMar>
              <w:top w:w="0" w:type="dxa"/>
              <w:left w:w="0" w:type="dxa"/>
              <w:bottom w:w="0" w:type="dxa"/>
              <w:right w:w="0" w:type="dxa"/>
            </w:tcMar>
            <w:vAlign w:val="center"/>
          </w:tcPr>
          <w:p w14:paraId="0866CDE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南</w:t>
            </w:r>
          </w:p>
        </w:tc>
        <w:tc>
          <w:tcPr>
            <w:tcW w:w="435" w:type="dxa"/>
            <w:shd w:val="clear" w:color="auto" w:fill="FFFFFF"/>
            <w:tcMar>
              <w:top w:w="0" w:type="dxa"/>
              <w:left w:w="0" w:type="dxa"/>
              <w:bottom w:w="0" w:type="dxa"/>
              <w:right w:w="0" w:type="dxa"/>
            </w:tcMar>
            <w:vAlign w:val="center"/>
          </w:tcPr>
          <w:p w14:paraId="6E3052F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西</w:t>
            </w:r>
          </w:p>
        </w:tc>
        <w:tc>
          <w:tcPr>
            <w:tcW w:w="435" w:type="dxa"/>
            <w:shd w:val="clear" w:color="auto" w:fill="FFFFFF"/>
            <w:tcMar>
              <w:top w:w="0" w:type="dxa"/>
              <w:left w:w="0" w:type="dxa"/>
              <w:bottom w:w="0" w:type="dxa"/>
              <w:right w:w="0" w:type="dxa"/>
            </w:tcMar>
            <w:vAlign w:val="center"/>
          </w:tcPr>
          <w:p w14:paraId="4CD83CA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北</w:t>
            </w:r>
          </w:p>
        </w:tc>
        <w:tc>
          <w:tcPr>
            <w:tcW w:w="780" w:type="dxa"/>
            <w:shd w:val="clear" w:color="auto" w:fill="FFFFFF"/>
            <w:tcMar>
              <w:top w:w="0" w:type="dxa"/>
              <w:left w:w="0" w:type="dxa"/>
              <w:bottom w:w="0" w:type="dxa"/>
              <w:right w:w="0" w:type="dxa"/>
            </w:tcMar>
            <w:vAlign w:val="center"/>
          </w:tcPr>
          <w:p w14:paraId="283E7BD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建筑物外距离</w:t>
            </w:r>
          </w:p>
        </w:tc>
      </w:tr>
      <w:tr w14:paraId="33AB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8" w:hRule="atLeast"/>
          <w:jc w:val="center"/>
        </w:trPr>
        <w:tc>
          <w:tcPr>
            <w:tcW w:w="420" w:type="dxa"/>
            <w:shd w:val="clear" w:color="auto" w:fill="FFFFFF"/>
            <w:tcMar>
              <w:top w:w="0" w:type="dxa"/>
              <w:left w:w="0" w:type="dxa"/>
              <w:bottom w:w="0" w:type="dxa"/>
              <w:right w:w="0" w:type="dxa"/>
            </w:tcMar>
            <w:vAlign w:val="center"/>
          </w:tcPr>
          <w:p w14:paraId="14A575E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1</w:t>
            </w:r>
          </w:p>
        </w:tc>
        <w:tc>
          <w:tcPr>
            <w:tcW w:w="514" w:type="dxa"/>
            <w:vMerge w:val="restart"/>
            <w:shd w:val="clear" w:color="auto" w:fill="FFFFFF"/>
            <w:tcMar>
              <w:top w:w="0" w:type="dxa"/>
              <w:left w:w="0" w:type="dxa"/>
              <w:bottom w:w="0" w:type="dxa"/>
              <w:right w:w="0" w:type="dxa"/>
            </w:tcMar>
            <w:vAlign w:val="center"/>
          </w:tcPr>
          <w:p w14:paraId="3855220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生产</w:t>
            </w:r>
          </w:p>
          <w:p w14:paraId="5574102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车间</w:t>
            </w:r>
          </w:p>
        </w:tc>
        <w:tc>
          <w:tcPr>
            <w:tcW w:w="825" w:type="dxa"/>
            <w:shd w:val="clear" w:color="auto" w:fill="FFFFFF"/>
            <w:tcMar>
              <w:top w:w="0" w:type="dxa"/>
              <w:left w:w="0" w:type="dxa"/>
              <w:bottom w:w="0" w:type="dxa"/>
              <w:right w:w="0" w:type="dxa"/>
            </w:tcMar>
            <w:vAlign w:val="center"/>
          </w:tcPr>
          <w:p w14:paraId="46E93FA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上料机</w:t>
            </w:r>
          </w:p>
        </w:tc>
        <w:tc>
          <w:tcPr>
            <w:tcW w:w="840" w:type="dxa"/>
            <w:shd w:val="clear" w:color="auto" w:fill="FFFFFF"/>
            <w:tcMar>
              <w:top w:w="0" w:type="dxa"/>
              <w:left w:w="0" w:type="dxa"/>
              <w:bottom w:w="0" w:type="dxa"/>
              <w:right w:w="0" w:type="dxa"/>
            </w:tcMar>
            <w:vAlign w:val="center"/>
          </w:tcPr>
          <w:p w14:paraId="6A8C851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70</w:t>
            </w:r>
          </w:p>
        </w:tc>
        <w:tc>
          <w:tcPr>
            <w:tcW w:w="675" w:type="dxa"/>
            <w:vMerge w:val="restart"/>
            <w:shd w:val="clear" w:color="auto" w:fill="FFFFFF"/>
            <w:tcMar>
              <w:top w:w="0" w:type="dxa"/>
              <w:left w:w="0" w:type="dxa"/>
              <w:bottom w:w="0" w:type="dxa"/>
              <w:right w:w="0" w:type="dxa"/>
            </w:tcMar>
            <w:vAlign w:val="center"/>
          </w:tcPr>
          <w:p w14:paraId="2B87033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基础减振、厂房隔声等</w:t>
            </w:r>
          </w:p>
        </w:tc>
        <w:tc>
          <w:tcPr>
            <w:tcW w:w="510" w:type="dxa"/>
            <w:shd w:val="clear" w:color="auto" w:fill="FFFFFF"/>
            <w:tcMar>
              <w:top w:w="0" w:type="dxa"/>
              <w:left w:w="0" w:type="dxa"/>
              <w:bottom w:w="0" w:type="dxa"/>
              <w:right w:w="0" w:type="dxa"/>
            </w:tcMar>
            <w:vAlign w:val="center"/>
          </w:tcPr>
          <w:p w14:paraId="63F015B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14.5</w:t>
            </w:r>
          </w:p>
        </w:tc>
        <w:tc>
          <w:tcPr>
            <w:tcW w:w="390" w:type="dxa"/>
            <w:shd w:val="clear" w:color="auto" w:fill="FFFFFF"/>
            <w:tcMar>
              <w:top w:w="0" w:type="dxa"/>
              <w:left w:w="0" w:type="dxa"/>
              <w:bottom w:w="0" w:type="dxa"/>
              <w:right w:w="0" w:type="dxa"/>
            </w:tcMar>
            <w:vAlign w:val="center"/>
          </w:tcPr>
          <w:p w14:paraId="7D06050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5.6</w:t>
            </w:r>
          </w:p>
        </w:tc>
        <w:tc>
          <w:tcPr>
            <w:tcW w:w="420" w:type="dxa"/>
            <w:shd w:val="clear" w:color="auto" w:fill="FFFFFF"/>
            <w:tcMar>
              <w:top w:w="0" w:type="dxa"/>
              <w:left w:w="0" w:type="dxa"/>
              <w:bottom w:w="0" w:type="dxa"/>
              <w:right w:w="0" w:type="dxa"/>
            </w:tcMar>
            <w:vAlign w:val="center"/>
          </w:tcPr>
          <w:p w14:paraId="1549A9B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1.0</w:t>
            </w:r>
          </w:p>
        </w:tc>
        <w:tc>
          <w:tcPr>
            <w:tcW w:w="435" w:type="dxa"/>
            <w:shd w:val="clear" w:color="auto" w:fill="FFFFFF"/>
            <w:tcMar>
              <w:top w:w="0" w:type="dxa"/>
              <w:left w:w="0" w:type="dxa"/>
              <w:bottom w:w="0" w:type="dxa"/>
              <w:right w:w="0" w:type="dxa"/>
            </w:tcMar>
            <w:vAlign w:val="center"/>
          </w:tcPr>
          <w:p w14:paraId="324532F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1.3</w:t>
            </w:r>
          </w:p>
        </w:tc>
        <w:tc>
          <w:tcPr>
            <w:tcW w:w="435" w:type="dxa"/>
            <w:shd w:val="clear" w:color="auto" w:fill="FFFFFF"/>
            <w:tcMar>
              <w:top w:w="0" w:type="dxa"/>
              <w:left w:w="0" w:type="dxa"/>
              <w:bottom w:w="0" w:type="dxa"/>
              <w:right w:w="0" w:type="dxa"/>
            </w:tcMar>
            <w:vAlign w:val="center"/>
          </w:tcPr>
          <w:p w14:paraId="665F547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27.5</w:t>
            </w:r>
          </w:p>
        </w:tc>
        <w:tc>
          <w:tcPr>
            <w:tcW w:w="465" w:type="dxa"/>
            <w:shd w:val="clear" w:color="auto" w:fill="FFFFFF"/>
            <w:tcMar>
              <w:top w:w="0" w:type="dxa"/>
              <w:left w:w="0" w:type="dxa"/>
              <w:bottom w:w="0" w:type="dxa"/>
              <w:right w:w="0" w:type="dxa"/>
            </w:tcMar>
            <w:vAlign w:val="center"/>
          </w:tcPr>
          <w:p w14:paraId="23C2E31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10.0</w:t>
            </w:r>
          </w:p>
        </w:tc>
        <w:tc>
          <w:tcPr>
            <w:tcW w:w="450" w:type="dxa"/>
            <w:shd w:val="clear" w:color="auto" w:fill="FFFFFF"/>
            <w:tcMar>
              <w:top w:w="0" w:type="dxa"/>
              <w:left w:w="0" w:type="dxa"/>
              <w:bottom w:w="0" w:type="dxa"/>
              <w:right w:w="0" w:type="dxa"/>
            </w:tcMar>
            <w:vAlign w:val="center"/>
          </w:tcPr>
          <w:p w14:paraId="06B2BAD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9.3</w:t>
            </w:r>
          </w:p>
        </w:tc>
        <w:tc>
          <w:tcPr>
            <w:tcW w:w="525" w:type="dxa"/>
            <w:shd w:val="clear" w:color="auto" w:fill="FFFFFF"/>
            <w:tcMar>
              <w:top w:w="0" w:type="dxa"/>
              <w:left w:w="0" w:type="dxa"/>
              <w:bottom w:w="0" w:type="dxa"/>
              <w:right w:w="0" w:type="dxa"/>
            </w:tcMar>
            <w:vAlign w:val="center"/>
          </w:tcPr>
          <w:p w14:paraId="7F2421F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60.7</w:t>
            </w:r>
          </w:p>
        </w:tc>
        <w:tc>
          <w:tcPr>
            <w:tcW w:w="540" w:type="dxa"/>
            <w:shd w:val="clear" w:color="auto" w:fill="FFFFFF"/>
            <w:tcMar>
              <w:top w:w="0" w:type="dxa"/>
              <w:left w:w="0" w:type="dxa"/>
              <w:bottom w:w="0" w:type="dxa"/>
              <w:right w:w="0" w:type="dxa"/>
            </w:tcMar>
            <w:vAlign w:val="center"/>
          </w:tcPr>
          <w:p w14:paraId="3B3C71E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495" w:type="dxa"/>
            <w:shd w:val="clear" w:color="auto" w:fill="FFFFFF"/>
            <w:tcMar>
              <w:top w:w="0" w:type="dxa"/>
              <w:left w:w="0" w:type="dxa"/>
              <w:bottom w:w="0" w:type="dxa"/>
              <w:right w:w="0" w:type="dxa"/>
            </w:tcMar>
            <w:vAlign w:val="center"/>
          </w:tcPr>
          <w:p w14:paraId="31906E9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510" w:type="dxa"/>
            <w:shd w:val="clear" w:color="auto" w:fill="FFFFFF"/>
            <w:tcMar>
              <w:top w:w="0" w:type="dxa"/>
              <w:left w:w="0" w:type="dxa"/>
              <w:bottom w:w="0" w:type="dxa"/>
              <w:right w:w="0" w:type="dxa"/>
            </w:tcMar>
            <w:vAlign w:val="center"/>
          </w:tcPr>
          <w:p w14:paraId="5C2027E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510" w:type="dxa"/>
            <w:vMerge w:val="restart"/>
            <w:shd w:val="clear" w:color="auto" w:fill="FFFFFF"/>
            <w:tcMar>
              <w:top w:w="0" w:type="dxa"/>
              <w:left w:w="0" w:type="dxa"/>
              <w:bottom w:w="0" w:type="dxa"/>
              <w:right w:w="0" w:type="dxa"/>
            </w:tcMar>
            <w:vAlign w:val="center"/>
          </w:tcPr>
          <w:p w14:paraId="2C0C2F1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正常生产过程</w:t>
            </w:r>
          </w:p>
        </w:tc>
        <w:tc>
          <w:tcPr>
            <w:tcW w:w="465" w:type="dxa"/>
            <w:shd w:val="clear" w:color="auto" w:fill="FFFFFF"/>
            <w:tcMar>
              <w:top w:w="0" w:type="dxa"/>
              <w:left w:w="0" w:type="dxa"/>
              <w:bottom w:w="0" w:type="dxa"/>
              <w:right w:w="0" w:type="dxa"/>
            </w:tcMar>
            <w:vAlign w:val="center"/>
          </w:tcPr>
          <w:p w14:paraId="3724CA4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3E7B734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0BCF15C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56BAAC8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02" w:type="dxa"/>
            <w:shd w:val="clear" w:color="auto" w:fill="FFFFFF"/>
            <w:tcMar>
              <w:top w:w="0" w:type="dxa"/>
              <w:left w:w="0" w:type="dxa"/>
              <w:bottom w:w="0" w:type="dxa"/>
              <w:right w:w="0" w:type="dxa"/>
            </w:tcMar>
            <w:vAlign w:val="center"/>
          </w:tcPr>
          <w:p w14:paraId="3C0DBAB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39.7</w:t>
            </w:r>
          </w:p>
        </w:tc>
        <w:tc>
          <w:tcPr>
            <w:tcW w:w="425" w:type="dxa"/>
            <w:shd w:val="clear" w:color="auto" w:fill="FFFFFF"/>
            <w:tcMar>
              <w:top w:w="0" w:type="dxa"/>
              <w:left w:w="0" w:type="dxa"/>
              <w:bottom w:w="0" w:type="dxa"/>
              <w:right w:w="0" w:type="dxa"/>
            </w:tcMar>
            <w:vAlign w:val="center"/>
          </w:tcPr>
          <w:p w14:paraId="7237D7D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435" w:type="dxa"/>
            <w:shd w:val="clear" w:color="auto" w:fill="FFFFFF"/>
            <w:tcMar>
              <w:top w:w="0" w:type="dxa"/>
              <w:left w:w="0" w:type="dxa"/>
              <w:bottom w:w="0" w:type="dxa"/>
              <w:right w:w="0" w:type="dxa"/>
            </w:tcMar>
            <w:vAlign w:val="center"/>
          </w:tcPr>
          <w:p w14:paraId="1DCAF9C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435" w:type="dxa"/>
            <w:shd w:val="clear" w:color="auto" w:fill="FFFFFF"/>
            <w:tcMar>
              <w:top w:w="0" w:type="dxa"/>
              <w:left w:w="0" w:type="dxa"/>
              <w:bottom w:w="0" w:type="dxa"/>
              <w:right w:w="0" w:type="dxa"/>
            </w:tcMar>
            <w:vAlign w:val="center"/>
          </w:tcPr>
          <w:p w14:paraId="1C82269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780" w:type="dxa"/>
            <w:vMerge w:val="restart"/>
            <w:shd w:val="clear" w:color="auto" w:fill="FFFFFF"/>
            <w:tcMar>
              <w:top w:w="0" w:type="dxa"/>
              <w:left w:w="0" w:type="dxa"/>
              <w:bottom w:w="0" w:type="dxa"/>
              <w:right w:w="0" w:type="dxa"/>
            </w:tcMar>
            <w:vAlign w:val="center"/>
          </w:tcPr>
          <w:p w14:paraId="17FAC3C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1</w:t>
            </w:r>
            <w:r>
              <w:rPr>
                <w:rFonts w:hint="eastAsia" w:ascii="Times New Roman" w:hAnsi="Times New Roman" w:eastAsia="宋体" w:cs="Times New Roman"/>
                <w:sz w:val="21"/>
                <w:szCs w:val="21"/>
                <w:lang w:val="en-US" w:eastAsia="zh-CN"/>
              </w:rPr>
              <w:t>m</w:t>
            </w:r>
          </w:p>
        </w:tc>
      </w:tr>
      <w:tr w14:paraId="77DA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3" w:hRule="atLeast"/>
          <w:jc w:val="center"/>
        </w:trPr>
        <w:tc>
          <w:tcPr>
            <w:tcW w:w="420" w:type="dxa"/>
            <w:shd w:val="clear" w:color="auto" w:fill="FFFFFF"/>
            <w:tcMar>
              <w:top w:w="0" w:type="dxa"/>
              <w:left w:w="0" w:type="dxa"/>
              <w:bottom w:w="0" w:type="dxa"/>
              <w:right w:w="0" w:type="dxa"/>
            </w:tcMar>
            <w:vAlign w:val="center"/>
          </w:tcPr>
          <w:p w14:paraId="480D2EB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2</w:t>
            </w:r>
          </w:p>
        </w:tc>
        <w:tc>
          <w:tcPr>
            <w:tcW w:w="514" w:type="dxa"/>
            <w:vMerge w:val="continue"/>
            <w:shd w:val="clear" w:color="auto" w:fill="FFFFFF"/>
            <w:tcMar>
              <w:top w:w="0" w:type="dxa"/>
              <w:left w:w="0" w:type="dxa"/>
              <w:bottom w:w="0" w:type="dxa"/>
              <w:right w:w="0" w:type="dxa"/>
            </w:tcMar>
            <w:vAlign w:val="center"/>
          </w:tcPr>
          <w:p w14:paraId="169ECF6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c>
          <w:tcPr>
            <w:tcW w:w="825" w:type="dxa"/>
            <w:shd w:val="clear" w:color="auto" w:fill="FFFFFF"/>
            <w:tcMar>
              <w:top w:w="0" w:type="dxa"/>
              <w:left w:w="0" w:type="dxa"/>
              <w:bottom w:w="0" w:type="dxa"/>
              <w:right w:w="0" w:type="dxa"/>
            </w:tcMar>
            <w:vAlign w:val="center"/>
          </w:tcPr>
          <w:p w14:paraId="3227323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上料机</w:t>
            </w:r>
          </w:p>
        </w:tc>
        <w:tc>
          <w:tcPr>
            <w:tcW w:w="840" w:type="dxa"/>
            <w:shd w:val="clear" w:color="auto" w:fill="FFFFFF"/>
            <w:tcMar>
              <w:top w:w="0" w:type="dxa"/>
              <w:left w:w="0" w:type="dxa"/>
              <w:bottom w:w="0" w:type="dxa"/>
              <w:right w:w="0" w:type="dxa"/>
            </w:tcMar>
            <w:vAlign w:val="center"/>
          </w:tcPr>
          <w:p w14:paraId="46FBCB5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70</w:t>
            </w:r>
          </w:p>
        </w:tc>
        <w:tc>
          <w:tcPr>
            <w:tcW w:w="675" w:type="dxa"/>
            <w:vMerge w:val="continue"/>
            <w:shd w:val="clear" w:color="auto" w:fill="FFFFFF"/>
            <w:tcMar>
              <w:top w:w="0" w:type="dxa"/>
              <w:left w:w="0" w:type="dxa"/>
              <w:bottom w:w="0" w:type="dxa"/>
              <w:right w:w="0" w:type="dxa"/>
            </w:tcMar>
            <w:vAlign w:val="center"/>
          </w:tcPr>
          <w:p w14:paraId="02AFA0E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510" w:type="dxa"/>
            <w:shd w:val="clear" w:color="auto" w:fill="FFFFFF"/>
            <w:tcMar>
              <w:top w:w="0" w:type="dxa"/>
              <w:left w:w="0" w:type="dxa"/>
              <w:bottom w:w="0" w:type="dxa"/>
              <w:right w:w="0" w:type="dxa"/>
            </w:tcMar>
            <w:vAlign w:val="center"/>
          </w:tcPr>
          <w:p w14:paraId="020F25F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16.4</w:t>
            </w:r>
          </w:p>
        </w:tc>
        <w:tc>
          <w:tcPr>
            <w:tcW w:w="390" w:type="dxa"/>
            <w:shd w:val="clear" w:color="auto" w:fill="FFFFFF"/>
            <w:tcMar>
              <w:top w:w="0" w:type="dxa"/>
              <w:left w:w="0" w:type="dxa"/>
              <w:bottom w:w="0" w:type="dxa"/>
              <w:right w:w="0" w:type="dxa"/>
            </w:tcMar>
            <w:vAlign w:val="center"/>
          </w:tcPr>
          <w:p w14:paraId="756C770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-8</w:t>
            </w:r>
          </w:p>
        </w:tc>
        <w:tc>
          <w:tcPr>
            <w:tcW w:w="420" w:type="dxa"/>
            <w:shd w:val="clear" w:color="auto" w:fill="FFFFFF"/>
            <w:tcMar>
              <w:top w:w="0" w:type="dxa"/>
              <w:left w:w="0" w:type="dxa"/>
              <w:bottom w:w="0" w:type="dxa"/>
              <w:right w:w="0" w:type="dxa"/>
            </w:tcMar>
            <w:vAlign w:val="center"/>
          </w:tcPr>
          <w:p w14:paraId="6C4FE7B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1.0</w:t>
            </w:r>
          </w:p>
        </w:tc>
        <w:tc>
          <w:tcPr>
            <w:tcW w:w="435" w:type="dxa"/>
            <w:shd w:val="clear" w:color="auto" w:fill="FFFFFF"/>
            <w:tcMar>
              <w:top w:w="0" w:type="dxa"/>
              <w:left w:w="0" w:type="dxa"/>
              <w:bottom w:w="0" w:type="dxa"/>
              <w:right w:w="0" w:type="dxa"/>
            </w:tcMar>
            <w:vAlign w:val="center"/>
          </w:tcPr>
          <w:p w14:paraId="68FAEE3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5.0</w:t>
            </w:r>
          </w:p>
        </w:tc>
        <w:tc>
          <w:tcPr>
            <w:tcW w:w="435" w:type="dxa"/>
            <w:shd w:val="clear" w:color="auto" w:fill="FFFFFF"/>
            <w:tcMar>
              <w:top w:w="0" w:type="dxa"/>
              <w:left w:w="0" w:type="dxa"/>
              <w:bottom w:w="0" w:type="dxa"/>
              <w:right w:w="0" w:type="dxa"/>
            </w:tcMar>
            <w:vAlign w:val="center"/>
          </w:tcPr>
          <w:p w14:paraId="07598AD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14.2</w:t>
            </w:r>
          </w:p>
        </w:tc>
        <w:tc>
          <w:tcPr>
            <w:tcW w:w="465" w:type="dxa"/>
            <w:shd w:val="clear" w:color="auto" w:fill="FFFFFF"/>
            <w:tcMar>
              <w:top w:w="0" w:type="dxa"/>
              <w:left w:w="0" w:type="dxa"/>
              <w:bottom w:w="0" w:type="dxa"/>
              <w:right w:w="0" w:type="dxa"/>
            </w:tcMar>
            <w:vAlign w:val="center"/>
          </w:tcPr>
          <w:p w14:paraId="61072DD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3.5</w:t>
            </w:r>
          </w:p>
        </w:tc>
        <w:tc>
          <w:tcPr>
            <w:tcW w:w="450" w:type="dxa"/>
            <w:shd w:val="clear" w:color="auto" w:fill="FFFFFF"/>
            <w:tcMar>
              <w:top w:w="0" w:type="dxa"/>
              <w:left w:w="0" w:type="dxa"/>
              <w:bottom w:w="0" w:type="dxa"/>
              <w:right w:w="0" w:type="dxa"/>
            </w:tcMar>
            <w:vAlign w:val="center"/>
          </w:tcPr>
          <w:p w14:paraId="1311D6D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5.9</w:t>
            </w:r>
          </w:p>
        </w:tc>
        <w:tc>
          <w:tcPr>
            <w:tcW w:w="525" w:type="dxa"/>
            <w:shd w:val="clear" w:color="auto" w:fill="FFFFFF"/>
            <w:tcMar>
              <w:top w:w="0" w:type="dxa"/>
              <w:left w:w="0" w:type="dxa"/>
              <w:bottom w:w="0" w:type="dxa"/>
              <w:right w:w="0" w:type="dxa"/>
            </w:tcMar>
            <w:vAlign w:val="center"/>
          </w:tcPr>
          <w:p w14:paraId="5F54F5D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58.7</w:t>
            </w:r>
          </w:p>
        </w:tc>
        <w:tc>
          <w:tcPr>
            <w:tcW w:w="540" w:type="dxa"/>
            <w:shd w:val="clear" w:color="auto" w:fill="FFFFFF"/>
            <w:tcMar>
              <w:top w:w="0" w:type="dxa"/>
              <w:left w:w="0" w:type="dxa"/>
              <w:bottom w:w="0" w:type="dxa"/>
              <w:right w:w="0" w:type="dxa"/>
            </w:tcMar>
            <w:vAlign w:val="center"/>
          </w:tcPr>
          <w:p w14:paraId="26875EB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495" w:type="dxa"/>
            <w:shd w:val="clear" w:color="auto" w:fill="FFFFFF"/>
            <w:tcMar>
              <w:top w:w="0" w:type="dxa"/>
              <w:left w:w="0" w:type="dxa"/>
              <w:bottom w:w="0" w:type="dxa"/>
              <w:right w:w="0" w:type="dxa"/>
            </w:tcMar>
            <w:vAlign w:val="center"/>
          </w:tcPr>
          <w:p w14:paraId="0937EE1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58.9</w:t>
            </w:r>
          </w:p>
        </w:tc>
        <w:tc>
          <w:tcPr>
            <w:tcW w:w="510" w:type="dxa"/>
            <w:shd w:val="clear" w:color="auto" w:fill="FFFFFF"/>
            <w:tcMar>
              <w:top w:w="0" w:type="dxa"/>
              <w:left w:w="0" w:type="dxa"/>
              <w:bottom w:w="0" w:type="dxa"/>
              <w:right w:w="0" w:type="dxa"/>
            </w:tcMar>
            <w:vAlign w:val="center"/>
          </w:tcPr>
          <w:p w14:paraId="11FEF66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58.6</w:t>
            </w:r>
          </w:p>
        </w:tc>
        <w:tc>
          <w:tcPr>
            <w:tcW w:w="510" w:type="dxa"/>
            <w:vMerge w:val="continue"/>
            <w:shd w:val="clear" w:color="auto" w:fill="FFFFFF"/>
            <w:tcMar>
              <w:top w:w="0" w:type="dxa"/>
              <w:left w:w="0" w:type="dxa"/>
              <w:bottom w:w="0" w:type="dxa"/>
              <w:right w:w="0" w:type="dxa"/>
            </w:tcMar>
            <w:vAlign w:val="center"/>
          </w:tcPr>
          <w:p w14:paraId="050A4D1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465" w:type="dxa"/>
            <w:shd w:val="clear" w:color="auto" w:fill="FFFFFF"/>
            <w:tcMar>
              <w:top w:w="0" w:type="dxa"/>
              <w:left w:w="0" w:type="dxa"/>
              <w:bottom w:w="0" w:type="dxa"/>
              <w:right w:w="0" w:type="dxa"/>
            </w:tcMar>
            <w:vAlign w:val="center"/>
          </w:tcPr>
          <w:p w14:paraId="5724640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2DAE07C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41F1E9F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3CC256B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02" w:type="dxa"/>
            <w:shd w:val="clear" w:color="auto" w:fill="FFFFFF"/>
            <w:tcMar>
              <w:top w:w="0" w:type="dxa"/>
              <w:left w:w="0" w:type="dxa"/>
              <w:bottom w:w="0" w:type="dxa"/>
              <w:right w:w="0" w:type="dxa"/>
            </w:tcMar>
            <w:vAlign w:val="center"/>
          </w:tcPr>
          <w:p w14:paraId="1FFEAE7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37.7</w:t>
            </w:r>
          </w:p>
        </w:tc>
        <w:tc>
          <w:tcPr>
            <w:tcW w:w="425" w:type="dxa"/>
            <w:shd w:val="clear" w:color="auto" w:fill="FFFFFF"/>
            <w:tcMar>
              <w:top w:w="0" w:type="dxa"/>
              <w:left w:w="0" w:type="dxa"/>
              <w:bottom w:w="0" w:type="dxa"/>
              <w:right w:w="0" w:type="dxa"/>
            </w:tcMar>
            <w:vAlign w:val="center"/>
          </w:tcPr>
          <w:p w14:paraId="05F94C6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435" w:type="dxa"/>
            <w:shd w:val="clear" w:color="auto" w:fill="FFFFFF"/>
            <w:tcMar>
              <w:top w:w="0" w:type="dxa"/>
              <w:left w:w="0" w:type="dxa"/>
              <w:bottom w:w="0" w:type="dxa"/>
              <w:right w:w="0" w:type="dxa"/>
            </w:tcMar>
            <w:vAlign w:val="center"/>
          </w:tcPr>
          <w:p w14:paraId="246B8DA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37.9</w:t>
            </w:r>
          </w:p>
        </w:tc>
        <w:tc>
          <w:tcPr>
            <w:tcW w:w="435" w:type="dxa"/>
            <w:shd w:val="clear" w:color="auto" w:fill="FFFFFF"/>
            <w:tcMar>
              <w:top w:w="0" w:type="dxa"/>
              <w:left w:w="0" w:type="dxa"/>
              <w:bottom w:w="0" w:type="dxa"/>
              <w:right w:w="0" w:type="dxa"/>
            </w:tcMar>
            <w:vAlign w:val="center"/>
          </w:tcPr>
          <w:p w14:paraId="1537F2A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37.6</w:t>
            </w:r>
          </w:p>
        </w:tc>
        <w:tc>
          <w:tcPr>
            <w:tcW w:w="780" w:type="dxa"/>
            <w:vMerge w:val="continue"/>
            <w:shd w:val="clear" w:color="auto" w:fill="FFFFFF"/>
            <w:tcMar>
              <w:top w:w="0" w:type="dxa"/>
              <w:left w:w="0" w:type="dxa"/>
              <w:bottom w:w="0" w:type="dxa"/>
              <w:right w:w="0" w:type="dxa"/>
            </w:tcMar>
            <w:vAlign w:val="center"/>
          </w:tcPr>
          <w:p w14:paraId="1D5018A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r>
      <w:tr w14:paraId="64F2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3" w:hRule="atLeast"/>
          <w:jc w:val="center"/>
        </w:trPr>
        <w:tc>
          <w:tcPr>
            <w:tcW w:w="420" w:type="dxa"/>
            <w:shd w:val="clear" w:color="auto" w:fill="FFFFFF"/>
            <w:tcMar>
              <w:top w:w="0" w:type="dxa"/>
              <w:left w:w="0" w:type="dxa"/>
              <w:bottom w:w="0" w:type="dxa"/>
              <w:right w:w="0" w:type="dxa"/>
            </w:tcMar>
            <w:vAlign w:val="center"/>
          </w:tcPr>
          <w:p w14:paraId="405CCBB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3</w:t>
            </w:r>
          </w:p>
        </w:tc>
        <w:tc>
          <w:tcPr>
            <w:tcW w:w="514" w:type="dxa"/>
            <w:vMerge w:val="continue"/>
            <w:shd w:val="clear" w:color="auto" w:fill="FFFFFF"/>
            <w:tcMar>
              <w:top w:w="0" w:type="dxa"/>
              <w:left w:w="0" w:type="dxa"/>
              <w:bottom w:w="0" w:type="dxa"/>
              <w:right w:w="0" w:type="dxa"/>
            </w:tcMar>
            <w:vAlign w:val="center"/>
          </w:tcPr>
          <w:p w14:paraId="7EC670E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c>
          <w:tcPr>
            <w:tcW w:w="825" w:type="dxa"/>
            <w:shd w:val="clear" w:color="auto" w:fill="FFFFFF"/>
            <w:tcMar>
              <w:top w:w="0" w:type="dxa"/>
              <w:left w:w="0" w:type="dxa"/>
              <w:bottom w:w="0" w:type="dxa"/>
              <w:right w:w="0" w:type="dxa"/>
            </w:tcMar>
            <w:vAlign w:val="center"/>
          </w:tcPr>
          <w:p w14:paraId="43A97A4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上料机</w:t>
            </w:r>
          </w:p>
        </w:tc>
        <w:tc>
          <w:tcPr>
            <w:tcW w:w="840" w:type="dxa"/>
            <w:shd w:val="clear" w:color="auto" w:fill="FFFFFF"/>
            <w:tcMar>
              <w:top w:w="0" w:type="dxa"/>
              <w:left w:w="0" w:type="dxa"/>
              <w:bottom w:w="0" w:type="dxa"/>
              <w:right w:w="0" w:type="dxa"/>
            </w:tcMar>
            <w:vAlign w:val="center"/>
          </w:tcPr>
          <w:p w14:paraId="556A991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70</w:t>
            </w:r>
          </w:p>
        </w:tc>
        <w:tc>
          <w:tcPr>
            <w:tcW w:w="675" w:type="dxa"/>
            <w:vMerge w:val="continue"/>
            <w:shd w:val="clear" w:color="auto" w:fill="FFFFFF"/>
            <w:tcMar>
              <w:top w:w="0" w:type="dxa"/>
              <w:left w:w="0" w:type="dxa"/>
              <w:bottom w:w="0" w:type="dxa"/>
              <w:right w:w="0" w:type="dxa"/>
            </w:tcMar>
            <w:vAlign w:val="center"/>
          </w:tcPr>
          <w:p w14:paraId="0D44654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510" w:type="dxa"/>
            <w:shd w:val="clear" w:color="auto" w:fill="FFFFFF"/>
            <w:tcMar>
              <w:top w:w="0" w:type="dxa"/>
              <w:left w:w="0" w:type="dxa"/>
              <w:bottom w:w="0" w:type="dxa"/>
              <w:right w:w="0" w:type="dxa"/>
            </w:tcMar>
            <w:vAlign w:val="center"/>
          </w:tcPr>
          <w:p w14:paraId="21E647D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-11.3</w:t>
            </w:r>
          </w:p>
        </w:tc>
        <w:tc>
          <w:tcPr>
            <w:tcW w:w="390" w:type="dxa"/>
            <w:shd w:val="clear" w:color="auto" w:fill="FFFFFF"/>
            <w:tcMar>
              <w:top w:w="0" w:type="dxa"/>
              <w:left w:w="0" w:type="dxa"/>
              <w:bottom w:w="0" w:type="dxa"/>
              <w:right w:w="0" w:type="dxa"/>
            </w:tcMar>
            <w:vAlign w:val="center"/>
          </w:tcPr>
          <w:p w14:paraId="43AA5FB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-11.6</w:t>
            </w:r>
          </w:p>
        </w:tc>
        <w:tc>
          <w:tcPr>
            <w:tcW w:w="420" w:type="dxa"/>
            <w:shd w:val="clear" w:color="auto" w:fill="FFFFFF"/>
            <w:tcMar>
              <w:top w:w="0" w:type="dxa"/>
              <w:left w:w="0" w:type="dxa"/>
              <w:bottom w:w="0" w:type="dxa"/>
              <w:right w:w="0" w:type="dxa"/>
            </w:tcMar>
            <w:vAlign w:val="center"/>
          </w:tcPr>
          <w:p w14:paraId="1376B83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1.0</w:t>
            </w:r>
          </w:p>
        </w:tc>
        <w:tc>
          <w:tcPr>
            <w:tcW w:w="435" w:type="dxa"/>
            <w:shd w:val="clear" w:color="auto" w:fill="FFFFFF"/>
            <w:tcMar>
              <w:top w:w="0" w:type="dxa"/>
              <w:left w:w="0" w:type="dxa"/>
              <w:bottom w:w="0" w:type="dxa"/>
              <w:right w:w="0" w:type="dxa"/>
            </w:tcMar>
            <w:vAlign w:val="center"/>
          </w:tcPr>
          <w:p w14:paraId="387E8BE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22.1</w:t>
            </w:r>
          </w:p>
        </w:tc>
        <w:tc>
          <w:tcPr>
            <w:tcW w:w="435" w:type="dxa"/>
            <w:shd w:val="clear" w:color="auto" w:fill="FFFFFF"/>
            <w:tcMar>
              <w:top w:w="0" w:type="dxa"/>
              <w:left w:w="0" w:type="dxa"/>
              <w:bottom w:w="0" w:type="dxa"/>
              <w:right w:w="0" w:type="dxa"/>
            </w:tcMar>
            <w:vAlign w:val="center"/>
          </w:tcPr>
          <w:p w14:paraId="026E54A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7.6</w:t>
            </w:r>
          </w:p>
        </w:tc>
        <w:tc>
          <w:tcPr>
            <w:tcW w:w="465" w:type="dxa"/>
            <w:shd w:val="clear" w:color="auto" w:fill="FFFFFF"/>
            <w:tcMar>
              <w:top w:w="0" w:type="dxa"/>
              <w:left w:w="0" w:type="dxa"/>
              <w:bottom w:w="0" w:type="dxa"/>
              <w:right w:w="0" w:type="dxa"/>
            </w:tcMar>
            <w:vAlign w:val="center"/>
          </w:tcPr>
          <w:p w14:paraId="40572CA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9.0</w:t>
            </w:r>
          </w:p>
        </w:tc>
        <w:tc>
          <w:tcPr>
            <w:tcW w:w="450" w:type="dxa"/>
            <w:shd w:val="clear" w:color="auto" w:fill="FFFFFF"/>
            <w:tcMar>
              <w:top w:w="0" w:type="dxa"/>
              <w:left w:w="0" w:type="dxa"/>
              <w:bottom w:w="0" w:type="dxa"/>
              <w:right w:w="0" w:type="dxa"/>
            </w:tcMar>
            <w:vAlign w:val="center"/>
          </w:tcPr>
          <w:p w14:paraId="0CA65D1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33.0</w:t>
            </w:r>
          </w:p>
        </w:tc>
        <w:tc>
          <w:tcPr>
            <w:tcW w:w="525" w:type="dxa"/>
            <w:shd w:val="clear" w:color="auto" w:fill="FFFFFF"/>
            <w:tcMar>
              <w:top w:w="0" w:type="dxa"/>
              <w:left w:w="0" w:type="dxa"/>
              <w:bottom w:w="0" w:type="dxa"/>
              <w:right w:w="0" w:type="dxa"/>
            </w:tcMar>
            <w:vAlign w:val="center"/>
          </w:tcPr>
          <w:p w14:paraId="770410F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540" w:type="dxa"/>
            <w:shd w:val="clear" w:color="auto" w:fill="FFFFFF"/>
            <w:tcMar>
              <w:top w:w="0" w:type="dxa"/>
              <w:left w:w="0" w:type="dxa"/>
              <w:bottom w:w="0" w:type="dxa"/>
              <w:right w:w="0" w:type="dxa"/>
            </w:tcMar>
            <w:vAlign w:val="center"/>
          </w:tcPr>
          <w:p w14:paraId="7E0457B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58.6</w:t>
            </w:r>
          </w:p>
        </w:tc>
        <w:tc>
          <w:tcPr>
            <w:tcW w:w="495" w:type="dxa"/>
            <w:shd w:val="clear" w:color="auto" w:fill="FFFFFF"/>
            <w:tcMar>
              <w:top w:w="0" w:type="dxa"/>
              <w:left w:w="0" w:type="dxa"/>
              <w:bottom w:w="0" w:type="dxa"/>
              <w:right w:w="0" w:type="dxa"/>
            </w:tcMar>
            <w:vAlign w:val="center"/>
          </w:tcPr>
          <w:p w14:paraId="0427217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510" w:type="dxa"/>
            <w:shd w:val="clear" w:color="auto" w:fill="FFFFFF"/>
            <w:tcMar>
              <w:top w:w="0" w:type="dxa"/>
              <w:left w:w="0" w:type="dxa"/>
              <w:bottom w:w="0" w:type="dxa"/>
              <w:right w:w="0" w:type="dxa"/>
            </w:tcMar>
            <w:vAlign w:val="center"/>
          </w:tcPr>
          <w:p w14:paraId="43214AC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510" w:type="dxa"/>
            <w:vMerge w:val="continue"/>
            <w:shd w:val="clear" w:color="auto" w:fill="FFFFFF"/>
            <w:tcMar>
              <w:top w:w="0" w:type="dxa"/>
              <w:left w:w="0" w:type="dxa"/>
              <w:bottom w:w="0" w:type="dxa"/>
              <w:right w:w="0" w:type="dxa"/>
            </w:tcMar>
            <w:vAlign w:val="center"/>
          </w:tcPr>
          <w:p w14:paraId="5289C93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465" w:type="dxa"/>
            <w:shd w:val="clear" w:color="auto" w:fill="FFFFFF"/>
            <w:tcMar>
              <w:top w:w="0" w:type="dxa"/>
              <w:left w:w="0" w:type="dxa"/>
              <w:bottom w:w="0" w:type="dxa"/>
              <w:right w:w="0" w:type="dxa"/>
            </w:tcMar>
            <w:vAlign w:val="center"/>
          </w:tcPr>
          <w:p w14:paraId="01726CB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6685CD0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22DEA2B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1E23334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02" w:type="dxa"/>
            <w:shd w:val="clear" w:color="auto" w:fill="FFFFFF"/>
            <w:tcMar>
              <w:top w:w="0" w:type="dxa"/>
              <w:left w:w="0" w:type="dxa"/>
              <w:bottom w:w="0" w:type="dxa"/>
              <w:right w:w="0" w:type="dxa"/>
            </w:tcMar>
            <w:vAlign w:val="center"/>
          </w:tcPr>
          <w:p w14:paraId="4847CE0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425" w:type="dxa"/>
            <w:shd w:val="clear" w:color="auto" w:fill="FFFFFF"/>
            <w:tcMar>
              <w:top w:w="0" w:type="dxa"/>
              <w:left w:w="0" w:type="dxa"/>
              <w:bottom w:w="0" w:type="dxa"/>
              <w:right w:w="0" w:type="dxa"/>
            </w:tcMar>
            <w:vAlign w:val="center"/>
          </w:tcPr>
          <w:p w14:paraId="1E7D489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37.6</w:t>
            </w:r>
          </w:p>
        </w:tc>
        <w:tc>
          <w:tcPr>
            <w:tcW w:w="435" w:type="dxa"/>
            <w:shd w:val="clear" w:color="auto" w:fill="FFFFFF"/>
            <w:tcMar>
              <w:top w:w="0" w:type="dxa"/>
              <w:left w:w="0" w:type="dxa"/>
              <w:bottom w:w="0" w:type="dxa"/>
              <w:right w:w="0" w:type="dxa"/>
            </w:tcMar>
            <w:vAlign w:val="center"/>
          </w:tcPr>
          <w:p w14:paraId="7C39BBE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435" w:type="dxa"/>
            <w:shd w:val="clear" w:color="auto" w:fill="FFFFFF"/>
            <w:tcMar>
              <w:top w:w="0" w:type="dxa"/>
              <w:left w:w="0" w:type="dxa"/>
              <w:bottom w:w="0" w:type="dxa"/>
              <w:right w:w="0" w:type="dxa"/>
            </w:tcMar>
            <w:vAlign w:val="center"/>
          </w:tcPr>
          <w:p w14:paraId="51D4757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780" w:type="dxa"/>
            <w:vMerge w:val="continue"/>
            <w:shd w:val="clear" w:color="auto" w:fill="FFFFFF"/>
            <w:tcMar>
              <w:top w:w="0" w:type="dxa"/>
              <w:left w:w="0" w:type="dxa"/>
              <w:bottom w:w="0" w:type="dxa"/>
              <w:right w:w="0" w:type="dxa"/>
            </w:tcMar>
            <w:vAlign w:val="center"/>
          </w:tcPr>
          <w:p w14:paraId="5F87B4D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r>
      <w:tr w14:paraId="2D05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3" w:hRule="atLeast"/>
          <w:jc w:val="center"/>
        </w:trPr>
        <w:tc>
          <w:tcPr>
            <w:tcW w:w="420" w:type="dxa"/>
            <w:shd w:val="clear" w:color="auto" w:fill="FFFFFF"/>
            <w:tcMar>
              <w:top w:w="0" w:type="dxa"/>
              <w:left w:w="0" w:type="dxa"/>
              <w:bottom w:w="0" w:type="dxa"/>
              <w:right w:w="0" w:type="dxa"/>
            </w:tcMar>
            <w:vAlign w:val="center"/>
          </w:tcPr>
          <w:p w14:paraId="3521F33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4</w:t>
            </w:r>
          </w:p>
        </w:tc>
        <w:tc>
          <w:tcPr>
            <w:tcW w:w="514" w:type="dxa"/>
            <w:vMerge w:val="continue"/>
            <w:shd w:val="clear" w:color="auto" w:fill="FFFFFF"/>
            <w:tcMar>
              <w:top w:w="0" w:type="dxa"/>
              <w:left w:w="0" w:type="dxa"/>
              <w:bottom w:w="0" w:type="dxa"/>
              <w:right w:w="0" w:type="dxa"/>
            </w:tcMar>
            <w:vAlign w:val="center"/>
          </w:tcPr>
          <w:p w14:paraId="32E5606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c>
          <w:tcPr>
            <w:tcW w:w="825" w:type="dxa"/>
            <w:shd w:val="clear" w:color="auto" w:fill="FFFFFF"/>
            <w:tcMar>
              <w:top w:w="0" w:type="dxa"/>
              <w:left w:w="0" w:type="dxa"/>
              <w:bottom w:w="0" w:type="dxa"/>
              <w:right w:w="0" w:type="dxa"/>
            </w:tcMar>
            <w:vAlign w:val="center"/>
          </w:tcPr>
          <w:p w14:paraId="7B8D964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上料机</w:t>
            </w:r>
          </w:p>
        </w:tc>
        <w:tc>
          <w:tcPr>
            <w:tcW w:w="840" w:type="dxa"/>
            <w:shd w:val="clear" w:color="auto" w:fill="FFFFFF"/>
            <w:tcMar>
              <w:top w:w="0" w:type="dxa"/>
              <w:left w:w="0" w:type="dxa"/>
              <w:bottom w:w="0" w:type="dxa"/>
              <w:right w:w="0" w:type="dxa"/>
            </w:tcMar>
            <w:vAlign w:val="center"/>
          </w:tcPr>
          <w:p w14:paraId="4E6F6A9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70</w:t>
            </w:r>
          </w:p>
        </w:tc>
        <w:tc>
          <w:tcPr>
            <w:tcW w:w="675" w:type="dxa"/>
            <w:vMerge w:val="continue"/>
            <w:shd w:val="clear" w:color="auto" w:fill="FFFFFF"/>
            <w:tcMar>
              <w:top w:w="0" w:type="dxa"/>
              <w:left w:w="0" w:type="dxa"/>
              <w:bottom w:w="0" w:type="dxa"/>
              <w:right w:w="0" w:type="dxa"/>
            </w:tcMar>
            <w:vAlign w:val="center"/>
          </w:tcPr>
          <w:p w14:paraId="44D7D27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510" w:type="dxa"/>
            <w:shd w:val="clear" w:color="auto" w:fill="FFFFFF"/>
            <w:tcMar>
              <w:top w:w="0" w:type="dxa"/>
              <w:left w:w="0" w:type="dxa"/>
              <w:bottom w:w="0" w:type="dxa"/>
              <w:right w:w="0" w:type="dxa"/>
            </w:tcMar>
            <w:vAlign w:val="center"/>
          </w:tcPr>
          <w:p w14:paraId="368A297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1.7</w:t>
            </w:r>
          </w:p>
        </w:tc>
        <w:tc>
          <w:tcPr>
            <w:tcW w:w="390" w:type="dxa"/>
            <w:shd w:val="clear" w:color="auto" w:fill="FFFFFF"/>
            <w:tcMar>
              <w:top w:w="0" w:type="dxa"/>
              <w:left w:w="0" w:type="dxa"/>
              <w:bottom w:w="0" w:type="dxa"/>
              <w:right w:w="0" w:type="dxa"/>
            </w:tcMar>
            <w:vAlign w:val="center"/>
          </w:tcPr>
          <w:p w14:paraId="5957206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-9.9</w:t>
            </w:r>
          </w:p>
        </w:tc>
        <w:tc>
          <w:tcPr>
            <w:tcW w:w="420" w:type="dxa"/>
            <w:shd w:val="clear" w:color="auto" w:fill="FFFFFF"/>
            <w:tcMar>
              <w:top w:w="0" w:type="dxa"/>
              <w:left w:w="0" w:type="dxa"/>
              <w:bottom w:w="0" w:type="dxa"/>
              <w:right w:w="0" w:type="dxa"/>
            </w:tcMar>
            <w:vAlign w:val="center"/>
          </w:tcPr>
          <w:p w14:paraId="0C92E4D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1.0</w:t>
            </w:r>
          </w:p>
        </w:tc>
        <w:tc>
          <w:tcPr>
            <w:tcW w:w="435" w:type="dxa"/>
            <w:shd w:val="clear" w:color="auto" w:fill="FFFFFF"/>
            <w:tcMar>
              <w:top w:w="0" w:type="dxa"/>
              <w:left w:w="0" w:type="dxa"/>
              <w:bottom w:w="0" w:type="dxa"/>
              <w:right w:w="0" w:type="dxa"/>
            </w:tcMar>
            <w:vAlign w:val="center"/>
          </w:tcPr>
          <w:p w14:paraId="211F63A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9.4</w:t>
            </w:r>
          </w:p>
        </w:tc>
        <w:tc>
          <w:tcPr>
            <w:tcW w:w="435" w:type="dxa"/>
            <w:shd w:val="clear" w:color="auto" w:fill="FFFFFF"/>
            <w:tcMar>
              <w:top w:w="0" w:type="dxa"/>
              <w:left w:w="0" w:type="dxa"/>
              <w:bottom w:w="0" w:type="dxa"/>
              <w:right w:w="0" w:type="dxa"/>
            </w:tcMar>
            <w:vAlign w:val="center"/>
          </w:tcPr>
          <w:p w14:paraId="79597CF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10.7</w:t>
            </w:r>
          </w:p>
        </w:tc>
        <w:tc>
          <w:tcPr>
            <w:tcW w:w="465" w:type="dxa"/>
            <w:shd w:val="clear" w:color="auto" w:fill="FFFFFF"/>
            <w:tcMar>
              <w:top w:w="0" w:type="dxa"/>
              <w:left w:w="0" w:type="dxa"/>
              <w:bottom w:w="0" w:type="dxa"/>
              <w:right w:w="0" w:type="dxa"/>
            </w:tcMar>
            <w:vAlign w:val="center"/>
          </w:tcPr>
          <w:p w14:paraId="4D48A20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6.4</w:t>
            </w:r>
          </w:p>
        </w:tc>
        <w:tc>
          <w:tcPr>
            <w:tcW w:w="450" w:type="dxa"/>
            <w:shd w:val="clear" w:color="auto" w:fill="FFFFFF"/>
            <w:tcMar>
              <w:top w:w="0" w:type="dxa"/>
              <w:left w:w="0" w:type="dxa"/>
              <w:bottom w:w="0" w:type="dxa"/>
              <w:right w:w="0" w:type="dxa"/>
            </w:tcMar>
            <w:vAlign w:val="center"/>
          </w:tcPr>
          <w:p w14:paraId="5BBFC8B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20.3</w:t>
            </w:r>
          </w:p>
        </w:tc>
        <w:tc>
          <w:tcPr>
            <w:tcW w:w="525" w:type="dxa"/>
            <w:shd w:val="clear" w:color="auto" w:fill="FFFFFF"/>
            <w:tcMar>
              <w:top w:w="0" w:type="dxa"/>
              <w:left w:w="0" w:type="dxa"/>
              <w:bottom w:w="0" w:type="dxa"/>
              <w:right w:w="0" w:type="dxa"/>
            </w:tcMar>
            <w:vAlign w:val="center"/>
          </w:tcPr>
          <w:p w14:paraId="4CBDEC4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540" w:type="dxa"/>
            <w:shd w:val="clear" w:color="auto" w:fill="FFFFFF"/>
            <w:tcMar>
              <w:top w:w="0" w:type="dxa"/>
              <w:left w:w="0" w:type="dxa"/>
              <w:bottom w:w="0" w:type="dxa"/>
              <w:right w:w="0" w:type="dxa"/>
            </w:tcMar>
            <w:vAlign w:val="center"/>
          </w:tcPr>
          <w:p w14:paraId="40889C7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495" w:type="dxa"/>
            <w:shd w:val="clear" w:color="auto" w:fill="FFFFFF"/>
            <w:tcMar>
              <w:top w:w="0" w:type="dxa"/>
              <w:left w:w="0" w:type="dxa"/>
              <w:bottom w:w="0" w:type="dxa"/>
              <w:right w:w="0" w:type="dxa"/>
            </w:tcMar>
            <w:vAlign w:val="center"/>
          </w:tcPr>
          <w:p w14:paraId="0873E4F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58.6</w:t>
            </w:r>
          </w:p>
        </w:tc>
        <w:tc>
          <w:tcPr>
            <w:tcW w:w="510" w:type="dxa"/>
            <w:shd w:val="clear" w:color="auto" w:fill="FFFFFF"/>
            <w:tcMar>
              <w:top w:w="0" w:type="dxa"/>
              <w:left w:w="0" w:type="dxa"/>
              <w:bottom w:w="0" w:type="dxa"/>
              <w:right w:w="0" w:type="dxa"/>
            </w:tcMar>
            <w:vAlign w:val="center"/>
          </w:tcPr>
          <w:p w14:paraId="56820B7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510" w:type="dxa"/>
            <w:vMerge w:val="continue"/>
            <w:shd w:val="clear" w:color="auto" w:fill="FFFFFF"/>
            <w:tcMar>
              <w:top w:w="0" w:type="dxa"/>
              <w:left w:w="0" w:type="dxa"/>
              <w:bottom w:w="0" w:type="dxa"/>
              <w:right w:w="0" w:type="dxa"/>
            </w:tcMar>
            <w:vAlign w:val="center"/>
          </w:tcPr>
          <w:p w14:paraId="626D0A9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465" w:type="dxa"/>
            <w:shd w:val="clear" w:color="auto" w:fill="FFFFFF"/>
            <w:tcMar>
              <w:top w:w="0" w:type="dxa"/>
              <w:left w:w="0" w:type="dxa"/>
              <w:bottom w:w="0" w:type="dxa"/>
              <w:right w:w="0" w:type="dxa"/>
            </w:tcMar>
            <w:vAlign w:val="center"/>
          </w:tcPr>
          <w:p w14:paraId="5EB5753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34035D2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52035B2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6892540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02" w:type="dxa"/>
            <w:shd w:val="clear" w:color="auto" w:fill="FFFFFF"/>
            <w:tcMar>
              <w:top w:w="0" w:type="dxa"/>
              <w:left w:w="0" w:type="dxa"/>
              <w:bottom w:w="0" w:type="dxa"/>
              <w:right w:w="0" w:type="dxa"/>
            </w:tcMar>
            <w:vAlign w:val="center"/>
          </w:tcPr>
          <w:p w14:paraId="491439B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425" w:type="dxa"/>
            <w:shd w:val="clear" w:color="auto" w:fill="FFFFFF"/>
            <w:tcMar>
              <w:top w:w="0" w:type="dxa"/>
              <w:left w:w="0" w:type="dxa"/>
              <w:bottom w:w="0" w:type="dxa"/>
              <w:right w:w="0" w:type="dxa"/>
            </w:tcMar>
            <w:vAlign w:val="center"/>
          </w:tcPr>
          <w:p w14:paraId="5C31DF3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435" w:type="dxa"/>
            <w:shd w:val="clear" w:color="auto" w:fill="FFFFFF"/>
            <w:tcMar>
              <w:top w:w="0" w:type="dxa"/>
              <w:left w:w="0" w:type="dxa"/>
              <w:bottom w:w="0" w:type="dxa"/>
              <w:right w:w="0" w:type="dxa"/>
            </w:tcMar>
            <w:vAlign w:val="center"/>
          </w:tcPr>
          <w:p w14:paraId="1591C47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37.6</w:t>
            </w:r>
          </w:p>
        </w:tc>
        <w:tc>
          <w:tcPr>
            <w:tcW w:w="435" w:type="dxa"/>
            <w:shd w:val="clear" w:color="auto" w:fill="FFFFFF"/>
            <w:tcMar>
              <w:top w:w="0" w:type="dxa"/>
              <w:left w:w="0" w:type="dxa"/>
              <w:bottom w:w="0" w:type="dxa"/>
              <w:right w:w="0" w:type="dxa"/>
            </w:tcMar>
            <w:vAlign w:val="center"/>
          </w:tcPr>
          <w:p w14:paraId="757A90E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780" w:type="dxa"/>
            <w:vMerge w:val="continue"/>
            <w:shd w:val="clear" w:color="auto" w:fill="FFFFFF"/>
            <w:tcMar>
              <w:top w:w="0" w:type="dxa"/>
              <w:left w:w="0" w:type="dxa"/>
              <w:bottom w:w="0" w:type="dxa"/>
              <w:right w:w="0" w:type="dxa"/>
            </w:tcMar>
            <w:vAlign w:val="center"/>
          </w:tcPr>
          <w:p w14:paraId="792DA3E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r>
      <w:tr w14:paraId="0FF9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3" w:hRule="atLeast"/>
          <w:jc w:val="center"/>
        </w:trPr>
        <w:tc>
          <w:tcPr>
            <w:tcW w:w="420" w:type="dxa"/>
            <w:shd w:val="clear" w:color="auto" w:fill="FFFFFF"/>
            <w:tcMar>
              <w:top w:w="0" w:type="dxa"/>
              <w:left w:w="0" w:type="dxa"/>
              <w:bottom w:w="0" w:type="dxa"/>
              <w:right w:w="0" w:type="dxa"/>
            </w:tcMar>
            <w:vAlign w:val="center"/>
          </w:tcPr>
          <w:p w14:paraId="5D27CEA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5</w:t>
            </w:r>
          </w:p>
        </w:tc>
        <w:tc>
          <w:tcPr>
            <w:tcW w:w="514" w:type="dxa"/>
            <w:vMerge w:val="continue"/>
            <w:shd w:val="clear" w:color="auto" w:fill="FFFFFF"/>
            <w:tcMar>
              <w:top w:w="0" w:type="dxa"/>
              <w:left w:w="0" w:type="dxa"/>
              <w:bottom w:w="0" w:type="dxa"/>
              <w:right w:w="0" w:type="dxa"/>
            </w:tcMar>
            <w:vAlign w:val="center"/>
          </w:tcPr>
          <w:p w14:paraId="4892C14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c>
          <w:tcPr>
            <w:tcW w:w="825" w:type="dxa"/>
            <w:shd w:val="clear" w:color="auto" w:fill="FFFFFF"/>
            <w:tcMar>
              <w:top w:w="0" w:type="dxa"/>
              <w:left w:w="0" w:type="dxa"/>
              <w:bottom w:w="0" w:type="dxa"/>
              <w:right w:w="0" w:type="dxa"/>
            </w:tcMar>
            <w:vAlign w:val="center"/>
          </w:tcPr>
          <w:p w14:paraId="495787B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上料机</w:t>
            </w:r>
          </w:p>
        </w:tc>
        <w:tc>
          <w:tcPr>
            <w:tcW w:w="840" w:type="dxa"/>
            <w:shd w:val="clear" w:color="auto" w:fill="FFFFFF"/>
            <w:tcMar>
              <w:top w:w="0" w:type="dxa"/>
              <w:left w:w="0" w:type="dxa"/>
              <w:bottom w:w="0" w:type="dxa"/>
              <w:right w:w="0" w:type="dxa"/>
            </w:tcMar>
            <w:vAlign w:val="center"/>
          </w:tcPr>
          <w:p w14:paraId="767D252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70</w:t>
            </w:r>
          </w:p>
        </w:tc>
        <w:tc>
          <w:tcPr>
            <w:tcW w:w="675" w:type="dxa"/>
            <w:vMerge w:val="continue"/>
            <w:shd w:val="clear" w:color="auto" w:fill="FFFFFF"/>
            <w:tcMar>
              <w:top w:w="0" w:type="dxa"/>
              <w:left w:w="0" w:type="dxa"/>
              <w:bottom w:w="0" w:type="dxa"/>
              <w:right w:w="0" w:type="dxa"/>
            </w:tcMar>
            <w:vAlign w:val="center"/>
          </w:tcPr>
          <w:p w14:paraId="432C530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510" w:type="dxa"/>
            <w:shd w:val="clear" w:color="auto" w:fill="FFFFFF"/>
            <w:tcMar>
              <w:top w:w="0" w:type="dxa"/>
              <w:left w:w="0" w:type="dxa"/>
              <w:bottom w:w="0" w:type="dxa"/>
              <w:right w:w="0" w:type="dxa"/>
            </w:tcMar>
            <w:vAlign w:val="center"/>
          </w:tcPr>
          <w:p w14:paraId="4FCBF23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1.4</w:t>
            </w:r>
          </w:p>
        </w:tc>
        <w:tc>
          <w:tcPr>
            <w:tcW w:w="390" w:type="dxa"/>
            <w:shd w:val="clear" w:color="auto" w:fill="FFFFFF"/>
            <w:tcMar>
              <w:top w:w="0" w:type="dxa"/>
              <w:left w:w="0" w:type="dxa"/>
              <w:bottom w:w="0" w:type="dxa"/>
              <w:right w:w="0" w:type="dxa"/>
            </w:tcMar>
            <w:vAlign w:val="center"/>
          </w:tcPr>
          <w:p w14:paraId="1F0DFB2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-12.3</w:t>
            </w:r>
          </w:p>
        </w:tc>
        <w:tc>
          <w:tcPr>
            <w:tcW w:w="420" w:type="dxa"/>
            <w:shd w:val="clear" w:color="auto" w:fill="FFFFFF"/>
            <w:tcMar>
              <w:top w:w="0" w:type="dxa"/>
              <w:left w:w="0" w:type="dxa"/>
              <w:bottom w:w="0" w:type="dxa"/>
              <w:right w:w="0" w:type="dxa"/>
            </w:tcMar>
            <w:vAlign w:val="center"/>
          </w:tcPr>
          <w:p w14:paraId="768D284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1.0</w:t>
            </w:r>
          </w:p>
        </w:tc>
        <w:tc>
          <w:tcPr>
            <w:tcW w:w="435" w:type="dxa"/>
            <w:shd w:val="clear" w:color="auto" w:fill="FFFFFF"/>
            <w:tcMar>
              <w:top w:w="0" w:type="dxa"/>
              <w:left w:w="0" w:type="dxa"/>
              <w:bottom w:w="0" w:type="dxa"/>
              <w:right w:w="0" w:type="dxa"/>
            </w:tcMar>
            <w:vAlign w:val="center"/>
          </w:tcPr>
          <w:p w14:paraId="4BAB3B5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9.4</w:t>
            </w:r>
          </w:p>
        </w:tc>
        <w:tc>
          <w:tcPr>
            <w:tcW w:w="435" w:type="dxa"/>
            <w:shd w:val="clear" w:color="auto" w:fill="FFFFFF"/>
            <w:tcMar>
              <w:top w:w="0" w:type="dxa"/>
              <w:left w:w="0" w:type="dxa"/>
              <w:bottom w:w="0" w:type="dxa"/>
              <w:right w:w="0" w:type="dxa"/>
            </w:tcMar>
            <w:vAlign w:val="center"/>
          </w:tcPr>
          <w:p w14:paraId="0FD1420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8.3</w:t>
            </w:r>
          </w:p>
        </w:tc>
        <w:tc>
          <w:tcPr>
            <w:tcW w:w="465" w:type="dxa"/>
            <w:shd w:val="clear" w:color="auto" w:fill="FFFFFF"/>
            <w:tcMar>
              <w:top w:w="0" w:type="dxa"/>
              <w:left w:w="0" w:type="dxa"/>
              <w:bottom w:w="0" w:type="dxa"/>
              <w:right w:w="0" w:type="dxa"/>
            </w:tcMar>
            <w:vAlign w:val="center"/>
          </w:tcPr>
          <w:p w14:paraId="1054631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8.8</w:t>
            </w:r>
          </w:p>
        </w:tc>
        <w:tc>
          <w:tcPr>
            <w:tcW w:w="450" w:type="dxa"/>
            <w:shd w:val="clear" w:color="auto" w:fill="FFFFFF"/>
            <w:tcMar>
              <w:top w:w="0" w:type="dxa"/>
              <w:left w:w="0" w:type="dxa"/>
              <w:bottom w:w="0" w:type="dxa"/>
              <w:right w:w="0" w:type="dxa"/>
            </w:tcMar>
            <w:vAlign w:val="center"/>
          </w:tcPr>
          <w:p w14:paraId="6F3C080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20.4</w:t>
            </w:r>
          </w:p>
        </w:tc>
        <w:tc>
          <w:tcPr>
            <w:tcW w:w="525" w:type="dxa"/>
            <w:shd w:val="clear" w:color="auto" w:fill="FFFFFF"/>
            <w:tcMar>
              <w:top w:w="0" w:type="dxa"/>
              <w:left w:w="0" w:type="dxa"/>
              <w:bottom w:w="0" w:type="dxa"/>
              <w:right w:w="0" w:type="dxa"/>
            </w:tcMar>
            <w:vAlign w:val="center"/>
          </w:tcPr>
          <w:p w14:paraId="5BC0B2F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540" w:type="dxa"/>
            <w:shd w:val="clear" w:color="auto" w:fill="FFFFFF"/>
            <w:tcMar>
              <w:top w:w="0" w:type="dxa"/>
              <w:left w:w="0" w:type="dxa"/>
              <w:bottom w:w="0" w:type="dxa"/>
              <w:right w:w="0" w:type="dxa"/>
            </w:tcMar>
            <w:vAlign w:val="center"/>
          </w:tcPr>
          <w:p w14:paraId="5298E15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495" w:type="dxa"/>
            <w:shd w:val="clear" w:color="auto" w:fill="FFFFFF"/>
            <w:tcMar>
              <w:top w:w="0" w:type="dxa"/>
              <w:left w:w="0" w:type="dxa"/>
              <w:bottom w:w="0" w:type="dxa"/>
              <w:right w:w="0" w:type="dxa"/>
            </w:tcMar>
            <w:vAlign w:val="center"/>
          </w:tcPr>
          <w:p w14:paraId="1BB29D6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510" w:type="dxa"/>
            <w:shd w:val="clear" w:color="auto" w:fill="FFFFFF"/>
            <w:tcMar>
              <w:top w:w="0" w:type="dxa"/>
              <w:left w:w="0" w:type="dxa"/>
              <w:bottom w:w="0" w:type="dxa"/>
              <w:right w:w="0" w:type="dxa"/>
            </w:tcMar>
            <w:vAlign w:val="center"/>
          </w:tcPr>
          <w:p w14:paraId="619598C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510" w:type="dxa"/>
            <w:vMerge w:val="continue"/>
            <w:shd w:val="clear" w:color="auto" w:fill="FFFFFF"/>
            <w:tcMar>
              <w:top w:w="0" w:type="dxa"/>
              <w:left w:w="0" w:type="dxa"/>
              <w:bottom w:w="0" w:type="dxa"/>
              <w:right w:w="0" w:type="dxa"/>
            </w:tcMar>
            <w:vAlign w:val="center"/>
          </w:tcPr>
          <w:p w14:paraId="1DC14CC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465" w:type="dxa"/>
            <w:shd w:val="clear" w:color="auto" w:fill="FFFFFF"/>
            <w:tcMar>
              <w:top w:w="0" w:type="dxa"/>
              <w:left w:w="0" w:type="dxa"/>
              <w:bottom w:w="0" w:type="dxa"/>
              <w:right w:w="0" w:type="dxa"/>
            </w:tcMar>
            <w:vAlign w:val="center"/>
          </w:tcPr>
          <w:p w14:paraId="29103DC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18854E4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6AE6718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5BB6465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02" w:type="dxa"/>
            <w:shd w:val="clear" w:color="auto" w:fill="FFFFFF"/>
            <w:tcMar>
              <w:top w:w="0" w:type="dxa"/>
              <w:left w:w="0" w:type="dxa"/>
              <w:bottom w:w="0" w:type="dxa"/>
              <w:right w:w="0" w:type="dxa"/>
            </w:tcMar>
            <w:vAlign w:val="center"/>
          </w:tcPr>
          <w:p w14:paraId="04A2A46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425" w:type="dxa"/>
            <w:shd w:val="clear" w:color="auto" w:fill="FFFFFF"/>
            <w:tcMar>
              <w:top w:w="0" w:type="dxa"/>
              <w:left w:w="0" w:type="dxa"/>
              <w:bottom w:w="0" w:type="dxa"/>
              <w:right w:w="0" w:type="dxa"/>
            </w:tcMar>
            <w:vAlign w:val="center"/>
          </w:tcPr>
          <w:p w14:paraId="3614BA1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435" w:type="dxa"/>
            <w:shd w:val="clear" w:color="auto" w:fill="FFFFFF"/>
            <w:tcMar>
              <w:top w:w="0" w:type="dxa"/>
              <w:left w:w="0" w:type="dxa"/>
              <w:bottom w:w="0" w:type="dxa"/>
              <w:right w:w="0" w:type="dxa"/>
            </w:tcMar>
            <w:vAlign w:val="center"/>
          </w:tcPr>
          <w:p w14:paraId="5602053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435" w:type="dxa"/>
            <w:shd w:val="clear" w:color="auto" w:fill="FFFFFF"/>
            <w:tcMar>
              <w:top w:w="0" w:type="dxa"/>
              <w:left w:w="0" w:type="dxa"/>
              <w:bottom w:w="0" w:type="dxa"/>
              <w:right w:w="0" w:type="dxa"/>
            </w:tcMar>
            <w:vAlign w:val="center"/>
          </w:tcPr>
          <w:p w14:paraId="39DA750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780" w:type="dxa"/>
            <w:vMerge w:val="continue"/>
            <w:shd w:val="clear" w:color="auto" w:fill="FFFFFF"/>
            <w:tcMar>
              <w:top w:w="0" w:type="dxa"/>
              <w:left w:w="0" w:type="dxa"/>
              <w:bottom w:w="0" w:type="dxa"/>
              <w:right w:w="0" w:type="dxa"/>
            </w:tcMar>
            <w:vAlign w:val="center"/>
          </w:tcPr>
          <w:p w14:paraId="7E38DF7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r>
      <w:tr w14:paraId="1CBA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3" w:hRule="atLeast"/>
          <w:jc w:val="center"/>
        </w:trPr>
        <w:tc>
          <w:tcPr>
            <w:tcW w:w="420" w:type="dxa"/>
            <w:shd w:val="clear" w:color="auto" w:fill="FFFFFF"/>
            <w:tcMar>
              <w:top w:w="0" w:type="dxa"/>
              <w:left w:w="0" w:type="dxa"/>
              <w:bottom w:w="0" w:type="dxa"/>
              <w:right w:w="0" w:type="dxa"/>
            </w:tcMar>
            <w:vAlign w:val="center"/>
          </w:tcPr>
          <w:p w14:paraId="6B407D1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6</w:t>
            </w:r>
          </w:p>
        </w:tc>
        <w:tc>
          <w:tcPr>
            <w:tcW w:w="514" w:type="dxa"/>
            <w:vMerge w:val="continue"/>
            <w:shd w:val="clear" w:color="auto" w:fill="FFFFFF"/>
            <w:tcMar>
              <w:top w:w="0" w:type="dxa"/>
              <w:left w:w="0" w:type="dxa"/>
              <w:bottom w:w="0" w:type="dxa"/>
              <w:right w:w="0" w:type="dxa"/>
            </w:tcMar>
            <w:vAlign w:val="center"/>
          </w:tcPr>
          <w:p w14:paraId="7A439F4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c>
          <w:tcPr>
            <w:tcW w:w="825" w:type="dxa"/>
            <w:shd w:val="clear" w:color="auto" w:fill="FFFFFF"/>
            <w:tcMar>
              <w:top w:w="0" w:type="dxa"/>
              <w:left w:w="0" w:type="dxa"/>
              <w:bottom w:w="0" w:type="dxa"/>
              <w:right w:w="0" w:type="dxa"/>
            </w:tcMar>
            <w:vAlign w:val="center"/>
          </w:tcPr>
          <w:p w14:paraId="3DB0583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上料机</w:t>
            </w:r>
          </w:p>
        </w:tc>
        <w:tc>
          <w:tcPr>
            <w:tcW w:w="840" w:type="dxa"/>
            <w:shd w:val="clear" w:color="auto" w:fill="FFFFFF"/>
            <w:tcMar>
              <w:top w:w="0" w:type="dxa"/>
              <w:left w:w="0" w:type="dxa"/>
              <w:bottom w:w="0" w:type="dxa"/>
              <w:right w:w="0" w:type="dxa"/>
            </w:tcMar>
            <w:vAlign w:val="center"/>
          </w:tcPr>
          <w:p w14:paraId="43CB015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70</w:t>
            </w:r>
          </w:p>
        </w:tc>
        <w:tc>
          <w:tcPr>
            <w:tcW w:w="675" w:type="dxa"/>
            <w:vMerge w:val="continue"/>
            <w:shd w:val="clear" w:color="auto" w:fill="FFFFFF"/>
            <w:tcMar>
              <w:top w:w="0" w:type="dxa"/>
              <w:left w:w="0" w:type="dxa"/>
              <w:bottom w:w="0" w:type="dxa"/>
              <w:right w:w="0" w:type="dxa"/>
            </w:tcMar>
            <w:vAlign w:val="center"/>
          </w:tcPr>
          <w:p w14:paraId="3B190A4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510" w:type="dxa"/>
            <w:shd w:val="clear" w:color="auto" w:fill="FFFFFF"/>
            <w:tcMar>
              <w:top w:w="0" w:type="dxa"/>
              <w:left w:w="0" w:type="dxa"/>
              <w:bottom w:w="0" w:type="dxa"/>
              <w:right w:w="0" w:type="dxa"/>
            </w:tcMar>
            <w:vAlign w:val="center"/>
          </w:tcPr>
          <w:p w14:paraId="7386A17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1.9</w:t>
            </w:r>
          </w:p>
        </w:tc>
        <w:tc>
          <w:tcPr>
            <w:tcW w:w="390" w:type="dxa"/>
            <w:shd w:val="clear" w:color="auto" w:fill="FFFFFF"/>
            <w:tcMar>
              <w:top w:w="0" w:type="dxa"/>
              <w:left w:w="0" w:type="dxa"/>
              <w:bottom w:w="0" w:type="dxa"/>
              <w:right w:w="0" w:type="dxa"/>
            </w:tcMar>
            <w:vAlign w:val="center"/>
          </w:tcPr>
          <w:p w14:paraId="50191B3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-7.5</w:t>
            </w:r>
          </w:p>
        </w:tc>
        <w:tc>
          <w:tcPr>
            <w:tcW w:w="420" w:type="dxa"/>
            <w:shd w:val="clear" w:color="auto" w:fill="FFFFFF"/>
            <w:tcMar>
              <w:top w:w="0" w:type="dxa"/>
              <w:left w:w="0" w:type="dxa"/>
              <w:bottom w:w="0" w:type="dxa"/>
              <w:right w:w="0" w:type="dxa"/>
            </w:tcMar>
            <w:vAlign w:val="center"/>
          </w:tcPr>
          <w:p w14:paraId="03C93C7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1.0</w:t>
            </w:r>
          </w:p>
        </w:tc>
        <w:tc>
          <w:tcPr>
            <w:tcW w:w="435" w:type="dxa"/>
            <w:shd w:val="clear" w:color="auto" w:fill="FFFFFF"/>
            <w:tcMar>
              <w:top w:w="0" w:type="dxa"/>
              <w:left w:w="0" w:type="dxa"/>
              <w:bottom w:w="0" w:type="dxa"/>
              <w:right w:w="0" w:type="dxa"/>
            </w:tcMar>
            <w:vAlign w:val="center"/>
          </w:tcPr>
          <w:p w14:paraId="2FE95D5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9.5</w:t>
            </w:r>
          </w:p>
        </w:tc>
        <w:tc>
          <w:tcPr>
            <w:tcW w:w="435" w:type="dxa"/>
            <w:shd w:val="clear" w:color="auto" w:fill="FFFFFF"/>
            <w:tcMar>
              <w:top w:w="0" w:type="dxa"/>
              <w:left w:w="0" w:type="dxa"/>
              <w:bottom w:w="0" w:type="dxa"/>
              <w:right w:w="0" w:type="dxa"/>
            </w:tcMar>
            <w:vAlign w:val="center"/>
          </w:tcPr>
          <w:p w14:paraId="128DAB6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13.1</w:t>
            </w:r>
          </w:p>
        </w:tc>
        <w:tc>
          <w:tcPr>
            <w:tcW w:w="465" w:type="dxa"/>
            <w:shd w:val="clear" w:color="auto" w:fill="FFFFFF"/>
            <w:tcMar>
              <w:top w:w="0" w:type="dxa"/>
              <w:left w:w="0" w:type="dxa"/>
              <w:bottom w:w="0" w:type="dxa"/>
              <w:right w:w="0" w:type="dxa"/>
            </w:tcMar>
            <w:vAlign w:val="center"/>
          </w:tcPr>
          <w:p w14:paraId="4CAD0CC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4.0</w:t>
            </w:r>
          </w:p>
        </w:tc>
        <w:tc>
          <w:tcPr>
            <w:tcW w:w="450" w:type="dxa"/>
            <w:shd w:val="clear" w:color="auto" w:fill="FFFFFF"/>
            <w:tcMar>
              <w:top w:w="0" w:type="dxa"/>
              <w:left w:w="0" w:type="dxa"/>
              <w:bottom w:w="0" w:type="dxa"/>
              <w:right w:w="0" w:type="dxa"/>
            </w:tcMar>
            <w:vAlign w:val="center"/>
          </w:tcPr>
          <w:p w14:paraId="1706C42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20.4</w:t>
            </w:r>
          </w:p>
        </w:tc>
        <w:tc>
          <w:tcPr>
            <w:tcW w:w="525" w:type="dxa"/>
            <w:shd w:val="clear" w:color="auto" w:fill="FFFFFF"/>
            <w:tcMar>
              <w:top w:w="0" w:type="dxa"/>
              <w:left w:w="0" w:type="dxa"/>
              <w:bottom w:w="0" w:type="dxa"/>
              <w:right w:w="0" w:type="dxa"/>
            </w:tcMar>
            <w:vAlign w:val="center"/>
          </w:tcPr>
          <w:p w14:paraId="62FE23B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540" w:type="dxa"/>
            <w:shd w:val="clear" w:color="auto" w:fill="FFFFFF"/>
            <w:tcMar>
              <w:top w:w="0" w:type="dxa"/>
              <w:left w:w="0" w:type="dxa"/>
              <w:bottom w:w="0" w:type="dxa"/>
              <w:right w:w="0" w:type="dxa"/>
            </w:tcMar>
            <w:vAlign w:val="center"/>
          </w:tcPr>
          <w:p w14:paraId="3E0726A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495" w:type="dxa"/>
            <w:shd w:val="clear" w:color="auto" w:fill="FFFFFF"/>
            <w:tcMar>
              <w:top w:w="0" w:type="dxa"/>
              <w:left w:w="0" w:type="dxa"/>
              <w:bottom w:w="0" w:type="dxa"/>
              <w:right w:w="0" w:type="dxa"/>
            </w:tcMar>
            <w:vAlign w:val="center"/>
          </w:tcPr>
          <w:p w14:paraId="4C43239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58.8</w:t>
            </w:r>
          </w:p>
        </w:tc>
        <w:tc>
          <w:tcPr>
            <w:tcW w:w="510" w:type="dxa"/>
            <w:shd w:val="clear" w:color="auto" w:fill="FFFFFF"/>
            <w:tcMar>
              <w:top w:w="0" w:type="dxa"/>
              <w:left w:w="0" w:type="dxa"/>
              <w:bottom w:w="0" w:type="dxa"/>
              <w:right w:w="0" w:type="dxa"/>
            </w:tcMar>
            <w:vAlign w:val="center"/>
          </w:tcPr>
          <w:p w14:paraId="10EE6A7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510" w:type="dxa"/>
            <w:vMerge w:val="continue"/>
            <w:shd w:val="clear" w:color="auto" w:fill="FFFFFF"/>
            <w:tcMar>
              <w:top w:w="0" w:type="dxa"/>
              <w:left w:w="0" w:type="dxa"/>
              <w:bottom w:w="0" w:type="dxa"/>
              <w:right w:w="0" w:type="dxa"/>
            </w:tcMar>
            <w:vAlign w:val="center"/>
          </w:tcPr>
          <w:p w14:paraId="2CF32D7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465" w:type="dxa"/>
            <w:shd w:val="clear" w:color="auto" w:fill="FFFFFF"/>
            <w:tcMar>
              <w:top w:w="0" w:type="dxa"/>
              <w:left w:w="0" w:type="dxa"/>
              <w:bottom w:w="0" w:type="dxa"/>
              <w:right w:w="0" w:type="dxa"/>
            </w:tcMar>
            <w:vAlign w:val="center"/>
          </w:tcPr>
          <w:p w14:paraId="2492424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7F69B5C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50016B7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4795AB6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02" w:type="dxa"/>
            <w:shd w:val="clear" w:color="auto" w:fill="FFFFFF"/>
            <w:tcMar>
              <w:top w:w="0" w:type="dxa"/>
              <w:left w:w="0" w:type="dxa"/>
              <w:bottom w:w="0" w:type="dxa"/>
              <w:right w:w="0" w:type="dxa"/>
            </w:tcMar>
            <w:vAlign w:val="center"/>
          </w:tcPr>
          <w:p w14:paraId="245EED8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425" w:type="dxa"/>
            <w:shd w:val="clear" w:color="auto" w:fill="FFFFFF"/>
            <w:tcMar>
              <w:top w:w="0" w:type="dxa"/>
              <w:left w:w="0" w:type="dxa"/>
              <w:bottom w:w="0" w:type="dxa"/>
              <w:right w:w="0" w:type="dxa"/>
            </w:tcMar>
            <w:vAlign w:val="center"/>
          </w:tcPr>
          <w:p w14:paraId="402DD4E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435" w:type="dxa"/>
            <w:shd w:val="clear" w:color="auto" w:fill="FFFFFF"/>
            <w:tcMar>
              <w:top w:w="0" w:type="dxa"/>
              <w:left w:w="0" w:type="dxa"/>
              <w:bottom w:w="0" w:type="dxa"/>
              <w:right w:w="0" w:type="dxa"/>
            </w:tcMar>
            <w:vAlign w:val="center"/>
          </w:tcPr>
          <w:p w14:paraId="0968A08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37.8</w:t>
            </w:r>
          </w:p>
        </w:tc>
        <w:tc>
          <w:tcPr>
            <w:tcW w:w="435" w:type="dxa"/>
            <w:shd w:val="clear" w:color="auto" w:fill="FFFFFF"/>
            <w:tcMar>
              <w:top w:w="0" w:type="dxa"/>
              <w:left w:w="0" w:type="dxa"/>
              <w:bottom w:w="0" w:type="dxa"/>
              <w:right w:w="0" w:type="dxa"/>
            </w:tcMar>
            <w:vAlign w:val="center"/>
          </w:tcPr>
          <w:p w14:paraId="3D62BF1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780" w:type="dxa"/>
            <w:vMerge w:val="continue"/>
            <w:shd w:val="clear" w:color="auto" w:fill="FFFFFF"/>
            <w:tcMar>
              <w:top w:w="0" w:type="dxa"/>
              <w:left w:w="0" w:type="dxa"/>
              <w:bottom w:w="0" w:type="dxa"/>
              <w:right w:w="0" w:type="dxa"/>
            </w:tcMar>
            <w:vAlign w:val="center"/>
          </w:tcPr>
          <w:p w14:paraId="1B3BBA9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r>
      <w:tr w14:paraId="6F29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3" w:hRule="atLeast"/>
          <w:jc w:val="center"/>
        </w:trPr>
        <w:tc>
          <w:tcPr>
            <w:tcW w:w="420" w:type="dxa"/>
            <w:shd w:val="clear" w:color="auto" w:fill="FFFFFF"/>
            <w:tcMar>
              <w:top w:w="0" w:type="dxa"/>
              <w:left w:w="0" w:type="dxa"/>
              <w:bottom w:w="0" w:type="dxa"/>
              <w:right w:w="0" w:type="dxa"/>
            </w:tcMar>
            <w:vAlign w:val="center"/>
          </w:tcPr>
          <w:p w14:paraId="0EF153B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7</w:t>
            </w:r>
          </w:p>
        </w:tc>
        <w:tc>
          <w:tcPr>
            <w:tcW w:w="514" w:type="dxa"/>
            <w:vMerge w:val="continue"/>
            <w:shd w:val="clear" w:color="auto" w:fill="FFFFFF"/>
            <w:tcMar>
              <w:top w:w="0" w:type="dxa"/>
              <w:left w:w="0" w:type="dxa"/>
              <w:bottom w:w="0" w:type="dxa"/>
              <w:right w:w="0" w:type="dxa"/>
            </w:tcMar>
            <w:vAlign w:val="center"/>
          </w:tcPr>
          <w:p w14:paraId="5BBCA52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c>
          <w:tcPr>
            <w:tcW w:w="825" w:type="dxa"/>
            <w:shd w:val="clear" w:color="auto" w:fill="FFFFFF"/>
            <w:tcMar>
              <w:top w:w="0" w:type="dxa"/>
              <w:left w:w="0" w:type="dxa"/>
              <w:bottom w:w="0" w:type="dxa"/>
              <w:right w:w="0" w:type="dxa"/>
            </w:tcMar>
            <w:vAlign w:val="center"/>
          </w:tcPr>
          <w:p w14:paraId="4B6B99A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粉碎机</w:t>
            </w:r>
          </w:p>
        </w:tc>
        <w:tc>
          <w:tcPr>
            <w:tcW w:w="840" w:type="dxa"/>
            <w:shd w:val="clear" w:color="auto" w:fill="FFFFFF"/>
            <w:tcMar>
              <w:top w:w="0" w:type="dxa"/>
              <w:left w:w="0" w:type="dxa"/>
              <w:bottom w:w="0" w:type="dxa"/>
              <w:right w:w="0" w:type="dxa"/>
            </w:tcMar>
            <w:vAlign w:val="center"/>
          </w:tcPr>
          <w:p w14:paraId="23A5454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80</w:t>
            </w:r>
          </w:p>
        </w:tc>
        <w:tc>
          <w:tcPr>
            <w:tcW w:w="675" w:type="dxa"/>
            <w:vMerge w:val="continue"/>
            <w:shd w:val="clear" w:color="auto" w:fill="FFFFFF"/>
            <w:tcMar>
              <w:top w:w="0" w:type="dxa"/>
              <w:left w:w="0" w:type="dxa"/>
              <w:bottom w:w="0" w:type="dxa"/>
              <w:right w:w="0" w:type="dxa"/>
            </w:tcMar>
            <w:vAlign w:val="center"/>
          </w:tcPr>
          <w:p w14:paraId="1698455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510" w:type="dxa"/>
            <w:shd w:val="clear" w:color="auto" w:fill="FFFFFF"/>
            <w:tcMar>
              <w:top w:w="0" w:type="dxa"/>
              <w:left w:w="0" w:type="dxa"/>
              <w:bottom w:w="0" w:type="dxa"/>
              <w:right w:w="0" w:type="dxa"/>
            </w:tcMar>
            <w:vAlign w:val="center"/>
          </w:tcPr>
          <w:p w14:paraId="3790A70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15.2</w:t>
            </w:r>
          </w:p>
        </w:tc>
        <w:tc>
          <w:tcPr>
            <w:tcW w:w="390" w:type="dxa"/>
            <w:shd w:val="clear" w:color="auto" w:fill="FFFFFF"/>
            <w:tcMar>
              <w:top w:w="0" w:type="dxa"/>
              <w:left w:w="0" w:type="dxa"/>
              <w:bottom w:w="0" w:type="dxa"/>
              <w:right w:w="0" w:type="dxa"/>
            </w:tcMar>
            <w:vAlign w:val="center"/>
          </w:tcPr>
          <w:p w14:paraId="60DB779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3.9</w:t>
            </w:r>
          </w:p>
        </w:tc>
        <w:tc>
          <w:tcPr>
            <w:tcW w:w="420" w:type="dxa"/>
            <w:shd w:val="clear" w:color="auto" w:fill="FFFFFF"/>
            <w:tcMar>
              <w:top w:w="0" w:type="dxa"/>
              <w:left w:w="0" w:type="dxa"/>
              <w:bottom w:w="0" w:type="dxa"/>
              <w:right w:w="0" w:type="dxa"/>
            </w:tcMar>
            <w:vAlign w:val="center"/>
          </w:tcPr>
          <w:p w14:paraId="0E84CB7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1.2</w:t>
            </w:r>
          </w:p>
        </w:tc>
        <w:tc>
          <w:tcPr>
            <w:tcW w:w="435" w:type="dxa"/>
            <w:shd w:val="clear" w:color="auto" w:fill="FFFFFF"/>
            <w:tcMar>
              <w:top w:w="0" w:type="dxa"/>
              <w:left w:w="0" w:type="dxa"/>
              <w:bottom w:w="0" w:type="dxa"/>
              <w:right w:w="0" w:type="dxa"/>
            </w:tcMar>
            <w:vAlign w:val="center"/>
          </w:tcPr>
          <w:p w14:paraId="25805E8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2.2</w:t>
            </w:r>
          </w:p>
        </w:tc>
        <w:tc>
          <w:tcPr>
            <w:tcW w:w="435" w:type="dxa"/>
            <w:shd w:val="clear" w:color="auto" w:fill="FFFFFF"/>
            <w:tcMar>
              <w:top w:w="0" w:type="dxa"/>
              <w:left w:w="0" w:type="dxa"/>
              <w:bottom w:w="0" w:type="dxa"/>
              <w:right w:w="0" w:type="dxa"/>
            </w:tcMar>
            <w:vAlign w:val="center"/>
          </w:tcPr>
          <w:p w14:paraId="3147726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25.9</w:t>
            </w:r>
          </w:p>
        </w:tc>
        <w:tc>
          <w:tcPr>
            <w:tcW w:w="465" w:type="dxa"/>
            <w:shd w:val="clear" w:color="auto" w:fill="FFFFFF"/>
            <w:tcMar>
              <w:top w:w="0" w:type="dxa"/>
              <w:left w:w="0" w:type="dxa"/>
              <w:bottom w:w="0" w:type="dxa"/>
              <w:right w:w="0" w:type="dxa"/>
            </w:tcMar>
            <w:vAlign w:val="center"/>
          </w:tcPr>
          <w:p w14:paraId="0F25FBC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8.3</w:t>
            </w:r>
          </w:p>
        </w:tc>
        <w:tc>
          <w:tcPr>
            <w:tcW w:w="450" w:type="dxa"/>
            <w:shd w:val="clear" w:color="auto" w:fill="FFFFFF"/>
            <w:tcMar>
              <w:top w:w="0" w:type="dxa"/>
              <w:left w:w="0" w:type="dxa"/>
              <w:bottom w:w="0" w:type="dxa"/>
              <w:right w:w="0" w:type="dxa"/>
            </w:tcMar>
            <w:vAlign w:val="center"/>
          </w:tcPr>
          <w:p w14:paraId="3F4F21E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8.4</w:t>
            </w:r>
          </w:p>
        </w:tc>
        <w:tc>
          <w:tcPr>
            <w:tcW w:w="525" w:type="dxa"/>
            <w:shd w:val="clear" w:color="auto" w:fill="FFFFFF"/>
            <w:tcMar>
              <w:top w:w="0" w:type="dxa"/>
              <w:left w:w="0" w:type="dxa"/>
              <w:bottom w:w="0" w:type="dxa"/>
              <w:right w:w="0" w:type="dxa"/>
            </w:tcMar>
            <w:vAlign w:val="center"/>
          </w:tcPr>
          <w:p w14:paraId="45ABA92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69.4</w:t>
            </w:r>
          </w:p>
        </w:tc>
        <w:tc>
          <w:tcPr>
            <w:tcW w:w="540" w:type="dxa"/>
            <w:shd w:val="clear" w:color="auto" w:fill="FFFFFF"/>
            <w:tcMar>
              <w:top w:w="0" w:type="dxa"/>
              <w:left w:w="0" w:type="dxa"/>
              <w:bottom w:w="0" w:type="dxa"/>
              <w:right w:w="0" w:type="dxa"/>
            </w:tcMar>
            <w:vAlign w:val="center"/>
          </w:tcPr>
          <w:p w14:paraId="6501E95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68.5</w:t>
            </w:r>
          </w:p>
        </w:tc>
        <w:tc>
          <w:tcPr>
            <w:tcW w:w="495" w:type="dxa"/>
            <w:shd w:val="clear" w:color="auto" w:fill="FFFFFF"/>
            <w:tcMar>
              <w:top w:w="0" w:type="dxa"/>
              <w:left w:w="0" w:type="dxa"/>
              <w:bottom w:w="0" w:type="dxa"/>
              <w:right w:w="0" w:type="dxa"/>
            </w:tcMar>
            <w:vAlign w:val="center"/>
          </w:tcPr>
          <w:p w14:paraId="3BAE0E1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68.5</w:t>
            </w:r>
          </w:p>
        </w:tc>
        <w:tc>
          <w:tcPr>
            <w:tcW w:w="510" w:type="dxa"/>
            <w:shd w:val="clear" w:color="auto" w:fill="FFFFFF"/>
            <w:tcMar>
              <w:top w:w="0" w:type="dxa"/>
              <w:left w:w="0" w:type="dxa"/>
              <w:bottom w:w="0" w:type="dxa"/>
              <w:right w:w="0" w:type="dxa"/>
            </w:tcMar>
            <w:vAlign w:val="center"/>
          </w:tcPr>
          <w:p w14:paraId="760D14C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68.5</w:t>
            </w:r>
          </w:p>
        </w:tc>
        <w:tc>
          <w:tcPr>
            <w:tcW w:w="510" w:type="dxa"/>
            <w:vMerge w:val="continue"/>
            <w:shd w:val="clear" w:color="auto" w:fill="FFFFFF"/>
            <w:tcMar>
              <w:top w:w="0" w:type="dxa"/>
              <w:left w:w="0" w:type="dxa"/>
              <w:bottom w:w="0" w:type="dxa"/>
              <w:right w:w="0" w:type="dxa"/>
            </w:tcMar>
            <w:vAlign w:val="center"/>
          </w:tcPr>
          <w:p w14:paraId="1C32800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465" w:type="dxa"/>
            <w:shd w:val="clear" w:color="auto" w:fill="FFFFFF"/>
            <w:tcMar>
              <w:top w:w="0" w:type="dxa"/>
              <w:left w:w="0" w:type="dxa"/>
              <w:bottom w:w="0" w:type="dxa"/>
              <w:right w:w="0" w:type="dxa"/>
            </w:tcMar>
            <w:vAlign w:val="center"/>
          </w:tcPr>
          <w:p w14:paraId="7B9809F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05B9D53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4F08CF2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3185DFD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02" w:type="dxa"/>
            <w:shd w:val="clear" w:color="auto" w:fill="FFFFFF"/>
            <w:tcMar>
              <w:top w:w="0" w:type="dxa"/>
              <w:left w:w="0" w:type="dxa"/>
              <w:bottom w:w="0" w:type="dxa"/>
              <w:right w:w="0" w:type="dxa"/>
            </w:tcMar>
            <w:vAlign w:val="center"/>
          </w:tcPr>
          <w:p w14:paraId="588ABC8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48.4</w:t>
            </w:r>
          </w:p>
        </w:tc>
        <w:tc>
          <w:tcPr>
            <w:tcW w:w="425" w:type="dxa"/>
            <w:shd w:val="clear" w:color="auto" w:fill="FFFFFF"/>
            <w:tcMar>
              <w:top w:w="0" w:type="dxa"/>
              <w:left w:w="0" w:type="dxa"/>
              <w:bottom w:w="0" w:type="dxa"/>
              <w:right w:w="0" w:type="dxa"/>
            </w:tcMar>
            <w:vAlign w:val="center"/>
          </w:tcPr>
          <w:p w14:paraId="4A5A8FF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47.5</w:t>
            </w:r>
          </w:p>
        </w:tc>
        <w:tc>
          <w:tcPr>
            <w:tcW w:w="435" w:type="dxa"/>
            <w:shd w:val="clear" w:color="auto" w:fill="FFFFFF"/>
            <w:tcMar>
              <w:top w:w="0" w:type="dxa"/>
              <w:left w:w="0" w:type="dxa"/>
              <w:bottom w:w="0" w:type="dxa"/>
              <w:right w:w="0" w:type="dxa"/>
            </w:tcMar>
            <w:vAlign w:val="center"/>
          </w:tcPr>
          <w:p w14:paraId="7862EE2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47.5</w:t>
            </w:r>
          </w:p>
        </w:tc>
        <w:tc>
          <w:tcPr>
            <w:tcW w:w="435" w:type="dxa"/>
            <w:shd w:val="clear" w:color="auto" w:fill="FFFFFF"/>
            <w:tcMar>
              <w:top w:w="0" w:type="dxa"/>
              <w:left w:w="0" w:type="dxa"/>
              <w:bottom w:w="0" w:type="dxa"/>
              <w:right w:w="0" w:type="dxa"/>
            </w:tcMar>
            <w:vAlign w:val="center"/>
          </w:tcPr>
          <w:p w14:paraId="27FBC3A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47.5</w:t>
            </w:r>
          </w:p>
        </w:tc>
        <w:tc>
          <w:tcPr>
            <w:tcW w:w="780" w:type="dxa"/>
            <w:vMerge w:val="continue"/>
            <w:shd w:val="clear" w:color="auto" w:fill="FFFFFF"/>
            <w:tcMar>
              <w:top w:w="0" w:type="dxa"/>
              <w:left w:w="0" w:type="dxa"/>
              <w:bottom w:w="0" w:type="dxa"/>
              <w:right w:w="0" w:type="dxa"/>
            </w:tcMar>
            <w:vAlign w:val="center"/>
          </w:tcPr>
          <w:p w14:paraId="020BF4E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r>
      <w:tr w14:paraId="59B9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3" w:hRule="atLeast"/>
          <w:jc w:val="center"/>
        </w:trPr>
        <w:tc>
          <w:tcPr>
            <w:tcW w:w="420" w:type="dxa"/>
            <w:shd w:val="clear" w:color="auto" w:fill="FFFFFF"/>
            <w:tcMar>
              <w:top w:w="0" w:type="dxa"/>
              <w:left w:w="0" w:type="dxa"/>
              <w:bottom w:w="0" w:type="dxa"/>
              <w:right w:w="0" w:type="dxa"/>
            </w:tcMar>
            <w:vAlign w:val="center"/>
          </w:tcPr>
          <w:p w14:paraId="1908479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8</w:t>
            </w:r>
          </w:p>
        </w:tc>
        <w:tc>
          <w:tcPr>
            <w:tcW w:w="514" w:type="dxa"/>
            <w:vMerge w:val="continue"/>
            <w:shd w:val="clear" w:color="auto" w:fill="FFFFFF"/>
            <w:tcMar>
              <w:top w:w="0" w:type="dxa"/>
              <w:left w:w="0" w:type="dxa"/>
              <w:bottom w:w="0" w:type="dxa"/>
              <w:right w:w="0" w:type="dxa"/>
            </w:tcMar>
            <w:vAlign w:val="center"/>
          </w:tcPr>
          <w:p w14:paraId="2B21FC1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c>
          <w:tcPr>
            <w:tcW w:w="825" w:type="dxa"/>
            <w:shd w:val="clear" w:color="auto" w:fill="FFFFFF"/>
            <w:tcMar>
              <w:top w:w="0" w:type="dxa"/>
              <w:left w:w="0" w:type="dxa"/>
              <w:bottom w:w="0" w:type="dxa"/>
              <w:right w:w="0" w:type="dxa"/>
            </w:tcMar>
            <w:vAlign w:val="center"/>
          </w:tcPr>
          <w:p w14:paraId="209593E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粉碎机</w:t>
            </w:r>
          </w:p>
        </w:tc>
        <w:tc>
          <w:tcPr>
            <w:tcW w:w="840" w:type="dxa"/>
            <w:shd w:val="clear" w:color="auto" w:fill="FFFFFF"/>
            <w:tcMar>
              <w:top w:w="0" w:type="dxa"/>
              <w:left w:w="0" w:type="dxa"/>
              <w:bottom w:w="0" w:type="dxa"/>
              <w:right w:w="0" w:type="dxa"/>
            </w:tcMar>
            <w:vAlign w:val="center"/>
          </w:tcPr>
          <w:p w14:paraId="0A9360B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80</w:t>
            </w:r>
          </w:p>
        </w:tc>
        <w:tc>
          <w:tcPr>
            <w:tcW w:w="675" w:type="dxa"/>
            <w:vMerge w:val="continue"/>
            <w:shd w:val="clear" w:color="auto" w:fill="FFFFFF"/>
            <w:tcMar>
              <w:top w:w="0" w:type="dxa"/>
              <w:left w:w="0" w:type="dxa"/>
              <w:bottom w:w="0" w:type="dxa"/>
              <w:right w:w="0" w:type="dxa"/>
            </w:tcMar>
            <w:vAlign w:val="center"/>
          </w:tcPr>
          <w:p w14:paraId="24F6D73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510" w:type="dxa"/>
            <w:shd w:val="clear" w:color="auto" w:fill="FFFFFF"/>
            <w:tcMar>
              <w:top w:w="0" w:type="dxa"/>
              <w:left w:w="0" w:type="dxa"/>
              <w:bottom w:w="0" w:type="dxa"/>
              <w:right w:w="0" w:type="dxa"/>
            </w:tcMar>
            <w:vAlign w:val="center"/>
          </w:tcPr>
          <w:p w14:paraId="03BBAD0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-9.6</w:t>
            </w:r>
          </w:p>
        </w:tc>
        <w:tc>
          <w:tcPr>
            <w:tcW w:w="390" w:type="dxa"/>
            <w:shd w:val="clear" w:color="auto" w:fill="FFFFFF"/>
            <w:tcMar>
              <w:top w:w="0" w:type="dxa"/>
              <w:left w:w="0" w:type="dxa"/>
              <w:bottom w:w="0" w:type="dxa"/>
              <w:right w:w="0" w:type="dxa"/>
            </w:tcMar>
            <w:vAlign w:val="center"/>
          </w:tcPr>
          <w:p w14:paraId="4189156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-11.3</w:t>
            </w:r>
          </w:p>
        </w:tc>
        <w:tc>
          <w:tcPr>
            <w:tcW w:w="420" w:type="dxa"/>
            <w:shd w:val="clear" w:color="auto" w:fill="FFFFFF"/>
            <w:tcMar>
              <w:top w:w="0" w:type="dxa"/>
              <w:left w:w="0" w:type="dxa"/>
              <w:bottom w:w="0" w:type="dxa"/>
              <w:right w:w="0" w:type="dxa"/>
            </w:tcMar>
            <w:vAlign w:val="center"/>
          </w:tcPr>
          <w:p w14:paraId="081CDA5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1.2</w:t>
            </w:r>
          </w:p>
        </w:tc>
        <w:tc>
          <w:tcPr>
            <w:tcW w:w="435" w:type="dxa"/>
            <w:shd w:val="clear" w:color="auto" w:fill="FFFFFF"/>
            <w:tcMar>
              <w:top w:w="0" w:type="dxa"/>
              <w:left w:w="0" w:type="dxa"/>
              <w:bottom w:w="0" w:type="dxa"/>
              <w:right w:w="0" w:type="dxa"/>
            </w:tcMar>
            <w:vAlign w:val="center"/>
          </w:tcPr>
          <w:p w14:paraId="596833D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20.4</w:t>
            </w:r>
          </w:p>
        </w:tc>
        <w:tc>
          <w:tcPr>
            <w:tcW w:w="435" w:type="dxa"/>
            <w:shd w:val="clear" w:color="auto" w:fill="FFFFFF"/>
            <w:tcMar>
              <w:top w:w="0" w:type="dxa"/>
              <w:left w:w="0" w:type="dxa"/>
              <w:bottom w:w="0" w:type="dxa"/>
              <w:right w:w="0" w:type="dxa"/>
            </w:tcMar>
            <w:vAlign w:val="center"/>
          </w:tcPr>
          <w:p w14:paraId="36E84C4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8.1</w:t>
            </w:r>
          </w:p>
        </w:tc>
        <w:tc>
          <w:tcPr>
            <w:tcW w:w="465" w:type="dxa"/>
            <w:shd w:val="clear" w:color="auto" w:fill="FFFFFF"/>
            <w:tcMar>
              <w:top w:w="0" w:type="dxa"/>
              <w:left w:w="0" w:type="dxa"/>
              <w:bottom w:w="0" w:type="dxa"/>
              <w:right w:w="0" w:type="dxa"/>
            </w:tcMar>
            <w:vAlign w:val="center"/>
          </w:tcPr>
          <w:p w14:paraId="2532D79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8.6</w:t>
            </w:r>
          </w:p>
        </w:tc>
        <w:tc>
          <w:tcPr>
            <w:tcW w:w="450" w:type="dxa"/>
            <w:shd w:val="clear" w:color="auto" w:fill="FFFFFF"/>
            <w:tcMar>
              <w:top w:w="0" w:type="dxa"/>
              <w:left w:w="0" w:type="dxa"/>
              <w:bottom w:w="0" w:type="dxa"/>
              <w:right w:w="0" w:type="dxa"/>
            </w:tcMar>
            <w:vAlign w:val="center"/>
          </w:tcPr>
          <w:p w14:paraId="70F6F29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31.4</w:t>
            </w:r>
          </w:p>
        </w:tc>
        <w:tc>
          <w:tcPr>
            <w:tcW w:w="525" w:type="dxa"/>
            <w:shd w:val="clear" w:color="auto" w:fill="FFFFFF"/>
            <w:tcMar>
              <w:top w:w="0" w:type="dxa"/>
              <w:left w:w="0" w:type="dxa"/>
              <w:bottom w:w="0" w:type="dxa"/>
              <w:right w:w="0" w:type="dxa"/>
            </w:tcMar>
            <w:vAlign w:val="center"/>
          </w:tcPr>
          <w:p w14:paraId="10F6C06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68.5</w:t>
            </w:r>
          </w:p>
        </w:tc>
        <w:tc>
          <w:tcPr>
            <w:tcW w:w="540" w:type="dxa"/>
            <w:shd w:val="clear" w:color="auto" w:fill="FFFFFF"/>
            <w:tcMar>
              <w:top w:w="0" w:type="dxa"/>
              <w:left w:w="0" w:type="dxa"/>
              <w:bottom w:w="0" w:type="dxa"/>
              <w:right w:w="0" w:type="dxa"/>
            </w:tcMar>
            <w:vAlign w:val="center"/>
          </w:tcPr>
          <w:p w14:paraId="7B6B095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68.5</w:t>
            </w:r>
          </w:p>
        </w:tc>
        <w:tc>
          <w:tcPr>
            <w:tcW w:w="495" w:type="dxa"/>
            <w:shd w:val="clear" w:color="auto" w:fill="FFFFFF"/>
            <w:tcMar>
              <w:top w:w="0" w:type="dxa"/>
              <w:left w:w="0" w:type="dxa"/>
              <w:bottom w:w="0" w:type="dxa"/>
              <w:right w:w="0" w:type="dxa"/>
            </w:tcMar>
            <w:vAlign w:val="center"/>
          </w:tcPr>
          <w:p w14:paraId="4440769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68.5</w:t>
            </w:r>
          </w:p>
        </w:tc>
        <w:tc>
          <w:tcPr>
            <w:tcW w:w="510" w:type="dxa"/>
            <w:shd w:val="clear" w:color="auto" w:fill="FFFFFF"/>
            <w:tcMar>
              <w:top w:w="0" w:type="dxa"/>
              <w:left w:w="0" w:type="dxa"/>
              <w:bottom w:w="0" w:type="dxa"/>
              <w:right w:w="0" w:type="dxa"/>
            </w:tcMar>
            <w:vAlign w:val="center"/>
          </w:tcPr>
          <w:p w14:paraId="59C281B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68.5</w:t>
            </w:r>
          </w:p>
        </w:tc>
        <w:tc>
          <w:tcPr>
            <w:tcW w:w="510" w:type="dxa"/>
            <w:vMerge w:val="continue"/>
            <w:shd w:val="clear" w:color="auto" w:fill="FFFFFF"/>
            <w:tcMar>
              <w:top w:w="0" w:type="dxa"/>
              <w:left w:w="0" w:type="dxa"/>
              <w:bottom w:w="0" w:type="dxa"/>
              <w:right w:w="0" w:type="dxa"/>
            </w:tcMar>
            <w:vAlign w:val="center"/>
          </w:tcPr>
          <w:p w14:paraId="1F7719D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465" w:type="dxa"/>
            <w:shd w:val="clear" w:color="auto" w:fill="FFFFFF"/>
            <w:tcMar>
              <w:top w:w="0" w:type="dxa"/>
              <w:left w:w="0" w:type="dxa"/>
              <w:bottom w:w="0" w:type="dxa"/>
              <w:right w:w="0" w:type="dxa"/>
            </w:tcMar>
            <w:vAlign w:val="center"/>
          </w:tcPr>
          <w:p w14:paraId="3B84A86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263BAB3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424340A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5CBC013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02" w:type="dxa"/>
            <w:shd w:val="clear" w:color="auto" w:fill="FFFFFF"/>
            <w:tcMar>
              <w:top w:w="0" w:type="dxa"/>
              <w:left w:w="0" w:type="dxa"/>
              <w:bottom w:w="0" w:type="dxa"/>
              <w:right w:w="0" w:type="dxa"/>
            </w:tcMar>
            <w:vAlign w:val="center"/>
          </w:tcPr>
          <w:p w14:paraId="552739B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47.5</w:t>
            </w:r>
          </w:p>
        </w:tc>
        <w:tc>
          <w:tcPr>
            <w:tcW w:w="425" w:type="dxa"/>
            <w:shd w:val="clear" w:color="auto" w:fill="FFFFFF"/>
            <w:tcMar>
              <w:top w:w="0" w:type="dxa"/>
              <w:left w:w="0" w:type="dxa"/>
              <w:bottom w:w="0" w:type="dxa"/>
              <w:right w:w="0" w:type="dxa"/>
            </w:tcMar>
            <w:vAlign w:val="center"/>
          </w:tcPr>
          <w:p w14:paraId="1E0AD73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47.5</w:t>
            </w:r>
          </w:p>
        </w:tc>
        <w:tc>
          <w:tcPr>
            <w:tcW w:w="435" w:type="dxa"/>
            <w:shd w:val="clear" w:color="auto" w:fill="FFFFFF"/>
            <w:tcMar>
              <w:top w:w="0" w:type="dxa"/>
              <w:left w:w="0" w:type="dxa"/>
              <w:bottom w:w="0" w:type="dxa"/>
              <w:right w:w="0" w:type="dxa"/>
            </w:tcMar>
            <w:vAlign w:val="center"/>
          </w:tcPr>
          <w:p w14:paraId="7B8D95B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47.5</w:t>
            </w:r>
          </w:p>
        </w:tc>
        <w:tc>
          <w:tcPr>
            <w:tcW w:w="435" w:type="dxa"/>
            <w:shd w:val="clear" w:color="auto" w:fill="FFFFFF"/>
            <w:tcMar>
              <w:top w:w="0" w:type="dxa"/>
              <w:left w:w="0" w:type="dxa"/>
              <w:bottom w:w="0" w:type="dxa"/>
              <w:right w:w="0" w:type="dxa"/>
            </w:tcMar>
            <w:vAlign w:val="center"/>
          </w:tcPr>
          <w:p w14:paraId="61E097C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47.5</w:t>
            </w:r>
          </w:p>
        </w:tc>
        <w:tc>
          <w:tcPr>
            <w:tcW w:w="780" w:type="dxa"/>
            <w:vMerge w:val="continue"/>
            <w:shd w:val="clear" w:color="auto" w:fill="FFFFFF"/>
            <w:tcMar>
              <w:top w:w="0" w:type="dxa"/>
              <w:left w:w="0" w:type="dxa"/>
              <w:bottom w:w="0" w:type="dxa"/>
              <w:right w:w="0" w:type="dxa"/>
            </w:tcMar>
            <w:vAlign w:val="center"/>
          </w:tcPr>
          <w:p w14:paraId="3426A70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r>
      <w:tr w14:paraId="2B9D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3" w:hRule="atLeast"/>
          <w:jc w:val="center"/>
        </w:trPr>
        <w:tc>
          <w:tcPr>
            <w:tcW w:w="420" w:type="dxa"/>
            <w:shd w:val="clear" w:color="auto" w:fill="FFFFFF"/>
            <w:tcMar>
              <w:top w:w="0" w:type="dxa"/>
              <w:left w:w="0" w:type="dxa"/>
              <w:bottom w:w="0" w:type="dxa"/>
              <w:right w:w="0" w:type="dxa"/>
            </w:tcMar>
            <w:vAlign w:val="center"/>
          </w:tcPr>
          <w:p w14:paraId="2FFCBA7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9</w:t>
            </w:r>
          </w:p>
        </w:tc>
        <w:tc>
          <w:tcPr>
            <w:tcW w:w="514" w:type="dxa"/>
            <w:vMerge w:val="continue"/>
            <w:shd w:val="clear" w:color="auto" w:fill="FFFFFF"/>
            <w:tcMar>
              <w:top w:w="0" w:type="dxa"/>
              <w:left w:w="0" w:type="dxa"/>
              <w:bottom w:w="0" w:type="dxa"/>
              <w:right w:w="0" w:type="dxa"/>
            </w:tcMar>
            <w:vAlign w:val="center"/>
          </w:tcPr>
          <w:p w14:paraId="11A2A13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c>
          <w:tcPr>
            <w:tcW w:w="825" w:type="dxa"/>
            <w:shd w:val="clear" w:color="auto" w:fill="FFFFFF"/>
            <w:tcMar>
              <w:top w:w="0" w:type="dxa"/>
              <w:left w:w="0" w:type="dxa"/>
              <w:bottom w:w="0" w:type="dxa"/>
              <w:right w:w="0" w:type="dxa"/>
            </w:tcMar>
            <w:vAlign w:val="center"/>
          </w:tcPr>
          <w:p w14:paraId="1152D72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提料机</w:t>
            </w:r>
          </w:p>
        </w:tc>
        <w:tc>
          <w:tcPr>
            <w:tcW w:w="840" w:type="dxa"/>
            <w:shd w:val="clear" w:color="auto" w:fill="FFFFFF"/>
            <w:tcMar>
              <w:top w:w="0" w:type="dxa"/>
              <w:left w:w="0" w:type="dxa"/>
              <w:bottom w:w="0" w:type="dxa"/>
              <w:right w:w="0" w:type="dxa"/>
            </w:tcMar>
            <w:vAlign w:val="center"/>
          </w:tcPr>
          <w:p w14:paraId="432F84F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70</w:t>
            </w:r>
          </w:p>
        </w:tc>
        <w:tc>
          <w:tcPr>
            <w:tcW w:w="675" w:type="dxa"/>
            <w:vMerge w:val="continue"/>
            <w:shd w:val="clear" w:color="auto" w:fill="FFFFFF"/>
            <w:tcMar>
              <w:top w:w="0" w:type="dxa"/>
              <w:left w:w="0" w:type="dxa"/>
              <w:bottom w:w="0" w:type="dxa"/>
              <w:right w:w="0" w:type="dxa"/>
            </w:tcMar>
            <w:vAlign w:val="center"/>
          </w:tcPr>
          <w:p w14:paraId="581AF97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510" w:type="dxa"/>
            <w:shd w:val="clear" w:color="auto" w:fill="FFFFFF"/>
            <w:tcMar>
              <w:top w:w="0" w:type="dxa"/>
              <w:left w:w="0" w:type="dxa"/>
              <w:bottom w:w="0" w:type="dxa"/>
              <w:right w:w="0" w:type="dxa"/>
            </w:tcMar>
            <w:vAlign w:val="center"/>
          </w:tcPr>
          <w:p w14:paraId="284CAC5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16.2</w:t>
            </w:r>
          </w:p>
        </w:tc>
        <w:tc>
          <w:tcPr>
            <w:tcW w:w="390" w:type="dxa"/>
            <w:shd w:val="clear" w:color="auto" w:fill="FFFFFF"/>
            <w:tcMar>
              <w:top w:w="0" w:type="dxa"/>
              <w:left w:w="0" w:type="dxa"/>
              <w:bottom w:w="0" w:type="dxa"/>
              <w:right w:w="0" w:type="dxa"/>
            </w:tcMar>
            <w:vAlign w:val="center"/>
          </w:tcPr>
          <w:p w14:paraId="30986F6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0.2</w:t>
            </w:r>
          </w:p>
        </w:tc>
        <w:tc>
          <w:tcPr>
            <w:tcW w:w="420" w:type="dxa"/>
            <w:shd w:val="clear" w:color="auto" w:fill="FFFFFF"/>
            <w:tcMar>
              <w:top w:w="0" w:type="dxa"/>
              <w:left w:w="0" w:type="dxa"/>
              <w:bottom w:w="0" w:type="dxa"/>
              <w:right w:w="0" w:type="dxa"/>
            </w:tcMar>
            <w:vAlign w:val="center"/>
          </w:tcPr>
          <w:p w14:paraId="48BBB96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1.0</w:t>
            </w:r>
          </w:p>
        </w:tc>
        <w:tc>
          <w:tcPr>
            <w:tcW w:w="435" w:type="dxa"/>
            <w:shd w:val="clear" w:color="auto" w:fill="FFFFFF"/>
            <w:tcMar>
              <w:top w:w="0" w:type="dxa"/>
              <w:left w:w="0" w:type="dxa"/>
              <w:bottom w:w="0" w:type="dxa"/>
              <w:right w:w="0" w:type="dxa"/>
            </w:tcMar>
            <w:vAlign w:val="center"/>
          </w:tcPr>
          <w:p w14:paraId="09D51D5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w:t>
            </w:r>
          </w:p>
        </w:tc>
        <w:tc>
          <w:tcPr>
            <w:tcW w:w="435" w:type="dxa"/>
            <w:shd w:val="clear" w:color="auto" w:fill="FFFFFF"/>
            <w:tcMar>
              <w:top w:w="0" w:type="dxa"/>
              <w:left w:w="0" w:type="dxa"/>
              <w:bottom w:w="0" w:type="dxa"/>
              <w:right w:w="0" w:type="dxa"/>
            </w:tcMar>
            <w:vAlign w:val="center"/>
          </w:tcPr>
          <w:p w14:paraId="3E918B9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22.3</w:t>
            </w:r>
          </w:p>
        </w:tc>
        <w:tc>
          <w:tcPr>
            <w:tcW w:w="465" w:type="dxa"/>
            <w:shd w:val="clear" w:color="auto" w:fill="FFFFFF"/>
            <w:tcMar>
              <w:top w:w="0" w:type="dxa"/>
              <w:left w:w="0" w:type="dxa"/>
              <w:bottom w:w="0" w:type="dxa"/>
              <w:right w:w="0" w:type="dxa"/>
            </w:tcMar>
            <w:vAlign w:val="center"/>
          </w:tcPr>
          <w:p w14:paraId="1822C7F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4.7</w:t>
            </w:r>
          </w:p>
        </w:tc>
        <w:tc>
          <w:tcPr>
            <w:tcW w:w="450" w:type="dxa"/>
            <w:shd w:val="clear" w:color="auto" w:fill="FFFFFF"/>
            <w:tcMar>
              <w:top w:w="0" w:type="dxa"/>
              <w:left w:w="0" w:type="dxa"/>
              <w:bottom w:w="0" w:type="dxa"/>
              <w:right w:w="0" w:type="dxa"/>
            </w:tcMar>
            <w:vAlign w:val="center"/>
          </w:tcPr>
          <w:p w14:paraId="794621C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7.0</w:t>
            </w:r>
          </w:p>
        </w:tc>
        <w:tc>
          <w:tcPr>
            <w:tcW w:w="525" w:type="dxa"/>
            <w:shd w:val="clear" w:color="auto" w:fill="FFFFFF"/>
            <w:tcMar>
              <w:top w:w="0" w:type="dxa"/>
              <w:left w:w="0" w:type="dxa"/>
              <w:bottom w:w="0" w:type="dxa"/>
              <w:right w:w="0" w:type="dxa"/>
            </w:tcMar>
            <w:vAlign w:val="center"/>
          </w:tcPr>
          <w:p w14:paraId="56A2AE4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58.8</w:t>
            </w:r>
          </w:p>
        </w:tc>
        <w:tc>
          <w:tcPr>
            <w:tcW w:w="540" w:type="dxa"/>
            <w:shd w:val="clear" w:color="auto" w:fill="FFFFFF"/>
            <w:tcMar>
              <w:top w:w="0" w:type="dxa"/>
              <w:left w:w="0" w:type="dxa"/>
              <w:bottom w:w="0" w:type="dxa"/>
              <w:right w:w="0" w:type="dxa"/>
            </w:tcMar>
            <w:vAlign w:val="center"/>
          </w:tcPr>
          <w:p w14:paraId="7C43C16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495" w:type="dxa"/>
            <w:shd w:val="clear" w:color="auto" w:fill="FFFFFF"/>
            <w:tcMar>
              <w:top w:w="0" w:type="dxa"/>
              <w:left w:w="0" w:type="dxa"/>
              <w:bottom w:w="0" w:type="dxa"/>
              <w:right w:w="0" w:type="dxa"/>
            </w:tcMar>
            <w:vAlign w:val="center"/>
          </w:tcPr>
          <w:p w14:paraId="22785A8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58.7</w:t>
            </w:r>
          </w:p>
        </w:tc>
        <w:tc>
          <w:tcPr>
            <w:tcW w:w="510" w:type="dxa"/>
            <w:shd w:val="clear" w:color="auto" w:fill="FFFFFF"/>
            <w:tcMar>
              <w:top w:w="0" w:type="dxa"/>
              <w:left w:w="0" w:type="dxa"/>
              <w:bottom w:w="0" w:type="dxa"/>
              <w:right w:w="0" w:type="dxa"/>
            </w:tcMar>
            <w:vAlign w:val="center"/>
          </w:tcPr>
          <w:p w14:paraId="31A6670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58.6</w:t>
            </w:r>
          </w:p>
        </w:tc>
        <w:tc>
          <w:tcPr>
            <w:tcW w:w="510" w:type="dxa"/>
            <w:vMerge w:val="continue"/>
            <w:shd w:val="clear" w:color="auto" w:fill="FFFFFF"/>
            <w:tcMar>
              <w:top w:w="0" w:type="dxa"/>
              <w:left w:w="0" w:type="dxa"/>
              <w:bottom w:w="0" w:type="dxa"/>
              <w:right w:w="0" w:type="dxa"/>
            </w:tcMar>
            <w:vAlign w:val="center"/>
          </w:tcPr>
          <w:p w14:paraId="7257E7C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465" w:type="dxa"/>
            <w:shd w:val="clear" w:color="auto" w:fill="FFFFFF"/>
            <w:tcMar>
              <w:top w:w="0" w:type="dxa"/>
              <w:left w:w="0" w:type="dxa"/>
              <w:bottom w:w="0" w:type="dxa"/>
              <w:right w:w="0" w:type="dxa"/>
            </w:tcMar>
            <w:vAlign w:val="center"/>
          </w:tcPr>
          <w:p w14:paraId="7C55FB6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5794B91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72A7E4C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05A8FD3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02" w:type="dxa"/>
            <w:shd w:val="clear" w:color="auto" w:fill="FFFFFF"/>
            <w:tcMar>
              <w:top w:w="0" w:type="dxa"/>
              <w:left w:w="0" w:type="dxa"/>
              <w:bottom w:w="0" w:type="dxa"/>
              <w:right w:w="0" w:type="dxa"/>
            </w:tcMar>
            <w:vAlign w:val="center"/>
          </w:tcPr>
          <w:p w14:paraId="181A650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37.8</w:t>
            </w:r>
          </w:p>
        </w:tc>
        <w:tc>
          <w:tcPr>
            <w:tcW w:w="425" w:type="dxa"/>
            <w:shd w:val="clear" w:color="auto" w:fill="FFFFFF"/>
            <w:tcMar>
              <w:top w:w="0" w:type="dxa"/>
              <w:left w:w="0" w:type="dxa"/>
              <w:bottom w:w="0" w:type="dxa"/>
              <w:right w:w="0" w:type="dxa"/>
            </w:tcMar>
            <w:vAlign w:val="center"/>
          </w:tcPr>
          <w:p w14:paraId="75317A2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435" w:type="dxa"/>
            <w:shd w:val="clear" w:color="auto" w:fill="FFFFFF"/>
            <w:tcMar>
              <w:top w:w="0" w:type="dxa"/>
              <w:left w:w="0" w:type="dxa"/>
              <w:bottom w:w="0" w:type="dxa"/>
              <w:right w:w="0" w:type="dxa"/>
            </w:tcMar>
            <w:vAlign w:val="center"/>
          </w:tcPr>
          <w:p w14:paraId="00C87AC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37.7</w:t>
            </w:r>
          </w:p>
        </w:tc>
        <w:tc>
          <w:tcPr>
            <w:tcW w:w="435" w:type="dxa"/>
            <w:shd w:val="clear" w:color="auto" w:fill="FFFFFF"/>
            <w:tcMar>
              <w:top w:w="0" w:type="dxa"/>
              <w:left w:w="0" w:type="dxa"/>
              <w:bottom w:w="0" w:type="dxa"/>
              <w:right w:w="0" w:type="dxa"/>
            </w:tcMar>
            <w:vAlign w:val="center"/>
          </w:tcPr>
          <w:p w14:paraId="6B2DBBD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37.6</w:t>
            </w:r>
          </w:p>
        </w:tc>
        <w:tc>
          <w:tcPr>
            <w:tcW w:w="780" w:type="dxa"/>
            <w:vMerge w:val="continue"/>
            <w:shd w:val="clear" w:color="auto" w:fill="FFFFFF"/>
            <w:tcMar>
              <w:top w:w="0" w:type="dxa"/>
              <w:left w:w="0" w:type="dxa"/>
              <w:bottom w:w="0" w:type="dxa"/>
              <w:right w:w="0" w:type="dxa"/>
            </w:tcMar>
            <w:vAlign w:val="center"/>
          </w:tcPr>
          <w:p w14:paraId="028CBFE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r>
      <w:tr w14:paraId="2E99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3" w:hRule="atLeast"/>
          <w:jc w:val="center"/>
        </w:trPr>
        <w:tc>
          <w:tcPr>
            <w:tcW w:w="420" w:type="dxa"/>
            <w:shd w:val="clear" w:color="auto" w:fill="FFFFFF"/>
            <w:tcMar>
              <w:top w:w="0" w:type="dxa"/>
              <w:left w:w="0" w:type="dxa"/>
              <w:bottom w:w="0" w:type="dxa"/>
              <w:right w:w="0" w:type="dxa"/>
            </w:tcMar>
            <w:vAlign w:val="center"/>
          </w:tcPr>
          <w:p w14:paraId="1CD5B77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10</w:t>
            </w:r>
          </w:p>
        </w:tc>
        <w:tc>
          <w:tcPr>
            <w:tcW w:w="514" w:type="dxa"/>
            <w:vMerge w:val="continue"/>
            <w:shd w:val="clear" w:color="auto" w:fill="FFFFFF"/>
            <w:tcMar>
              <w:top w:w="0" w:type="dxa"/>
              <w:left w:w="0" w:type="dxa"/>
              <w:bottom w:w="0" w:type="dxa"/>
              <w:right w:w="0" w:type="dxa"/>
            </w:tcMar>
            <w:vAlign w:val="center"/>
          </w:tcPr>
          <w:p w14:paraId="47BA479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c>
          <w:tcPr>
            <w:tcW w:w="825" w:type="dxa"/>
            <w:shd w:val="clear" w:color="auto" w:fill="FFFFFF"/>
            <w:tcMar>
              <w:top w:w="0" w:type="dxa"/>
              <w:left w:w="0" w:type="dxa"/>
              <w:bottom w:w="0" w:type="dxa"/>
              <w:right w:w="0" w:type="dxa"/>
            </w:tcMar>
            <w:vAlign w:val="center"/>
          </w:tcPr>
          <w:p w14:paraId="6CFE7F8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提料机</w:t>
            </w:r>
          </w:p>
        </w:tc>
        <w:tc>
          <w:tcPr>
            <w:tcW w:w="840" w:type="dxa"/>
            <w:shd w:val="clear" w:color="auto" w:fill="FFFFFF"/>
            <w:tcMar>
              <w:top w:w="0" w:type="dxa"/>
              <w:left w:w="0" w:type="dxa"/>
              <w:bottom w:w="0" w:type="dxa"/>
              <w:right w:w="0" w:type="dxa"/>
            </w:tcMar>
            <w:vAlign w:val="center"/>
          </w:tcPr>
          <w:p w14:paraId="60408D2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70</w:t>
            </w:r>
          </w:p>
        </w:tc>
        <w:tc>
          <w:tcPr>
            <w:tcW w:w="675" w:type="dxa"/>
            <w:vMerge w:val="continue"/>
            <w:shd w:val="clear" w:color="auto" w:fill="FFFFFF"/>
            <w:tcMar>
              <w:top w:w="0" w:type="dxa"/>
              <w:left w:w="0" w:type="dxa"/>
              <w:bottom w:w="0" w:type="dxa"/>
              <w:right w:w="0" w:type="dxa"/>
            </w:tcMar>
            <w:vAlign w:val="center"/>
          </w:tcPr>
          <w:p w14:paraId="2526F12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510" w:type="dxa"/>
            <w:shd w:val="clear" w:color="auto" w:fill="FFFFFF"/>
            <w:tcMar>
              <w:top w:w="0" w:type="dxa"/>
              <w:left w:w="0" w:type="dxa"/>
              <w:bottom w:w="0" w:type="dxa"/>
              <w:right w:w="0" w:type="dxa"/>
            </w:tcMar>
            <w:vAlign w:val="center"/>
          </w:tcPr>
          <w:p w14:paraId="2ABAE77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-6.8</w:t>
            </w:r>
          </w:p>
        </w:tc>
        <w:tc>
          <w:tcPr>
            <w:tcW w:w="390" w:type="dxa"/>
            <w:shd w:val="clear" w:color="auto" w:fill="FFFFFF"/>
            <w:tcMar>
              <w:top w:w="0" w:type="dxa"/>
              <w:left w:w="0" w:type="dxa"/>
              <w:bottom w:w="0" w:type="dxa"/>
              <w:right w:w="0" w:type="dxa"/>
            </w:tcMar>
            <w:vAlign w:val="center"/>
          </w:tcPr>
          <w:p w14:paraId="47A5C92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-11.8</w:t>
            </w:r>
          </w:p>
        </w:tc>
        <w:tc>
          <w:tcPr>
            <w:tcW w:w="420" w:type="dxa"/>
            <w:shd w:val="clear" w:color="auto" w:fill="FFFFFF"/>
            <w:tcMar>
              <w:top w:w="0" w:type="dxa"/>
              <w:left w:w="0" w:type="dxa"/>
              <w:bottom w:w="0" w:type="dxa"/>
              <w:right w:w="0" w:type="dxa"/>
            </w:tcMar>
            <w:vAlign w:val="center"/>
          </w:tcPr>
          <w:p w14:paraId="645BBD1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1.0</w:t>
            </w:r>
          </w:p>
        </w:tc>
        <w:tc>
          <w:tcPr>
            <w:tcW w:w="435" w:type="dxa"/>
            <w:shd w:val="clear" w:color="auto" w:fill="FFFFFF"/>
            <w:tcMar>
              <w:top w:w="0" w:type="dxa"/>
              <w:left w:w="0" w:type="dxa"/>
              <w:bottom w:w="0" w:type="dxa"/>
              <w:right w:w="0" w:type="dxa"/>
            </w:tcMar>
            <w:vAlign w:val="center"/>
          </w:tcPr>
          <w:p w14:paraId="4021BD3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17.6</w:t>
            </w:r>
          </w:p>
        </w:tc>
        <w:tc>
          <w:tcPr>
            <w:tcW w:w="435" w:type="dxa"/>
            <w:shd w:val="clear" w:color="auto" w:fill="FFFFFF"/>
            <w:tcMar>
              <w:top w:w="0" w:type="dxa"/>
              <w:left w:w="0" w:type="dxa"/>
              <w:bottom w:w="0" w:type="dxa"/>
              <w:right w:w="0" w:type="dxa"/>
            </w:tcMar>
            <w:vAlign w:val="center"/>
          </w:tcPr>
          <w:p w14:paraId="03171DC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7.9</w:t>
            </w:r>
          </w:p>
        </w:tc>
        <w:tc>
          <w:tcPr>
            <w:tcW w:w="465" w:type="dxa"/>
            <w:shd w:val="clear" w:color="auto" w:fill="FFFFFF"/>
            <w:tcMar>
              <w:top w:w="0" w:type="dxa"/>
              <w:left w:w="0" w:type="dxa"/>
              <w:bottom w:w="0" w:type="dxa"/>
              <w:right w:w="0" w:type="dxa"/>
            </w:tcMar>
            <w:vAlign w:val="center"/>
          </w:tcPr>
          <w:p w14:paraId="14B69B6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8.9</w:t>
            </w:r>
          </w:p>
        </w:tc>
        <w:tc>
          <w:tcPr>
            <w:tcW w:w="450" w:type="dxa"/>
            <w:shd w:val="clear" w:color="auto" w:fill="FFFFFF"/>
            <w:tcMar>
              <w:top w:w="0" w:type="dxa"/>
              <w:left w:w="0" w:type="dxa"/>
              <w:bottom w:w="0" w:type="dxa"/>
              <w:right w:w="0" w:type="dxa"/>
            </w:tcMar>
            <w:vAlign w:val="center"/>
          </w:tcPr>
          <w:p w14:paraId="1BA877C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28.6</w:t>
            </w:r>
          </w:p>
        </w:tc>
        <w:tc>
          <w:tcPr>
            <w:tcW w:w="525" w:type="dxa"/>
            <w:shd w:val="clear" w:color="auto" w:fill="FFFFFF"/>
            <w:tcMar>
              <w:top w:w="0" w:type="dxa"/>
              <w:left w:w="0" w:type="dxa"/>
              <w:bottom w:w="0" w:type="dxa"/>
              <w:right w:w="0" w:type="dxa"/>
            </w:tcMar>
            <w:vAlign w:val="center"/>
          </w:tcPr>
          <w:p w14:paraId="11FA238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540" w:type="dxa"/>
            <w:shd w:val="clear" w:color="auto" w:fill="FFFFFF"/>
            <w:tcMar>
              <w:top w:w="0" w:type="dxa"/>
              <w:left w:w="0" w:type="dxa"/>
              <w:bottom w:w="0" w:type="dxa"/>
              <w:right w:w="0" w:type="dxa"/>
            </w:tcMar>
            <w:vAlign w:val="center"/>
          </w:tcPr>
          <w:p w14:paraId="1533995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495" w:type="dxa"/>
            <w:shd w:val="clear" w:color="auto" w:fill="FFFFFF"/>
            <w:tcMar>
              <w:top w:w="0" w:type="dxa"/>
              <w:left w:w="0" w:type="dxa"/>
              <w:bottom w:w="0" w:type="dxa"/>
              <w:right w:w="0" w:type="dxa"/>
            </w:tcMar>
            <w:vAlign w:val="center"/>
          </w:tcPr>
          <w:p w14:paraId="0668579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510" w:type="dxa"/>
            <w:shd w:val="clear" w:color="auto" w:fill="FFFFFF"/>
            <w:tcMar>
              <w:top w:w="0" w:type="dxa"/>
              <w:left w:w="0" w:type="dxa"/>
              <w:bottom w:w="0" w:type="dxa"/>
              <w:right w:w="0" w:type="dxa"/>
            </w:tcMar>
            <w:vAlign w:val="center"/>
          </w:tcPr>
          <w:p w14:paraId="5EDDA7B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510" w:type="dxa"/>
            <w:vMerge w:val="continue"/>
            <w:shd w:val="clear" w:color="auto" w:fill="FFFFFF"/>
            <w:tcMar>
              <w:top w:w="0" w:type="dxa"/>
              <w:left w:w="0" w:type="dxa"/>
              <w:bottom w:w="0" w:type="dxa"/>
              <w:right w:w="0" w:type="dxa"/>
            </w:tcMar>
            <w:vAlign w:val="center"/>
          </w:tcPr>
          <w:p w14:paraId="6BD3197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465" w:type="dxa"/>
            <w:shd w:val="clear" w:color="auto" w:fill="FFFFFF"/>
            <w:tcMar>
              <w:top w:w="0" w:type="dxa"/>
              <w:left w:w="0" w:type="dxa"/>
              <w:bottom w:w="0" w:type="dxa"/>
              <w:right w:w="0" w:type="dxa"/>
            </w:tcMar>
            <w:vAlign w:val="center"/>
          </w:tcPr>
          <w:p w14:paraId="1C38B8E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17FC32C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70C522E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4769C89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02" w:type="dxa"/>
            <w:shd w:val="clear" w:color="auto" w:fill="FFFFFF"/>
            <w:tcMar>
              <w:top w:w="0" w:type="dxa"/>
              <w:left w:w="0" w:type="dxa"/>
              <w:bottom w:w="0" w:type="dxa"/>
              <w:right w:w="0" w:type="dxa"/>
            </w:tcMar>
            <w:vAlign w:val="center"/>
          </w:tcPr>
          <w:p w14:paraId="2FC472F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425" w:type="dxa"/>
            <w:shd w:val="clear" w:color="auto" w:fill="FFFFFF"/>
            <w:tcMar>
              <w:top w:w="0" w:type="dxa"/>
              <w:left w:w="0" w:type="dxa"/>
              <w:bottom w:w="0" w:type="dxa"/>
              <w:right w:w="0" w:type="dxa"/>
            </w:tcMar>
            <w:vAlign w:val="center"/>
          </w:tcPr>
          <w:p w14:paraId="4256D95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435" w:type="dxa"/>
            <w:shd w:val="clear" w:color="auto" w:fill="FFFFFF"/>
            <w:tcMar>
              <w:top w:w="0" w:type="dxa"/>
              <w:left w:w="0" w:type="dxa"/>
              <w:bottom w:w="0" w:type="dxa"/>
              <w:right w:w="0" w:type="dxa"/>
            </w:tcMar>
            <w:vAlign w:val="center"/>
          </w:tcPr>
          <w:p w14:paraId="15DE03B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435" w:type="dxa"/>
            <w:shd w:val="clear" w:color="auto" w:fill="FFFFFF"/>
            <w:tcMar>
              <w:top w:w="0" w:type="dxa"/>
              <w:left w:w="0" w:type="dxa"/>
              <w:bottom w:w="0" w:type="dxa"/>
              <w:right w:w="0" w:type="dxa"/>
            </w:tcMar>
            <w:vAlign w:val="center"/>
          </w:tcPr>
          <w:p w14:paraId="07A10BB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780" w:type="dxa"/>
            <w:vMerge w:val="continue"/>
            <w:shd w:val="clear" w:color="auto" w:fill="FFFFFF"/>
            <w:tcMar>
              <w:top w:w="0" w:type="dxa"/>
              <w:left w:w="0" w:type="dxa"/>
              <w:bottom w:w="0" w:type="dxa"/>
              <w:right w:w="0" w:type="dxa"/>
            </w:tcMar>
            <w:vAlign w:val="center"/>
          </w:tcPr>
          <w:p w14:paraId="5C37C7F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r>
      <w:tr w14:paraId="1EE9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3" w:hRule="atLeast"/>
          <w:jc w:val="center"/>
        </w:trPr>
        <w:tc>
          <w:tcPr>
            <w:tcW w:w="420" w:type="dxa"/>
            <w:shd w:val="clear" w:color="auto" w:fill="FFFFFF"/>
            <w:tcMar>
              <w:top w:w="0" w:type="dxa"/>
              <w:left w:w="0" w:type="dxa"/>
              <w:bottom w:w="0" w:type="dxa"/>
              <w:right w:w="0" w:type="dxa"/>
            </w:tcMar>
            <w:vAlign w:val="center"/>
          </w:tcPr>
          <w:p w14:paraId="14ED257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11</w:t>
            </w:r>
          </w:p>
        </w:tc>
        <w:tc>
          <w:tcPr>
            <w:tcW w:w="514" w:type="dxa"/>
            <w:vMerge w:val="continue"/>
            <w:shd w:val="clear" w:color="auto" w:fill="FFFFFF"/>
            <w:tcMar>
              <w:top w:w="0" w:type="dxa"/>
              <w:left w:w="0" w:type="dxa"/>
              <w:bottom w:w="0" w:type="dxa"/>
              <w:right w:w="0" w:type="dxa"/>
            </w:tcMar>
            <w:vAlign w:val="center"/>
          </w:tcPr>
          <w:p w14:paraId="23E8B7A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c>
          <w:tcPr>
            <w:tcW w:w="825" w:type="dxa"/>
            <w:shd w:val="clear" w:color="auto" w:fill="FFFFFF"/>
            <w:tcMar>
              <w:top w:w="0" w:type="dxa"/>
              <w:left w:w="0" w:type="dxa"/>
              <w:bottom w:w="0" w:type="dxa"/>
              <w:right w:w="0" w:type="dxa"/>
            </w:tcMar>
            <w:vAlign w:val="center"/>
          </w:tcPr>
          <w:p w14:paraId="5A646DC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甩干机</w:t>
            </w:r>
          </w:p>
        </w:tc>
        <w:tc>
          <w:tcPr>
            <w:tcW w:w="840" w:type="dxa"/>
            <w:shd w:val="clear" w:color="auto" w:fill="FFFFFF"/>
            <w:tcMar>
              <w:top w:w="0" w:type="dxa"/>
              <w:left w:w="0" w:type="dxa"/>
              <w:bottom w:w="0" w:type="dxa"/>
              <w:right w:w="0" w:type="dxa"/>
            </w:tcMar>
            <w:vAlign w:val="center"/>
          </w:tcPr>
          <w:p w14:paraId="4F65E7C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75</w:t>
            </w:r>
          </w:p>
        </w:tc>
        <w:tc>
          <w:tcPr>
            <w:tcW w:w="675" w:type="dxa"/>
            <w:vMerge w:val="continue"/>
            <w:shd w:val="clear" w:color="auto" w:fill="FFFFFF"/>
            <w:tcMar>
              <w:top w:w="0" w:type="dxa"/>
              <w:left w:w="0" w:type="dxa"/>
              <w:bottom w:w="0" w:type="dxa"/>
              <w:right w:w="0" w:type="dxa"/>
            </w:tcMar>
            <w:vAlign w:val="center"/>
          </w:tcPr>
          <w:p w14:paraId="2D21FDD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510" w:type="dxa"/>
            <w:shd w:val="clear" w:color="auto" w:fill="FFFFFF"/>
            <w:tcMar>
              <w:top w:w="0" w:type="dxa"/>
              <w:left w:w="0" w:type="dxa"/>
              <w:bottom w:w="0" w:type="dxa"/>
              <w:right w:w="0" w:type="dxa"/>
            </w:tcMar>
            <w:vAlign w:val="center"/>
          </w:tcPr>
          <w:p w14:paraId="6C0CBB5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-4.3</w:t>
            </w:r>
          </w:p>
        </w:tc>
        <w:tc>
          <w:tcPr>
            <w:tcW w:w="390" w:type="dxa"/>
            <w:shd w:val="clear" w:color="auto" w:fill="FFFFFF"/>
            <w:tcMar>
              <w:top w:w="0" w:type="dxa"/>
              <w:left w:w="0" w:type="dxa"/>
              <w:bottom w:w="0" w:type="dxa"/>
              <w:right w:w="0" w:type="dxa"/>
            </w:tcMar>
            <w:vAlign w:val="center"/>
          </w:tcPr>
          <w:p w14:paraId="2304A45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-11.8</w:t>
            </w:r>
          </w:p>
        </w:tc>
        <w:tc>
          <w:tcPr>
            <w:tcW w:w="420" w:type="dxa"/>
            <w:shd w:val="clear" w:color="auto" w:fill="FFFFFF"/>
            <w:tcMar>
              <w:top w:w="0" w:type="dxa"/>
              <w:left w:w="0" w:type="dxa"/>
              <w:bottom w:w="0" w:type="dxa"/>
              <w:right w:w="0" w:type="dxa"/>
            </w:tcMar>
            <w:vAlign w:val="center"/>
          </w:tcPr>
          <w:p w14:paraId="2B7DA05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0.9</w:t>
            </w:r>
          </w:p>
        </w:tc>
        <w:tc>
          <w:tcPr>
            <w:tcW w:w="435" w:type="dxa"/>
            <w:shd w:val="clear" w:color="auto" w:fill="FFFFFF"/>
            <w:tcMar>
              <w:top w:w="0" w:type="dxa"/>
              <w:left w:w="0" w:type="dxa"/>
              <w:bottom w:w="0" w:type="dxa"/>
              <w:right w:w="0" w:type="dxa"/>
            </w:tcMar>
            <w:vAlign w:val="center"/>
          </w:tcPr>
          <w:p w14:paraId="15D22A7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15.1</w:t>
            </w:r>
          </w:p>
        </w:tc>
        <w:tc>
          <w:tcPr>
            <w:tcW w:w="435" w:type="dxa"/>
            <w:shd w:val="clear" w:color="auto" w:fill="FFFFFF"/>
            <w:tcMar>
              <w:top w:w="0" w:type="dxa"/>
              <w:left w:w="0" w:type="dxa"/>
              <w:bottom w:w="0" w:type="dxa"/>
              <w:right w:w="0" w:type="dxa"/>
            </w:tcMar>
            <w:vAlign w:val="center"/>
          </w:tcPr>
          <w:p w14:paraId="6A5E6C0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8.1</w:t>
            </w:r>
          </w:p>
        </w:tc>
        <w:tc>
          <w:tcPr>
            <w:tcW w:w="465" w:type="dxa"/>
            <w:shd w:val="clear" w:color="auto" w:fill="FFFFFF"/>
            <w:tcMar>
              <w:top w:w="0" w:type="dxa"/>
              <w:left w:w="0" w:type="dxa"/>
              <w:bottom w:w="0" w:type="dxa"/>
              <w:right w:w="0" w:type="dxa"/>
            </w:tcMar>
            <w:vAlign w:val="center"/>
          </w:tcPr>
          <w:p w14:paraId="389C41A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8.7</w:t>
            </w:r>
          </w:p>
        </w:tc>
        <w:tc>
          <w:tcPr>
            <w:tcW w:w="450" w:type="dxa"/>
            <w:shd w:val="clear" w:color="auto" w:fill="FFFFFF"/>
            <w:tcMar>
              <w:top w:w="0" w:type="dxa"/>
              <w:left w:w="0" w:type="dxa"/>
              <w:bottom w:w="0" w:type="dxa"/>
              <w:right w:w="0" w:type="dxa"/>
            </w:tcMar>
            <w:vAlign w:val="center"/>
          </w:tcPr>
          <w:p w14:paraId="35932CF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26.1</w:t>
            </w:r>
          </w:p>
        </w:tc>
        <w:tc>
          <w:tcPr>
            <w:tcW w:w="525" w:type="dxa"/>
            <w:shd w:val="clear" w:color="auto" w:fill="FFFFFF"/>
            <w:tcMar>
              <w:top w:w="0" w:type="dxa"/>
              <w:left w:w="0" w:type="dxa"/>
              <w:bottom w:w="0" w:type="dxa"/>
              <w:right w:w="0" w:type="dxa"/>
            </w:tcMar>
            <w:vAlign w:val="center"/>
          </w:tcPr>
          <w:p w14:paraId="1CA645A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63.5</w:t>
            </w:r>
          </w:p>
        </w:tc>
        <w:tc>
          <w:tcPr>
            <w:tcW w:w="540" w:type="dxa"/>
            <w:shd w:val="clear" w:color="auto" w:fill="FFFFFF"/>
            <w:tcMar>
              <w:top w:w="0" w:type="dxa"/>
              <w:left w:w="0" w:type="dxa"/>
              <w:bottom w:w="0" w:type="dxa"/>
              <w:right w:w="0" w:type="dxa"/>
            </w:tcMar>
            <w:vAlign w:val="center"/>
          </w:tcPr>
          <w:p w14:paraId="73FCFCD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63.5</w:t>
            </w:r>
          </w:p>
        </w:tc>
        <w:tc>
          <w:tcPr>
            <w:tcW w:w="495" w:type="dxa"/>
            <w:shd w:val="clear" w:color="auto" w:fill="FFFFFF"/>
            <w:tcMar>
              <w:top w:w="0" w:type="dxa"/>
              <w:left w:w="0" w:type="dxa"/>
              <w:bottom w:w="0" w:type="dxa"/>
              <w:right w:w="0" w:type="dxa"/>
            </w:tcMar>
            <w:vAlign w:val="center"/>
          </w:tcPr>
          <w:p w14:paraId="7FF9FDB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63.5</w:t>
            </w:r>
          </w:p>
        </w:tc>
        <w:tc>
          <w:tcPr>
            <w:tcW w:w="510" w:type="dxa"/>
            <w:shd w:val="clear" w:color="auto" w:fill="FFFFFF"/>
            <w:tcMar>
              <w:top w:w="0" w:type="dxa"/>
              <w:left w:w="0" w:type="dxa"/>
              <w:bottom w:w="0" w:type="dxa"/>
              <w:right w:w="0" w:type="dxa"/>
            </w:tcMar>
            <w:vAlign w:val="center"/>
          </w:tcPr>
          <w:p w14:paraId="7110A2A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63.5</w:t>
            </w:r>
          </w:p>
        </w:tc>
        <w:tc>
          <w:tcPr>
            <w:tcW w:w="510" w:type="dxa"/>
            <w:vMerge w:val="continue"/>
            <w:shd w:val="clear" w:color="auto" w:fill="FFFFFF"/>
            <w:tcMar>
              <w:top w:w="0" w:type="dxa"/>
              <w:left w:w="0" w:type="dxa"/>
              <w:bottom w:w="0" w:type="dxa"/>
              <w:right w:w="0" w:type="dxa"/>
            </w:tcMar>
            <w:vAlign w:val="center"/>
          </w:tcPr>
          <w:p w14:paraId="3A1C0AB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465" w:type="dxa"/>
            <w:shd w:val="clear" w:color="auto" w:fill="FFFFFF"/>
            <w:tcMar>
              <w:top w:w="0" w:type="dxa"/>
              <w:left w:w="0" w:type="dxa"/>
              <w:bottom w:w="0" w:type="dxa"/>
              <w:right w:w="0" w:type="dxa"/>
            </w:tcMar>
            <w:vAlign w:val="center"/>
          </w:tcPr>
          <w:p w14:paraId="1D6B525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66420C5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15972E2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054124D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02" w:type="dxa"/>
            <w:shd w:val="clear" w:color="auto" w:fill="FFFFFF"/>
            <w:tcMar>
              <w:top w:w="0" w:type="dxa"/>
              <w:left w:w="0" w:type="dxa"/>
              <w:bottom w:w="0" w:type="dxa"/>
              <w:right w:w="0" w:type="dxa"/>
            </w:tcMar>
            <w:vAlign w:val="center"/>
          </w:tcPr>
          <w:p w14:paraId="2C3D427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42.5</w:t>
            </w:r>
          </w:p>
        </w:tc>
        <w:tc>
          <w:tcPr>
            <w:tcW w:w="425" w:type="dxa"/>
            <w:shd w:val="clear" w:color="auto" w:fill="FFFFFF"/>
            <w:tcMar>
              <w:top w:w="0" w:type="dxa"/>
              <w:left w:w="0" w:type="dxa"/>
              <w:bottom w:w="0" w:type="dxa"/>
              <w:right w:w="0" w:type="dxa"/>
            </w:tcMar>
            <w:vAlign w:val="center"/>
          </w:tcPr>
          <w:p w14:paraId="488FD08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42.5</w:t>
            </w:r>
          </w:p>
        </w:tc>
        <w:tc>
          <w:tcPr>
            <w:tcW w:w="435" w:type="dxa"/>
            <w:shd w:val="clear" w:color="auto" w:fill="FFFFFF"/>
            <w:tcMar>
              <w:top w:w="0" w:type="dxa"/>
              <w:left w:w="0" w:type="dxa"/>
              <w:bottom w:w="0" w:type="dxa"/>
              <w:right w:w="0" w:type="dxa"/>
            </w:tcMar>
            <w:vAlign w:val="center"/>
          </w:tcPr>
          <w:p w14:paraId="76FD7BB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42.5</w:t>
            </w:r>
          </w:p>
        </w:tc>
        <w:tc>
          <w:tcPr>
            <w:tcW w:w="435" w:type="dxa"/>
            <w:shd w:val="clear" w:color="auto" w:fill="FFFFFF"/>
            <w:tcMar>
              <w:top w:w="0" w:type="dxa"/>
              <w:left w:w="0" w:type="dxa"/>
              <w:bottom w:w="0" w:type="dxa"/>
              <w:right w:w="0" w:type="dxa"/>
            </w:tcMar>
            <w:vAlign w:val="center"/>
          </w:tcPr>
          <w:p w14:paraId="48C1A91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42.5</w:t>
            </w:r>
          </w:p>
        </w:tc>
        <w:tc>
          <w:tcPr>
            <w:tcW w:w="780" w:type="dxa"/>
            <w:vMerge w:val="continue"/>
            <w:shd w:val="clear" w:color="auto" w:fill="FFFFFF"/>
            <w:tcMar>
              <w:top w:w="0" w:type="dxa"/>
              <w:left w:w="0" w:type="dxa"/>
              <w:bottom w:w="0" w:type="dxa"/>
              <w:right w:w="0" w:type="dxa"/>
            </w:tcMar>
            <w:vAlign w:val="center"/>
          </w:tcPr>
          <w:p w14:paraId="451AC84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r>
      <w:tr w14:paraId="2A27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3" w:hRule="atLeast"/>
          <w:jc w:val="center"/>
        </w:trPr>
        <w:tc>
          <w:tcPr>
            <w:tcW w:w="420" w:type="dxa"/>
            <w:shd w:val="clear" w:color="auto" w:fill="FFFFFF"/>
            <w:tcMar>
              <w:top w:w="0" w:type="dxa"/>
              <w:left w:w="0" w:type="dxa"/>
              <w:bottom w:w="0" w:type="dxa"/>
              <w:right w:w="0" w:type="dxa"/>
            </w:tcMar>
            <w:vAlign w:val="center"/>
          </w:tcPr>
          <w:p w14:paraId="443FA32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12</w:t>
            </w:r>
          </w:p>
        </w:tc>
        <w:tc>
          <w:tcPr>
            <w:tcW w:w="514" w:type="dxa"/>
            <w:vMerge w:val="continue"/>
            <w:shd w:val="clear" w:color="auto" w:fill="FFFFFF"/>
            <w:tcMar>
              <w:top w:w="0" w:type="dxa"/>
              <w:left w:w="0" w:type="dxa"/>
              <w:bottom w:w="0" w:type="dxa"/>
              <w:right w:w="0" w:type="dxa"/>
            </w:tcMar>
            <w:vAlign w:val="center"/>
          </w:tcPr>
          <w:p w14:paraId="49018C7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c>
          <w:tcPr>
            <w:tcW w:w="825" w:type="dxa"/>
            <w:shd w:val="clear" w:color="auto" w:fill="FFFFFF"/>
            <w:tcMar>
              <w:top w:w="0" w:type="dxa"/>
              <w:left w:w="0" w:type="dxa"/>
              <w:bottom w:w="0" w:type="dxa"/>
              <w:right w:w="0" w:type="dxa"/>
            </w:tcMar>
            <w:vAlign w:val="center"/>
          </w:tcPr>
          <w:p w14:paraId="53DA415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甩干机</w:t>
            </w:r>
          </w:p>
        </w:tc>
        <w:tc>
          <w:tcPr>
            <w:tcW w:w="840" w:type="dxa"/>
            <w:shd w:val="clear" w:color="auto" w:fill="FFFFFF"/>
            <w:tcMar>
              <w:top w:w="0" w:type="dxa"/>
              <w:left w:w="0" w:type="dxa"/>
              <w:bottom w:w="0" w:type="dxa"/>
              <w:right w:w="0" w:type="dxa"/>
            </w:tcMar>
            <w:vAlign w:val="center"/>
          </w:tcPr>
          <w:p w14:paraId="3FE1FF5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75</w:t>
            </w:r>
          </w:p>
        </w:tc>
        <w:tc>
          <w:tcPr>
            <w:tcW w:w="675" w:type="dxa"/>
            <w:vMerge w:val="continue"/>
            <w:shd w:val="clear" w:color="auto" w:fill="FFFFFF"/>
            <w:tcMar>
              <w:top w:w="0" w:type="dxa"/>
              <w:left w:w="0" w:type="dxa"/>
              <w:bottom w:w="0" w:type="dxa"/>
              <w:right w:w="0" w:type="dxa"/>
            </w:tcMar>
            <w:vAlign w:val="center"/>
          </w:tcPr>
          <w:p w14:paraId="4371D94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510" w:type="dxa"/>
            <w:shd w:val="clear" w:color="auto" w:fill="FFFFFF"/>
            <w:tcMar>
              <w:top w:w="0" w:type="dxa"/>
              <w:left w:w="0" w:type="dxa"/>
              <w:bottom w:w="0" w:type="dxa"/>
              <w:right w:w="0" w:type="dxa"/>
            </w:tcMar>
            <w:vAlign w:val="center"/>
          </w:tcPr>
          <w:p w14:paraId="3A93869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16.4</w:t>
            </w:r>
          </w:p>
        </w:tc>
        <w:tc>
          <w:tcPr>
            <w:tcW w:w="390" w:type="dxa"/>
            <w:shd w:val="clear" w:color="auto" w:fill="FFFFFF"/>
            <w:tcMar>
              <w:top w:w="0" w:type="dxa"/>
              <w:left w:w="0" w:type="dxa"/>
              <w:bottom w:w="0" w:type="dxa"/>
              <w:right w:w="0" w:type="dxa"/>
            </w:tcMar>
            <w:vAlign w:val="center"/>
          </w:tcPr>
          <w:p w14:paraId="2DBBE82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-2.2</w:t>
            </w:r>
          </w:p>
        </w:tc>
        <w:tc>
          <w:tcPr>
            <w:tcW w:w="420" w:type="dxa"/>
            <w:shd w:val="clear" w:color="auto" w:fill="FFFFFF"/>
            <w:tcMar>
              <w:top w:w="0" w:type="dxa"/>
              <w:left w:w="0" w:type="dxa"/>
              <w:bottom w:w="0" w:type="dxa"/>
              <w:right w:w="0" w:type="dxa"/>
            </w:tcMar>
            <w:vAlign w:val="center"/>
          </w:tcPr>
          <w:p w14:paraId="1256E69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0.9</w:t>
            </w:r>
          </w:p>
        </w:tc>
        <w:tc>
          <w:tcPr>
            <w:tcW w:w="435" w:type="dxa"/>
            <w:shd w:val="clear" w:color="auto" w:fill="FFFFFF"/>
            <w:tcMar>
              <w:top w:w="0" w:type="dxa"/>
              <w:left w:w="0" w:type="dxa"/>
              <w:bottom w:w="0" w:type="dxa"/>
              <w:right w:w="0" w:type="dxa"/>
            </w:tcMar>
            <w:vAlign w:val="center"/>
          </w:tcPr>
          <w:p w14:paraId="7D5CB1E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w:t>
            </w:r>
          </w:p>
        </w:tc>
        <w:tc>
          <w:tcPr>
            <w:tcW w:w="435" w:type="dxa"/>
            <w:shd w:val="clear" w:color="auto" w:fill="FFFFFF"/>
            <w:tcMar>
              <w:top w:w="0" w:type="dxa"/>
              <w:left w:w="0" w:type="dxa"/>
              <w:bottom w:w="0" w:type="dxa"/>
              <w:right w:w="0" w:type="dxa"/>
            </w:tcMar>
            <w:vAlign w:val="center"/>
          </w:tcPr>
          <w:p w14:paraId="15C493E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19.9</w:t>
            </w:r>
          </w:p>
        </w:tc>
        <w:tc>
          <w:tcPr>
            <w:tcW w:w="465" w:type="dxa"/>
            <w:shd w:val="clear" w:color="auto" w:fill="FFFFFF"/>
            <w:tcMar>
              <w:top w:w="0" w:type="dxa"/>
              <w:left w:w="0" w:type="dxa"/>
              <w:bottom w:w="0" w:type="dxa"/>
              <w:right w:w="0" w:type="dxa"/>
            </w:tcMar>
            <w:vAlign w:val="center"/>
          </w:tcPr>
          <w:p w14:paraId="0A54575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2.3</w:t>
            </w:r>
          </w:p>
        </w:tc>
        <w:tc>
          <w:tcPr>
            <w:tcW w:w="450" w:type="dxa"/>
            <w:shd w:val="clear" w:color="auto" w:fill="FFFFFF"/>
            <w:tcMar>
              <w:top w:w="0" w:type="dxa"/>
              <w:left w:w="0" w:type="dxa"/>
              <w:bottom w:w="0" w:type="dxa"/>
              <w:right w:w="0" w:type="dxa"/>
            </w:tcMar>
            <w:vAlign w:val="center"/>
          </w:tcPr>
          <w:p w14:paraId="7466FA8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6.6</w:t>
            </w:r>
          </w:p>
        </w:tc>
        <w:tc>
          <w:tcPr>
            <w:tcW w:w="525" w:type="dxa"/>
            <w:shd w:val="clear" w:color="auto" w:fill="FFFFFF"/>
            <w:tcMar>
              <w:top w:w="0" w:type="dxa"/>
              <w:left w:w="0" w:type="dxa"/>
              <w:bottom w:w="0" w:type="dxa"/>
              <w:right w:w="0" w:type="dxa"/>
            </w:tcMar>
            <w:vAlign w:val="center"/>
          </w:tcPr>
          <w:p w14:paraId="00EEF0E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63.7</w:t>
            </w:r>
          </w:p>
        </w:tc>
        <w:tc>
          <w:tcPr>
            <w:tcW w:w="540" w:type="dxa"/>
            <w:shd w:val="clear" w:color="auto" w:fill="FFFFFF"/>
            <w:tcMar>
              <w:top w:w="0" w:type="dxa"/>
              <w:left w:w="0" w:type="dxa"/>
              <w:bottom w:w="0" w:type="dxa"/>
              <w:right w:w="0" w:type="dxa"/>
            </w:tcMar>
            <w:vAlign w:val="center"/>
          </w:tcPr>
          <w:p w14:paraId="5023246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63.5</w:t>
            </w:r>
          </w:p>
        </w:tc>
        <w:tc>
          <w:tcPr>
            <w:tcW w:w="495" w:type="dxa"/>
            <w:shd w:val="clear" w:color="auto" w:fill="FFFFFF"/>
            <w:tcMar>
              <w:top w:w="0" w:type="dxa"/>
              <w:left w:w="0" w:type="dxa"/>
              <w:bottom w:w="0" w:type="dxa"/>
              <w:right w:w="0" w:type="dxa"/>
            </w:tcMar>
            <w:vAlign w:val="center"/>
          </w:tcPr>
          <w:p w14:paraId="20D68BB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64.3</w:t>
            </w:r>
          </w:p>
        </w:tc>
        <w:tc>
          <w:tcPr>
            <w:tcW w:w="510" w:type="dxa"/>
            <w:shd w:val="clear" w:color="auto" w:fill="FFFFFF"/>
            <w:tcMar>
              <w:top w:w="0" w:type="dxa"/>
              <w:left w:w="0" w:type="dxa"/>
              <w:bottom w:w="0" w:type="dxa"/>
              <w:right w:w="0" w:type="dxa"/>
            </w:tcMar>
            <w:vAlign w:val="center"/>
          </w:tcPr>
          <w:p w14:paraId="08AF7D9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63.6</w:t>
            </w:r>
          </w:p>
        </w:tc>
        <w:tc>
          <w:tcPr>
            <w:tcW w:w="510" w:type="dxa"/>
            <w:vMerge w:val="continue"/>
            <w:shd w:val="clear" w:color="auto" w:fill="FFFFFF"/>
            <w:tcMar>
              <w:top w:w="0" w:type="dxa"/>
              <w:left w:w="0" w:type="dxa"/>
              <w:bottom w:w="0" w:type="dxa"/>
              <w:right w:w="0" w:type="dxa"/>
            </w:tcMar>
            <w:vAlign w:val="center"/>
          </w:tcPr>
          <w:p w14:paraId="1323F2A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465" w:type="dxa"/>
            <w:shd w:val="clear" w:color="auto" w:fill="FFFFFF"/>
            <w:tcMar>
              <w:top w:w="0" w:type="dxa"/>
              <w:left w:w="0" w:type="dxa"/>
              <w:bottom w:w="0" w:type="dxa"/>
              <w:right w:w="0" w:type="dxa"/>
            </w:tcMar>
            <w:vAlign w:val="center"/>
          </w:tcPr>
          <w:p w14:paraId="690714C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7E0BE0A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1B98850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502DE36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02" w:type="dxa"/>
            <w:shd w:val="clear" w:color="auto" w:fill="FFFFFF"/>
            <w:tcMar>
              <w:top w:w="0" w:type="dxa"/>
              <w:left w:w="0" w:type="dxa"/>
              <w:bottom w:w="0" w:type="dxa"/>
              <w:right w:w="0" w:type="dxa"/>
            </w:tcMar>
            <w:vAlign w:val="center"/>
          </w:tcPr>
          <w:p w14:paraId="44E5ADC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42.7</w:t>
            </w:r>
          </w:p>
        </w:tc>
        <w:tc>
          <w:tcPr>
            <w:tcW w:w="425" w:type="dxa"/>
            <w:shd w:val="clear" w:color="auto" w:fill="FFFFFF"/>
            <w:tcMar>
              <w:top w:w="0" w:type="dxa"/>
              <w:left w:w="0" w:type="dxa"/>
              <w:bottom w:w="0" w:type="dxa"/>
              <w:right w:w="0" w:type="dxa"/>
            </w:tcMar>
            <w:vAlign w:val="center"/>
          </w:tcPr>
          <w:p w14:paraId="005441F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42.5</w:t>
            </w:r>
          </w:p>
        </w:tc>
        <w:tc>
          <w:tcPr>
            <w:tcW w:w="435" w:type="dxa"/>
            <w:shd w:val="clear" w:color="auto" w:fill="FFFFFF"/>
            <w:tcMar>
              <w:top w:w="0" w:type="dxa"/>
              <w:left w:w="0" w:type="dxa"/>
              <w:bottom w:w="0" w:type="dxa"/>
              <w:right w:w="0" w:type="dxa"/>
            </w:tcMar>
            <w:vAlign w:val="center"/>
          </w:tcPr>
          <w:p w14:paraId="6AEDD9A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43.3</w:t>
            </w:r>
          </w:p>
        </w:tc>
        <w:tc>
          <w:tcPr>
            <w:tcW w:w="435" w:type="dxa"/>
            <w:shd w:val="clear" w:color="auto" w:fill="FFFFFF"/>
            <w:tcMar>
              <w:top w:w="0" w:type="dxa"/>
              <w:left w:w="0" w:type="dxa"/>
              <w:bottom w:w="0" w:type="dxa"/>
              <w:right w:w="0" w:type="dxa"/>
            </w:tcMar>
            <w:vAlign w:val="center"/>
          </w:tcPr>
          <w:p w14:paraId="182667D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42.6</w:t>
            </w:r>
          </w:p>
        </w:tc>
        <w:tc>
          <w:tcPr>
            <w:tcW w:w="780" w:type="dxa"/>
            <w:vMerge w:val="continue"/>
            <w:shd w:val="clear" w:color="auto" w:fill="FFFFFF"/>
            <w:tcMar>
              <w:top w:w="0" w:type="dxa"/>
              <w:left w:w="0" w:type="dxa"/>
              <w:bottom w:w="0" w:type="dxa"/>
              <w:right w:w="0" w:type="dxa"/>
            </w:tcMar>
            <w:vAlign w:val="center"/>
          </w:tcPr>
          <w:p w14:paraId="29107FC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r>
      <w:tr w14:paraId="5C13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3" w:hRule="atLeast"/>
          <w:jc w:val="center"/>
        </w:trPr>
        <w:tc>
          <w:tcPr>
            <w:tcW w:w="420" w:type="dxa"/>
            <w:shd w:val="clear" w:color="auto" w:fill="FFFFFF"/>
            <w:tcMar>
              <w:top w:w="0" w:type="dxa"/>
              <w:left w:w="0" w:type="dxa"/>
              <w:bottom w:w="0" w:type="dxa"/>
              <w:right w:w="0" w:type="dxa"/>
            </w:tcMar>
            <w:vAlign w:val="center"/>
          </w:tcPr>
          <w:p w14:paraId="10EDE3F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13</w:t>
            </w:r>
          </w:p>
        </w:tc>
        <w:tc>
          <w:tcPr>
            <w:tcW w:w="514" w:type="dxa"/>
            <w:vMerge w:val="continue"/>
            <w:shd w:val="clear" w:color="auto" w:fill="FFFFFF"/>
            <w:tcMar>
              <w:top w:w="0" w:type="dxa"/>
              <w:left w:w="0" w:type="dxa"/>
              <w:bottom w:w="0" w:type="dxa"/>
              <w:right w:w="0" w:type="dxa"/>
            </w:tcMar>
            <w:vAlign w:val="center"/>
          </w:tcPr>
          <w:p w14:paraId="76A12B5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c>
          <w:tcPr>
            <w:tcW w:w="825" w:type="dxa"/>
            <w:shd w:val="clear" w:color="auto" w:fill="FFFFFF"/>
            <w:tcMar>
              <w:top w:w="0" w:type="dxa"/>
              <w:left w:w="0" w:type="dxa"/>
              <w:bottom w:w="0" w:type="dxa"/>
              <w:right w:w="0" w:type="dxa"/>
            </w:tcMar>
            <w:vAlign w:val="center"/>
          </w:tcPr>
          <w:p w14:paraId="7C8B70E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加热挤出机</w:t>
            </w:r>
          </w:p>
        </w:tc>
        <w:tc>
          <w:tcPr>
            <w:tcW w:w="840" w:type="dxa"/>
            <w:shd w:val="clear" w:color="auto" w:fill="FFFFFF"/>
            <w:tcMar>
              <w:top w:w="0" w:type="dxa"/>
              <w:left w:w="0" w:type="dxa"/>
              <w:bottom w:w="0" w:type="dxa"/>
              <w:right w:w="0" w:type="dxa"/>
            </w:tcMar>
            <w:vAlign w:val="center"/>
          </w:tcPr>
          <w:p w14:paraId="252D70F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75</w:t>
            </w:r>
          </w:p>
        </w:tc>
        <w:tc>
          <w:tcPr>
            <w:tcW w:w="675" w:type="dxa"/>
            <w:vMerge w:val="continue"/>
            <w:shd w:val="clear" w:color="auto" w:fill="FFFFFF"/>
            <w:tcMar>
              <w:top w:w="0" w:type="dxa"/>
              <w:left w:w="0" w:type="dxa"/>
              <w:bottom w:w="0" w:type="dxa"/>
              <w:right w:w="0" w:type="dxa"/>
            </w:tcMar>
            <w:vAlign w:val="center"/>
          </w:tcPr>
          <w:p w14:paraId="2A34CE3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510" w:type="dxa"/>
            <w:shd w:val="clear" w:color="auto" w:fill="FFFFFF"/>
            <w:tcMar>
              <w:top w:w="0" w:type="dxa"/>
              <w:left w:w="0" w:type="dxa"/>
              <w:bottom w:w="0" w:type="dxa"/>
              <w:right w:w="0" w:type="dxa"/>
            </w:tcMar>
            <w:vAlign w:val="center"/>
          </w:tcPr>
          <w:p w14:paraId="494B9B0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16.2</w:t>
            </w:r>
          </w:p>
        </w:tc>
        <w:tc>
          <w:tcPr>
            <w:tcW w:w="390" w:type="dxa"/>
            <w:shd w:val="clear" w:color="auto" w:fill="FFFFFF"/>
            <w:tcMar>
              <w:top w:w="0" w:type="dxa"/>
              <w:left w:w="0" w:type="dxa"/>
              <w:bottom w:w="0" w:type="dxa"/>
              <w:right w:w="0" w:type="dxa"/>
            </w:tcMar>
            <w:vAlign w:val="center"/>
          </w:tcPr>
          <w:p w14:paraId="77C32FC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-4.1</w:t>
            </w:r>
          </w:p>
        </w:tc>
        <w:tc>
          <w:tcPr>
            <w:tcW w:w="420" w:type="dxa"/>
            <w:shd w:val="clear" w:color="auto" w:fill="FFFFFF"/>
            <w:tcMar>
              <w:top w:w="0" w:type="dxa"/>
              <w:left w:w="0" w:type="dxa"/>
              <w:bottom w:w="0" w:type="dxa"/>
              <w:right w:w="0" w:type="dxa"/>
            </w:tcMar>
            <w:vAlign w:val="center"/>
          </w:tcPr>
          <w:p w14:paraId="28B80B2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1.0</w:t>
            </w:r>
          </w:p>
        </w:tc>
        <w:tc>
          <w:tcPr>
            <w:tcW w:w="435" w:type="dxa"/>
            <w:shd w:val="clear" w:color="auto" w:fill="FFFFFF"/>
            <w:tcMar>
              <w:top w:w="0" w:type="dxa"/>
              <w:left w:w="0" w:type="dxa"/>
              <w:bottom w:w="0" w:type="dxa"/>
              <w:right w:w="0" w:type="dxa"/>
            </w:tcMar>
            <w:vAlign w:val="center"/>
          </w:tcPr>
          <w:p w14:paraId="2A371A3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4.3</w:t>
            </w:r>
          </w:p>
        </w:tc>
        <w:tc>
          <w:tcPr>
            <w:tcW w:w="435" w:type="dxa"/>
            <w:shd w:val="clear" w:color="auto" w:fill="FFFFFF"/>
            <w:tcMar>
              <w:top w:w="0" w:type="dxa"/>
              <w:left w:w="0" w:type="dxa"/>
              <w:bottom w:w="0" w:type="dxa"/>
              <w:right w:w="0" w:type="dxa"/>
            </w:tcMar>
            <w:vAlign w:val="center"/>
          </w:tcPr>
          <w:p w14:paraId="0541EEB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18.0</w:t>
            </w:r>
          </w:p>
        </w:tc>
        <w:tc>
          <w:tcPr>
            <w:tcW w:w="465" w:type="dxa"/>
            <w:shd w:val="clear" w:color="auto" w:fill="FFFFFF"/>
            <w:tcMar>
              <w:top w:w="0" w:type="dxa"/>
              <w:left w:w="0" w:type="dxa"/>
              <w:bottom w:w="0" w:type="dxa"/>
              <w:right w:w="0" w:type="dxa"/>
            </w:tcMar>
            <w:vAlign w:val="center"/>
          </w:tcPr>
          <w:p w14:paraId="4408CC4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0.4</w:t>
            </w:r>
          </w:p>
        </w:tc>
        <w:tc>
          <w:tcPr>
            <w:tcW w:w="450" w:type="dxa"/>
            <w:shd w:val="clear" w:color="auto" w:fill="FFFFFF"/>
            <w:tcMar>
              <w:top w:w="0" w:type="dxa"/>
              <w:left w:w="0" w:type="dxa"/>
              <w:bottom w:w="0" w:type="dxa"/>
              <w:right w:w="0" w:type="dxa"/>
            </w:tcMar>
            <w:vAlign w:val="center"/>
          </w:tcPr>
          <w:p w14:paraId="55061BE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6.6</w:t>
            </w:r>
          </w:p>
        </w:tc>
        <w:tc>
          <w:tcPr>
            <w:tcW w:w="525" w:type="dxa"/>
            <w:shd w:val="clear" w:color="auto" w:fill="FFFFFF"/>
            <w:tcMar>
              <w:top w:w="0" w:type="dxa"/>
              <w:left w:w="0" w:type="dxa"/>
              <w:bottom w:w="0" w:type="dxa"/>
              <w:right w:w="0" w:type="dxa"/>
            </w:tcMar>
            <w:vAlign w:val="center"/>
          </w:tcPr>
          <w:p w14:paraId="3C2DD39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63.7</w:t>
            </w:r>
          </w:p>
        </w:tc>
        <w:tc>
          <w:tcPr>
            <w:tcW w:w="540" w:type="dxa"/>
            <w:shd w:val="clear" w:color="auto" w:fill="FFFFFF"/>
            <w:tcMar>
              <w:top w:w="0" w:type="dxa"/>
              <w:left w:w="0" w:type="dxa"/>
              <w:bottom w:w="0" w:type="dxa"/>
              <w:right w:w="0" w:type="dxa"/>
            </w:tcMar>
            <w:vAlign w:val="center"/>
          </w:tcPr>
          <w:p w14:paraId="2FAD52D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63.5</w:t>
            </w:r>
          </w:p>
        </w:tc>
        <w:tc>
          <w:tcPr>
            <w:tcW w:w="495" w:type="dxa"/>
            <w:shd w:val="clear" w:color="auto" w:fill="FFFFFF"/>
            <w:tcMar>
              <w:top w:w="0" w:type="dxa"/>
              <w:left w:w="0" w:type="dxa"/>
              <w:bottom w:w="0" w:type="dxa"/>
              <w:right w:w="0" w:type="dxa"/>
            </w:tcMar>
            <w:vAlign w:val="center"/>
          </w:tcPr>
          <w:p w14:paraId="31DB0D4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72.5</w:t>
            </w:r>
          </w:p>
        </w:tc>
        <w:tc>
          <w:tcPr>
            <w:tcW w:w="510" w:type="dxa"/>
            <w:shd w:val="clear" w:color="auto" w:fill="FFFFFF"/>
            <w:tcMar>
              <w:top w:w="0" w:type="dxa"/>
              <w:left w:w="0" w:type="dxa"/>
              <w:bottom w:w="0" w:type="dxa"/>
              <w:right w:w="0" w:type="dxa"/>
            </w:tcMar>
            <w:vAlign w:val="center"/>
          </w:tcPr>
          <w:p w14:paraId="0011A4E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63.6</w:t>
            </w:r>
          </w:p>
        </w:tc>
        <w:tc>
          <w:tcPr>
            <w:tcW w:w="510" w:type="dxa"/>
            <w:vMerge w:val="continue"/>
            <w:shd w:val="clear" w:color="auto" w:fill="FFFFFF"/>
            <w:tcMar>
              <w:top w:w="0" w:type="dxa"/>
              <w:left w:w="0" w:type="dxa"/>
              <w:bottom w:w="0" w:type="dxa"/>
              <w:right w:w="0" w:type="dxa"/>
            </w:tcMar>
            <w:vAlign w:val="center"/>
          </w:tcPr>
          <w:p w14:paraId="6560537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465" w:type="dxa"/>
            <w:shd w:val="clear" w:color="auto" w:fill="FFFFFF"/>
            <w:tcMar>
              <w:top w:w="0" w:type="dxa"/>
              <w:left w:w="0" w:type="dxa"/>
              <w:bottom w:w="0" w:type="dxa"/>
              <w:right w:w="0" w:type="dxa"/>
            </w:tcMar>
            <w:vAlign w:val="center"/>
          </w:tcPr>
          <w:p w14:paraId="6CE5454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6D0A16B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030B3EF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30DA3CD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02" w:type="dxa"/>
            <w:shd w:val="clear" w:color="auto" w:fill="FFFFFF"/>
            <w:tcMar>
              <w:top w:w="0" w:type="dxa"/>
              <w:left w:w="0" w:type="dxa"/>
              <w:bottom w:w="0" w:type="dxa"/>
              <w:right w:w="0" w:type="dxa"/>
            </w:tcMar>
            <w:vAlign w:val="center"/>
          </w:tcPr>
          <w:p w14:paraId="3C7DE70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42.7</w:t>
            </w:r>
          </w:p>
        </w:tc>
        <w:tc>
          <w:tcPr>
            <w:tcW w:w="425" w:type="dxa"/>
            <w:shd w:val="clear" w:color="auto" w:fill="FFFFFF"/>
            <w:tcMar>
              <w:top w:w="0" w:type="dxa"/>
              <w:left w:w="0" w:type="dxa"/>
              <w:bottom w:w="0" w:type="dxa"/>
              <w:right w:w="0" w:type="dxa"/>
            </w:tcMar>
            <w:vAlign w:val="center"/>
          </w:tcPr>
          <w:p w14:paraId="74F3228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42.5</w:t>
            </w:r>
          </w:p>
        </w:tc>
        <w:tc>
          <w:tcPr>
            <w:tcW w:w="435" w:type="dxa"/>
            <w:shd w:val="clear" w:color="auto" w:fill="FFFFFF"/>
            <w:tcMar>
              <w:top w:w="0" w:type="dxa"/>
              <w:left w:w="0" w:type="dxa"/>
              <w:bottom w:w="0" w:type="dxa"/>
              <w:right w:w="0" w:type="dxa"/>
            </w:tcMar>
            <w:vAlign w:val="center"/>
          </w:tcPr>
          <w:p w14:paraId="11FFCDC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51.5</w:t>
            </w:r>
          </w:p>
        </w:tc>
        <w:tc>
          <w:tcPr>
            <w:tcW w:w="435" w:type="dxa"/>
            <w:shd w:val="clear" w:color="auto" w:fill="FFFFFF"/>
            <w:tcMar>
              <w:top w:w="0" w:type="dxa"/>
              <w:left w:w="0" w:type="dxa"/>
              <w:bottom w:w="0" w:type="dxa"/>
              <w:right w:w="0" w:type="dxa"/>
            </w:tcMar>
            <w:vAlign w:val="center"/>
          </w:tcPr>
          <w:p w14:paraId="52FA42C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42.6</w:t>
            </w:r>
          </w:p>
        </w:tc>
        <w:tc>
          <w:tcPr>
            <w:tcW w:w="780" w:type="dxa"/>
            <w:vMerge w:val="continue"/>
            <w:shd w:val="clear" w:color="auto" w:fill="FFFFFF"/>
            <w:tcMar>
              <w:top w:w="0" w:type="dxa"/>
              <w:left w:w="0" w:type="dxa"/>
              <w:bottom w:w="0" w:type="dxa"/>
              <w:right w:w="0" w:type="dxa"/>
            </w:tcMar>
            <w:vAlign w:val="center"/>
          </w:tcPr>
          <w:p w14:paraId="361FC8F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r>
      <w:tr w14:paraId="4B40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3" w:hRule="atLeast"/>
          <w:jc w:val="center"/>
        </w:trPr>
        <w:tc>
          <w:tcPr>
            <w:tcW w:w="420" w:type="dxa"/>
            <w:shd w:val="clear" w:color="auto" w:fill="FFFFFF"/>
            <w:tcMar>
              <w:top w:w="0" w:type="dxa"/>
              <w:left w:w="0" w:type="dxa"/>
              <w:bottom w:w="0" w:type="dxa"/>
              <w:right w:w="0" w:type="dxa"/>
            </w:tcMar>
            <w:vAlign w:val="center"/>
          </w:tcPr>
          <w:p w14:paraId="6DCAD67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14</w:t>
            </w:r>
          </w:p>
        </w:tc>
        <w:tc>
          <w:tcPr>
            <w:tcW w:w="514" w:type="dxa"/>
            <w:vMerge w:val="continue"/>
            <w:shd w:val="clear" w:color="auto" w:fill="FFFFFF"/>
            <w:tcMar>
              <w:top w:w="0" w:type="dxa"/>
              <w:left w:w="0" w:type="dxa"/>
              <w:bottom w:w="0" w:type="dxa"/>
              <w:right w:w="0" w:type="dxa"/>
            </w:tcMar>
            <w:vAlign w:val="center"/>
          </w:tcPr>
          <w:p w14:paraId="6939A18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c>
          <w:tcPr>
            <w:tcW w:w="825" w:type="dxa"/>
            <w:shd w:val="clear" w:color="auto" w:fill="FFFFFF"/>
            <w:tcMar>
              <w:top w:w="0" w:type="dxa"/>
              <w:left w:w="0" w:type="dxa"/>
              <w:bottom w:w="0" w:type="dxa"/>
              <w:right w:w="0" w:type="dxa"/>
            </w:tcMar>
            <w:vAlign w:val="center"/>
          </w:tcPr>
          <w:p w14:paraId="4F9CE00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加热挤出机</w:t>
            </w:r>
          </w:p>
        </w:tc>
        <w:tc>
          <w:tcPr>
            <w:tcW w:w="840" w:type="dxa"/>
            <w:shd w:val="clear" w:color="auto" w:fill="FFFFFF"/>
            <w:tcMar>
              <w:top w:w="0" w:type="dxa"/>
              <w:left w:w="0" w:type="dxa"/>
              <w:bottom w:w="0" w:type="dxa"/>
              <w:right w:w="0" w:type="dxa"/>
            </w:tcMar>
            <w:vAlign w:val="center"/>
          </w:tcPr>
          <w:p w14:paraId="7EED892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75</w:t>
            </w:r>
          </w:p>
        </w:tc>
        <w:tc>
          <w:tcPr>
            <w:tcW w:w="675" w:type="dxa"/>
            <w:vMerge w:val="continue"/>
            <w:shd w:val="clear" w:color="auto" w:fill="FFFFFF"/>
            <w:tcMar>
              <w:top w:w="0" w:type="dxa"/>
              <w:left w:w="0" w:type="dxa"/>
              <w:bottom w:w="0" w:type="dxa"/>
              <w:right w:w="0" w:type="dxa"/>
            </w:tcMar>
            <w:vAlign w:val="center"/>
          </w:tcPr>
          <w:p w14:paraId="2D72646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510" w:type="dxa"/>
            <w:shd w:val="clear" w:color="auto" w:fill="FFFFFF"/>
            <w:tcMar>
              <w:top w:w="0" w:type="dxa"/>
              <w:left w:w="0" w:type="dxa"/>
              <w:bottom w:w="0" w:type="dxa"/>
              <w:right w:w="0" w:type="dxa"/>
            </w:tcMar>
            <w:vAlign w:val="center"/>
          </w:tcPr>
          <w:p w14:paraId="10B20C3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3.6</w:t>
            </w:r>
          </w:p>
        </w:tc>
        <w:tc>
          <w:tcPr>
            <w:tcW w:w="390" w:type="dxa"/>
            <w:shd w:val="clear" w:color="auto" w:fill="FFFFFF"/>
            <w:tcMar>
              <w:top w:w="0" w:type="dxa"/>
              <w:left w:w="0" w:type="dxa"/>
              <w:bottom w:w="0" w:type="dxa"/>
              <w:right w:w="0" w:type="dxa"/>
            </w:tcMar>
            <w:vAlign w:val="center"/>
          </w:tcPr>
          <w:p w14:paraId="0532B43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-7.7</w:t>
            </w:r>
          </w:p>
        </w:tc>
        <w:tc>
          <w:tcPr>
            <w:tcW w:w="420" w:type="dxa"/>
            <w:shd w:val="clear" w:color="auto" w:fill="FFFFFF"/>
            <w:tcMar>
              <w:top w:w="0" w:type="dxa"/>
              <w:left w:w="0" w:type="dxa"/>
              <w:bottom w:w="0" w:type="dxa"/>
              <w:right w:w="0" w:type="dxa"/>
            </w:tcMar>
            <w:vAlign w:val="center"/>
          </w:tcPr>
          <w:p w14:paraId="5AA2C09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1.0</w:t>
            </w:r>
          </w:p>
        </w:tc>
        <w:tc>
          <w:tcPr>
            <w:tcW w:w="435" w:type="dxa"/>
            <w:shd w:val="clear" w:color="auto" w:fill="FFFFFF"/>
            <w:tcMar>
              <w:top w:w="0" w:type="dxa"/>
              <w:left w:w="0" w:type="dxa"/>
              <w:bottom w:w="0" w:type="dxa"/>
              <w:right w:w="0" w:type="dxa"/>
            </w:tcMar>
            <w:vAlign w:val="center"/>
          </w:tcPr>
          <w:p w14:paraId="2DE3702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7.8</w:t>
            </w:r>
          </w:p>
        </w:tc>
        <w:tc>
          <w:tcPr>
            <w:tcW w:w="435" w:type="dxa"/>
            <w:shd w:val="clear" w:color="auto" w:fill="FFFFFF"/>
            <w:tcMar>
              <w:top w:w="0" w:type="dxa"/>
              <w:left w:w="0" w:type="dxa"/>
              <w:bottom w:w="0" w:type="dxa"/>
              <w:right w:w="0" w:type="dxa"/>
            </w:tcMar>
            <w:vAlign w:val="center"/>
          </w:tcPr>
          <w:p w14:paraId="6F8E395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13.1</w:t>
            </w:r>
          </w:p>
        </w:tc>
        <w:tc>
          <w:tcPr>
            <w:tcW w:w="465" w:type="dxa"/>
            <w:shd w:val="clear" w:color="auto" w:fill="FFFFFF"/>
            <w:tcMar>
              <w:top w:w="0" w:type="dxa"/>
              <w:left w:w="0" w:type="dxa"/>
              <w:bottom w:w="0" w:type="dxa"/>
              <w:right w:w="0" w:type="dxa"/>
            </w:tcMar>
            <w:vAlign w:val="center"/>
          </w:tcPr>
          <w:p w14:paraId="3DC93BA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4.1</w:t>
            </w:r>
          </w:p>
        </w:tc>
        <w:tc>
          <w:tcPr>
            <w:tcW w:w="450" w:type="dxa"/>
            <w:shd w:val="clear" w:color="auto" w:fill="FFFFFF"/>
            <w:tcMar>
              <w:top w:w="0" w:type="dxa"/>
              <w:left w:w="0" w:type="dxa"/>
              <w:bottom w:w="0" w:type="dxa"/>
              <w:right w:w="0" w:type="dxa"/>
            </w:tcMar>
            <w:vAlign w:val="center"/>
          </w:tcPr>
          <w:p w14:paraId="1A86825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18.7</w:t>
            </w:r>
          </w:p>
        </w:tc>
        <w:tc>
          <w:tcPr>
            <w:tcW w:w="525" w:type="dxa"/>
            <w:shd w:val="clear" w:color="auto" w:fill="FFFFFF"/>
            <w:tcMar>
              <w:top w:w="0" w:type="dxa"/>
              <w:left w:w="0" w:type="dxa"/>
              <w:bottom w:w="0" w:type="dxa"/>
              <w:right w:w="0" w:type="dxa"/>
            </w:tcMar>
            <w:vAlign w:val="center"/>
          </w:tcPr>
          <w:p w14:paraId="62AD2F2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63.5</w:t>
            </w:r>
          </w:p>
        </w:tc>
        <w:tc>
          <w:tcPr>
            <w:tcW w:w="540" w:type="dxa"/>
            <w:shd w:val="clear" w:color="auto" w:fill="FFFFFF"/>
            <w:tcMar>
              <w:top w:w="0" w:type="dxa"/>
              <w:left w:w="0" w:type="dxa"/>
              <w:bottom w:w="0" w:type="dxa"/>
              <w:right w:w="0" w:type="dxa"/>
            </w:tcMar>
            <w:vAlign w:val="center"/>
          </w:tcPr>
          <w:p w14:paraId="0086FF6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63.5</w:t>
            </w:r>
          </w:p>
        </w:tc>
        <w:tc>
          <w:tcPr>
            <w:tcW w:w="495" w:type="dxa"/>
            <w:shd w:val="clear" w:color="auto" w:fill="FFFFFF"/>
            <w:tcMar>
              <w:top w:w="0" w:type="dxa"/>
              <w:left w:w="0" w:type="dxa"/>
              <w:bottom w:w="0" w:type="dxa"/>
              <w:right w:w="0" w:type="dxa"/>
            </w:tcMar>
            <w:vAlign w:val="center"/>
          </w:tcPr>
          <w:p w14:paraId="7B0BB1F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63.7</w:t>
            </w:r>
          </w:p>
        </w:tc>
        <w:tc>
          <w:tcPr>
            <w:tcW w:w="510" w:type="dxa"/>
            <w:shd w:val="clear" w:color="auto" w:fill="FFFFFF"/>
            <w:tcMar>
              <w:top w:w="0" w:type="dxa"/>
              <w:left w:w="0" w:type="dxa"/>
              <w:bottom w:w="0" w:type="dxa"/>
              <w:right w:w="0" w:type="dxa"/>
            </w:tcMar>
            <w:vAlign w:val="center"/>
          </w:tcPr>
          <w:p w14:paraId="0187525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63.5</w:t>
            </w:r>
          </w:p>
        </w:tc>
        <w:tc>
          <w:tcPr>
            <w:tcW w:w="510" w:type="dxa"/>
            <w:vMerge w:val="continue"/>
            <w:shd w:val="clear" w:color="auto" w:fill="FFFFFF"/>
            <w:tcMar>
              <w:top w:w="0" w:type="dxa"/>
              <w:left w:w="0" w:type="dxa"/>
              <w:bottom w:w="0" w:type="dxa"/>
              <w:right w:w="0" w:type="dxa"/>
            </w:tcMar>
            <w:vAlign w:val="center"/>
          </w:tcPr>
          <w:p w14:paraId="4AFDD95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465" w:type="dxa"/>
            <w:shd w:val="clear" w:color="auto" w:fill="FFFFFF"/>
            <w:tcMar>
              <w:top w:w="0" w:type="dxa"/>
              <w:left w:w="0" w:type="dxa"/>
              <w:bottom w:w="0" w:type="dxa"/>
              <w:right w:w="0" w:type="dxa"/>
            </w:tcMar>
            <w:vAlign w:val="center"/>
          </w:tcPr>
          <w:p w14:paraId="4355925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52E1806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616E53D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079011F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02" w:type="dxa"/>
            <w:shd w:val="clear" w:color="auto" w:fill="FFFFFF"/>
            <w:tcMar>
              <w:top w:w="0" w:type="dxa"/>
              <w:left w:w="0" w:type="dxa"/>
              <w:bottom w:w="0" w:type="dxa"/>
              <w:right w:w="0" w:type="dxa"/>
            </w:tcMar>
            <w:vAlign w:val="center"/>
          </w:tcPr>
          <w:p w14:paraId="2665827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42.5</w:t>
            </w:r>
          </w:p>
        </w:tc>
        <w:tc>
          <w:tcPr>
            <w:tcW w:w="425" w:type="dxa"/>
            <w:shd w:val="clear" w:color="auto" w:fill="FFFFFF"/>
            <w:tcMar>
              <w:top w:w="0" w:type="dxa"/>
              <w:left w:w="0" w:type="dxa"/>
              <w:bottom w:w="0" w:type="dxa"/>
              <w:right w:w="0" w:type="dxa"/>
            </w:tcMar>
            <w:vAlign w:val="center"/>
          </w:tcPr>
          <w:p w14:paraId="6CB4846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42.5</w:t>
            </w:r>
          </w:p>
        </w:tc>
        <w:tc>
          <w:tcPr>
            <w:tcW w:w="435" w:type="dxa"/>
            <w:shd w:val="clear" w:color="auto" w:fill="FFFFFF"/>
            <w:tcMar>
              <w:top w:w="0" w:type="dxa"/>
              <w:left w:w="0" w:type="dxa"/>
              <w:bottom w:w="0" w:type="dxa"/>
              <w:right w:w="0" w:type="dxa"/>
            </w:tcMar>
            <w:vAlign w:val="center"/>
          </w:tcPr>
          <w:p w14:paraId="1551D58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42.7</w:t>
            </w:r>
          </w:p>
        </w:tc>
        <w:tc>
          <w:tcPr>
            <w:tcW w:w="435" w:type="dxa"/>
            <w:shd w:val="clear" w:color="auto" w:fill="FFFFFF"/>
            <w:tcMar>
              <w:top w:w="0" w:type="dxa"/>
              <w:left w:w="0" w:type="dxa"/>
              <w:bottom w:w="0" w:type="dxa"/>
              <w:right w:w="0" w:type="dxa"/>
            </w:tcMar>
            <w:vAlign w:val="center"/>
          </w:tcPr>
          <w:p w14:paraId="3B14360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42.5</w:t>
            </w:r>
          </w:p>
        </w:tc>
        <w:tc>
          <w:tcPr>
            <w:tcW w:w="780" w:type="dxa"/>
            <w:vMerge w:val="continue"/>
            <w:shd w:val="clear" w:color="auto" w:fill="FFFFFF"/>
            <w:tcMar>
              <w:top w:w="0" w:type="dxa"/>
              <w:left w:w="0" w:type="dxa"/>
              <w:bottom w:w="0" w:type="dxa"/>
              <w:right w:w="0" w:type="dxa"/>
            </w:tcMar>
            <w:vAlign w:val="center"/>
          </w:tcPr>
          <w:p w14:paraId="7BFE1C3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r>
      <w:tr w14:paraId="55F8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3" w:hRule="atLeast"/>
          <w:jc w:val="center"/>
        </w:trPr>
        <w:tc>
          <w:tcPr>
            <w:tcW w:w="420" w:type="dxa"/>
            <w:shd w:val="clear" w:color="auto" w:fill="FFFFFF"/>
            <w:tcMar>
              <w:top w:w="0" w:type="dxa"/>
              <w:left w:w="0" w:type="dxa"/>
              <w:bottom w:w="0" w:type="dxa"/>
              <w:right w:w="0" w:type="dxa"/>
            </w:tcMar>
            <w:vAlign w:val="center"/>
          </w:tcPr>
          <w:p w14:paraId="11F0ACD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15</w:t>
            </w:r>
          </w:p>
        </w:tc>
        <w:tc>
          <w:tcPr>
            <w:tcW w:w="514" w:type="dxa"/>
            <w:vMerge w:val="continue"/>
            <w:shd w:val="clear" w:color="auto" w:fill="FFFFFF"/>
            <w:tcMar>
              <w:top w:w="0" w:type="dxa"/>
              <w:left w:w="0" w:type="dxa"/>
              <w:bottom w:w="0" w:type="dxa"/>
              <w:right w:w="0" w:type="dxa"/>
            </w:tcMar>
            <w:vAlign w:val="center"/>
          </w:tcPr>
          <w:p w14:paraId="6A8793B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c>
          <w:tcPr>
            <w:tcW w:w="825" w:type="dxa"/>
            <w:shd w:val="clear" w:color="auto" w:fill="FFFFFF"/>
            <w:tcMar>
              <w:top w:w="0" w:type="dxa"/>
              <w:left w:w="0" w:type="dxa"/>
              <w:bottom w:w="0" w:type="dxa"/>
              <w:right w:w="0" w:type="dxa"/>
            </w:tcMar>
            <w:vAlign w:val="center"/>
          </w:tcPr>
          <w:p w14:paraId="468CA03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加热挤出机</w:t>
            </w:r>
          </w:p>
        </w:tc>
        <w:tc>
          <w:tcPr>
            <w:tcW w:w="840" w:type="dxa"/>
            <w:shd w:val="clear" w:color="auto" w:fill="FFFFFF"/>
            <w:tcMar>
              <w:top w:w="0" w:type="dxa"/>
              <w:left w:w="0" w:type="dxa"/>
              <w:bottom w:w="0" w:type="dxa"/>
              <w:right w:w="0" w:type="dxa"/>
            </w:tcMar>
            <w:vAlign w:val="center"/>
          </w:tcPr>
          <w:p w14:paraId="2764DBF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75</w:t>
            </w:r>
          </w:p>
        </w:tc>
        <w:tc>
          <w:tcPr>
            <w:tcW w:w="675" w:type="dxa"/>
            <w:vMerge w:val="continue"/>
            <w:shd w:val="clear" w:color="auto" w:fill="FFFFFF"/>
            <w:tcMar>
              <w:top w:w="0" w:type="dxa"/>
              <w:left w:w="0" w:type="dxa"/>
              <w:bottom w:w="0" w:type="dxa"/>
              <w:right w:w="0" w:type="dxa"/>
            </w:tcMar>
            <w:vAlign w:val="center"/>
          </w:tcPr>
          <w:p w14:paraId="2962F2C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510" w:type="dxa"/>
            <w:shd w:val="clear" w:color="auto" w:fill="FFFFFF"/>
            <w:tcMar>
              <w:top w:w="0" w:type="dxa"/>
              <w:left w:w="0" w:type="dxa"/>
              <w:bottom w:w="0" w:type="dxa"/>
              <w:right w:w="0" w:type="dxa"/>
            </w:tcMar>
            <w:vAlign w:val="center"/>
          </w:tcPr>
          <w:p w14:paraId="09FB06F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3.4</w:t>
            </w:r>
          </w:p>
        </w:tc>
        <w:tc>
          <w:tcPr>
            <w:tcW w:w="390" w:type="dxa"/>
            <w:shd w:val="clear" w:color="auto" w:fill="FFFFFF"/>
            <w:tcMar>
              <w:top w:w="0" w:type="dxa"/>
              <w:left w:w="0" w:type="dxa"/>
              <w:bottom w:w="0" w:type="dxa"/>
              <w:right w:w="0" w:type="dxa"/>
            </w:tcMar>
            <w:vAlign w:val="center"/>
          </w:tcPr>
          <w:p w14:paraId="1E926D7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-10.1</w:t>
            </w:r>
          </w:p>
        </w:tc>
        <w:tc>
          <w:tcPr>
            <w:tcW w:w="420" w:type="dxa"/>
            <w:shd w:val="clear" w:color="auto" w:fill="FFFFFF"/>
            <w:tcMar>
              <w:top w:w="0" w:type="dxa"/>
              <w:left w:w="0" w:type="dxa"/>
              <w:bottom w:w="0" w:type="dxa"/>
              <w:right w:w="0" w:type="dxa"/>
            </w:tcMar>
            <w:vAlign w:val="center"/>
          </w:tcPr>
          <w:p w14:paraId="1FA1557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1.0</w:t>
            </w:r>
          </w:p>
        </w:tc>
        <w:tc>
          <w:tcPr>
            <w:tcW w:w="435" w:type="dxa"/>
            <w:shd w:val="clear" w:color="auto" w:fill="FFFFFF"/>
            <w:tcMar>
              <w:top w:w="0" w:type="dxa"/>
              <w:left w:w="0" w:type="dxa"/>
              <w:bottom w:w="0" w:type="dxa"/>
              <w:right w:w="0" w:type="dxa"/>
            </w:tcMar>
            <w:vAlign w:val="center"/>
          </w:tcPr>
          <w:p w14:paraId="2409E3A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7.7</w:t>
            </w:r>
          </w:p>
        </w:tc>
        <w:tc>
          <w:tcPr>
            <w:tcW w:w="435" w:type="dxa"/>
            <w:shd w:val="clear" w:color="auto" w:fill="FFFFFF"/>
            <w:tcMar>
              <w:top w:w="0" w:type="dxa"/>
              <w:left w:w="0" w:type="dxa"/>
              <w:bottom w:w="0" w:type="dxa"/>
              <w:right w:w="0" w:type="dxa"/>
            </w:tcMar>
            <w:vAlign w:val="center"/>
          </w:tcPr>
          <w:p w14:paraId="5F36EE5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10.7</w:t>
            </w:r>
          </w:p>
        </w:tc>
        <w:tc>
          <w:tcPr>
            <w:tcW w:w="465" w:type="dxa"/>
            <w:shd w:val="clear" w:color="auto" w:fill="FFFFFF"/>
            <w:tcMar>
              <w:top w:w="0" w:type="dxa"/>
              <w:left w:w="0" w:type="dxa"/>
              <w:bottom w:w="0" w:type="dxa"/>
              <w:right w:w="0" w:type="dxa"/>
            </w:tcMar>
            <w:vAlign w:val="center"/>
          </w:tcPr>
          <w:p w14:paraId="7400F00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6.5</w:t>
            </w:r>
          </w:p>
        </w:tc>
        <w:tc>
          <w:tcPr>
            <w:tcW w:w="450" w:type="dxa"/>
            <w:shd w:val="clear" w:color="auto" w:fill="FFFFFF"/>
            <w:tcMar>
              <w:top w:w="0" w:type="dxa"/>
              <w:left w:w="0" w:type="dxa"/>
              <w:bottom w:w="0" w:type="dxa"/>
              <w:right w:w="0" w:type="dxa"/>
            </w:tcMar>
            <w:vAlign w:val="center"/>
          </w:tcPr>
          <w:p w14:paraId="4A65E9B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18.6</w:t>
            </w:r>
          </w:p>
        </w:tc>
        <w:tc>
          <w:tcPr>
            <w:tcW w:w="525" w:type="dxa"/>
            <w:shd w:val="clear" w:color="auto" w:fill="FFFFFF"/>
            <w:tcMar>
              <w:top w:w="0" w:type="dxa"/>
              <w:left w:w="0" w:type="dxa"/>
              <w:bottom w:w="0" w:type="dxa"/>
              <w:right w:w="0" w:type="dxa"/>
            </w:tcMar>
            <w:vAlign w:val="center"/>
          </w:tcPr>
          <w:p w14:paraId="7BBC08B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63.5</w:t>
            </w:r>
          </w:p>
        </w:tc>
        <w:tc>
          <w:tcPr>
            <w:tcW w:w="540" w:type="dxa"/>
            <w:shd w:val="clear" w:color="auto" w:fill="FFFFFF"/>
            <w:tcMar>
              <w:top w:w="0" w:type="dxa"/>
              <w:left w:w="0" w:type="dxa"/>
              <w:bottom w:w="0" w:type="dxa"/>
              <w:right w:w="0" w:type="dxa"/>
            </w:tcMar>
            <w:vAlign w:val="center"/>
          </w:tcPr>
          <w:p w14:paraId="2F4BF5E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63.5</w:t>
            </w:r>
          </w:p>
        </w:tc>
        <w:tc>
          <w:tcPr>
            <w:tcW w:w="495" w:type="dxa"/>
            <w:shd w:val="clear" w:color="auto" w:fill="FFFFFF"/>
            <w:tcMar>
              <w:top w:w="0" w:type="dxa"/>
              <w:left w:w="0" w:type="dxa"/>
              <w:bottom w:w="0" w:type="dxa"/>
              <w:right w:w="0" w:type="dxa"/>
            </w:tcMar>
            <w:vAlign w:val="center"/>
          </w:tcPr>
          <w:p w14:paraId="0E21005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63.6</w:t>
            </w:r>
          </w:p>
        </w:tc>
        <w:tc>
          <w:tcPr>
            <w:tcW w:w="510" w:type="dxa"/>
            <w:shd w:val="clear" w:color="auto" w:fill="FFFFFF"/>
            <w:tcMar>
              <w:top w:w="0" w:type="dxa"/>
              <w:left w:w="0" w:type="dxa"/>
              <w:bottom w:w="0" w:type="dxa"/>
              <w:right w:w="0" w:type="dxa"/>
            </w:tcMar>
            <w:vAlign w:val="center"/>
          </w:tcPr>
          <w:p w14:paraId="46C0EAB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63.5</w:t>
            </w:r>
          </w:p>
        </w:tc>
        <w:tc>
          <w:tcPr>
            <w:tcW w:w="510" w:type="dxa"/>
            <w:vMerge w:val="continue"/>
            <w:shd w:val="clear" w:color="auto" w:fill="FFFFFF"/>
            <w:tcMar>
              <w:top w:w="0" w:type="dxa"/>
              <w:left w:w="0" w:type="dxa"/>
              <w:bottom w:w="0" w:type="dxa"/>
              <w:right w:w="0" w:type="dxa"/>
            </w:tcMar>
            <w:vAlign w:val="center"/>
          </w:tcPr>
          <w:p w14:paraId="5C4B5B6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465" w:type="dxa"/>
            <w:shd w:val="clear" w:color="auto" w:fill="FFFFFF"/>
            <w:tcMar>
              <w:top w:w="0" w:type="dxa"/>
              <w:left w:w="0" w:type="dxa"/>
              <w:bottom w:w="0" w:type="dxa"/>
              <w:right w:w="0" w:type="dxa"/>
            </w:tcMar>
            <w:vAlign w:val="center"/>
          </w:tcPr>
          <w:p w14:paraId="7F8E8C8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770D5D5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6615C0D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205558B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02" w:type="dxa"/>
            <w:shd w:val="clear" w:color="auto" w:fill="FFFFFF"/>
            <w:tcMar>
              <w:top w:w="0" w:type="dxa"/>
              <w:left w:w="0" w:type="dxa"/>
              <w:bottom w:w="0" w:type="dxa"/>
              <w:right w:w="0" w:type="dxa"/>
            </w:tcMar>
            <w:vAlign w:val="center"/>
          </w:tcPr>
          <w:p w14:paraId="56A27B1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42.5</w:t>
            </w:r>
          </w:p>
        </w:tc>
        <w:tc>
          <w:tcPr>
            <w:tcW w:w="425" w:type="dxa"/>
            <w:shd w:val="clear" w:color="auto" w:fill="FFFFFF"/>
            <w:tcMar>
              <w:top w:w="0" w:type="dxa"/>
              <w:left w:w="0" w:type="dxa"/>
              <w:bottom w:w="0" w:type="dxa"/>
              <w:right w:w="0" w:type="dxa"/>
            </w:tcMar>
            <w:vAlign w:val="center"/>
          </w:tcPr>
          <w:p w14:paraId="2987195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42.5</w:t>
            </w:r>
          </w:p>
        </w:tc>
        <w:tc>
          <w:tcPr>
            <w:tcW w:w="435" w:type="dxa"/>
            <w:shd w:val="clear" w:color="auto" w:fill="FFFFFF"/>
            <w:tcMar>
              <w:top w:w="0" w:type="dxa"/>
              <w:left w:w="0" w:type="dxa"/>
              <w:bottom w:w="0" w:type="dxa"/>
              <w:right w:w="0" w:type="dxa"/>
            </w:tcMar>
            <w:vAlign w:val="center"/>
          </w:tcPr>
          <w:p w14:paraId="0F25BB9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42.6</w:t>
            </w:r>
          </w:p>
        </w:tc>
        <w:tc>
          <w:tcPr>
            <w:tcW w:w="435" w:type="dxa"/>
            <w:shd w:val="clear" w:color="auto" w:fill="FFFFFF"/>
            <w:tcMar>
              <w:top w:w="0" w:type="dxa"/>
              <w:left w:w="0" w:type="dxa"/>
              <w:bottom w:w="0" w:type="dxa"/>
              <w:right w:w="0" w:type="dxa"/>
            </w:tcMar>
            <w:vAlign w:val="center"/>
          </w:tcPr>
          <w:p w14:paraId="43ED361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42.5</w:t>
            </w:r>
          </w:p>
        </w:tc>
        <w:tc>
          <w:tcPr>
            <w:tcW w:w="780" w:type="dxa"/>
            <w:vMerge w:val="continue"/>
            <w:shd w:val="clear" w:color="auto" w:fill="FFFFFF"/>
            <w:tcMar>
              <w:top w:w="0" w:type="dxa"/>
              <w:left w:w="0" w:type="dxa"/>
              <w:bottom w:w="0" w:type="dxa"/>
              <w:right w:w="0" w:type="dxa"/>
            </w:tcMar>
            <w:vAlign w:val="center"/>
          </w:tcPr>
          <w:p w14:paraId="6B64731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r>
      <w:tr w14:paraId="535E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3" w:hRule="atLeast"/>
          <w:jc w:val="center"/>
        </w:trPr>
        <w:tc>
          <w:tcPr>
            <w:tcW w:w="420" w:type="dxa"/>
            <w:shd w:val="clear" w:color="auto" w:fill="FFFFFF"/>
            <w:tcMar>
              <w:top w:w="0" w:type="dxa"/>
              <w:left w:w="0" w:type="dxa"/>
              <w:bottom w:w="0" w:type="dxa"/>
              <w:right w:w="0" w:type="dxa"/>
            </w:tcMar>
            <w:vAlign w:val="center"/>
          </w:tcPr>
          <w:p w14:paraId="6ED50E4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16</w:t>
            </w:r>
          </w:p>
        </w:tc>
        <w:tc>
          <w:tcPr>
            <w:tcW w:w="514" w:type="dxa"/>
            <w:vMerge w:val="continue"/>
            <w:shd w:val="clear" w:color="auto" w:fill="FFFFFF"/>
            <w:tcMar>
              <w:top w:w="0" w:type="dxa"/>
              <w:left w:w="0" w:type="dxa"/>
              <w:bottom w:w="0" w:type="dxa"/>
              <w:right w:w="0" w:type="dxa"/>
            </w:tcMar>
            <w:vAlign w:val="center"/>
          </w:tcPr>
          <w:p w14:paraId="0C3F18D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c>
          <w:tcPr>
            <w:tcW w:w="825" w:type="dxa"/>
            <w:shd w:val="clear" w:color="auto" w:fill="FFFFFF"/>
            <w:tcMar>
              <w:top w:w="0" w:type="dxa"/>
              <w:left w:w="0" w:type="dxa"/>
              <w:bottom w:w="0" w:type="dxa"/>
              <w:right w:w="0" w:type="dxa"/>
            </w:tcMar>
            <w:vAlign w:val="center"/>
          </w:tcPr>
          <w:p w14:paraId="3C6C799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加热挤出机</w:t>
            </w:r>
          </w:p>
        </w:tc>
        <w:tc>
          <w:tcPr>
            <w:tcW w:w="840" w:type="dxa"/>
            <w:shd w:val="clear" w:color="auto" w:fill="FFFFFF"/>
            <w:tcMar>
              <w:top w:w="0" w:type="dxa"/>
              <w:left w:w="0" w:type="dxa"/>
              <w:bottom w:w="0" w:type="dxa"/>
              <w:right w:w="0" w:type="dxa"/>
            </w:tcMar>
            <w:vAlign w:val="center"/>
          </w:tcPr>
          <w:p w14:paraId="4DF57A5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75</w:t>
            </w:r>
          </w:p>
        </w:tc>
        <w:tc>
          <w:tcPr>
            <w:tcW w:w="675" w:type="dxa"/>
            <w:vMerge w:val="continue"/>
            <w:shd w:val="clear" w:color="auto" w:fill="FFFFFF"/>
            <w:tcMar>
              <w:top w:w="0" w:type="dxa"/>
              <w:left w:w="0" w:type="dxa"/>
              <w:bottom w:w="0" w:type="dxa"/>
              <w:right w:w="0" w:type="dxa"/>
            </w:tcMar>
            <w:vAlign w:val="center"/>
          </w:tcPr>
          <w:p w14:paraId="7CF26BC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510" w:type="dxa"/>
            <w:shd w:val="clear" w:color="auto" w:fill="FFFFFF"/>
            <w:tcMar>
              <w:top w:w="0" w:type="dxa"/>
              <w:left w:w="0" w:type="dxa"/>
              <w:bottom w:w="0" w:type="dxa"/>
              <w:right w:w="0" w:type="dxa"/>
            </w:tcMar>
            <w:vAlign w:val="center"/>
          </w:tcPr>
          <w:p w14:paraId="27F0858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3.1</w:t>
            </w:r>
          </w:p>
        </w:tc>
        <w:tc>
          <w:tcPr>
            <w:tcW w:w="390" w:type="dxa"/>
            <w:shd w:val="clear" w:color="auto" w:fill="FFFFFF"/>
            <w:tcMar>
              <w:top w:w="0" w:type="dxa"/>
              <w:left w:w="0" w:type="dxa"/>
              <w:bottom w:w="0" w:type="dxa"/>
              <w:right w:w="0" w:type="dxa"/>
            </w:tcMar>
            <w:vAlign w:val="center"/>
          </w:tcPr>
          <w:p w14:paraId="1484B0A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-12.1</w:t>
            </w:r>
          </w:p>
        </w:tc>
        <w:tc>
          <w:tcPr>
            <w:tcW w:w="420" w:type="dxa"/>
            <w:shd w:val="clear" w:color="auto" w:fill="FFFFFF"/>
            <w:tcMar>
              <w:top w:w="0" w:type="dxa"/>
              <w:left w:w="0" w:type="dxa"/>
              <w:bottom w:w="0" w:type="dxa"/>
              <w:right w:w="0" w:type="dxa"/>
            </w:tcMar>
            <w:vAlign w:val="center"/>
          </w:tcPr>
          <w:p w14:paraId="4E4880C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1.0</w:t>
            </w:r>
          </w:p>
        </w:tc>
        <w:tc>
          <w:tcPr>
            <w:tcW w:w="435" w:type="dxa"/>
            <w:shd w:val="clear" w:color="auto" w:fill="FFFFFF"/>
            <w:tcMar>
              <w:top w:w="0" w:type="dxa"/>
              <w:left w:w="0" w:type="dxa"/>
              <w:bottom w:w="0" w:type="dxa"/>
              <w:right w:w="0" w:type="dxa"/>
            </w:tcMar>
            <w:vAlign w:val="center"/>
          </w:tcPr>
          <w:p w14:paraId="68DC841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7.7</w:t>
            </w:r>
          </w:p>
        </w:tc>
        <w:tc>
          <w:tcPr>
            <w:tcW w:w="435" w:type="dxa"/>
            <w:shd w:val="clear" w:color="auto" w:fill="FFFFFF"/>
            <w:tcMar>
              <w:top w:w="0" w:type="dxa"/>
              <w:left w:w="0" w:type="dxa"/>
              <w:bottom w:w="0" w:type="dxa"/>
              <w:right w:w="0" w:type="dxa"/>
            </w:tcMar>
            <w:vAlign w:val="center"/>
          </w:tcPr>
          <w:p w14:paraId="7637172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8.6</w:t>
            </w:r>
          </w:p>
        </w:tc>
        <w:tc>
          <w:tcPr>
            <w:tcW w:w="465" w:type="dxa"/>
            <w:shd w:val="clear" w:color="auto" w:fill="FFFFFF"/>
            <w:tcMar>
              <w:top w:w="0" w:type="dxa"/>
              <w:left w:w="0" w:type="dxa"/>
              <w:bottom w:w="0" w:type="dxa"/>
              <w:right w:w="0" w:type="dxa"/>
            </w:tcMar>
            <w:vAlign w:val="center"/>
          </w:tcPr>
          <w:p w14:paraId="642A0F3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8.5</w:t>
            </w:r>
          </w:p>
        </w:tc>
        <w:tc>
          <w:tcPr>
            <w:tcW w:w="450" w:type="dxa"/>
            <w:shd w:val="clear" w:color="auto" w:fill="FFFFFF"/>
            <w:tcMar>
              <w:top w:w="0" w:type="dxa"/>
              <w:left w:w="0" w:type="dxa"/>
              <w:bottom w:w="0" w:type="dxa"/>
              <w:right w:w="0" w:type="dxa"/>
            </w:tcMar>
            <w:vAlign w:val="center"/>
          </w:tcPr>
          <w:p w14:paraId="20043B1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18.7</w:t>
            </w:r>
          </w:p>
        </w:tc>
        <w:tc>
          <w:tcPr>
            <w:tcW w:w="525" w:type="dxa"/>
            <w:shd w:val="clear" w:color="auto" w:fill="FFFFFF"/>
            <w:tcMar>
              <w:top w:w="0" w:type="dxa"/>
              <w:left w:w="0" w:type="dxa"/>
              <w:bottom w:w="0" w:type="dxa"/>
              <w:right w:w="0" w:type="dxa"/>
            </w:tcMar>
            <w:vAlign w:val="center"/>
          </w:tcPr>
          <w:p w14:paraId="0F6740D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63.5</w:t>
            </w:r>
          </w:p>
        </w:tc>
        <w:tc>
          <w:tcPr>
            <w:tcW w:w="540" w:type="dxa"/>
            <w:shd w:val="clear" w:color="auto" w:fill="FFFFFF"/>
            <w:tcMar>
              <w:top w:w="0" w:type="dxa"/>
              <w:left w:w="0" w:type="dxa"/>
              <w:bottom w:w="0" w:type="dxa"/>
              <w:right w:w="0" w:type="dxa"/>
            </w:tcMar>
            <w:vAlign w:val="center"/>
          </w:tcPr>
          <w:p w14:paraId="60F5624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63.5</w:t>
            </w:r>
          </w:p>
        </w:tc>
        <w:tc>
          <w:tcPr>
            <w:tcW w:w="495" w:type="dxa"/>
            <w:shd w:val="clear" w:color="auto" w:fill="FFFFFF"/>
            <w:tcMar>
              <w:top w:w="0" w:type="dxa"/>
              <w:left w:w="0" w:type="dxa"/>
              <w:bottom w:w="0" w:type="dxa"/>
              <w:right w:w="0" w:type="dxa"/>
            </w:tcMar>
            <w:vAlign w:val="center"/>
          </w:tcPr>
          <w:p w14:paraId="796CB66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63.5</w:t>
            </w:r>
          </w:p>
        </w:tc>
        <w:tc>
          <w:tcPr>
            <w:tcW w:w="510" w:type="dxa"/>
            <w:shd w:val="clear" w:color="auto" w:fill="FFFFFF"/>
            <w:tcMar>
              <w:top w:w="0" w:type="dxa"/>
              <w:left w:w="0" w:type="dxa"/>
              <w:bottom w:w="0" w:type="dxa"/>
              <w:right w:w="0" w:type="dxa"/>
            </w:tcMar>
            <w:vAlign w:val="center"/>
          </w:tcPr>
          <w:p w14:paraId="5EFA264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63.5</w:t>
            </w:r>
          </w:p>
        </w:tc>
        <w:tc>
          <w:tcPr>
            <w:tcW w:w="510" w:type="dxa"/>
            <w:vMerge w:val="continue"/>
            <w:shd w:val="clear" w:color="auto" w:fill="FFFFFF"/>
            <w:tcMar>
              <w:top w:w="0" w:type="dxa"/>
              <w:left w:w="0" w:type="dxa"/>
              <w:bottom w:w="0" w:type="dxa"/>
              <w:right w:w="0" w:type="dxa"/>
            </w:tcMar>
            <w:vAlign w:val="center"/>
          </w:tcPr>
          <w:p w14:paraId="091C912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465" w:type="dxa"/>
            <w:shd w:val="clear" w:color="auto" w:fill="FFFFFF"/>
            <w:tcMar>
              <w:top w:w="0" w:type="dxa"/>
              <w:left w:w="0" w:type="dxa"/>
              <w:bottom w:w="0" w:type="dxa"/>
              <w:right w:w="0" w:type="dxa"/>
            </w:tcMar>
            <w:vAlign w:val="center"/>
          </w:tcPr>
          <w:p w14:paraId="0622298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4E0A301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7899516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3F9B4B4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02" w:type="dxa"/>
            <w:shd w:val="clear" w:color="auto" w:fill="FFFFFF"/>
            <w:tcMar>
              <w:top w:w="0" w:type="dxa"/>
              <w:left w:w="0" w:type="dxa"/>
              <w:bottom w:w="0" w:type="dxa"/>
              <w:right w:w="0" w:type="dxa"/>
            </w:tcMar>
            <w:vAlign w:val="center"/>
          </w:tcPr>
          <w:p w14:paraId="436C161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42.5</w:t>
            </w:r>
          </w:p>
        </w:tc>
        <w:tc>
          <w:tcPr>
            <w:tcW w:w="425" w:type="dxa"/>
            <w:shd w:val="clear" w:color="auto" w:fill="FFFFFF"/>
            <w:tcMar>
              <w:top w:w="0" w:type="dxa"/>
              <w:left w:w="0" w:type="dxa"/>
              <w:bottom w:w="0" w:type="dxa"/>
              <w:right w:w="0" w:type="dxa"/>
            </w:tcMar>
            <w:vAlign w:val="center"/>
          </w:tcPr>
          <w:p w14:paraId="55F3DB6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42.5</w:t>
            </w:r>
          </w:p>
        </w:tc>
        <w:tc>
          <w:tcPr>
            <w:tcW w:w="435" w:type="dxa"/>
            <w:shd w:val="clear" w:color="auto" w:fill="FFFFFF"/>
            <w:tcMar>
              <w:top w:w="0" w:type="dxa"/>
              <w:left w:w="0" w:type="dxa"/>
              <w:bottom w:w="0" w:type="dxa"/>
              <w:right w:w="0" w:type="dxa"/>
            </w:tcMar>
            <w:vAlign w:val="center"/>
          </w:tcPr>
          <w:p w14:paraId="7F99B22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42.5</w:t>
            </w:r>
          </w:p>
        </w:tc>
        <w:tc>
          <w:tcPr>
            <w:tcW w:w="435" w:type="dxa"/>
            <w:shd w:val="clear" w:color="auto" w:fill="FFFFFF"/>
            <w:tcMar>
              <w:top w:w="0" w:type="dxa"/>
              <w:left w:w="0" w:type="dxa"/>
              <w:bottom w:w="0" w:type="dxa"/>
              <w:right w:w="0" w:type="dxa"/>
            </w:tcMar>
            <w:vAlign w:val="center"/>
          </w:tcPr>
          <w:p w14:paraId="7BC0908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42.5</w:t>
            </w:r>
          </w:p>
        </w:tc>
        <w:tc>
          <w:tcPr>
            <w:tcW w:w="780" w:type="dxa"/>
            <w:vMerge w:val="continue"/>
            <w:shd w:val="clear" w:color="auto" w:fill="FFFFFF"/>
            <w:tcMar>
              <w:top w:w="0" w:type="dxa"/>
              <w:left w:w="0" w:type="dxa"/>
              <w:bottom w:w="0" w:type="dxa"/>
              <w:right w:w="0" w:type="dxa"/>
            </w:tcMar>
            <w:vAlign w:val="center"/>
          </w:tcPr>
          <w:p w14:paraId="3833D8D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r>
      <w:tr w14:paraId="7F50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3" w:hRule="atLeast"/>
          <w:jc w:val="center"/>
        </w:trPr>
        <w:tc>
          <w:tcPr>
            <w:tcW w:w="420" w:type="dxa"/>
            <w:shd w:val="clear" w:color="auto" w:fill="FFFFFF"/>
            <w:tcMar>
              <w:top w:w="0" w:type="dxa"/>
              <w:left w:w="0" w:type="dxa"/>
              <w:bottom w:w="0" w:type="dxa"/>
              <w:right w:w="0" w:type="dxa"/>
            </w:tcMar>
            <w:vAlign w:val="center"/>
          </w:tcPr>
          <w:p w14:paraId="381FFF5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17</w:t>
            </w:r>
          </w:p>
        </w:tc>
        <w:tc>
          <w:tcPr>
            <w:tcW w:w="514" w:type="dxa"/>
            <w:vMerge w:val="continue"/>
            <w:shd w:val="clear" w:color="auto" w:fill="FFFFFF"/>
            <w:tcMar>
              <w:top w:w="0" w:type="dxa"/>
              <w:left w:w="0" w:type="dxa"/>
              <w:bottom w:w="0" w:type="dxa"/>
              <w:right w:w="0" w:type="dxa"/>
            </w:tcMar>
            <w:vAlign w:val="center"/>
          </w:tcPr>
          <w:p w14:paraId="7DF86F6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c>
          <w:tcPr>
            <w:tcW w:w="825" w:type="dxa"/>
            <w:shd w:val="clear" w:color="auto" w:fill="FFFFFF"/>
            <w:tcMar>
              <w:top w:w="0" w:type="dxa"/>
              <w:left w:w="0" w:type="dxa"/>
              <w:bottom w:w="0" w:type="dxa"/>
              <w:right w:w="0" w:type="dxa"/>
            </w:tcMar>
            <w:vAlign w:val="center"/>
          </w:tcPr>
          <w:p w14:paraId="635D9A7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拌料机</w:t>
            </w:r>
          </w:p>
        </w:tc>
        <w:tc>
          <w:tcPr>
            <w:tcW w:w="840" w:type="dxa"/>
            <w:shd w:val="clear" w:color="auto" w:fill="FFFFFF"/>
            <w:tcMar>
              <w:top w:w="0" w:type="dxa"/>
              <w:left w:w="0" w:type="dxa"/>
              <w:bottom w:w="0" w:type="dxa"/>
              <w:right w:w="0" w:type="dxa"/>
            </w:tcMar>
            <w:vAlign w:val="center"/>
          </w:tcPr>
          <w:p w14:paraId="4E3C6DC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70</w:t>
            </w:r>
          </w:p>
        </w:tc>
        <w:tc>
          <w:tcPr>
            <w:tcW w:w="675" w:type="dxa"/>
            <w:vMerge w:val="continue"/>
            <w:shd w:val="clear" w:color="auto" w:fill="FFFFFF"/>
            <w:tcMar>
              <w:top w:w="0" w:type="dxa"/>
              <w:left w:w="0" w:type="dxa"/>
              <w:bottom w:w="0" w:type="dxa"/>
              <w:right w:w="0" w:type="dxa"/>
            </w:tcMar>
            <w:vAlign w:val="center"/>
          </w:tcPr>
          <w:p w14:paraId="3C76287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510" w:type="dxa"/>
            <w:shd w:val="clear" w:color="auto" w:fill="FFFFFF"/>
            <w:tcMar>
              <w:top w:w="0" w:type="dxa"/>
              <w:left w:w="0" w:type="dxa"/>
              <w:bottom w:w="0" w:type="dxa"/>
              <w:right w:w="0" w:type="dxa"/>
            </w:tcMar>
            <w:vAlign w:val="center"/>
          </w:tcPr>
          <w:p w14:paraId="0C65AEB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0</w:t>
            </w:r>
          </w:p>
        </w:tc>
        <w:tc>
          <w:tcPr>
            <w:tcW w:w="390" w:type="dxa"/>
            <w:shd w:val="clear" w:color="auto" w:fill="FFFFFF"/>
            <w:tcMar>
              <w:top w:w="0" w:type="dxa"/>
              <w:left w:w="0" w:type="dxa"/>
              <w:bottom w:w="0" w:type="dxa"/>
              <w:right w:w="0" w:type="dxa"/>
            </w:tcMar>
            <w:vAlign w:val="center"/>
          </w:tcPr>
          <w:p w14:paraId="24F8DAA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-7.7</w:t>
            </w:r>
          </w:p>
        </w:tc>
        <w:tc>
          <w:tcPr>
            <w:tcW w:w="420" w:type="dxa"/>
            <w:shd w:val="clear" w:color="auto" w:fill="FFFFFF"/>
            <w:tcMar>
              <w:top w:w="0" w:type="dxa"/>
              <w:left w:w="0" w:type="dxa"/>
              <w:bottom w:w="0" w:type="dxa"/>
              <w:right w:w="0" w:type="dxa"/>
            </w:tcMar>
            <w:vAlign w:val="center"/>
          </w:tcPr>
          <w:p w14:paraId="6A8D9D4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0.8</w:t>
            </w:r>
          </w:p>
        </w:tc>
        <w:tc>
          <w:tcPr>
            <w:tcW w:w="435" w:type="dxa"/>
            <w:shd w:val="clear" w:color="auto" w:fill="FFFFFF"/>
            <w:tcMar>
              <w:top w:w="0" w:type="dxa"/>
              <w:left w:w="0" w:type="dxa"/>
              <w:bottom w:w="0" w:type="dxa"/>
              <w:right w:w="0" w:type="dxa"/>
            </w:tcMar>
            <w:vAlign w:val="center"/>
          </w:tcPr>
          <w:p w14:paraId="664ACEB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11.4</w:t>
            </w:r>
          </w:p>
        </w:tc>
        <w:tc>
          <w:tcPr>
            <w:tcW w:w="435" w:type="dxa"/>
            <w:shd w:val="clear" w:color="auto" w:fill="FFFFFF"/>
            <w:tcMar>
              <w:top w:w="0" w:type="dxa"/>
              <w:left w:w="0" w:type="dxa"/>
              <w:bottom w:w="0" w:type="dxa"/>
              <w:right w:w="0" w:type="dxa"/>
            </w:tcMar>
            <w:vAlign w:val="center"/>
          </w:tcPr>
          <w:p w14:paraId="7D17CB0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12.7</w:t>
            </w:r>
          </w:p>
        </w:tc>
        <w:tc>
          <w:tcPr>
            <w:tcW w:w="465" w:type="dxa"/>
            <w:shd w:val="clear" w:color="auto" w:fill="FFFFFF"/>
            <w:tcMar>
              <w:top w:w="0" w:type="dxa"/>
              <w:left w:w="0" w:type="dxa"/>
              <w:bottom w:w="0" w:type="dxa"/>
              <w:right w:w="0" w:type="dxa"/>
            </w:tcMar>
            <w:vAlign w:val="center"/>
          </w:tcPr>
          <w:p w14:paraId="6353E0D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4.3</w:t>
            </w:r>
          </w:p>
        </w:tc>
        <w:tc>
          <w:tcPr>
            <w:tcW w:w="450" w:type="dxa"/>
            <w:shd w:val="clear" w:color="auto" w:fill="FFFFFF"/>
            <w:tcMar>
              <w:top w:w="0" w:type="dxa"/>
              <w:left w:w="0" w:type="dxa"/>
              <w:bottom w:w="0" w:type="dxa"/>
              <w:right w:w="0" w:type="dxa"/>
            </w:tcMar>
            <w:vAlign w:val="center"/>
          </w:tcPr>
          <w:p w14:paraId="616944D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22.2</w:t>
            </w:r>
          </w:p>
        </w:tc>
        <w:tc>
          <w:tcPr>
            <w:tcW w:w="525" w:type="dxa"/>
            <w:shd w:val="clear" w:color="auto" w:fill="FFFFFF"/>
            <w:tcMar>
              <w:top w:w="0" w:type="dxa"/>
              <w:left w:w="0" w:type="dxa"/>
              <w:bottom w:w="0" w:type="dxa"/>
              <w:right w:w="0" w:type="dxa"/>
            </w:tcMar>
            <w:vAlign w:val="center"/>
          </w:tcPr>
          <w:p w14:paraId="7C83386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540" w:type="dxa"/>
            <w:shd w:val="clear" w:color="auto" w:fill="FFFFFF"/>
            <w:tcMar>
              <w:top w:w="0" w:type="dxa"/>
              <w:left w:w="0" w:type="dxa"/>
              <w:bottom w:w="0" w:type="dxa"/>
              <w:right w:w="0" w:type="dxa"/>
            </w:tcMar>
            <w:vAlign w:val="center"/>
          </w:tcPr>
          <w:p w14:paraId="168F782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495" w:type="dxa"/>
            <w:shd w:val="clear" w:color="auto" w:fill="FFFFFF"/>
            <w:tcMar>
              <w:top w:w="0" w:type="dxa"/>
              <w:left w:w="0" w:type="dxa"/>
              <w:bottom w:w="0" w:type="dxa"/>
              <w:right w:w="0" w:type="dxa"/>
            </w:tcMar>
            <w:vAlign w:val="center"/>
          </w:tcPr>
          <w:p w14:paraId="09C09E4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58.7</w:t>
            </w:r>
          </w:p>
        </w:tc>
        <w:tc>
          <w:tcPr>
            <w:tcW w:w="510" w:type="dxa"/>
            <w:shd w:val="clear" w:color="auto" w:fill="FFFFFF"/>
            <w:tcMar>
              <w:top w:w="0" w:type="dxa"/>
              <w:left w:w="0" w:type="dxa"/>
              <w:bottom w:w="0" w:type="dxa"/>
              <w:right w:w="0" w:type="dxa"/>
            </w:tcMar>
            <w:vAlign w:val="center"/>
          </w:tcPr>
          <w:p w14:paraId="4F4A821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510" w:type="dxa"/>
            <w:vMerge w:val="continue"/>
            <w:shd w:val="clear" w:color="auto" w:fill="FFFFFF"/>
            <w:tcMar>
              <w:top w:w="0" w:type="dxa"/>
              <w:left w:w="0" w:type="dxa"/>
              <w:bottom w:w="0" w:type="dxa"/>
              <w:right w:w="0" w:type="dxa"/>
            </w:tcMar>
            <w:vAlign w:val="center"/>
          </w:tcPr>
          <w:p w14:paraId="4D8AD1B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465" w:type="dxa"/>
            <w:shd w:val="clear" w:color="auto" w:fill="FFFFFF"/>
            <w:tcMar>
              <w:top w:w="0" w:type="dxa"/>
              <w:left w:w="0" w:type="dxa"/>
              <w:bottom w:w="0" w:type="dxa"/>
              <w:right w:w="0" w:type="dxa"/>
            </w:tcMar>
            <w:vAlign w:val="center"/>
          </w:tcPr>
          <w:p w14:paraId="7EC189F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32EF796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1EF0E6C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5E9ABDA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02" w:type="dxa"/>
            <w:shd w:val="clear" w:color="auto" w:fill="FFFFFF"/>
            <w:tcMar>
              <w:top w:w="0" w:type="dxa"/>
              <w:left w:w="0" w:type="dxa"/>
              <w:bottom w:w="0" w:type="dxa"/>
              <w:right w:w="0" w:type="dxa"/>
            </w:tcMar>
            <w:vAlign w:val="center"/>
          </w:tcPr>
          <w:p w14:paraId="4278CE4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425" w:type="dxa"/>
            <w:shd w:val="clear" w:color="auto" w:fill="FFFFFF"/>
            <w:tcMar>
              <w:top w:w="0" w:type="dxa"/>
              <w:left w:w="0" w:type="dxa"/>
              <w:bottom w:w="0" w:type="dxa"/>
              <w:right w:w="0" w:type="dxa"/>
            </w:tcMar>
            <w:vAlign w:val="center"/>
          </w:tcPr>
          <w:p w14:paraId="694FC8A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435" w:type="dxa"/>
            <w:shd w:val="clear" w:color="auto" w:fill="FFFFFF"/>
            <w:tcMar>
              <w:top w:w="0" w:type="dxa"/>
              <w:left w:w="0" w:type="dxa"/>
              <w:bottom w:w="0" w:type="dxa"/>
              <w:right w:w="0" w:type="dxa"/>
            </w:tcMar>
            <w:vAlign w:val="center"/>
          </w:tcPr>
          <w:p w14:paraId="3889BC5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37.7</w:t>
            </w:r>
          </w:p>
        </w:tc>
        <w:tc>
          <w:tcPr>
            <w:tcW w:w="435" w:type="dxa"/>
            <w:shd w:val="clear" w:color="auto" w:fill="FFFFFF"/>
            <w:tcMar>
              <w:top w:w="0" w:type="dxa"/>
              <w:left w:w="0" w:type="dxa"/>
              <w:bottom w:w="0" w:type="dxa"/>
              <w:right w:w="0" w:type="dxa"/>
            </w:tcMar>
            <w:vAlign w:val="center"/>
          </w:tcPr>
          <w:p w14:paraId="4C3F353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780" w:type="dxa"/>
            <w:vMerge w:val="continue"/>
            <w:shd w:val="clear" w:color="auto" w:fill="FFFFFF"/>
            <w:tcMar>
              <w:top w:w="0" w:type="dxa"/>
              <w:left w:w="0" w:type="dxa"/>
              <w:bottom w:w="0" w:type="dxa"/>
              <w:right w:w="0" w:type="dxa"/>
            </w:tcMar>
            <w:vAlign w:val="center"/>
          </w:tcPr>
          <w:p w14:paraId="4875765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r>
      <w:tr w14:paraId="0CDB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3" w:hRule="atLeast"/>
          <w:jc w:val="center"/>
        </w:trPr>
        <w:tc>
          <w:tcPr>
            <w:tcW w:w="420" w:type="dxa"/>
            <w:shd w:val="clear" w:color="auto" w:fill="FFFFFF"/>
            <w:tcMar>
              <w:top w:w="0" w:type="dxa"/>
              <w:left w:w="0" w:type="dxa"/>
              <w:bottom w:w="0" w:type="dxa"/>
              <w:right w:w="0" w:type="dxa"/>
            </w:tcMar>
            <w:vAlign w:val="center"/>
          </w:tcPr>
          <w:p w14:paraId="2A88348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18</w:t>
            </w:r>
          </w:p>
        </w:tc>
        <w:tc>
          <w:tcPr>
            <w:tcW w:w="514" w:type="dxa"/>
            <w:vMerge w:val="continue"/>
            <w:shd w:val="clear" w:color="auto" w:fill="FFFFFF"/>
            <w:tcMar>
              <w:top w:w="0" w:type="dxa"/>
              <w:left w:w="0" w:type="dxa"/>
              <w:bottom w:w="0" w:type="dxa"/>
              <w:right w:w="0" w:type="dxa"/>
            </w:tcMar>
            <w:vAlign w:val="center"/>
          </w:tcPr>
          <w:p w14:paraId="785F9E6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c>
          <w:tcPr>
            <w:tcW w:w="825" w:type="dxa"/>
            <w:shd w:val="clear" w:color="auto" w:fill="FFFFFF"/>
            <w:tcMar>
              <w:top w:w="0" w:type="dxa"/>
              <w:left w:w="0" w:type="dxa"/>
              <w:bottom w:w="0" w:type="dxa"/>
              <w:right w:w="0" w:type="dxa"/>
            </w:tcMar>
            <w:vAlign w:val="center"/>
          </w:tcPr>
          <w:p w14:paraId="48A7CF2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拌料机</w:t>
            </w:r>
          </w:p>
        </w:tc>
        <w:tc>
          <w:tcPr>
            <w:tcW w:w="840" w:type="dxa"/>
            <w:shd w:val="clear" w:color="auto" w:fill="FFFFFF"/>
            <w:tcMar>
              <w:top w:w="0" w:type="dxa"/>
              <w:left w:w="0" w:type="dxa"/>
              <w:bottom w:w="0" w:type="dxa"/>
              <w:right w:w="0" w:type="dxa"/>
            </w:tcMar>
            <w:vAlign w:val="center"/>
          </w:tcPr>
          <w:p w14:paraId="614ADFA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70</w:t>
            </w:r>
          </w:p>
        </w:tc>
        <w:tc>
          <w:tcPr>
            <w:tcW w:w="675" w:type="dxa"/>
            <w:vMerge w:val="continue"/>
            <w:shd w:val="clear" w:color="auto" w:fill="FFFFFF"/>
            <w:tcMar>
              <w:top w:w="0" w:type="dxa"/>
              <w:left w:w="0" w:type="dxa"/>
              <w:bottom w:w="0" w:type="dxa"/>
              <w:right w:w="0" w:type="dxa"/>
            </w:tcMar>
            <w:vAlign w:val="center"/>
          </w:tcPr>
          <w:p w14:paraId="310CE67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510" w:type="dxa"/>
            <w:shd w:val="clear" w:color="auto" w:fill="FFFFFF"/>
            <w:tcMar>
              <w:top w:w="0" w:type="dxa"/>
              <w:left w:w="0" w:type="dxa"/>
              <w:bottom w:w="0" w:type="dxa"/>
              <w:right w:w="0" w:type="dxa"/>
            </w:tcMar>
            <w:vAlign w:val="center"/>
          </w:tcPr>
          <w:p w14:paraId="2150AE6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-0.5</w:t>
            </w:r>
          </w:p>
        </w:tc>
        <w:tc>
          <w:tcPr>
            <w:tcW w:w="390" w:type="dxa"/>
            <w:shd w:val="clear" w:color="auto" w:fill="FFFFFF"/>
            <w:tcMar>
              <w:top w:w="0" w:type="dxa"/>
              <w:left w:w="0" w:type="dxa"/>
              <w:bottom w:w="0" w:type="dxa"/>
              <w:right w:w="0" w:type="dxa"/>
            </w:tcMar>
            <w:vAlign w:val="center"/>
          </w:tcPr>
          <w:p w14:paraId="258F096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-9.9</w:t>
            </w:r>
          </w:p>
        </w:tc>
        <w:tc>
          <w:tcPr>
            <w:tcW w:w="420" w:type="dxa"/>
            <w:shd w:val="clear" w:color="auto" w:fill="FFFFFF"/>
            <w:tcMar>
              <w:top w:w="0" w:type="dxa"/>
              <w:left w:w="0" w:type="dxa"/>
              <w:bottom w:w="0" w:type="dxa"/>
              <w:right w:w="0" w:type="dxa"/>
            </w:tcMar>
            <w:vAlign w:val="center"/>
          </w:tcPr>
          <w:p w14:paraId="159EE14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0.8</w:t>
            </w:r>
          </w:p>
        </w:tc>
        <w:tc>
          <w:tcPr>
            <w:tcW w:w="435" w:type="dxa"/>
            <w:shd w:val="clear" w:color="auto" w:fill="FFFFFF"/>
            <w:tcMar>
              <w:top w:w="0" w:type="dxa"/>
              <w:left w:w="0" w:type="dxa"/>
              <w:bottom w:w="0" w:type="dxa"/>
              <w:right w:w="0" w:type="dxa"/>
            </w:tcMar>
            <w:vAlign w:val="center"/>
          </w:tcPr>
          <w:p w14:paraId="4BFCEEB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11.6</w:t>
            </w:r>
          </w:p>
        </w:tc>
        <w:tc>
          <w:tcPr>
            <w:tcW w:w="435" w:type="dxa"/>
            <w:shd w:val="clear" w:color="auto" w:fill="FFFFFF"/>
            <w:tcMar>
              <w:top w:w="0" w:type="dxa"/>
              <w:left w:w="0" w:type="dxa"/>
              <w:bottom w:w="0" w:type="dxa"/>
              <w:right w:w="0" w:type="dxa"/>
            </w:tcMar>
            <w:vAlign w:val="center"/>
          </w:tcPr>
          <w:p w14:paraId="2DAAE44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10.4</w:t>
            </w:r>
          </w:p>
        </w:tc>
        <w:tc>
          <w:tcPr>
            <w:tcW w:w="465" w:type="dxa"/>
            <w:shd w:val="clear" w:color="auto" w:fill="FFFFFF"/>
            <w:tcMar>
              <w:top w:w="0" w:type="dxa"/>
              <w:left w:w="0" w:type="dxa"/>
              <w:bottom w:w="0" w:type="dxa"/>
              <w:right w:w="0" w:type="dxa"/>
            </w:tcMar>
            <w:vAlign w:val="center"/>
          </w:tcPr>
          <w:p w14:paraId="5F1BA17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6.6</w:t>
            </w:r>
          </w:p>
        </w:tc>
        <w:tc>
          <w:tcPr>
            <w:tcW w:w="450" w:type="dxa"/>
            <w:shd w:val="clear" w:color="auto" w:fill="FFFFFF"/>
            <w:tcMar>
              <w:top w:w="0" w:type="dxa"/>
              <w:left w:w="0" w:type="dxa"/>
              <w:bottom w:w="0" w:type="dxa"/>
              <w:right w:w="0" w:type="dxa"/>
            </w:tcMar>
            <w:vAlign w:val="center"/>
          </w:tcPr>
          <w:p w14:paraId="4B69B42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22.5</w:t>
            </w:r>
          </w:p>
        </w:tc>
        <w:tc>
          <w:tcPr>
            <w:tcW w:w="525" w:type="dxa"/>
            <w:shd w:val="clear" w:color="auto" w:fill="FFFFFF"/>
            <w:tcMar>
              <w:top w:w="0" w:type="dxa"/>
              <w:left w:w="0" w:type="dxa"/>
              <w:bottom w:w="0" w:type="dxa"/>
              <w:right w:w="0" w:type="dxa"/>
            </w:tcMar>
            <w:vAlign w:val="center"/>
          </w:tcPr>
          <w:p w14:paraId="3FF2375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540" w:type="dxa"/>
            <w:shd w:val="clear" w:color="auto" w:fill="FFFFFF"/>
            <w:tcMar>
              <w:top w:w="0" w:type="dxa"/>
              <w:left w:w="0" w:type="dxa"/>
              <w:bottom w:w="0" w:type="dxa"/>
              <w:right w:w="0" w:type="dxa"/>
            </w:tcMar>
            <w:vAlign w:val="center"/>
          </w:tcPr>
          <w:p w14:paraId="4CF7E5C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495" w:type="dxa"/>
            <w:shd w:val="clear" w:color="auto" w:fill="FFFFFF"/>
            <w:tcMar>
              <w:top w:w="0" w:type="dxa"/>
              <w:left w:w="0" w:type="dxa"/>
              <w:bottom w:w="0" w:type="dxa"/>
              <w:right w:w="0" w:type="dxa"/>
            </w:tcMar>
            <w:vAlign w:val="center"/>
          </w:tcPr>
          <w:p w14:paraId="02FDABB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58.6</w:t>
            </w:r>
          </w:p>
        </w:tc>
        <w:tc>
          <w:tcPr>
            <w:tcW w:w="510" w:type="dxa"/>
            <w:shd w:val="clear" w:color="auto" w:fill="FFFFFF"/>
            <w:tcMar>
              <w:top w:w="0" w:type="dxa"/>
              <w:left w:w="0" w:type="dxa"/>
              <w:bottom w:w="0" w:type="dxa"/>
              <w:right w:w="0" w:type="dxa"/>
            </w:tcMar>
            <w:vAlign w:val="center"/>
          </w:tcPr>
          <w:p w14:paraId="5375826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510" w:type="dxa"/>
            <w:vMerge w:val="continue"/>
            <w:shd w:val="clear" w:color="auto" w:fill="FFFFFF"/>
            <w:tcMar>
              <w:top w:w="0" w:type="dxa"/>
              <w:left w:w="0" w:type="dxa"/>
              <w:bottom w:w="0" w:type="dxa"/>
              <w:right w:w="0" w:type="dxa"/>
            </w:tcMar>
            <w:vAlign w:val="center"/>
          </w:tcPr>
          <w:p w14:paraId="49BF0FA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465" w:type="dxa"/>
            <w:shd w:val="clear" w:color="auto" w:fill="FFFFFF"/>
            <w:tcMar>
              <w:top w:w="0" w:type="dxa"/>
              <w:left w:w="0" w:type="dxa"/>
              <w:bottom w:w="0" w:type="dxa"/>
              <w:right w:w="0" w:type="dxa"/>
            </w:tcMar>
            <w:vAlign w:val="center"/>
          </w:tcPr>
          <w:p w14:paraId="583F110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15F6C36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0B823FE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754CC74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02" w:type="dxa"/>
            <w:shd w:val="clear" w:color="auto" w:fill="FFFFFF"/>
            <w:tcMar>
              <w:top w:w="0" w:type="dxa"/>
              <w:left w:w="0" w:type="dxa"/>
              <w:bottom w:w="0" w:type="dxa"/>
              <w:right w:w="0" w:type="dxa"/>
            </w:tcMar>
            <w:vAlign w:val="center"/>
          </w:tcPr>
          <w:p w14:paraId="22890C1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425" w:type="dxa"/>
            <w:shd w:val="clear" w:color="auto" w:fill="FFFFFF"/>
            <w:tcMar>
              <w:top w:w="0" w:type="dxa"/>
              <w:left w:w="0" w:type="dxa"/>
              <w:bottom w:w="0" w:type="dxa"/>
              <w:right w:w="0" w:type="dxa"/>
            </w:tcMar>
            <w:vAlign w:val="center"/>
          </w:tcPr>
          <w:p w14:paraId="047CB2E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435" w:type="dxa"/>
            <w:shd w:val="clear" w:color="auto" w:fill="FFFFFF"/>
            <w:tcMar>
              <w:top w:w="0" w:type="dxa"/>
              <w:left w:w="0" w:type="dxa"/>
              <w:bottom w:w="0" w:type="dxa"/>
              <w:right w:w="0" w:type="dxa"/>
            </w:tcMar>
            <w:vAlign w:val="center"/>
          </w:tcPr>
          <w:p w14:paraId="0252F36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37.6</w:t>
            </w:r>
          </w:p>
        </w:tc>
        <w:tc>
          <w:tcPr>
            <w:tcW w:w="435" w:type="dxa"/>
            <w:shd w:val="clear" w:color="auto" w:fill="FFFFFF"/>
            <w:tcMar>
              <w:top w:w="0" w:type="dxa"/>
              <w:left w:w="0" w:type="dxa"/>
              <w:bottom w:w="0" w:type="dxa"/>
              <w:right w:w="0" w:type="dxa"/>
            </w:tcMar>
            <w:vAlign w:val="center"/>
          </w:tcPr>
          <w:p w14:paraId="6E76E74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780" w:type="dxa"/>
            <w:vMerge w:val="continue"/>
            <w:shd w:val="clear" w:color="auto" w:fill="FFFFFF"/>
            <w:tcMar>
              <w:top w:w="0" w:type="dxa"/>
              <w:left w:w="0" w:type="dxa"/>
              <w:bottom w:w="0" w:type="dxa"/>
              <w:right w:w="0" w:type="dxa"/>
            </w:tcMar>
            <w:vAlign w:val="center"/>
          </w:tcPr>
          <w:p w14:paraId="1CF6C08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r>
      <w:tr w14:paraId="531D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3" w:hRule="atLeast"/>
          <w:jc w:val="center"/>
        </w:trPr>
        <w:tc>
          <w:tcPr>
            <w:tcW w:w="420" w:type="dxa"/>
            <w:shd w:val="clear" w:color="auto" w:fill="FFFFFF"/>
            <w:tcMar>
              <w:top w:w="0" w:type="dxa"/>
              <w:left w:w="0" w:type="dxa"/>
              <w:bottom w:w="0" w:type="dxa"/>
              <w:right w:w="0" w:type="dxa"/>
            </w:tcMar>
            <w:vAlign w:val="center"/>
          </w:tcPr>
          <w:p w14:paraId="57D9B28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19</w:t>
            </w:r>
          </w:p>
        </w:tc>
        <w:tc>
          <w:tcPr>
            <w:tcW w:w="514" w:type="dxa"/>
            <w:vMerge w:val="continue"/>
            <w:shd w:val="clear" w:color="auto" w:fill="FFFFFF"/>
            <w:tcMar>
              <w:top w:w="0" w:type="dxa"/>
              <w:left w:w="0" w:type="dxa"/>
              <w:bottom w:w="0" w:type="dxa"/>
              <w:right w:w="0" w:type="dxa"/>
            </w:tcMar>
            <w:vAlign w:val="center"/>
          </w:tcPr>
          <w:p w14:paraId="6C08319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c>
          <w:tcPr>
            <w:tcW w:w="825" w:type="dxa"/>
            <w:shd w:val="clear" w:color="auto" w:fill="FFFFFF"/>
            <w:tcMar>
              <w:top w:w="0" w:type="dxa"/>
              <w:left w:w="0" w:type="dxa"/>
              <w:bottom w:w="0" w:type="dxa"/>
              <w:right w:w="0" w:type="dxa"/>
            </w:tcMar>
            <w:vAlign w:val="center"/>
          </w:tcPr>
          <w:p w14:paraId="6BFD384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拌料机</w:t>
            </w:r>
          </w:p>
        </w:tc>
        <w:tc>
          <w:tcPr>
            <w:tcW w:w="840" w:type="dxa"/>
            <w:shd w:val="clear" w:color="auto" w:fill="FFFFFF"/>
            <w:tcMar>
              <w:top w:w="0" w:type="dxa"/>
              <w:left w:w="0" w:type="dxa"/>
              <w:bottom w:w="0" w:type="dxa"/>
              <w:right w:w="0" w:type="dxa"/>
            </w:tcMar>
            <w:vAlign w:val="center"/>
          </w:tcPr>
          <w:p w14:paraId="066DCD8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70</w:t>
            </w:r>
          </w:p>
        </w:tc>
        <w:tc>
          <w:tcPr>
            <w:tcW w:w="675" w:type="dxa"/>
            <w:vMerge w:val="continue"/>
            <w:shd w:val="clear" w:color="auto" w:fill="FFFFFF"/>
            <w:tcMar>
              <w:top w:w="0" w:type="dxa"/>
              <w:left w:w="0" w:type="dxa"/>
              <w:bottom w:w="0" w:type="dxa"/>
              <w:right w:w="0" w:type="dxa"/>
            </w:tcMar>
            <w:vAlign w:val="center"/>
          </w:tcPr>
          <w:p w14:paraId="5CBC39F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510" w:type="dxa"/>
            <w:shd w:val="clear" w:color="auto" w:fill="FFFFFF"/>
            <w:tcMar>
              <w:top w:w="0" w:type="dxa"/>
              <w:left w:w="0" w:type="dxa"/>
              <w:bottom w:w="0" w:type="dxa"/>
              <w:right w:w="0" w:type="dxa"/>
            </w:tcMar>
            <w:vAlign w:val="center"/>
          </w:tcPr>
          <w:p w14:paraId="1BCC9D8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-0.5</w:t>
            </w:r>
          </w:p>
        </w:tc>
        <w:tc>
          <w:tcPr>
            <w:tcW w:w="390" w:type="dxa"/>
            <w:shd w:val="clear" w:color="auto" w:fill="FFFFFF"/>
            <w:tcMar>
              <w:top w:w="0" w:type="dxa"/>
              <w:left w:w="0" w:type="dxa"/>
              <w:bottom w:w="0" w:type="dxa"/>
              <w:right w:w="0" w:type="dxa"/>
            </w:tcMar>
            <w:vAlign w:val="center"/>
          </w:tcPr>
          <w:p w14:paraId="0992174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-12.1</w:t>
            </w:r>
          </w:p>
        </w:tc>
        <w:tc>
          <w:tcPr>
            <w:tcW w:w="420" w:type="dxa"/>
            <w:shd w:val="clear" w:color="auto" w:fill="FFFFFF"/>
            <w:tcMar>
              <w:top w:w="0" w:type="dxa"/>
              <w:left w:w="0" w:type="dxa"/>
              <w:bottom w:w="0" w:type="dxa"/>
              <w:right w:w="0" w:type="dxa"/>
            </w:tcMar>
            <w:vAlign w:val="center"/>
          </w:tcPr>
          <w:p w14:paraId="3A79C48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0.8</w:t>
            </w:r>
          </w:p>
        </w:tc>
        <w:tc>
          <w:tcPr>
            <w:tcW w:w="435" w:type="dxa"/>
            <w:shd w:val="clear" w:color="auto" w:fill="FFFFFF"/>
            <w:tcMar>
              <w:top w:w="0" w:type="dxa"/>
              <w:left w:w="0" w:type="dxa"/>
              <w:bottom w:w="0" w:type="dxa"/>
              <w:right w:w="0" w:type="dxa"/>
            </w:tcMar>
            <w:vAlign w:val="center"/>
          </w:tcPr>
          <w:p w14:paraId="56891E1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11.3</w:t>
            </w:r>
          </w:p>
        </w:tc>
        <w:tc>
          <w:tcPr>
            <w:tcW w:w="435" w:type="dxa"/>
            <w:shd w:val="clear" w:color="auto" w:fill="FFFFFF"/>
            <w:tcMar>
              <w:top w:w="0" w:type="dxa"/>
              <w:left w:w="0" w:type="dxa"/>
              <w:bottom w:w="0" w:type="dxa"/>
              <w:right w:w="0" w:type="dxa"/>
            </w:tcMar>
            <w:vAlign w:val="center"/>
          </w:tcPr>
          <w:p w14:paraId="41E9F31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8.3</w:t>
            </w:r>
          </w:p>
        </w:tc>
        <w:tc>
          <w:tcPr>
            <w:tcW w:w="465" w:type="dxa"/>
            <w:shd w:val="clear" w:color="auto" w:fill="FFFFFF"/>
            <w:tcMar>
              <w:top w:w="0" w:type="dxa"/>
              <w:left w:w="0" w:type="dxa"/>
              <w:bottom w:w="0" w:type="dxa"/>
              <w:right w:w="0" w:type="dxa"/>
            </w:tcMar>
            <w:vAlign w:val="center"/>
          </w:tcPr>
          <w:p w14:paraId="265B74B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8.7</w:t>
            </w:r>
          </w:p>
        </w:tc>
        <w:tc>
          <w:tcPr>
            <w:tcW w:w="450" w:type="dxa"/>
            <w:shd w:val="clear" w:color="auto" w:fill="FFFFFF"/>
            <w:tcMar>
              <w:top w:w="0" w:type="dxa"/>
              <w:left w:w="0" w:type="dxa"/>
              <w:bottom w:w="0" w:type="dxa"/>
              <w:right w:w="0" w:type="dxa"/>
            </w:tcMar>
            <w:vAlign w:val="center"/>
          </w:tcPr>
          <w:p w14:paraId="5A7BD16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22.3</w:t>
            </w:r>
          </w:p>
        </w:tc>
        <w:tc>
          <w:tcPr>
            <w:tcW w:w="525" w:type="dxa"/>
            <w:shd w:val="clear" w:color="auto" w:fill="FFFFFF"/>
            <w:tcMar>
              <w:top w:w="0" w:type="dxa"/>
              <w:left w:w="0" w:type="dxa"/>
              <w:bottom w:w="0" w:type="dxa"/>
              <w:right w:w="0" w:type="dxa"/>
            </w:tcMar>
            <w:vAlign w:val="center"/>
          </w:tcPr>
          <w:p w14:paraId="1171E3A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540" w:type="dxa"/>
            <w:shd w:val="clear" w:color="auto" w:fill="FFFFFF"/>
            <w:tcMar>
              <w:top w:w="0" w:type="dxa"/>
              <w:left w:w="0" w:type="dxa"/>
              <w:bottom w:w="0" w:type="dxa"/>
              <w:right w:w="0" w:type="dxa"/>
            </w:tcMar>
            <w:vAlign w:val="center"/>
          </w:tcPr>
          <w:p w14:paraId="4CFCEB5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495" w:type="dxa"/>
            <w:shd w:val="clear" w:color="auto" w:fill="FFFFFF"/>
            <w:tcMar>
              <w:top w:w="0" w:type="dxa"/>
              <w:left w:w="0" w:type="dxa"/>
              <w:bottom w:w="0" w:type="dxa"/>
              <w:right w:w="0" w:type="dxa"/>
            </w:tcMar>
            <w:vAlign w:val="center"/>
          </w:tcPr>
          <w:p w14:paraId="0B21013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510" w:type="dxa"/>
            <w:shd w:val="clear" w:color="auto" w:fill="FFFFFF"/>
            <w:tcMar>
              <w:top w:w="0" w:type="dxa"/>
              <w:left w:w="0" w:type="dxa"/>
              <w:bottom w:w="0" w:type="dxa"/>
              <w:right w:w="0" w:type="dxa"/>
            </w:tcMar>
            <w:vAlign w:val="center"/>
          </w:tcPr>
          <w:p w14:paraId="690618D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58.5</w:t>
            </w:r>
          </w:p>
        </w:tc>
        <w:tc>
          <w:tcPr>
            <w:tcW w:w="510" w:type="dxa"/>
            <w:vMerge w:val="continue"/>
            <w:shd w:val="clear" w:color="auto" w:fill="FFFFFF"/>
            <w:tcMar>
              <w:top w:w="0" w:type="dxa"/>
              <w:left w:w="0" w:type="dxa"/>
              <w:bottom w:w="0" w:type="dxa"/>
              <w:right w:w="0" w:type="dxa"/>
            </w:tcMar>
            <w:vAlign w:val="center"/>
          </w:tcPr>
          <w:p w14:paraId="1336091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465" w:type="dxa"/>
            <w:shd w:val="clear" w:color="auto" w:fill="FFFFFF"/>
            <w:tcMar>
              <w:top w:w="0" w:type="dxa"/>
              <w:left w:w="0" w:type="dxa"/>
              <w:bottom w:w="0" w:type="dxa"/>
              <w:right w:w="0" w:type="dxa"/>
            </w:tcMar>
            <w:vAlign w:val="center"/>
          </w:tcPr>
          <w:p w14:paraId="1D03A8A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275DB5E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1C99A59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7D6A683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02" w:type="dxa"/>
            <w:shd w:val="clear" w:color="auto" w:fill="FFFFFF"/>
            <w:tcMar>
              <w:top w:w="0" w:type="dxa"/>
              <w:left w:w="0" w:type="dxa"/>
              <w:bottom w:w="0" w:type="dxa"/>
              <w:right w:w="0" w:type="dxa"/>
            </w:tcMar>
            <w:vAlign w:val="center"/>
          </w:tcPr>
          <w:p w14:paraId="5B41AAC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425" w:type="dxa"/>
            <w:shd w:val="clear" w:color="auto" w:fill="FFFFFF"/>
            <w:tcMar>
              <w:top w:w="0" w:type="dxa"/>
              <w:left w:w="0" w:type="dxa"/>
              <w:bottom w:w="0" w:type="dxa"/>
              <w:right w:w="0" w:type="dxa"/>
            </w:tcMar>
            <w:vAlign w:val="center"/>
          </w:tcPr>
          <w:p w14:paraId="4EEE3B3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435" w:type="dxa"/>
            <w:shd w:val="clear" w:color="auto" w:fill="FFFFFF"/>
            <w:tcMar>
              <w:top w:w="0" w:type="dxa"/>
              <w:left w:w="0" w:type="dxa"/>
              <w:bottom w:w="0" w:type="dxa"/>
              <w:right w:w="0" w:type="dxa"/>
            </w:tcMar>
            <w:vAlign w:val="center"/>
          </w:tcPr>
          <w:p w14:paraId="174C1A6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435" w:type="dxa"/>
            <w:shd w:val="clear" w:color="auto" w:fill="FFFFFF"/>
            <w:tcMar>
              <w:top w:w="0" w:type="dxa"/>
              <w:left w:w="0" w:type="dxa"/>
              <w:bottom w:w="0" w:type="dxa"/>
              <w:right w:w="0" w:type="dxa"/>
            </w:tcMar>
            <w:vAlign w:val="center"/>
          </w:tcPr>
          <w:p w14:paraId="2DE8A98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37.5</w:t>
            </w:r>
          </w:p>
        </w:tc>
        <w:tc>
          <w:tcPr>
            <w:tcW w:w="780" w:type="dxa"/>
            <w:vMerge w:val="continue"/>
            <w:shd w:val="clear" w:color="auto" w:fill="FFFFFF"/>
            <w:tcMar>
              <w:top w:w="0" w:type="dxa"/>
              <w:left w:w="0" w:type="dxa"/>
              <w:bottom w:w="0" w:type="dxa"/>
              <w:right w:w="0" w:type="dxa"/>
            </w:tcMar>
            <w:vAlign w:val="center"/>
          </w:tcPr>
          <w:p w14:paraId="2F69B38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r>
      <w:tr w14:paraId="1B00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3" w:hRule="atLeast"/>
          <w:jc w:val="center"/>
        </w:trPr>
        <w:tc>
          <w:tcPr>
            <w:tcW w:w="420" w:type="dxa"/>
            <w:shd w:val="clear" w:color="auto" w:fill="FFFFFF"/>
            <w:tcMar>
              <w:top w:w="0" w:type="dxa"/>
              <w:left w:w="0" w:type="dxa"/>
              <w:bottom w:w="0" w:type="dxa"/>
              <w:right w:w="0" w:type="dxa"/>
            </w:tcMar>
            <w:vAlign w:val="center"/>
          </w:tcPr>
          <w:p w14:paraId="2828F54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20</w:t>
            </w:r>
          </w:p>
        </w:tc>
        <w:tc>
          <w:tcPr>
            <w:tcW w:w="514" w:type="dxa"/>
            <w:vMerge w:val="continue"/>
            <w:shd w:val="clear" w:color="auto" w:fill="FFFFFF"/>
            <w:tcMar>
              <w:top w:w="0" w:type="dxa"/>
              <w:left w:w="0" w:type="dxa"/>
              <w:bottom w:w="0" w:type="dxa"/>
              <w:right w:w="0" w:type="dxa"/>
            </w:tcMar>
            <w:vAlign w:val="center"/>
          </w:tcPr>
          <w:p w14:paraId="4D4C64D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c>
          <w:tcPr>
            <w:tcW w:w="825" w:type="dxa"/>
            <w:shd w:val="clear" w:color="auto" w:fill="FFFFFF"/>
            <w:tcMar>
              <w:top w:w="0" w:type="dxa"/>
              <w:left w:w="0" w:type="dxa"/>
              <w:bottom w:w="0" w:type="dxa"/>
              <w:right w:w="0" w:type="dxa"/>
            </w:tcMar>
            <w:vAlign w:val="center"/>
          </w:tcPr>
          <w:p w14:paraId="6E844AB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切粒机</w:t>
            </w:r>
          </w:p>
        </w:tc>
        <w:tc>
          <w:tcPr>
            <w:tcW w:w="840" w:type="dxa"/>
            <w:shd w:val="clear" w:color="auto" w:fill="FFFFFF"/>
            <w:tcMar>
              <w:top w:w="0" w:type="dxa"/>
              <w:left w:w="0" w:type="dxa"/>
              <w:bottom w:w="0" w:type="dxa"/>
              <w:right w:w="0" w:type="dxa"/>
            </w:tcMar>
            <w:vAlign w:val="center"/>
          </w:tcPr>
          <w:p w14:paraId="45323BB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75</w:t>
            </w:r>
          </w:p>
        </w:tc>
        <w:tc>
          <w:tcPr>
            <w:tcW w:w="675" w:type="dxa"/>
            <w:vMerge w:val="continue"/>
            <w:shd w:val="clear" w:color="auto" w:fill="FFFFFF"/>
            <w:tcMar>
              <w:top w:w="0" w:type="dxa"/>
              <w:left w:w="0" w:type="dxa"/>
              <w:bottom w:w="0" w:type="dxa"/>
              <w:right w:w="0" w:type="dxa"/>
            </w:tcMar>
            <w:vAlign w:val="center"/>
          </w:tcPr>
          <w:p w14:paraId="4FB6DFE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510" w:type="dxa"/>
            <w:shd w:val="clear" w:color="auto" w:fill="FFFFFF"/>
            <w:tcMar>
              <w:top w:w="0" w:type="dxa"/>
              <w:left w:w="0" w:type="dxa"/>
              <w:bottom w:w="0" w:type="dxa"/>
              <w:right w:w="0" w:type="dxa"/>
            </w:tcMar>
            <w:vAlign w:val="center"/>
          </w:tcPr>
          <w:p w14:paraId="23419D4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16.2</w:t>
            </w:r>
          </w:p>
        </w:tc>
        <w:tc>
          <w:tcPr>
            <w:tcW w:w="390" w:type="dxa"/>
            <w:shd w:val="clear" w:color="auto" w:fill="FFFFFF"/>
            <w:tcMar>
              <w:top w:w="0" w:type="dxa"/>
              <w:left w:w="0" w:type="dxa"/>
              <w:bottom w:w="0" w:type="dxa"/>
              <w:right w:w="0" w:type="dxa"/>
            </w:tcMar>
            <w:vAlign w:val="center"/>
          </w:tcPr>
          <w:p w14:paraId="6F33D9E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-9.4</w:t>
            </w:r>
          </w:p>
        </w:tc>
        <w:tc>
          <w:tcPr>
            <w:tcW w:w="420" w:type="dxa"/>
            <w:shd w:val="clear" w:color="auto" w:fill="FFFFFF"/>
            <w:tcMar>
              <w:top w:w="0" w:type="dxa"/>
              <w:left w:w="0" w:type="dxa"/>
              <w:bottom w:w="0" w:type="dxa"/>
              <w:right w:w="0" w:type="dxa"/>
            </w:tcMar>
            <w:vAlign w:val="center"/>
          </w:tcPr>
          <w:p w14:paraId="13AF0A2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1.0</w:t>
            </w:r>
          </w:p>
        </w:tc>
        <w:tc>
          <w:tcPr>
            <w:tcW w:w="435" w:type="dxa"/>
            <w:shd w:val="clear" w:color="auto" w:fill="FFFFFF"/>
            <w:tcMar>
              <w:top w:w="0" w:type="dxa"/>
              <w:left w:w="0" w:type="dxa"/>
              <w:bottom w:w="0" w:type="dxa"/>
              <w:right w:w="0" w:type="dxa"/>
            </w:tcMar>
            <w:vAlign w:val="center"/>
          </w:tcPr>
          <w:p w14:paraId="6422A50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4.9</w:t>
            </w:r>
          </w:p>
        </w:tc>
        <w:tc>
          <w:tcPr>
            <w:tcW w:w="435" w:type="dxa"/>
            <w:shd w:val="clear" w:color="auto" w:fill="FFFFFF"/>
            <w:tcMar>
              <w:top w:w="0" w:type="dxa"/>
              <w:left w:w="0" w:type="dxa"/>
              <w:bottom w:w="0" w:type="dxa"/>
              <w:right w:w="0" w:type="dxa"/>
            </w:tcMar>
            <w:vAlign w:val="center"/>
          </w:tcPr>
          <w:p w14:paraId="42F297A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12.8</w:t>
            </w:r>
          </w:p>
        </w:tc>
        <w:tc>
          <w:tcPr>
            <w:tcW w:w="465" w:type="dxa"/>
            <w:shd w:val="clear" w:color="auto" w:fill="FFFFFF"/>
            <w:tcMar>
              <w:top w:w="0" w:type="dxa"/>
              <w:left w:w="0" w:type="dxa"/>
              <w:bottom w:w="0" w:type="dxa"/>
              <w:right w:w="0" w:type="dxa"/>
            </w:tcMar>
            <w:vAlign w:val="center"/>
          </w:tcPr>
          <w:p w14:paraId="3F10CD8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4.9</w:t>
            </w:r>
          </w:p>
        </w:tc>
        <w:tc>
          <w:tcPr>
            <w:tcW w:w="450" w:type="dxa"/>
            <w:shd w:val="clear" w:color="auto" w:fill="FFFFFF"/>
            <w:tcMar>
              <w:top w:w="0" w:type="dxa"/>
              <w:left w:w="0" w:type="dxa"/>
              <w:bottom w:w="0" w:type="dxa"/>
              <w:right w:w="0" w:type="dxa"/>
            </w:tcMar>
            <w:vAlign w:val="center"/>
          </w:tcPr>
          <w:p w14:paraId="74457B8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6.0</w:t>
            </w:r>
          </w:p>
        </w:tc>
        <w:tc>
          <w:tcPr>
            <w:tcW w:w="525" w:type="dxa"/>
            <w:shd w:val="clear" w:color="auto" w:fill="FFFFFF"/>
            <w:tcMar>
              <w:top w:w="0" w:type="dxa"/>
              <w:left w:w="0" w:type="dxa"/>
              <w:bottom w:w="0" w:type="dxa"/>
              <w:right w:w="0" w:type="dxa"/>
            </w:tcMar>
            <w:vAlign w:val="center"/>
          </w:tcPr>
          <w:p w14:paraId="5E7867C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63.7</w:t>
            </w:r>
          </w:p>
        </w:tc>
        <w:tc>
          <w:tcPr>
            <w:tcW w:w="540" w:type="dxa"/>
            <w:shd w:val="clear" w:color="auto" w:fill="FFFFFF"/>
            <w:tcMar>
              <w:top w:w="0" w:type="dxa"/>
              <w:left w:w="0" w:type="dxa"/>
              <w:bottom w:w="0" w:type="dxa"/>
              <w:right w:w="0" w:type="dxa"/>
            </w:tcMar>
            <w:vAlign w:val="center"/>
          </w:tcPr>
          <w:p w14:paraId="4350F1D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63.5</w:t>
            </w:r>
          </w:p>
        </w:tc>
        <w:tc>
          <w:tcPr>
            <w:tcW w:w="495" w:type="dxa"/>
            <w:shd w:val="clear" w:color="auto" w:fill="FFFFFF"/>
            <w:tcMar>
              <w:top w:w="0" w:type="dxa"/>
              <w:left w:w="0" w:type="dxa"/>
              <w:bottom w:w="0" w:type="dxa"/>
              <w:right w:w="0" w:type="dxa"/>
            </w:tcMar>
            <w:vAlign w:val="center"/>
          </w:tcPr>
          <w:p w14:paraId="6E0F1C9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63.7</w:t>
            </w:r>
          </w:p>
        </w:tc>
        <w:tc>
          <w:tcPr>
            <w:tcW w:w="510" w:type="dxa"/>
            <w:shd w:val="clear" w:color="auto" w:fill="FFFFFF"/>
            <w:tcMar>
              <w:top w:w="0" w:type="dxa"/>
              <w:left w:w="0" w:type="dxa"/>
              <w:bottom w:w="0" w:type="dxa"/>
              <w:right w:w="0" w:type="dxa"/>
            </w:tcMar>
            <w:vAlign w:val="center"/>
          </w:tcPr>
          <w:p w14:paraId="59AE015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63.6</w:t>
            </w:r>
          </w:p>
        </w:tc>
        <w:tc>
          <w:tcPr>
            <w:tcW w:w="510" w:type="dxa"/>
            <w:vMerge w:val="continue"/>
            <w:shd w:val="clear" w:color="auto" w:fill="FFFFFF"/>
            <w:tcMar>
              <w:top w:w="0" w:type="dxa"/>
              <w:left w:w="0" w:type="dxa"/>
              <w:bottom w:w="0" w:type="dxa"/>
              <w:right w:w="0" w:type="dxa"/>
            </w:tcMar>
            <w:vAlign w:val="center"/>
          </w:tcPr>
          <w:p w14:paraId="68DC5C5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465" w:type="dxa"/>
            <w:shd w:val="clear" w:color="auto" w:fill="FFFFFF"/>
            <w:tcMar>
              <w:top w:w="0" w:type="dxa"/>
              <w:left w:w="0" w:type="dxa"/>
              <w:bottom w:w="0" w:type="dxa"/>
              <w:right w:w="0" w:type="dxa"/>
            </w:tcMar>
            <w:vAlign w:val="center"/>
          </w:tcPr>
          <w:p w14:paraId="6B21BCC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708CA38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69DBE7E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2F4646E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02" w:type="dxa"/>
            <w:shd w:val="clear" w:color="auto" w:fill="FFFFFF"/>
            <w:tcMar>
              <w:top w:w="0" w:type="dxa"/>
              <w:left w:w="0" w:type="dxa"/>
              <w:bottom w:w="0" w:type="dxa"/>
              <w:right w:w="0" w:type="dxa"/>
            </w:tcMar>
            <w:vAlign w:val="center"/>
          </w:tcPr>
          <w:p w14:paraId="0B93BD1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42.7</w:t>
            </w:r>
          </w:p>
        </w:tc>
        <w:tc>
          <w:tcPr>
            <w:tcW w:w="425" w:type="dxa"/>
            <w:shd w:val="clear" w:color="auto" w:fill="FFFFFF"/>
            <w:tcMar>
              <w:top w:w="0" w:type="dxa"/>
              <w:left w:w="0" w:type="dxa"/>
              <w:bottom w:w="0" w:type="dxa"/>
              <w:right w:w="0" w:type="dxa"/>
            </w:tcMar>
            <w:vAlign w:val="center"/>
          </w:tcPr>
          <w:p w14:paraId="4B9E968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42.5</w:t>
            </w:r>
          </w:p>
        </w:tc>
        <w:tc>
          <w:tcPr>
            <w:tcW w:w="435" w:type="dxa"/>
            <w:shd w:val="clear" w:color="auto" w:fill="FFFFFF"/>
            <w:tcMar>
              <w:top w:w="0" w:type="dxa"/>
              <w:left w:w="0" w:type="dxa"/>
              <w:bottom w:w="0" w:type="dxa"/>
              <w:right w:w="0" w:type="dxa"/>
            </w:tcMar>
            <w:vAlign w:val="center"/>
          </w:tcPr>
          <w:p w14:paraId="1668D57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42.7</w:t>
            </w:r>
          </w:p>
        </w:tc>
        <w:tc>
          <w:tcPr>
            <w:tcW w:w="435" w:type="dxa"/>
            <w:shd w:val="clear" w:color="auto" w:fill="FFFFFF"/>
            <w:tcMar>
              <w:top w:w="0" w:type="dxa"/>
              <w:left w:w="0" w:type="dxa"/>
              <w:bottom w:w="0" w:type="dxa"/>
              <w:right w:w="0" w:type="dxa"/>
            </w:tcMar>
            <w:vAlign w:val="center"/>
          </w:tcPr>
          <w:p w14:paraId="353B7DD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42.6</w:t>
            </w:r>
          </w:p>
        </w:tc>
        <w:tc>
          <w:tcPr>
            <w:tcW w:w="780" w:type="dxa"/>
            <w:vMerge w:val="continue"/>
            <w:shd w:val="clear" w:color="auto" w:fill="FFFFFF"/>
            <w:tcMar>
              <w:top w:w="0" w:type="dxa"/>
              <w:left w:w="0" w:type="dxa"/>
              <w:bottom w:w="0" w:type="dxa"/>
              <w:right w:w="0" w:type="dxa"/>
            </w:tcMar>
            <w:vAlign w:val="center"/>
          </w:tcPr>
          <w:p w14:paraId="409B379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r>
      <w:tr w14:paraId="1BC2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3" w:hRule="atLeast"/>
          <w:jc w:val="center"/>
        </w:trPr>
        <w:tc>
          <w:tcPr>
            <w:tcW w:w="420" w:type="dxa"/>
            <w:shd w:val="clear" w:color="auto" w:fill="FFFFFF"/>
            <w:tcMar>
              <w:top w:w="0" w:type="dxa"/>
              <w:left w:w="0" w:type="dxa"/>
              <w:bottom w:w="0" w:type="dxa"/>
              <w:right w:w="0" w:type="dxa"/>
            </w:tcMar>
            <w:vAlign w:val="center"/>
          </w:tcPr>
          <w:p w14:paraId="1392556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21</w:t>
            </w:r>
          </w:p>
        </w:tc>
        <w:tc>
          <w:tcPr>
            <w:tcW w:w="514" w:type="dxa"/>
            <w:vMerge w:val="continue"/>
            <w:shd w:val="clear" w:color="auto" w:fill="FFFFFF"/>
            <w:tcMar>
              <w:top w:w="0" w:type="dxa"/>
              <w:left w:w="0" w:type="dxa"/>
              <w:bottom w:w="0" w:type="dxa"/>
              <w:right w:w="0" w:type="dxa"/>
            </w:tcMar>
            <w:vAlign w:val="center"/>
          </w:tcPr>
          <w:p w14:paraId="796747E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c>
          <w:tcPr>
            <w:tcW w:w="825" w:type="dxa"/>
            <w:shd w:val="clear" w:color="auto" w:fill="FFFFFF"/>
            <w:tcMar>
              <w:top w:w="0" w:type="dxa"/>
              <w:left w:w="0" w:type="dxa"/>
              <w:bottom w:w="0" w:type="dxa"/>
              <w:right w:w="0" w:type="dxa"/>
            </w:tcMar>
            <w:vAlign w:val="center"/>
          </w:tcPr>
          <w:p w14:paraId="54CA969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切粒机</w:t>
            </w:r>
          </w:p>
        </w:tc>
        <w:tc>
          <w:tcPr>
            <w:tcW w:w="840" w:type="dxa"/>
            <w:shd w:val="clear" w:color="auto" w:fill="FFFFFF"/>
            <w:tcMar>
              <w:top w:w="0" w:type="dxa"/>
              <w:left w:w="0" w:type="dxa"/>
              <w:bottom w:w="0" w:type="dxa"/>
              <w:right w:w="0" w:type="dxa"/>
            </w:tcMar>
            <w:vAlign w:val="center"/>
          </w:tcPr>
          <w:p w14:paraId="0F29173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75</w:t>
            </w:r>
          </w:p>
        </w:tc>
        <w:tc>
          <w:tcPr>
            <w:tcW w:w="675" w:type="dxa"/>
            <w:vMerge w:val="continue"/>
            <w:shd w:val="clear" w:color="auto" w:fill="FFFFFF"/>
            <w:tcMar>
              <w:top w:w="0" w:type="dxa"/>
              <w:left w:w="0" w:type="dxa"/>
              <w:bottom w:w="0" w:type="dxa"/>
              <w:right w:w="0" w:type="dxa"/>
            </w:tcMar>
            <w:vAlign w:val="center"/>
          </w:tcPr>
          <w:p w14:paraId="1087E12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510" w:type="dxa"/>
            <w:shd w:val="clear" w:color="auto" w:fill="FFFFFF"/>
            <w:tcMar>
              <w:top w:w="0" w:type="dxa"/>
              <w:left w:w="0" w:type="dxa"/>
              <w:bottom w:w="0" w:type="dxa"/>
              <w:right w:w="0" w:type="dxa"/>
            </w:tcMar>
            <w:vAlign w:val="center"/>
          </w:tcPr>
          <w:p w14:paraId="77FE2CB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5.5</w:t>
            </w:r>
          </w:p>
        </w:tc>
        <w:tc>
          <w:tcPr>
            <w:tcW w:w="390" w:type="dxa"/>
            <w:shd w:val="clear" w:color="auto" w:fill="FFFFFF"/>
            <w:tcMar>
              <w:top w:w="0" w:type="dxa"/>
              <w:left w:w="0" w:type="dxa"/>
              <w:bottom w:w="0" w:type="dxa"/>
              <w:right w:w="0" w:type="dxa"/>
            </w:tcMar>
            <w:vAlign w:val="center"/>
          </w:tcPr>
          <w:p w14:paraId="1165A22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-7.7</w:t>
            </w:r>
          </w:p>
        </w:tc>
        <w:tc>
          <w:tcPr>
            <w:tcW w:w="420" w:type="dxa"/>
            <w:shd w:val="clear" w:color="auto" w:fill="FFFFFF"/>
            <w:tcMar>
              <w:top w:w="0" w:type="dxa"/>
              <w:left w:w="0" w:type="dxa"/>
              <w:bottom w:w="0" w:type="dxa"/>
              <w:right w:w="0" w:type="dxa"/>
            </w:tcMar>
            <w:vAlign w:val="center"/>
          </w:tcPr>
          <w:p w14:paraId="409427C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1.0</w:t>
            </w:r>
          </w:p>
        </w:tc>
        <w:tc>
          <w:tcPr>
            <w:tcW w:w="435" w:type="dxa"/>
            <w:shd w:val="clear" w:color="auto" w:fill="FFFFFF"/>
            <w:tcMar>
              <w:top w:w="0" w:type="dxa"/>
              <w:left w:w="0" w:type="dxa"/>
              <w:bottom w:w="0" w:type="dxa"/>
              <w:right w:w="0" w:type="dxa"/>
            </w:tcMar>
            <w:vAlign w:val="center"/>
          </w:tcPr>
          <w:p w14:paraId="2081D9A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5.9</w:t>
            </w:r>
          </w:p>
        </w:tc>
        <w:tc>
          <w:tcPr>
            <w:tcW w:w="435" w:type="dxa"/>
            <w:shd w:val="clear" w:color="auto" w:fill="FFFFFF"/>
            <w:tcMar>
              <w:top w:w="0" w:type="dxa"/>
              <w:left w:w="0" w:type="dxa"/>
              <w:bottom w:w="0" w:type="dxa"/>
              <w:right w:w="0" w:type="dxa"/>
            </w:tcMar>
            <w:vAlign w:val="center"/>
          </w:tcPr>
          <w:p w14:paraId="4D8E5D2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13.3</w:t>
            </w:r>
          </w:p>
        </w:tc>
        <w:tc>
          <w:tcPr>
            <w:tcW w:w="465" w:type="dxa"/>
            <w:shd w:val="clear" w:color="auto" w:fill="FFFFFF"/>
            <w:tcMar>
              <w:top w:w="0" w:type="dxa"/>
              <w:left w:w="0" w:type="dxa"/>
              <w:bottom w:w="0" w:type="dxa"/>
              <w:right w:w="0" w:type="dxa"/>
            </w:tcMar>
            <w:vAlign w:val="center"/>
          </w:tcPr>
          <w:p w14:paraId="687B33E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3.9</w:t>
            </w:r>
          </w:p>
        </w:tc>
        <w:tc>
          <w:tcPr>
            <w:tcW w:w="450" w:type="dxa"/>
            <w:shd w:val="clear" w:color="auto" w:fill="FFFFFF"/>
            <w:tcMar>
              <w:top w:w="0" w:type="dxa"/>
              <w:left w:w="0" w:type="dxa"/>
              <w:bottom w:w="0" w:type="dxa"/>
              <w:right w:w="0" w:type="dxa"/>
            </w:tcMar>
            <w:vAlign w:val="center"/>
          </w:tcPr>
          <w:p w14:paraId="03FBBC6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16.8</w:t>
            </w:r>
          </w:p>
        </w:tc>
        <w:tc>
          <w:tcPr>
            <w:tcW w:w="525" w:type="dxa"/>
            <w:shd w:val="clear" w:color="auto" w:fill="FFFFFF"/>
            <w:tcMar>
              <w:top w:w="0" w:type="dxa"/>
              <w:left w:w="0" w:type="dxa"/>
              <w:bottom w:w="0" w:type="dxa"/>
              <w:right w:w="0" w:type="dxa"/>
            </w:tcMar>
            <w:vAlign w:val="center"/>
          </w:tcPr>
          <w:p w14:paraId="4004E12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63.6</w:t>
            </w:r>
          </w:p>
        </w:tc>
        <w:tc>
          <w:tcPr>
            <w:tcW w:w="540" w:type="dxa"/>
            <w:shd w:val="clear" w:color="auto" w:fill="FFFFFF"/>
            <w:tcMar>
              <w:top w:w="0" w:type="dxa"/>
              <w:left w:w="0" w:type="dxa"/>
              <w:bottom w:w="0" w:type="dxa"/>
              <w:right w:w="0" w:type="dxa"/>
            </w:tcMar>
            <w:vAlign w:val="center"/>
          </w:tcPr>
          <w:p w14:paraId="287FC7B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63.5</w:t>
            </w:r>
          </w:p>
        </w:tc>
        <w:tc>
          <w:tcPr>
            <w:tcW w:w="495" w:type="dxa"/>
            <w:shd w:val="clear" w:color="auto" w:fill="FFFFFF"/>
            <w:tcMar>
              <w:top w:w="0" w:type="dxa"/>
              <w:left w:w="0" w:type="dxa"/>
              <w:bottom w:w="0" w:type="dxa"/>
              <w:right w:w="0" w:type="dxa"/>
            </w:tcMar>
            <w:vAlign w:val="center"/>
          </w:tcPr>
          <w:p w14:paraId="155DF6E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63.8</w:t>
            </w:r>
          </w:p>
        </w:tc>
        <w:tc>
          <w:tcPr>
            <w:tcW w:w="510" w:type="dxa"/>
            <w:shd w:val="clear" w:color="auto" w:fill="FFFFFF"/>
            <w:tcMar>
              <w:top w:w="0" w:type="dxa"/>
              <w:left w:w="0" w:type="dxa"/>
              <w:bottom w:w="0" w:type="dxa"/>
              <w:right w:w="0" w:type="dxa"/>
            </w:tcMar>
            <w:vAlign w:val="center"/>
          </w:tcPr>
          <w:p w14:paraId="72AB009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63.5</w:t>
            </w:r>
          </w:p>
        </w:tc>
        <w:tc>
          <w:tcPr>
            <w:tcW w:w="510" w:type="dxa"/>
            <w:vMerge w:val="continue"/>
            <w:shd w:val="clear" w:color="auto" w:fill="FFFFFF"/>
            <w:tcMar>
              <w:top w:w="0" w:type="dxa"/>
              <w:left w:w="0" w:type="dxa"/>
              <w:bottom w:w="0" w:type="dxa"/>
              <w:right w:w="0" w:type="dxa"/>
            </w:tcMar>
            <w:vAlign w:val="center"/>
          </w:tcPr>
          <w:p w14:paraId="583BB8B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465" w:type="dxa"/>
            <w:shd w:val="clear" w:color="auto" w:fill="FFFFFF"/>
            <w:tcMar>
              <w:top w:w="0" w:type="dxa"/>
              <w:left w:w="0" w:type="dxa"/>
              <w:bottom w:w="0" w:type="dxa"/>
              <w:right w:w="0" w:type="dxa"/>
            </w:tcMar>
            <w:vAlign w:val="center"/>
          </w:tcPr>
          <w:p w14:paraId="7370CFC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038E553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5A43958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28F248A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02" w:type="dxa"/>
            <w:shd w:val="clear" w:color="auto" w:fill="FFFFFF"/>
            <w:tcMar>
              <w:top w:w="0" w:type="dxa"/>
              <w:left w:w="0" w:type="dxa"/>
              <w:bottom w:w="0" w:type="dxa"/>
              <w:right w:w="0" w:type="dxa"/>
            </w:tcMar>
            <w:vAlign w:val="center"/>
          </w:tcPr>
          <w:p w14:paraId="57FB37A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42.6</w:t>
            </w:r>
          </w:p>
        </w:tc>
        <w:tc>
          <w:tcPr>
            <w:tcW w:w="425" w:type="dxa"/>
            <w:shd w:val="clear" w:color="auto" w:fill="FFFFFF"/>
            <w:tcMar>
              <w:top w:w="0" w:type="dxa"/>
              <w:left w:w="0" w:type="dxa"/>
              <w:bottom w:w="0" w:type="dxa"/>
              <w:right w:w="0" w:type="dxa"/>
            </w:tcMar>
            <w:vAlign w:val="center"/>
          </w:tcPr>
          <w:p w14:paraId="5388D88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42.5</w:t>
            </w:r>
          </w:p>
        </w:tc>
        <w:tc>
          <w:tcPr>
            <w:tcW w:w="435" w:type="dxa"/>
            <w:shd w:val="clear" w:color="auto" w:fill="FFFFFF"/>
            <w:tcMar>
              <w:top w:w="0" w:type="dxa"/>
              <w:left w:w="0" w:type="dxa"/>
              <w:bottom w:w="0" w:type="dxa"/>
              <w:right w:w="0" w:type="dxa"/>
            </w:tcMar>
            <w:vAlign w:val="center"/>
          </w:tcPr>
          <w:p w14:paraId="6D0A372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42.8</w:t>
            </w:r>
          </w:p>
        </w:tc>
        <w:tc>
          <w:tcPr>
            <w:tcW w:w="435" w:type="dxa"/>
            <w:shd w:val="clear" w:color="auto" w:fill="FFFFFF"/>
            <w:tcMar>
              <w:top w:w="0" w:type="dxa"/>
              <w:left w:w="0" w:type="dxa"/>
              <w:bottom w:w="0" w:type="dxa"/>
              <w:right w:w="0" w:type="dxa"/>
            </w:tcMar>
            <w:vAlign w:val="center"/>
          </w:tcPr>
          <w:p w14:paraId="79751FD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42.5</w:t>
            </w:r>
          </w:p>
        </w:tc>
        <w:tc>
          <w:tcPr>
            <w:tcW w:w="780" w:type="dxa"/>
            <w:vMerge w:val="continue"/>
            <w:shd w:val="clear" w:color="auto" w:fill="FFFFFF"/>
            <w:tcMar>
              <w:top w:w="0" w:type="dxa"/>
              <w:left w:w="0" w:type="dxa"/>
              <w:bottom w:w="0" w:type="dxa"/>
              <w:right w:w="0" w:type="dxa"/>
            </w:tcMar>
            <w:vAlign w:val="center"/>
          </w:tcPr>
          <w:p w14:paraId="5A23959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r>
      <w:tr w14:paraId="50BF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3" w:hRule="atLeast"/>
          <w:jc w:val="center"/>
        </w:trPr>
        <w:tc>
          <w:tcPr>
            <w:tcW w:w="420" w:type="dxa"/>
            <w:shd w:val="clear" w:color="auto" w:fill="FFFFFF"/>
            <w:tcMar>
              <w:top w:w="0" w:type="dxa"/>
              <w:left w:w="0" w:type="dxa"/>
              <w:bottom w:w="0" w:type="dxa"/>
              <w:right w:w="0" w:type="dxa"/>
            </w:tcMar>
            <w:vAlign w:val="center"/>
          </w:tcPr>
          <w:p w14:paraId="1138982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22</w:t>
            </w:r>
          </w:p>
        </w:tc>
        <w:tc>
          <w:tcPr>
            <w:tcW w:w="514" w:type="dxa"/>
            <w:vMerge w:val="continue"/>
            <w:shd w:val="clear" w:color="auto" w:fill="FFFFFF"/>
            <w:tcMar>
              <w:top w:w="0" w:type="dxa"/>
              <w:left w:w="0" w:type="dxa"/>
              <w:bottom w:w="0" w:type="dxa"/>
              <w:right w:w="0" w:type="dxa"/>
            </w:tcMar>
            <w:vAlign w:val="center"/>
          </w:tcPr>
          <w:p w14:paraId="026873B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c>
          <w:tcPr>
            <w:tcW w:w="825" w:type="dxa"/>
            <w:shd w:val="clear" w:color="auto" w:fill="FFFFFF"/>
            <w:tcMar>
              <w:top w:w="0" w:type="dxa"/>
              <w:left w:w="0" w:type="dxa"/>
              <w:bottom w:w="0" w:type="dxa"/>
              <w:right w:w="0" w:type="dxa"/>
            </w:tcMar>
            <w:vAlign w:val="center"/>
          </w:tcPr>
          <w:p w14:paraId="51C0CF9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切粒机</w:t>
            </w:r>
          </w:p>
        </w:tc>
        <w:tc>
          <w:tcPr>
            <w:tcW w:w="840" w:type="dxa"/>
            <w:shd w:val="clear" w:color="auto" w:fill="FFFFFF"/>
            <w:tcMar>
              <w:top w:w="0" w:type="dxa"/>
              <w:left w:w="0" w:type="dxa"/>
              <w:bottom w:w="0" w:type="dxa"/>
              <w:right w:w="0" w:type="dxa"/>
            </w:tcMar>
            <w:vAlign w:val="center"/>
          </w:tcPr>
          <w:p w14:paraId="4C6A929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75</w:t>
            </w:r>
          </w:p>
        </w:tc>
        <w:tc>
          <w:tcPr>
            <w:tcW w:w="675" w:type="dxa"/>
            <w:vMerge w:val="continue"/>
            <w:shd w:val="clear" w:color="auto" w:fill="FFFFFF"/>
            <w:tcMar>
              <w:top w:w="0" w:type="dxa"/>
              <w:left w:w="0" w:type="dxa"/>
              <w:bottom w:w="0" w:type="dxa"/>
              <w:right w:w="0" w:type="dxa"/>
            </w:tcMar>
            <w:vAlign w:val="center"/>
          </w:tcPr>
          <w:p w14:paraId="335B8B0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510" w:type="dxa"/>
            <w:shd w:val="clear" w:color="auto" w:fill="FFFFFF"/>
            <w:tcMar>
              <w:top w:w="0" w:type="dxa"/>
              <w:left w:w="0" w:type="dxa"/>
              <w:bottom w:w="0" w:type="dxa"/>
              <w:right w:w="0" w:type="dxa"/>
            </w:tcMar>
            <w:vAlign w:val="center"/>
          </w:tcPr>
          <w:p w14:paraId="5DA6BF8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5.8</w:t>
            </w:r>
          </w:p>
        </w:tc>
        <w:tc>
          <w:tcPr>
            <w:tcW w:w="390" w:type="dxa"/>
            <w:shd w:val="clear" w:color="auto" w:fill="FFFFFF"/>
            <w:tcMar>
              <w:top w:w="0" w:type="dxa"/>
              <w:left w:w="0" w:type="dxa"/>
              <w:bottom w:w="0" w:type="dxa"/>
              <w:right w:w="0" w:type="dxa"/>
            </w:tcMar>
            <w:vAlign w:val="center"/>
          </w:tcPr>
          <w:p w14:paraId="418FD15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-10.4</w:t>
            </w:r>
          </w:p>
        </w:tc>
        <w:tc>
          <w:tcPr>
            <w:tcW w:w="420" w:type="dxa"/>
            <w:shd w:val="clear" w:color="auto" w:fill="FFFFFF"/>
            <w:tcMar>
              <w:top w:w="0" w:type="dxa"/>
              <w:left w:w="0" w:type="dxa"/>
              <w:bottom w:w="0" w:type="dxa"/>
              <w:right w:w="0" w:type="dxa"/>
            </w:tcMar>
            <w:vAlign w:val="center"/>
          </w:tcPr>
          <w:p w14:paraId="322CF60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1.0</w:t>
            </w:r>
          </w:p>
        </w:tc>
        <w:tc>
          <w:tcPr>
            <w:tcW w:w="435" w:type="dxa"/>
            <w:shd w:val="clear" w:color="auto" w:fill="FFFFFF"/>
            <w:tcMar>
              <w:top w:w="0" w:type="dxa"/>
              <w:left w:w="0" w:type="dxa"/>
              <w:bottom w:w="0" w:type="dxa"/>
              <w:right w:w="0" w:type="dxa"/>
            </w:tcMar>
            <w:vAlign w:val="center"/>
          </w:tcPr>
          <w:p w14:paraId="4EFC0A0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5.3</w:t>
            </w:r>
          </w:p>
        </w:tc>
        <w:tc>
          <w:tcPr>
            <w:tcW w:w="435" w:type="dxa"/>
            <w:shd w:val="clear" w:color="auto" w:fill="FFFFFF"/>
            <w:tcMar>
              <w:top w:w="0" w:type="dxa"/>
              <w:left w:w="0" w:type="dxa"/>
              <w:bottom w:w="0" w:type="dxa"/>
              <w:right w:w="0" w:type="dxa"/>
            </w:tcMar>
            <w:vAlign w:val="center"/>
          </w:tcPr>
          <w:p w14:paraId="543AFF8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10.6</w:t>
            </w:r>
          </w:p>
        </w:tc>
        <w:tc>
          <w:tcPr>
            <w:tcW w:w="465" w:type="dxa"/>
            <w:shd w:val="clear" w:color="auto" w:fill="FFFFFF"/>
            <w:tcMar>
              <w:top w:w="0" w:type="dxa"/>
              <w:left w:w="0" w:type="dxa"/>
              <w:bottom w:w="0" w:type="dxa"/>
              <w:right w:w="0" w:type="dxa"/>
            </w:tcMar>
            <w:vAlign w:val="center"/>
          </w:tcPr>
          <w:p w14:paraId="3D94AF0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6.6</w:t>
            </w:r>
          </w:p>
        </w:tc>
        <w:tc>
          <w:tcPr>
            <w:tcW w:w="450" w:type="dxa"/>
            <w:shd w:val="clear" w:color="auto" w:fill="FFFFFF"/>
            <w:tcMar>
              <w:top w:w="0" w:type="dxa"/>
              <w:left w:w="0" w:type="dxa"/>
              <w:bottom w:w="0" w:type="dxa"/>
              <w:right w:w="0" w:type="dxa"/>
            </w:tcMar>
            <w:vAlign w:val="center"/>
          </w:tcPr>
          <w:p w14:paraId="0B95D91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16.2</w:t>
            </w:r>
          </w:p>
        </w:tc>
        <w:tc>
          <w:tcPr>
            <w:tcW w:w="525" w:type="dxa"/>
            <w:shd w:val="clear" w:color="auto" w:fill="FFFFFF"/>
            <w:tcMar>
              <w:top w:w="0" w:type="dxa"/>
              <w:left w:w="0" w:type="dxa"/>
              <w:bottom w:w="0" w:type="dxa"/>
              <w:right w:w="0" w:type="dxa"/>
            </w:tcMar>
            <w:vAlign w:val="center"/>
          </w:tcPr>
          <w:p w14:paraId="158D19C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63.6</w:t>
            </w:r>
          </w:p>
        </w:tc>
        <w:tc>
          <w:tcPr>
            <w:tcW w:w="540" w:type="dxa"/>
            <w:shd w:val="clear" w:color="auto" w:fill="FFFFFF"/>
            <w:tcMar>
              <w:top w:w="0" w:type="dxa"/>
              <w:left w:w="0" w:type="dxa"/>
              <w:bottom w:w="0" w:type="dxa"/>
              <w:right w:w="0" w:type="dxa"/>
            </w:tcMar>
            <w:vAlign w:val="center"/>
          </w:tcPr>
          <w:p w14:paraId="3793546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63.5</w:t>
            </w:r>
          </w:p>
        </w:tc>
        <w:tc>
          <w:tcPr>
            <w:tcW w:w="495" w:type="dxa"/>
            <w:shd w:val="clear" w:color="auto" w:fill="FFFFFF"/>
            <w:tcMar>
              <w:top w:w="0" w:type="dxa"/>
              <w:left w:w="0" w:type="dxa"/>
              <w:bottom w:w="0" w:type="dxa"/>
              <w:right w:w="0" w:type="dxa"/>
            </w:tcMar>
            <w:vAlign w:val="center"/>
          </w:tcPr>
          <w:p w14:paraId="7A4AA2B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63.6</w:t>
            </w:r>
          </w:p>
        </w:tc>
        <w:tc>
          <w:tcPr>
            <w:tcW w:w="510" w:type="dxa"/>
            <w:shd w:val="clear" w:color="auto" w:fill="FFFFFF"/>
            <w:tcMar>
              <w:top w:w="0" w:type="dxa"/>
              <w:left w:w="0" w:type="dxa"/>
              <w:bottom w:w="0" w:type="dxa"/>
              <w:right w:w="0" w:type="dxa"/>
            </w:tcMar>
            <w:vAlign w:val="center"/>
          </w:tcPr>
          <w:p w14:paraId="6615C40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63.5</w:t>
            </w:r>
          </w:p>
        </w:tc>
        <w:tc>
          <w:tcPr>
            <w:tcW w:w="510" w:type="dxa"/>
            <w:vMerge w:val="continue"/>
            <w:shd w:val="clear" w:color="auto" w:fill="FFFFFF"/>
            <w:tcMar>
              <w:top w:w="0" w:type="dxa"/>
              <w:left w:w="0" w:type="dxa"/>
              <w:bottom w:w="0" w:type="dxa"/>
              <w:right w:w="0" w:type="dxa"/>
            </w:tcMar>
            <w:vAlign w:val="center"/>
          </w:tcPr>
          <w:p w14:paraId="037F941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465" w:type="dxa"/>
            <w:shd w:val="clear" w:color="auto" w:fill="FFFFFF"/>
            <w:tcMar>
              <w:top w:w="0" w:type="dxa"/>
              <w:left w:w="0" w:type="dxa"/>
              <w:bottom w:w="0" w:type="dxa"/>
              <w:right w:w="0" w:type="dxa"/>
            </w:tcMar>
            <w:vAlign w:val="center"/>
          </w:tcPr>
          <w:p w14:paraId="255CA9B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16E469D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37CCA4F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780F19D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02" w:type="dxa"/>
            <w:shd w:val="clear" w:color="auto" w:fill="FFFFFF"/>
            <w:tcMar>
              <w:top w:w="0" w:type="dxa"/>
              <w:left w:w="0" w:type="dxa"/>
              <w:bottom w:w="0" w:type="dxa"/>
              <w:right w:w="0" w:type="dxa"/>
            </w:tcMar>
            <w:vAlign w:val="center"/>
          </w:tcPr>
          <w:p w14:paraId="2029106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42.6</w:t>
            </w:r>
          </w:p>
        </w:tc>
        <w:tc>
          <w:tcPr>
            <w:tcW w:w="425" w:type="dxa"/>
            <w:shd w:val="clear" w:color="auto" w:fill="FFFFFF"/>
            <w:tcMar>
              <w:top w:w="0" w:type="dxa"/>
              <w:left w:w="0" w:type="dxa"/>
              <w:bottom w:w="0" w:type="dxa"/>
              <w:right w:w="0" w:type="dxa"/>
            </w:tcMar>
            <w:vAlign w:val="center"/>
          </w:tcPr>
          <w:p w14:paraId="0D0861B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42.5</w:t>
            </w:r>
          </w:p>
        </w:tc>
        <w:tc>
          <w:tcPr>
            <w:tcW w:w="435" w:type="dxa"/>
            <w:shd w:val="clear" w:color="auto" w:fill="FFFFFF"/>
            <w:tcMar>
              <w:top w:w="0" w:type="dxa"/>
              <w:left w:w="0" w:type="dxa"/>
              <w:bottom w:w="0" w:type="dxa"/>
              <w:right w:w="0" w:type="dxa"/>
            </w:tcMar>
            <w:vAlign w:val="center"/>
          </w:tcPr>
          <w:p w14:paraId="331DF99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42.6</w:t>
            </w:r>
          </w:p>
        </w:tc>
        <w:tc>
          <w:tcPr>
            <w:tcW w:w="435" w:type="dxa"/>
            <w:shd w:val="clear" w:color="auto" w:fill="FFFFFF"/>
            <w:tcMar>
              <w:top w:w="0" w:type="dxa"/>
              <w:left w:w="0" w:type="dxa"/>
              <w:bottom w:w="0" w:type="dxa"/>
              <w:right w:w="0" w:type="dxa"/>
            </w:tcMar>
            <w:vAlign w:val="center"/>
          </w:tcPr>
          <w:p w14:paraId="37FFF9C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42.5</w:t>
            </w:r>
          </w:p>
        </w:tc>
        <w:tc>
          <w:tcPr>
            <w:tcW w:w="780" w:type="dxa"/>
            <w:vMerge w:val="continue"/>
            <w:shd w:val="clear" w:color="auto" w:fill="FFFFFF"/>
            <w:tcMar>
              <w:top w:w="0" w:type="dxa"/>
              <w:left w:w="0" w:type="dxa"/>
              <w:bottom w:w="0" w:type="dxa"/>
              <w:right w:w="0" w:type="dxa"/>
            </w:tcMar>
            <w:vAlign w:val="center"/>
          </w:tcPr>
          <w:p w14:paraId="5D17FDA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r>
      <w:tr w14:paraId="61F6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3" w:hRule="atLeast"/>
          <w:jc w:val="center"/>
        </w:trPr>
        <w:tc>
          <w:tcPr>
            <w:tcW w:w="420" w:type="dxa"/>
            <w:shd w:val="clear" w:color="auto" w:fill="FFFFFF"/>
            <w:tcMar>
              <w:top w:w="0" w:type="dxa"/>
              <w:left w:w="0" w:type="dxa"/>
              <w:bottom w:w="0" w:type="dxa"/>
              <w:right w:w="0" w:type="dxa"/>
            </w:tcMar>
            <w:vAlign w:val="center"/>
          </w:tcPr>
          <w:p w14:paraId="05775DF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23</w:t>
            </w:r>
          </w:p>
        </w:tc>
        <w:tc>
          <w:tcPr>
            <w:tcW w:w="514" w:type="dxa"/>
            <w:vMerge w:val="continue"/>
            <w:shd w:val="clear" w:color="auto" w:fill="FFFFFF"/>
            <w:tcMar>
              <w:top w:w="0" w:type="dxa"/>
              <w:left w:w="0" w:type="dxa"/>
              <w:bottom w:w="0" w:type="dxa"/>
              <w:right w:w="0" w:type="dxa"/>
            </w:tcMar>
            <w:vAlign w:val="center"/>
          </w:tcPr>
          <w:p w14:paraId="08A4440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c>
          <w:tcPr>
            <w:tcW w:w="825" w:type="dxa"/>
            <w:shd w:val="clear" w:color="auto" w:fill="FFFFFF"/>
            <w:tcMar>
              <w:top w:w="0" w:type="dxa"/>
              <w:left w:w="0" w:type="dxa"/>
              <w:bottom w:w="0" w:type="dxa"/>
              <w:right w:w="0" w:type="dxa"/>
            </w:tcMar>
            <w:vAlign w:val="center"/>
          </w:tcPr>
          <w:p w14:paraId="18AD55E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切粒机</w:t>
            </w:r>
          </w:p>
        </w:tc>
        <w:tc>
          <w:tcPr>
            <w:tcW w:w="840" w:type="dxa"/>
            <w:shd w:val="clear" w:color="auto" w:fill="FFFFFF"/>
            <w:tcMar>
              <w:top w:w="0" w:type="dxa"/>
              <w:left w:w="0" w:type="dxa"/>
              <w:bottom w:w="0" w:type="dxa"/>
              <w:right w:w="0" w:type="dxa"/>
            </w:tcMar>
            <w:vAlign w:val="center"/>
          </w:tcPr>
          <w:p w14:paraId="4B6B309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75</w:t>
            </w:r>
          </w:p>
        </w:tc>
        <w:tc>
          <w:tcPr>
            <w:tcW w:w="675" w:type="dxa"/>
            <w:vMerge w:val="continue"/>
            <w:shd w:val="clear" w:color="auto" w:fill="FFFFFF"/>
            <w:tcMar>
              <w:top w:w="0" w:type="dxa"/>
              <w:left w:w="0" w:type="dxa"/>
              <w:bottom w:w="0" w:type="dxa"/>
              <w:right w:w="0" w:type="dxa"/>
            </w:tcMar>
            <w:vAlign w:val="center"/>
          </w:tcPr>
          <w:p w14:paraId="4391F86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510" w:type="dxa"/>
            <w:shd w:val="clear" w:color="auto" w:fill="FFFFFF"/>
            <w:tcMar>
              <w:top w:w="0" w:type="dxa"/>
              <w:left w:w="0" w:type="dxa"/>
              <w:bottom w:w="0" w:type="dxa"/>
              <w:right w:w="0" w:type="dxa"/>
            </w:tcMar>
            <w:vAlign w:val="center"/>
          </w:tcPr>
          <w:p w14:paraId="0A0E6BF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4.8</w:t>
            </w:r>
          </w:p>
        </w:tc>
        <w:tc>
          <w:tcPr>
            <w:tcW w:w="390" w:type="dxa"/>
            <w:shd w:val="clear" w:color="auto" w:fill="FFFFFF"/>
            <w:tcMar>
              <w:top w:w="0" w:type="dxa"/>
              <w:left w:w="0" w:type="dxa"/>
              <w:bottom w:w="0" w:type="dxa"/>
              <w:right w:w="0" w:type="dxa"/>
            </w:tcMar>
            <w:vAlign w:val="center"/>
          </w:tcPr>
          <w:p w14:paraId="02988E2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-12.3</w:t>
            </w:r>
          </w:p>
        </w:tc>
        <w:tc>
          <w:tcPr>
            <w:tcW w:w="420" w:type="dxa"/>
            <w:shd w:val="clear" w:color="auto" w:fill="FFFFFF"/>
            <w:tcMar>
              <w:top w:w="0" w:type="dxa"/>
              <w:left w:w="0" w:type="dxa"/>
              <w:bottom w:w="0" w:type="dxa"/>
              <w:right w:w="0" w:type="dxa"/>
            </w:tcMar>
            <w:vAlign w:val="center"/>
          </w:tcPr>
          <w:p w14:paraId="2C61D91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1.0</w:t>
            </w:r>
          </w:p>
        </w:tc>
        <w:tc>
          <w:tcPr>
            <w:tcW w:w="435" w:type="dxa"/>
            <w:shd w:val="clear" w:color="auto" w:fill="FFFFFF"/>
            <w:tcMar>
              <w:top w:w="0" w:type="dxa"/>
              <w:left w:w="0" w:type="dxa"/>
              <w:bottom w:w="0" w:type="dxa"/>
              <w:right w:w="0" w:type="dxa"/>
            </w:tcMar>
            <w:vAlign w:val="center"/>
          </w:tcPr>
          <w:p w14:paraId="0E2A444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6.0</w:t>
            </w:r>
          </w:p>
        </w:tc>
        <w:tc>
          <w:tcPr>
            <w:tcW w:w="435" w:type="dxa"/>
            <w:shd w:val="clear" w:color="auto" w:fill="FFFFFF"/>
            <w:tcMar>
              <w:top w:w="0" w:type="dxa"/>
              <w:left w:w="0" w:type="dxa"/>
              <w:bottom w:w="0" w:type="dxa"/>
              <w:right w:w="0" w:type="dxa"/>
            </w:tcMar>
            <w:vAlign w:val="center"/>
          </w:tcPr>
          <w:p w14:paraId="772E958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8.6</w:t>
            </w:r>
          </w:p>
        </w:tc>
        <w:tc>
          <w:tcPr>
            <w:tcW w:w="465" w:type="dxa"/>
            <w:shd w:val="clear" w:color="auto" w:fill="FFFFFF"/>
            <w:tcMar>
              <w:top w:w="0" w:type="dxa"/>
              <w:left w:w="0" w:type="dxa"/>
              <w:bottom w:w="0" w:type="dxa"/>
              <w:right w:w="0" w:type="dxa"/>
            </w:tcMar>
            <w:vAlign w:val="center"/>
          </w:tcPr>
          <w:p w14:paraId="611CF97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8.6</w:t>
            </w:r>
          </w:p>
        </w:tc>
        <w:tc>
          <w:tcPr>
            <w:tcW w:w="450" w:type="dxa"/>
            <w:shd w:val="clear" w:color="auto" w:fill="FFFFFF"/>
            <w:tcMar>
              <w:top w:w="0" w:type="dxa"/>
              <w:left w:w="0" w:type="dxa"/>
              <w:bottom w:w="0" w:type="dxa"/>
              <w:right w:w="0" w:type="dxa"/>
            </w:tcMar>
            <w:vAlign w:val="center"/>
          </w:tcPr>
          <w:p w14:paraId="2CF6C9D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17.0</w:t>
            </w:r>
          </w:p>
        </w:tc>
        <w:tc>
          <w:tcPr>
            <w:tcW w:w="525" w:type="dxa"/>
            <w:shd w:val="clear" w:color="auto" w:fill="FFFFFF"/>
            <w:tcMar>
              <w:top w:w="0" w:type="dxa"/>
              <w:left w:w="0" w:type="dxa"/>
              <w:bottom w:w="0" w:type="dxa"/>
              <w:right w:w="0" w:type="dxa"/>
            </w:tcMar>
            <w:vAlign w:val="center"/>
          </w:tcPr>
          <w:p w14:paraId="2A623C2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63.6</w:t>
            </w:r>
          </w:p>
        </w:tc>
        <w:tc>
          <w:tcPr>
            <w:tcW w:w="540" w:type="dxa"/>
            <w:shd w:val="clear" w:color="auto" w:fill="FFFFFF"/>
            <w:tcMar>
              <w:top w:w="0" w:type="dxa"/>
              <w:left w:w="0" w:type="dxa"/>
              <w:bottom w:w="0" w:type="dxa"/>
              <w:right w:w="0" w:type="dxa"/>
            </w:tcMar>
            <w:vAlign w:val="center"/>
          </w:tcPr>
          <w:p w14:paraId="21B8C54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63.5</w:t>
            </w:r>
          </w:p>
        </w:tc>
        <w:tc>
          <w:tcPr>
            <w:tcW w:w="495" w:type="dxa"/>
            <w:shd w:val="clear" w:color="auto" w:fill="FFFFFF"/>
            <w:tcMar>
              <w:top w:w="0" w:type="dxa"/>
              <w:left w:w="0" w:type="dxa"/>
              <w:bottom w:w="0" w:type="dxa"/>
              <w:right w:w="0" w:type="dxa"/>
            </w:tcMar>
            <w:vAlign w:val="center"/>
          </w:tcPr>
          <w:p w14:paraId="33B2A39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63.5</w:t>
            </w:r>
          </w:p>
        </w:tc>
        <w:tc>
          <w:tcPr>
            <w:tcW w:w="510" w:type="dxa"/>
            <w:shd w:val="clear" w:color="auto" w:fill="FFFFFF"/>
            <w:tcMar>
              <w:top w:w="0" w:type="dxa"/>
              <w:left w:w="0" w:type="dxa"/>
              <w:bottom w:w="0" w:type="dxa"/>
              <w:right w:w="0" w:type="dxa"/>
            </w:tcMar>
            <w:vAlign w:val="center"/>
          </w:tcPr>
          <w:p w14:paraId="30D47D8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63.5</w:t>
            </w:r>
          </w:p>
        </w:tc>
        <w:tc>
          <w:tcPr>
            <w:tcW w:w="510" w:type="dxa"/>
            <w:vMerge w:val="continue"/>
            <w:shd w:val="clear" w:color="auto" w:fill="FFFFFF"/>
            <w:tcMar>
              <w:top w:w="0" w:type="dxa"/>
              <w:left w:w="0" w:type="dxa"/>
              <w:bottom w:w="0" w:type="dxa"/>
              <w:right w:w="0" w:type="dxa"/>
            </w:tcMar>
            <w:vAlign w:val="center"/>
          </w:tcPr>
          <w:p w14:paraId="2C865CA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465" w:type="dxa"/>
            <w:shd w:val="clear" w:color="auto" w:fill="FFFFFF"/>
            <w:tcMar>
              <w:top w:w="0" w:type="dxa"/>
              <w:left w:w="0" w:type="dxa"/>
              <w:bottom w:w="0" w:type="dxa"/>
              <w:right w:w="0" w:type="dxa"/>
            </w:tcMar>
            <w:vAlign w:val="center"/>
          </w:tcPr>
          <w:p w14:paraId="2701B01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22E9DDF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64D2137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1B6E17D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02" w:type="dxa"/>
            <w:shd w:val="clear" w:color="auto" w:fill="FFFFFF"/>
            <w:tcMar>
              <w:top w:w="0" w:type="dxa"/>
              <w:left w:w="0" w:type="dxa"/>
              <w:bottom w:w="0" w:type="dxa"/>
              <w:right w:w="0" w:type="dxa"/>
            </w:tcMar>
            <w:vAlign w:val="center"/>
          </w:tcPr>
          <w:p w14:paraId="78AB659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42.6</w:t>
            </w:r>
          </w:p>
        </w:tc>
        <w:tc>
          <w:tcPr>
            <w:tcW w:w="425" w:type="dxa"/>
            <w:shd w:val="clear" w:color="auto" w:fill="FFFFFF"/>
            <w:tcMar>
              <w:top w:w="0" w:type="dxa"/>
              <w:left w:w="0" w:type="dxa"/>
              <w:bottom w:w="0" w:type="dxa"/>
              <w:right w:w="0" w:type="dxa"/>
            </w:tcMar>
            <w:vAlign w:val="center"/>
          </w:tcPr>
          <w:p w14:paraId="4616384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42.5</w:t>
            </w:r>
          </w:p>
        </w:tc>
        <w:tc>
          <w:tcPr>
            <w:tcW w:w="435" w:type="dxa"/>
            <w:shd w:val="clear" w:color="auto" w:fill="FFFFFF"/>
            <w:tcMar>
              <w:top w:w="0" w:type="dxa"/>
              <w:left w:w="0" w:type="dxa"/>
              <w:bottom w:w="0" w:type="dxa"/>
              <w:right w:w="0" w:type="dxa"/>
            </w:tcMar>
            <w:vAlign w:val="center"/>
          </w:tcPr>
          <w:p w14:paraId="444614B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42.5</w:t>
            </w:r>
          </w:p>
        </w:tc>
        <w:tc>
          <w:tcPr>
            <w:tcW w:w="435" w:type="dxa"/>
            <w:shd w:val="clear" w:color="auto" w:fill="FFFFFF"/>
            <w:tcMar>
              <w:top w:w="0" w:type="dxa"/>
              <w:left w:w="0" w:type="dxa"/>
              <w:bottom w:w="0" w:type="dxa"/>
              <w:right w:w="0" w:type="dxa"/>
            </w:tcMar>
            <w:vAlign w:val="center"/>
          </w:tcPr>
          <w:p w14:paraId="755DDA0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42.5</w:t>
            </w:r>
          </w:p>
        </w:tc>
        <w:tc>
          <w:tcPr>
            <w:tcW w:w="780" w:type="dxa"/>
            <w:vMerge w:val="continue"/>
            <w:shd w:val="clear" w:color="auto" w:fill="FFFFFF"/>
            <w:tcMar>
              <w:top w:w="0" w:type="dxa"/>
              <w:left w:w="0" w:type="dxa"/>
              <w:bottom w:w="0" w:type="dxa"/>
              <w:right w:w="0" w:type="dxa"/>
            </w:tcMar>
            <w:vAlign w:val="center"/>
          </w:tcPr>
          <w:p w14:paraId="41E7528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r>
      <w:tr w14:paraId="3954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3" w:hRule="atLeast"/>
          <w:jc w:val="center"/>
        </w:trPr>
        <w:tc>
          <w:tcPr>
            <w:tcW w:w="420" w:type="dxa"/>
            <w:shd w:val="clear" w:color="auto" w:fill="FFFFFF"/>
            <w:tcMar>
              <w:top w:w="0" w:type="dxa"/>
              <w:left w:w="0" w:type="dxa"/>
              <w:bottom w:w="0" w:type="dxa"/>
              <w:right w:w="0" w:type="dxa"/>
            </w:tcMar>
            <w:vAlign w:val="center"/>
          </w:tcPr>
          <w:p w14:paraId="06E5F4B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24</w:t>
            </w:r>
          </w:p>
        </w:tc>
        <w:tc>
          <w:tcPr>
            <w:tcW w:w="514" w:type="dxa"/>
            <w:vMerge w:val="continue"/>
            <w:shd w:val="clear" w:color="auto" w:fill="FFFFFF"/>
            <w:tcMar>
              <w:top w:w="0" w:type="dxa"/>
              <w:left w:w="0" w:type="dxa"/>
              <w:bottom w:w="0" w:type="dxa"/>
              <w:right w:w="0" w:type="dxa"/>
            </w:tcMar>
            <w:vAlign w:val="center"/>
          </w:tcPr>
          <w:p w14:paraId="7BA337A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c>
          <w:tcPr>
            <w:tcW w:w="825" w:type="dxa"/>
            <w:shd w:val="clear" w:color="auto" w:fill="FFFFFF"/>
            <w:tcMar>
              <w:top w:w="0" w:type="dxa"/>
              <w:left w:w="0" w:type="dxa"/>
              <w:bottom w:w="0" w:type="dxa"/>
              <w:right w:w="0" w:type="dxa"/>
            </w:tcMar>
            <w:vAlign w:val="center"/>
          </w:tcPr>
          <w:p w14:paraId="02D929E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吹风振动机</w:t>
            </w:r>
          </w:p>
        </w:tc>
        <w:tc>
          <w:tcPr>
            <w:tcW w:w="840" w:type="dxa"/>
            <w:shd w:val="clear" w:color="auto" w:fill="FFFFFF"/>
            <w:tcMar>
              <w:top w:w="0" w:type="dxa"/>
              <w:left w:w="0" w:type="dxa"/>
              <w:bottom w:w="0" w:type="dxa"/>
              <w:right w:w="0" w:type="dxa"/>
            </w:tcMar>
            <w:vAlign w:val="center"/>
          </w:tcPr>
          <w:p w14:paraId="3F3728F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80</w:t>
            </w:r>
          </w:p>
        </w:tc>
        <w:tc>
          <w:tcPr>
            <w:tcW w:w="675" w:type="dxa"/>
            <w:vMerge w:val="continue"/>
            <w:shd w:val="clear" w:color="auto" w:fill="FFFFFF"/>
            <w:tcMar>
              <w:top w:w="0" w:type="dxa"/>
              <w:left w:w="0" w:type="dxa"/>
              <w:bottom w:w="0" w:type="dxa"/>
              <w:right w:w="0" w:type="dxa"/>
            </w:tcMar>
            <w:vAlign w:val="center"/>
          </w:tcPr>
          <w:p w14:paraId="5551102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510" w:type="dxa"/>
            <w:shd w:val="clear" w:color="auto" w:fill="FFFFFF"/>
            <w:tcMar>
              <w:top w:w="0" w:type="dxa"/>
              <w:left w:w="0" w:type="dxa"/>
              <w:bottom w:w="0" w:type="dxa"/>
              <w:right w:w="0" w:type="dxa"/>
            </w:tcMar>
            <w:vAlign w:val="center"/>
          </w:tcPr>
          <w:p w14:paraId="60C9BC5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8.4</w:t>
            </w:r>
          </w:p>
        </w:tc>
        <w:tc>
          <w:tcPr>
            <w:tcW w:w="390" w:type="dxa"/>
            <w:shd w:val="clear" w:color="auto" w:fill="FFFFFF"/>
            <w:tcMar>
              <w:top w:w="0" w:type="dxa"/>
              <w:left w:w="0" w:type="dxa"/>
              <w:bottom w:w="0" w:type="dxa"/>
              <w:right w:w="0" w:type="dxa"/>
            </w:tcMar>
            <w:vAlign w:val="center"/>
          </w:tcPr>
          <w:p w14:paraId="4029A56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-8.2</w:t>
            </w:r>
          </w:p>
        </w:tc>
        <w:tc>
          <w:tcPr>
            <w:tcW w:w="420" w:type="dxa"/>
            <w:shd w:val="clear" w:color="auto" w:fill="FFFFFF"/>
            <w:tcMar>
              <w:top w:w="0" w:type="dxa"/>
              <w:left w:w="0" w:type="dxa"/>
              <w:bottom w:w="0" w:type="dxa"/>
              <w:right w:w="0" w:type="dxa"/>
            </w:tcMar>
            <w:vAlign w:val="center"/>
          </w:tcPr>
          <w:p w14:paraId="0E71FF1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0.5</w:t>
            </w:r>
          </w:p>
        </w:tc>
        <w:tc>
          <w:tcPr>
            <w:tcW w:w="435" w:type="dxa"/>
            <w:shd w:val="clear" w:color="auto" w:fill="FFFFFF"/>
            <w:tcMar>
              <w:top w:w="0" w:type="dxa"/>
              <w:left w:w="0" w:type="dxa"/>
              <w:bottom w:w="0" w:type="dxa"/>
              <w:right w:w="0" w:type="dxa"/>
            </w:tcMar>
            <w:vAlign w:val="center"/>
          </w:tcPr>
          <w:p w14:paraId="45CC130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3.0</w:t>
            </w:r>
          </w:p>
        </w:tc>
        <w:tc>
          <w:tcPr>
            <w:tcW w:w="435" w:type="dxa"/>
            <w:shd w:val="clear" w:color="auto" w:fill="FFFFFF"/>
            <w:tcMar>
              <w:top w:w="0" w:type="dxa"/>
              <w:left w:w="0" w:type="dxa"/>
              <w:bottom w:w="0" w:type="dxa"/>
              <w:right w:w="0" w:type="dxa"/>
            </w:tcMar>
            <w:vAlign w:val="center"/>
          </w:tcPr>
          <w:p w14:paraId="7336FF0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13.1</w:t>
            </w:r>
          </w:p>
        </w:tc>
        <w:tc>
          <w:tcPr>
            <w:tcW w:w="465" w:type="dxa"/>
            <w:shd w:val="clear" w:color="auto" w:fill="FFFFFF"/>
            <w:tcMar>
              <w:top w:w="0" w:type="dxa"/>
              <w:left w:w="0" w:type="dxa"/>
              <w:bottom w:w="0" w:type="dxa"/>
              <w:right w:w="0" w:type="dxa"/>
            </w:tcMar>
            <w:vAlign w:val="center"/>
          </w:tcPr>
          <w:p w14:paraId="0C6CEFD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w:t>
            </w:r>
          </w:p>
        </w:tc>
        <w:tc>
          <w:tcPr>
            <w:tcW w:w="450" w:type="dxa"/>
            <w:shd w:val="clear" w:color="auto" w:fill="FFFFFF"/>
            <w:tcMar>
              <w:top w:w="0" w:type="dxa"/>
              <w:left w:w="0" w:type="dxa"/>
              <w:bottom w:w="0" w:type="dxa"/>
              <w:right w:w="0" w:type="dxa"/>
            </w:tcMar>
            <w:vAlign w:val="center"/>
          </w:tcPr>
          <w:p w14:paraId="3341C7D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13.9</w:t>
            </w:r>
          </w:p>
        </w:tc>
        <w:tc>
          <w:tcPr>
            <w:tcW w:w="525" w:type="dxa"/>
            <w:shd w:val="clear" w:color="auto" w:fill="FFFFFF"/>
            <w:tcMar>
              <w:top w:w="0" w:type="dxa"/>
              <w:left w:w="0" w:type="dxa"/>
              <w:bottom w:w="0" w:type="dxa"/>
              <w:right w:w="0" w:type="dxa"/>
            </w:tcMar>
            <w:vAlign w:val="center"/>
          </w:tcPr>
          <w:p w14:paraId="0E0B32B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69.0</w:t>
            </w:r>
          </w:p>
        </w:tc>
        <w:tc>
          <w:tcPr>
            <w:tcW w:w="540" w:type="dxa"/>
            <w:shd w:val="clear" w:color="auto" w:fill="FFFFFF"/>
            <w:tcMar>
              <w:top w:w="0" w:type="dxa"/>
              <w:left w:w="0" w:type="dxa"/>
              <w:bottom w:w="0" w:type="dxa"/>
              <w:right w:w="0" w:type="dxa"/>
            </w:tcMar>
            <w:vAlign w:val="center"/>
          </w:tcPr>
          <w:p w14:paraId="2F15DE4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68.5</w:t>
            </w:r>
          </w:p>
        </w:tc>
        <w:tc>
          <w:tcPr>
            <w:tcW w:w="495" w:type="dxa"/>
            <w:shd w:val="clear" w:color="auto" w:fill="FFFFFF"/>
            <w:tcMar>
              <w:top w:w="0" w:type="dxa"/>
              <w:left w:w="0" w:type="dxa"/>
              <w:bottom w:w="0" w:type="dxa"/>
              <w:right w:w="0" w:type="dxa"/>
            </w:tcMar>
            <w:vAlign w:val="center"/>
          </w:tcPr>
          <w:p w14:paraId="662A9A2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68.7</w:t>
            </w:r>
          </w:p>
        </w:tc>
        <w:tc>
          <w:tcPr>
            <w:tcW w:w="510" w:type="dxa"/>
            <w:shd w:val="clear" w:color="auto" w:fill="FFFFFF"/>
            <w:tcMar>
              <w:top w:w="0" w:type="dxa"/>
              <w:left w:w="0" w:type="dxa"/>
              <w:bottom w:w="0" w:type="dxa"/>
              <w:right w:w="0" w:type="dxa"/>
            </w:tcMar>
            <w:vAlign w:val="center"/>
          </w:tcPr>
          <w:p w14:paraId="27D998D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68.5</w:t>
            </w:r>
          </w:p>
        </w:tc>
        <w:tc>
          <w:tcPr>
            <w:tcW w:w="510" w:type="dxa"/>
            <w:vMerge w:val="continue"/>
            <w:shd w:val="clear" w:color="auto" w:fill="FFFFFF"/>
            <w:tcMar>
              <w:top w:w="0" w:type="dxa"/>
              <w:left w:w="0" w:type="dxa"/>
              <w:bottom w:w="0" w:type="dxa"/>
              <w:right w:w="0" w:type="dxa"/>
            </w:tcMar>
            <w:vAlign w:val="center"/>
          </w:tcPr>
          <w:p w14:paraId="4C36F84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465" w:type="dxa"/>
            <w:shd w:val="clear" w:color="auto" w:fill="FFFFFF"/>
            <w:tcMar>
              <w:top w:w="0" w:type="dxa"/>
              <w:left w:w="0" w:type="dxa"/>
              <w:bottom w:w="0" w:type="dxa"/>
              <w:right w:w="0" w:type="dxa"/>
            </w:tcMar>
            <w:vAlign w:val="center"/>
          </w:tcPr>
          <w:p w14:paraId="2C1449E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652D1D9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7F066E1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66D19FB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02" w:type="dxa"/>
            <w:shd w:val="clear" w:color="auto" w:fill="FFFFFF"/>
            <w:tcMar>
              <w:top w:w="0" w:type="dxa"/>
              <w:left w:w="0" w:type="dxa"/>
              <w:bottom w:w="0" w:type="dxa"/>
              <w:right w:w="0" w:type="dxa"/>
            </w:tcMar>
            <w:vAlign w:val="center"/>
          </w:tcPr>
          <w:p w14:paraId="4B3CCA3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48.0</w:t>
            </w:r>
          </w:p>
        </w:tc>
        <w:tc>
          <w:tcPr>
            <w:tcW w:w="425" w:type="dxa"/>
            <w:shd w:val="clear" w:color="auto" w:fill="FFFFFF"/>
            <w:tcMar>
              <w:top w:w="0" w:type="dxa"/>
              <w:left w:w="0" w:type="dxa"/>
              <w:bottom w:w="0" w:type="dxa"/>
              <w:right w:w="0" w:type="dxa"/>
            </w:tcMar>
            <w:vAlign w:val="center"/>
          </w:tcPr>
          <w:p w14:paraId="2562AD9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47.5</w:t>
            </w:r>
          </w:p>
        </w:tc>
        <w:tc>
          <w:tcPr>
            <w:tcW w:w="435" w:type="dxa"/>
            <w:shd w:val="clear" w:color="auto" w:fill="FFFFFF"/>
            <w:tcMar>
              <w:top w:w="0" w:type="dxa"/>
              <w:left w:w="0" w:type="dxa"/>
              <w:bottom w:w="0" w:type="dxa"/>
              <w:right w:w="0" w:type="dxa"/>
            </w:tcMar>
            <w:vAlign w:val="center"/>
          </w:tcPr>
          <w:p w14:paraId="2074C26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47.7</w:t>
            </w:r>
          </w:p>
        </w:tc>
        <w:tc>
          <w:tcPr>
            <w:tcW w:w="435" w:type="dxa"/>
            <w:shd w:val="clear" w:color="auto" w:fill="FFFFFF"/>
            <w:tcMar>
              <w:top w:w="0" w:type="dxa"/>
              <w:left w:w="0" w:type="dxa"/>
              <w:bottom w:w="0" w:type="dxa"/>
              <w:right w:w="0" w:type="dxa"/>
            </w:tcMar>
            <w:vAlign w:val="center"/>
          </w:tcPr>
          <w:p w14:paraId="2FD5429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47.5</w:t>
            </w:r>
          </w:p>
        </w:tc>
        <w:tc>
          <w:tcPr>
            <w:tcW w:w="780" w:type="dxa"/>
            <w:vMerge w:val="continue"/>
            <w:shd w:val="clear" w:color="auto" w:fill="FFFFFF"/>
            <w:tcMar>
              <w:top w:w="0" w:type="dxa"/>
              <w:left w:w="0" w:type="dxa"/>
              <w:bottom w:w="0" w:type="dxa"/>
              <w:right w:w="0" w:type="dxa"/>
            </w:tcMar>
            <w:vAlign w:val="center"/>
          </w:tcPr>
          <w:p w14:paraId="426E0FF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r>
      <w:tr w14:paraId="7148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3" w:hRule="atLeast"/>
          <w:jc w:val="center"/>
        </w:trPr>
        <w:tc>
          <w:tcPr>
            <w:tcW w:w="420" w:type="dxa"/>
            <w:shd w:val="clear" w:color="auto" w:fill="FFFFFF"/>
            <w:tcMar>
              <w:top w:w="0" w:type="dxa"/>
              <w:left w:w="0" w:type="dxa"/>
              <w:bottom w:w="0" w:type="dxa"/>
              <w:right w:w="0" w:type="dxa"/>
            </w:tcMar>
            <w:vAlign w:val="center"/>
          </w:tcPr>
          <w:p w14:paraId="63D40A6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25</w:t>
            </w:r>
          </w:p>
        </w:tc>
        <w:tc>
          <w:tcPr>
            <w:tcW w:w="514" w:type="dxa"/>
            <w:vMerge w:val="continue"/>
            <w:shd w:val="clear" w:color="auto" w:fill="FFFFFF"/>
            <w:tcMar>
              <w:top w:w="0" w:type="dxa"/>
              <w:left w:w="0" w:type="dxa"/>
              <w:bottom w:w="0" w:type="dxa"/>
              <w:right w:w="0" w:type="dxa"/>
            </w:tcMar>
            <w:vAlign w:val="center"/>
          </w:tcPr>
          <w:p w14:paraId="2704D74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c>
          <w:tcPr>
            <w:tcW w:w="825" w:type="dxa"/>
            <w:shd w:val="clear" w:color="auto" w:fill="FFFFFF"/>
            <w:tcMar>
              <w:top w:w="0" w:type="dxa"/>
              <w:left w:w="0" w:type="dxa"/>
              <w:bottom w:w="0" w:type="dxa"/>
              <w:right w:w="0" w:type="dxa"/>
            </w:tcMar>
            <w:vAlign w:val="center"/>
          </w:tcPr>
          <w:p w14:paraId="21C6A24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吹风振动机</w:t>
            </w:r>
          </w:p>
        </w:tc>
        <w:tc>
          <w:tcPr>
            <w:tcW w:w="840" w:type="dxa"/>
            <w:shd w:val="clear" w:color="auto" w:fill="FFFFFF"/>
            <w:tcMar>
              <w:top w:w="0" w:type="dxa"/>
              <w:left w:w="0" w:type="dxa"/>
              <w:bottom w:w="0" w:type="dxa"/>
              <w:right w:w="0" w:type="dxa"/>
            </w:tcMar>
            <w:vAlign w:val="center"/>
          </w:tcPr>
          <w:p w14:paraId="141A06A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80</w:t>
            </w:r>
          </w:p>
        </w:tc>
        <w:tc>
          <w:tcPr>
            <w:tcW w:w="675" w:type="dxa"/>
            <w:vMerge w:val="continue"/>
            <w:shd w:val="clear" w:color="auto" w:fill="FFFFFF"/>
            <w:tcMar>
              <w:top w:w="0" w:type="dxa"/>
              <w:left w:w="0" w:type="dxa"/>
              <w:bottom w:w="0" w:type="dxa"/>
              <w:right w:w="0" w:type="dxa"/>
            </w:tcMar>
            <w:vAlign w:val="center"/>
          </w:tcPr>
          <w:p w14:paraId="14A728A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510" w:type="dxa"/>
            <w:shd w:val="clear" w:color="auto" w:fill="FFFFFF"/>
            <w:tcMar>
              <w:top w:w="0" w:type="dxa"/>
              <w:left w:w="0" w:type="dxa"/>
              <w:bottom w:w="0" w:type="dxa"/>
              <w:right w:w="0" w:type="dxa"/>
            </w:tcMar>
            <w:vAlign w:val="center"/>
          </w:tcPr>
          <w:p w14:paraId="1CB7171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8</w:t>
            </w:r>
          </w:p>
        </w:tc>
        <w:tc>
          <w:tcPr>
            <w:tcW w:w="390" w:type="dxa"/>
            <w:shd w:val="clear" w:color="auto" w:fill="FFFFFF"/>
            <w:tcMar>
              <w:top w:w="0" w:type="dxa"/>
              <w:left w:w="0" w:type="dxa"/>
              <w:bottom w:w="0" w:type="dxa"/>
              <w:right w:w="0" w:type="dxa"/>
            </w:tcMar>
            <w:vAlign w:val="center"/>
          </w:tcPr>
          <w:p w14:paraId="615A1B2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-10.6</w:t>
            </w:r>
          </w:p>
        </w:tc>
        <w:tc>
          <w:tcPr>
            <w:tcW w:w="420" w:type="dxa"/>
            <w:shd w:val="clear" w:color="auto" w:fill="FFFFFF"/>
            <w:tcMar>
              <w:top w:w="0" w:type="dxa"/>
              <w:left w:w="0" w:type="dxa"/>
              <w:bottom w:w="0" w:type="dxa"/>
              <w:right w:w="0" w:type="dxa"/>
            </w:tcMar>
            <w:vAlign w:val="center"/>
          </w:tcPr>
          <w:p w14:paraId="0D251E1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0.5</w:t>
            </w:r>
          </w:p>
        </w:tc>
        <w:tc>
          <w:tcPr>
            <w:tcW w:w="435" w:type="dxa"/>
            <w:shd w:val="clear" w:color="auto" w:fill="FFFFFF"/>
            <w:tcMar>
              <w:top w:w="0" w:type="dxa"/>
              <w:left w:w="0" w:type="dxa"/>
              <w:bottom w:w="0" w:type="dxa"/>
              <w:right w:w="0" w:type="dxa"/>
            </w:tcMar>
            <w:vAlign w:val="center"/>
          </w:tcPr>
          <w:p w14:paraId="1A1245E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3.0</w:t>
            </w:r>
          </w:p>
        </w:tc>
        <w:tc>
          <w:tcPr>
            <w:tcW w:w="435" w:type="dxa"/>
            <w:shd w:val="clear" w:color="auto" w:fill="FFFFFF"/>
            <w:tcMar>
              <w:top w:w="0" w:type="dxa"/>
              <w:left w:w="0" w:type="dxa"/>
              <w:bottom w:w="0" w:type="dxa"/>
              <w:right w:w="0" w:type="dxa"/>
            </w:tcMar>
            <w:vAlign w:val="center"/>
          </w:tcPr>
          <w:p w14:paraId="1A20923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10.7</w:t>
            </w:r>
          </w:p>
        </w:tc>
        <w:tc>
          <w:tcPr>
            <w:tcW w:w="465" w:type="dxa"/>
            <w:shd w:val="clear" w:color="auto" w:fill="FFFFFF"/>
            <w:tcMar>
              <w:top w:w="0" w:type="dxa"/>
              <w:left w:w="0" w:type="dxa"/>
              <w:bottom w:w="0" w:type="dxa"/>
              <w:right w:w="0" w:type="dxa"/>
            </w:tcMar>
            <w:vAlign w:val="center"/>
          </w:tcPr>
          <w:p w14:paraId="14825CC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6.7</w:t>
            </w:r>
          </w:p>
        </w:tc>
        <w:tc>
          <w:tcPr>
            <w:tcW w:w="450" w:type="dxa"/>
            <w:shd w:val="clear" w:color="auto" w:fill="FFFFFF"/>
            <w:tcMar>
              <w:top w:w="0" w:type="dxa"/>
              <w:left w:w="0" w:type="dxa"/>
              <w:bottom w:w="0" w:type="dxa"/>
              <w:right w:w="0" w:type="dxa"/>
            </w:tcMar>
            <w:vAlign w:val="center"/>
          </w:tcPr>
          <w:p w14:paraId="6D3F008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14.0</w:t>
            </w:r>
          </w:p>
        </w:tc>
        <w:tc>
          <w:tcPr>
            <w:tcW w:w="525" w:type="dxa"/>
            <w:shd w:val="clear" w:color="auto" w:fill="FFFFFF"/>
            <w:tcMar>
              <w:top w:w="0" w:type="dxa"/>
              <w:left w:w="0" w:type="dxa"/>
              <w:bottom w:w="0" w:type="dxa"/>
              <w:right w:w="0" w:type="dxa"/>
            </w:tcMar>
            <w:vAlign w:val="center"/>
          </w:tcPr>
          <w:p w14:paraId="6A952A6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69.0</w:t>
            </w:r>
          </w:p>
        </w:tc>
        <w:tc>
          <w:tcPr>
            <w:tcW w:w="540" w:type="dxa"/>
            <w:shd w:val="clear" w:color="auto" w:fill="FFFFFF"/>
            <w:tcMar>
              <w:top w:w="0" w:type="dxa"/>
              <w:left w:w="0" w:type="dxa"/>
              <w:bottom w:w="0" w:type="dxa"/>
              <w:right w:w="0" w:type="dxa"/>
            </w:tcMar>
            <w:vAlign w:val="center"/>
          </w:tcPr>
          <w:p w14:paraId="0B4DD09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68.5</w:t>
            </w:r>
          </w:p>
        </w:tc>
        <w:tc>
          <w:tcPr>
            <w:tcW w:w="495" w:type="dxa"/>
            <w:shd w:val="clear" w:color="auto" w:fill="FFFFFF"/>
            <w:tcMar>
              <w:top w:w="0" w:type="dxa"/>
              <w:left w:w="0" w:type="dxa"/>
              <w:bottom w:w="0" w:type="dxa"/>
              <w:right w:w="0" w:type="dxa"/>
            </w:tcMar>
            <w:vAlign w:val="center"/>
          </w:tcPr>
          <w:p w14:paraId="77542EE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68.6</w:t>
            </w:r>
          </w:p>
        </w:tc>
        <w:tc>
          <w:tcPr>
            <w:tcW w:w="510" w:type="dxa"/>
            <w:shd w:val="clear" w:color="auto" w:fill="FFFFFF"/>
            <w:tcMar>
              <w:top w:w="0" w:type="dxa"/>
              <w:left w:w="0" w:type="dxa"/>
              <w:bottom w:w="0" w:type="dxa"/>
              <w:right w:w="0" w:type="dxa"/>
            </w:tcMar>
            <w:vAlign w:val="center"/>
          </w:tcPr>
          <w:p w14:paraId="1278159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68.5</w:t>
            </w:r>
          </w:p>
        </w:tc>
        <w:tc>
          <w:tcPr>
            <w:tcW w:w="510" w:type="dxa"/>
            <w:vMerge w:val="continue"/>
            <w:shd w:val="clear" w:color="auto" w:fill="FFFFFF"/>
            <w:tcMar>
              <w:top w:w="0" w:type="dxa"/>
              <w:left w:w="0" w:type="dxa"/>
              <w:bottom w:w="0" w:type="dxa"/>
              <w:right w:w="0" w:type="dxa"/>
            </w:tcMar>
            <w:vAlign w:val="center"/>
          </w:tcPr>
          <w:p w14:paraId="4B6FD30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465" w:type="dxa"/>
            <w:shd w:val="clear" w:color="auto" w:fill="FFFFFF"/>
            <w:tcMar>
              <w:top w:w="0" w:type="dxa"/>
              <w:left w:w="0" w:type="dxa"/>
              <w:bottom w:w="0" w:type="dxa"/>
              <w:right w:w="0" w:type="dxa"/>
            </w:tcMar>
            <w:vAlign w:val="center"/>
          </w:tcPr>
          <w:p w14:paraId="2953414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163F3F0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305593D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3538447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02" w:type="dxa"/>
            <w:shd w:val="clear" w:color="auto" w:fill="FFFFFF"/>
            <w:tcMar>
              <w:top w:w="0" w:type="dxa"/>
              <w:left w:w="0" w:type="dxa"/>
              <w:bottom w:w="0" w:type="dxa"/>
              <w:right w:w="0" w:type="dxa"/>
            </w:tcMar>
            <w:vAlign w:val="center"/>
          </w:tcPr>
          <w:p w14:paraId="2558DC7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48.0</w:t>
            </w:r>
          </w:p>
        </w:tc>
        <w:tc>
          <w:tcPr>
            <w:tcW w:w="425" w:type="dxa"/>
            <w:shd w:val="clear" w:color="auto" w:fill="FFFFFF"/>
            <w:tcMar>
              <w:top w:w="0" w:type="dxa"/>
              <w:left w:w="0" w:type="dxa"/>
              <w:bottom w:w="0" w:type="dxa"/>
              <w:right w:w="0" w:type="dxa"/>
            </w:tcMar>
            <w:vAlign w:val="center"/>
          </w:tcPr>
          <w:p w14:paraId="5E01F68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47.5</w:t>
            </w:r>
          </w:p>
        </w:tc>
        <w:tc>
          <w:tcPr>
            <w:tcW w:w="435" w:type="dxa"/>
            <w:shd w:val="clear" w:color="auto" w:fill="FFFFFF"/>
            <w:tcMar>
              <w:top w:w="0" w:type="dxa"/>
              <w:left w:w="0" w:type="dxa"/>
              <w:bottom w:w="0" w:type="dxa"/>
              <w:right w:w="0" w:type="dxa"/>
            </w:tcMar>
            <w:vAlign w:val="center"/>
          </w:tcPr>
          <w:p w14:paraId="6B94B0E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47.6</w:t>
            </w:r>
          </w:p>
        </w:tc>
        <w:tc>
          <w:tcPr>
            <w:tcW w:w="435" w:type="dxa"/>
            <w:shd w:val="clear" w:color="auto" w:fill="FFFFFF"/>
            <w:tcMar>
              <w:top w:w="0" w:type="dxa"/>
              <w:left w:w="0" w:type="dxa"/>
              <w:bottom w:w="0" w:type="dxa"/>
              <w:right w:w="0" w:type="dxa"/>
            </w:tcMar>
            <w:vAlign w:val="center"/>
          </w:tcPr>
          <w:p w14:paraId="48EB6B2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47.5</w:t>
            </w:r>
          </w:p>
        </w:tc>
        <w:tc>
          <w:tcPr>
            <w:tcW w:w="780" w:type="dxa"/>
            <w:vMerge w:val="continue"/>
            <w:shd w:val="clear" w:color="auto" w:fill="FFFFFF"/>
            <w:tcMar>
              <w:top w:w="0" w:type="dxa"/>
              <w:left w:w="0" w:type="dxa"/>
              <w:bottom w:w="0" w:type="dxa"/>
              <w:right w:w="0" w:type="dxa"/>
            </w:tcMar>
            <w:vAlign w:val="center"/>
          </w:tcPr>
          <w:p w14:paraId="6CDC0A6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r>
      <w:tr w14:paraId="2846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3" w:hRule="atLeast"/>
          <w:jc w:val="center"/>
        </w:trPr>
        <w:tc>
          <w:tcPr>
            <w:tcW w:w="420" w:type="dxa"/>
            <w:shd w:val="clear" w:color="auto" w:fill="FFFFFF"/>
            <w:tcMar>
              <w:top w:w="0" w:type="dxa"/>
              <w:left w:w="0" w:type="dxa"/>
              <w:bottom w:w="0" w:type="dxa"/>
              <w:right w:w="0" w:type="dxa"/>
            </w:tcMar>
            <w:vAlign w:val="center"/>
          </w:tcPr>
          <w:p w14:paraId="3103058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26</w:t>
            </w:r>
          </w:p>
        </w:tc>
        <w:tc>
          <w:tcPr>
            <w:tcW w:w="514" w:type="dxa"/>
            <w:vMerge w:val="continue"/>
            <w:shd w:val="clear" w:color="auto" w:fill="FFFFFF"/>
            <w:tcMar>
              <w:top w:w="0" w:type="dxa"/>
              <w:left w:w="0" w:type="dxa"/>
              <w:bottom w:w="0" w:type="dxa"/>
              <w:right w:w="0" w:type="dxa"/>
            </w:tcMar>
            <w:vAlign w:val="center"/>
          </w:tcPr>
          <w:p w14:paraId="36C7840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c>
          <w:tcPr>
            <w:tcW w:w="825" w:type="dxa"/>
            <w:shd w:val="clear" w:color="auto" w:fill="FFFFFF"/>
            <w:tcMar>
              <w:top w:w="0" w:type="dxa"/>
              <w:left w:w="0" w:type="dxa"/>
              <w:bottom w:w="0" w:type="dxa"/>
              <w:right w:w="0" w:type="dxa"/>
            </w:tcMar>
            <w:vAlign w:val="center"/>
          </w:tcPr>
          <w:p w14:paraId="49C02F1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吹风振动机</w:t>
            </w:r>
          </w:p>
        </w:tc>
        <w:tc>
          <w:tcPr>
            <w:tcW w:w="840" w:type="dxa"/>
            <w:shd w:val="clear" w:color="auto" w:fill="FFFFFF"/>
            <w:tcMar>
              <w:top w:w="0" w:type="dxa"/>
              <w:left w:w="0" w:type="dxa"/>
              <w:bottom w:w="0" w:type="dxa"/>
              <w:right w:w="0" w:type="dxa"/>
            </w:tcMar>
            <w:vAlign w:val="center"/>
          </w:tcPr>
          <w:p w14:paraId="2E66E84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80</w:t>
            </w:r>
          </w:p>
        </w:tc>
        <w:tc>
          <w:tcPr>
            <w:tcW w:w="675" w:type="dxa"/>
            <w:vMerge w:val="continue"/>
            <w:shd w:val="clear" w:color="auto" w:fill="FFFFFF"/>
            <w:tcMar>
              <w:top w:w="0" w:type="dxa"/>
              <w:left w:w="0" w:type="dxa"/>
              <w:bottom w:w="0" w:type="dxa"/>
              <w:right w:w="0" w:type="dxa"/>
            </w:tcMar>
            <w:vAlign w:val="center"/>
          </w:tcPr>
          <w:p w14:paraId="5E02674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510" w:type="dxa"/>
            <w:shd w:val="clear" w:color="auto" w:fill="FFFFFF"/>
            <w:tcMar>
              <w:top w:w="0" w:type="dxa"/>
              <w:left w:w="0" w:type="dxa"/>
              <w:bottom w:w="0" w:type="dxa"/>
              <w:right w:w="0" w:type="dxa"/>
            </w:tcMar>
            <w:vAlign w:val="center"/>
          </w:tcPr>
          <w:p w14:paraId="6FA6261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6.8</w:t>
            </w:r>
          </w:p>
        </w:tc>
        <w:tc>
          <w:tcPr>
            <w:tcW w:w="390" w:type="dxa"/>
            <w:shd w:val="clear" w:color="auto" w:fill="FFFFFF"/>
            <w:tcMar>
              <w:top w:w="0" w:type="dxa"/>
              <w:left w:w="0" w:type="dxa"/>
              <w:bottom w:w="0" w:type="dxa"/>
              <w:right w:w="0" w:type="dxa"/>
            </w:tcMar>
            <w:vAlign w:val="center"/>
          </w:tcPr>
          <w:p w14:paraId="26BA64C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-12.8</w:t>
            </w:r>
          </w:p>
        </w:tc>
        <w:tc>
          <w:tcPr>
            <w:tcW w:w="420" w:type="dxa"/>
            <w:shd w:val="clear" w:color="auto" w:fill="FFFFFF"/>
            <w:tcMar>
              <w:top w:w="0" w:type="dxa"/>
              <w:left w:w="0" w:type="dxa"/>
              <w:bottom w:w="0" w:type="dxa"/>
              <w:right w:w="0" w:type="dxa"/>
            </w:tcMar>
            <w:vAlign w:val="center"/>
          </w:tcPr>
          <w:p w14:paraId="0DD6A69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0.5</w:t>
            </w:r>
          </w:p>
        </w:tc>
        <w:tc>
          <w:tcPr>
            <w:tcW w:w="435" w:type="dxa"/>
            <w:shd w:val="clear" w:color="auto" w:fill="FFFFFF"/>
            <w:tcMar>
              <w:top w:w="0" w:type="dxa"/>
              <w:left w:w="0" w:type="dxa"/>
              <w:bottom w:w="0" w:type="dxa"/>
              <w:right w:w="0" w:type="dxa"/>
            </w:tcMar>
            <w:vAlign w:val="center"/>
          </w:tcPr>
          <w:p w14:paraId="30848B5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4.0</w:t>
            </w:r>
          </w:p>
        </w:tc>
        <w:tc>
          <w:tcPr>
            <w:tcW w:w="435" w:type="dxa"/>
            <w:shd w:val="clear" w:color="auto" w:fill="FFFFFF"/>
            <w:tcMar>
              <w:top w:w="0" w:type="dxa"/>
              <w:left w:w="0" w:type="dxa"/>
              <w:bottom w:w="0" w:type="dxa"/>
              <w:right w:w="0" w:type="dxa"/>
            </w:tcMar>
            <w:vAlign w:val="center"/>
          </w:tcPr>
          <w:p w14:paraId="165D259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8.4</w:t>
            </w:r>
          </w:p>
        </w:tc>
        <w:tc>
          <w:tcPr>
            <w:tcW w:w="465" w:type="dxa"/>
            <w:shd w:val="clear" w:color="auto" w:fill="FFFFFF"/>
            <w:tcMar>
              <w:top w:w="0" w:type="dxa"/>
              <w:left w:w="0" w:type="dxa"/>
              <w:bottom w:w="0" w:type="dxa"/>
              <w:right w:w="0" w:type="dxa"/>
            </w:tcMar>
            <w:vAlign w:val="center"/>
          </w:tcPr>
          <w:p w14:paraId="0085464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8.9</w:t>
            </w:r>
          </w:p>
        </w:tc>
        <w:tc>
          <w:tcPr>
            <w:tcW w:w="450" w:type="dxa"/>
            <w:shd w:val="clear" w:color="auto" w:fill="FFFFFF"/>
            <w:tcMar>
              <w:top w:w="0" w:type="dxa"/>
              <w:left w:w="0" w:type="dxa"/>
              <w:bottom w:w="0" w:type="dxa"/>
              <w:right w:w="0" w:type="dxa"/>
            </w:tcMar>
            <w:vAlign w:val="center"/>
          </w:tcPr>
          <w:p w14:paraId="3146233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14.9</w:t>
            </w:r>
          </w:p>
        </w:tc>
        <w:tc>
          <w:tcPr>
            <w:tcW w:w="525" w:type="dxa"/>
            <w:shd w:val="clear" w:color="auto" w:fill="FFFFFF"/>
            <w:tcMar>
              <w:top w:w="0" w:type="dxa"/>
              <w:left w:w="0" w:type="dxa"/>
              <w:bottom w:w="0" w:type="dxa"/>
              <w:right w:w="0" w:type="dxa"/>
            </w:tcMar>
            <w:vAlign w:val="center"/>
          </w:tcPr>
          <w:p w14:paraId="0D5BD70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68.8</w:t>
            </w:r>
          </w:p>
        </w:tc>
        <w:tc>
          <w:tcPr>
            <w:tcW w:w="540" w:type="dxa"/>
            <w:shd w:val="clear" w:color="auto" w:fill="FFFFFF"/>
            <w:tcMar>
              <w:top w:w="0" w:type="dxa"/>
              <w:left w:w="0" w:type="dxa"/>
              <w:bottom w:w="0" w:type="dxa"/>
              <w:right w:w="0" w:type="dxa"/>
            </w:tcMar>
            <w:vAlign w:val="center"/>
          </w:tcPr>
          <w:p w14:paraId="4C80F2B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68.5</w:t>
            </w:r>
          </w:p>
        </w:tc>
        <w:tc>
          <w:tcPr>
            <w:tcW w:w="495" w:type="dxa"/>
            <w:shd w:val="clear" w:color="auto" w:fill="FFFFFF"/>
            <w:tcMar>
              <w:top w:w="0" w:type="dxa"/>
              <w:left w:w="0" w:type="dxa"/>
              <w:bottom w:w="0" w:type="dxa"/>
              <w:right w:w="0" w:type="dxa"/>
            </w:tcMar>
            <w:vAlign w:val="center"/>
          </w:tcPr>
          <w:p w14:paraId="31D9314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68.5</w:t>
            </w:r>
          </w:p>
        </w:tc>
        <w:tc>
          <w:tcPr>
            <w:tcW w:w="510" w:type="dxa"/>
            <w:shd w:val="clear" w:color="auto" w:fill="FFFFFF"/>
            <w:tcMar>
              <w:top w:w="0" w:type="dxa"/>
              <w:left w:w="0" w:type="dxa"/>
              <w:bottom w:w="0" w:type="dxa"/>
              <w:right w:w="0" w:type="dxa"/>
            </w:tcMar>
            <w:vAlign w:val="center"/>
          </w:tcPr>
          <w:p w14:paraId="48AD85B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68.5</w:t>
            </w:r>
          </w:p>
        </w:tc>
        <w:tc>
          <w:tcPr>
            <w:tcW w:w="510" w:type="dxa"/>
            <w:vMerge w:val="continue"/>
            <w:shd w:val="clear" w:color="auto" w:fill="FFFFFF"/>
            <w:tcMar>
              <w:top w:w="0" w:type="dxa"/>
              <w:left w:w="0" w:type="dxa"/>
              <w:bottom w:w="0" w:type="dxa"/>
              <w:right w:w="0" w:type="dxa"/>
            </w:tcMar>
            <w:vAlign w:val="center"/>
          </w:tcPr>
          <w:p w14:paraId="430A33E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465" w:type="dxa"/>
            <w:shd w:val="clear" w:color="auto" w:fill="FFFFFF"/>
            <w:tcMar>
              <w:top w:w="0" w:type="dxa"/>
              <w:left w:w="0" w:type="dxa"/>
              <w:bottom w:w="0" w:type="dxa"/>
              <w:right w:w="0" w:type="dxa"/>
            </w:tcMar>
            <w:vAlign w:val="center"/>
          </w:tcPr>
          <w:p w14:paraId="02FABD9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46A386E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2B9C76B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0B6C912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02" w:type="dxa"/>
            <w:shd w:val="clear" w:color="auto" w:fill="FFFFFF"/>
            <w:tcMar>
              <w:top w:w="0" w:type="dxa"/>
              <w:left w:w="0" w:type="dxa"/>
              <w:bottom w:w="0" w:type="dxa"/>
              <w:right w:w="0" w:type="dxa"/>
            </w:tcMar>
            <w:vAlign w:val="center"/>
          </w:tcPr>
          <w:p w14:paraId="7C07F77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47.8</w:t>
            </w:r>
          </w:p>
        </w:tc>
        <w:tc>
          <w:tcPr>
            <w:tcW w:w="425" w:type="dxa"/>
            <w:shd w:val="clear" w:color="auto" w:fill="FFFFFF"/>
            <w:tcMar>
              <w:top w:w="0" w:type="dxa"/>
              <w:left w:w="0" w:type="dxa"/>
              <w:bottom w:w="0" w:type="dxa"/>
              <w:right w:w="0" w:type="dxa"/>
            </w:tcMar>
            <w:vAlign w:val="center"/>
          </w:tcPr>
          <w:p w14:paraId="7B074BC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47.5</w:t>
            </w:r>
          </w:p>
        </w:tc>
        <w:tc>
          <w:tcPr>
            <w:tcW w:w="435" w:type="dxa"/>
            <w:shd w:val="clear" w:color="auto" w:fill="FFFFFF"/>
            <w:tcMar>
              <w:top w:w="0" w:type="dxa"/>
              <w:left w:w="0" w:type="dxa"/>
              <w:bottom w:w="0" w:type="dxa"/>
              <w:right w:w="0" w:type="dxa"/>
            </w:tcMar>
            <w:vAlign w:val="center"/>
          </w:tcPr>
          <w:p w14:paraId="2AD1AD0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47.5</w:t>
            </w:r>
          </w:p>
        </w:tc>
        <w:tc>
          <w:tcPr>
            <w:tcW w:w="435" w:type="dxa"/>
            <w:shd w:val="clear" w:color="auto" w:fill="FFFFFF"/>
            <w:tcMar>
              <w:top w:w="0" w:type="dxa"/>
              <w:left w:w="0" w:type="dxa"/>
              <w:bottom w:w="0" w:type="dxa"/>
              <w:right w:w="0" w:type="dxa"/>
            </w:tcMar>
            <w:vAlign w:val="center"/>
          </w:tcPr>
          <w:p w14:paraId="27971A6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47.5</w:t>
            </w:r>
          </w:p>
        </w:tc>
        <w:tc>
          <w:tcPr>
            <w:tcW w:w="780" w:type="dxa"/>
            <w:vMerge w:val="continue"/>
            <w:shd w:val="clear" w:color="auto" w:fill="FFFFFF"/>
            <w:tcMar>
              <w:top w:w="0" w:type="dxa"/>
              <w:left w:w="0" w:type="dxa"/>
              <w:bottom w:w="0" w:type="dxa"/>
              <w:right w:w="0" w:type="dxa"/>
            </w:tcMar>
            <w:vAlign w:val="center"/>
          </w:tcPr>
          <w:p w14:paraId="4839093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r>
      <w:tr w14:paraId="2D3C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3" w:hRule="atLeast"/>
          <w:jc w:val="center"/>
        </w:trPr>
        <w:tc>
          <w:tcPr>
            <w:tcW w:w="420" w:type="dxa"/>
            <w:shd w:val="clear" w:color="auto" w:fill="FFFFFF"/>
            <w:tcMar>
              <w:top w:w="0" w:type="dxa"/>
              <w:left w:w="0" w:type="dxa"/>
              <w:bottom w:w="0" w:type="dxa"/>
              <w:right w:w="0" w:type="dxa"/>
            </w:tcMar>
            <w:vAlign w:val="center"/>
          </w:tcPr>
          <w:p w14:paraId="5AFF9CB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27</w:t>
            </w:r>
          </w:p>
        </w:tc>
        <w:tc>
          <w:tcPr>
            <w:tcW w:w="514" w:type="dxa"/>
            <w:vMerge w:val="continue"/>
            <w:shd w:val="clear" w:color="auto" w:fill="FFFFFF"/>
            <w:tcMar>
              <w:top w:w="0" w:type="dxa"/>
              <w:left w:w="0" w:type="dxa"/>
              <w:bottom w:w="0" w:type="dxa"/>
              <w:right w:w="0" w:type="dxa"/>
            </w:tcMar>
            <w:vAlign w:val="center"/>
          </w:tcPr>
          <w:p w14:paraId="0AC050B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c>
          <w:tcPr>
            <w:tcW w:w="825" w:type="dxa"/>
            <w:shd w:val="clear" w:color="auto" w:fill="FFFFFF"/>
            <w:tcMar>
              <w:top w:w="0" w:type="dxa"/>
              <w:left w:w="0" w:type="dxa"/>
              <w:bottom w:w="0" w:type="dxa"/>
              <w:right w:w="0" w:type="dxa"/>
            </w:tcMar>
            <w:vAlign w:val="center"/>
          </w:tcPr>
          <w:p w14:paraId="636325C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吹风振动机</w:t>
            </w:r>
          </w:p>
        </w:tc>
        <w:tc>
          <w:tcPr>
            <w:tcW w:w="840" w:type="dxa"/>
            <w:shd w:val="clear" w:color="auto" w:fill="FFFFFF"/>
            <w:tcMar>
              <w:top w:w="0" w:type="dxa"/>
              <w:left w:w="0" w:type="dxa"/>
              <w:bottom w:w="0" w:type="dxa"/>
              <w:right w:w="0" w:type="dxa"/>
            </w:tcMar>
            <w:vAlign w:val="center"/>
          </w:tcPr>
          <w:p w14:paraId="66866B8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80</w:t>
            </w:r>
          </w:p>
        </w:tc>
        <w:tc>
          <w:tcPr>
            <w:tcW w:w="675" w:type="dxa"/>
            <w:vMerge w:val="continue"/>
            <w:shd w:val="clear" w:color="auto" w:fill="FFFFFF"/>
            <w:tcMar>
              <w:top w:w="0" w:type="dxa"/>
              <w:left w:w="0" w:type="dxa"/>
              <w:bottom w:w="0" w:type="dxa"/>
              <w:right w:w="0" w:type="dxa"/>
            </w:tcMar>
            <w:vAlign w:val="center"/>
          </w:tcPr>
          <w:p w14:paraId="4A97AF5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510" w:type="dxa"/>
            <w:shd w:val="clear" w:color="auto" w:fill="FFFFFF"/>
            <w:tcMar>
              <w:top w:w="0" w:type="dxa"/>
              <w:left w:w="0" w:type="dxa"/>
              <w:bottom w:w="0" w:type="dxa"/>
              <w:right w:w="0" w:type="dxa"/>
            </w:tcMar>
            <w:vAlign w:val="center"/>
          </w:tcPr>
          <w:p w14:paraId="5277B69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15.2</w:t>
            </w:r>
          </w:p>
        </w:tc>
        <w:tc>
          <w:tcPr>
            <w:tcW w:w="390" w:type="dxa"/>
            <w:shd w:val="clear" w:color="auto" w:fill="FFFFFF"/>
            <w:tcMar>
              <w:top w:w="0" w:type="dxa"/>
              <w:left w:w="0" w:type="dxa"/>
              <w:bottom w:w="0" w:type="dxa"/>
              <w:right w:w="0" w:type="dxa"/>
            </w:tcMar>
            <w:vAlign w:val="center"/>
          </w:tcPr>
          <w:p w14:paraId="0B7924A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-11.1</w:t>
            </w:r>
          </w:p>
        </w:tc>
        <w:tc>
          <w:tcPr>
            <w:tcW w:w="420" w:type="dxa"/>
            <w:shd w:val="clear" w:color="auto" w:fill="FFFFFF"/>
            <w:tcMar>
              <w:top w:w="0" w:type="dxa"/>
              <w:left w:w="0" w:type="dxa"/>
              <w:bottom w:w="0" w:type="dxa"/>
              <w:right w:w="0" w:type="dxa"/>
            </w:tcMar>
            <w:vAlign w:val="center"/>
          </w:tcPr>
          <w:p w14:paraId="1A6C7EF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0.5</w:t>
            </w:r>
          </w:p>
        </w:tc>
        <w:tc>
          <w:tcPr>
            <w:tcW w:w="435" w:type="dxa"/>
            <w:shd w:val="clear" w:color="auto" w:fill="FFFFFF"/>
            <w:tcMar>
              <w:top w:w="0" w:type="dxa"/>
              <w:left w:w="0" w:type="dxa"/>
              <w:bottom w:w="0" w:type="dxa"/>
              <w:right w:w="0" w:type="dxa"/>
            </w:tcMar>
            <w:vAlign w:val="center"/>
          </w:tcPr>
          <w:p w14:paraId="042A12E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w:t>
            </w:r>
          </w:p>
        </w:tc>
        <w:tc>
          <w:tcPr>
            <w:tcW w:w="435" w:type="dxa"/>
            <w:shd w:val="clear" w:color="auto" w:fill="FFFFFF"/>
            <w:tcMar>
              <w:top w:w="0" w:type="dxa"/>
              <w:left w:w="0" w:type="dxa"/>
              <w:bottom w:w="0" w:type="dxa"/>
              <w:right w:w="0" w:type="dxa"/>
            </w:tcMar>
            <w:vAlign w:val="center"/>
          </w:tcPr>
          <w:p w14:paraId="77E8EDF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11.0</w:t>
            </w:r>
          </w:p>
        </w:tc>
        <w:tc>
          <w:tcPr>
            <w:tcW w:w="465" w:type="dxa"/>
            <w:shd w:val="clear" w:color="auto" w:fill="FFFFFF"/>
            <w:tcMar>
              <w:top w:w="0" w:type="dxa"/>
              <w:left w:w="0" w:type="dxa"/>
              <w:bottom w:w="0" w:type="dxa"/>
              <w:right w:w="0" w:type="dxa"/>
            </w:tcMar>
            <w:vAlign w:val="center"/>
          </w:tcPr>
          <w:p w14:paraId="75D3BEA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6.6</w:t>
            </w:r>
          </w:p>
        </w:tc>
        <w:tc>
          <w:tcPr>
            <w:tcW w:w="450" w:type="dxa"/>
            <w:shd w:val="clear" w:color="auto" w:fill="FFFFFF"/>
            <w:tcMar>
              <w:top w:w="0" w:type="dxa"/>
              <w:left w:w="0" w:type="dxa"/>
              <w:bottom w:w="0" w:type="dxa"/>
              <w:right w:w="0" w:type="dxa"/>
            </w:tcMar>
            <w:vAlign w:val="center"/>
          </w:tcPr>
          <w:p w14:paraId="5135D84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6.8</w:t>
            </w:r>
          </w:p>
        </w:tc>
        <w:tc>
          <w:tcPr>
            <w:tcW w:w="525" w:type="dxa"/>
            <w:shd w:val="clear" w:color="auto" w:fill="FFFFFF"/>
            <w:tcMar>
              <w:top w:w="0" w:type="dxa"/>
              <w:left w:w="0" w:type="dxa"/>
              <w:bottom w:w="0" w:type="dxa"/>
              <w:right w:w="0" w:type="dxa"/>
            </w:tcMar>
            <w:vAlign w:val="center"/>
          </w:tcPr>
          <w:p w14:paraId="5F173DD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68.7</w:t>
            </w:r>
          </w:p>
        </w:tc>
        <w:tc>
          <w:tcPr>
            <w:tcW w:w="540" w:type="dxa"/>
            <w:shd w:val="clear" w:color="auto" w:fill="FFFFFF"/>
            <w:tcMar>
              <w:top w:w="0" w:type="dxa"/>
              <w:left w:w="0" w:type="dxa"/>
              <w:bottom w:w="0" w:type="dxa"/>
              <w:right w:w="0" w:type="dxa"/>
            </w:tcMar>
            <w:vAlign w:val="center"/>
          </w:tcPr>
          <w:p w14:paraId="5DF11E7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68.5</w:t>
            </w:r>
          </w:p>
        </w:tc>
        <w:tc>
          <w:tcPr>
            <w:tcW w:w="495" w:type="dxa"/>
            <w:shd w:val="clear" w:color="auto" w:fill="FFFFFF"/>
            <w:tcMar>
              <w:top w:w="0" w:type="dxa"/>
              <w:left w:w="0" w:type="dxa"/>
              <w:bottom w:w="0" w:type="dxa"/>
              <w:right w:w="0" w:type="dxa"/>
            </w:tcMar>
            <w:vAlign w:val="center"/>
          </w:tcPr>
          <w:p w14:paraId="3D1E159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68.6</w:t>
            </w:r>
          </w:p>
        </w:tc>
        <w:tc>
          <w:tcPr>
            <w:tcW w:w="510" w:type="dxa"/>
            <w:shd w:val="clear" w:color="auto" w:fill="FFFFFF"/>
            <w:tcMar>
              <w:top w:w="0" w:type="dxa"/>
              <w:left w:w="0" w:type="dxa"/>
              <w:bottom w:w="0" w:type="dxa"/>
              <w:right w:w="0" w:type="dxa"/>
            </w:tcMar>
            <w:vAlign w:val="center"/>
          </w:tcPr>
          <w:p w14:paraId="79DCB19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68.6</w:t>
            </w:r>
          </w:p>
        </w:tc>
        <w:tc>
          <w:tcPr>
            <w:tcW w:w="510" w:type="dxa"/>
            <w:vMerge w:val="continue"/>
            <w:shd w:val="clear" w:color="auto" w:fill="FFFFFF"/>
            <w:tcMar>
              <w:top w:w="0" w:type="dxa"/>
              <w:left w:w="0" w:type="dxa"/>
              <w:bottom w:w="0" w:type="dxa"/>
              <w:right w:w="0" w:type="dxa"/>
            </w:tcMar>
            <w:vAlign w:val="center"/>
          </w:tcPr>
          <w:p w14:paraId="3F4BBE8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465" w:type="dxa"/>
            <w:shd w:val="clear" w:color="auto" w:fill="FFFFFF"/>
            <w:tcMar>
              <w:top w:w="0" w:type="dxa"/>
              <w:left w:w="0" w:type="dxa"/>
              <w:bottom w:w="0" w:type="dxa"/>
              <w:right w:w="0" w:type="dxa"/>
            </w:tcMar>
            <w:vAlign w:val="center"/>
          </w:tcPr>
          <w:p w14:paraId="60F4CF4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1DCD42A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5B166D7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6D1E74E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02" w:type="dxa"/>
            <w:shd w:val="clear" w:color="auto" w:fill="FFFFFF"/>
            <w:tcMar>
              <w:top w:w="0" w:type="dxa"/>
              <w:left w:w="0" w:type="dxa"/>
              <w:bottom w:w="0" w:type="dxa"/>
              <w:right w:w="0" w:type="dxa"/>
            </w:tcMar>
            <w:vAlign w:val="center"/>
          </w:tcPr>
          <w:p w14:paraId="1677F63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47.7</w:t>
            </w:r>
          </w:p>
        </w:tc>
        <w:tc>
          <w:tcPr>
            <w:tcW w:w="425" w:type="dxa"/>
            <w:shd w:val="clear" w:color="auto" w:fill="FFFFFF"/>
            <w:tcMar>
              <w:top w:w="0" w:type="dxa"/>
              <w:left w:w="0" w:type="dxa"/>
              <w:bottom w:w="0" w:type="dxa"/>
              <w:right w:w="0" w:type="dxa"/>
            </w:tcMar>
            <w:vAlign w:val="center"/>
          </w:tcPr>
          <w:p w14:paraId="1F66B6B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47.5</w:t>
            </w:r>
          </w:p>
        </w:tc>
        <w:tc>
          <w:tcPr>
            <w:tcW w:w="435" w:type="dxa"/>
            <w:shd w:val="clear" w:color="auto" w:fill="FFFFFF"/>
            <w:tcMar>
              <w:top w:w="0" w:type="dxa"/>
              <w:left w:w="0" w:type="dxa"/>
              <w:bottom w:w="0" w:type="dxa"/>
              <w:right w:w="0" w:type="dxa"/>
            </w:tcMar>
            <w:vAlign w:val="center"/>
          </w:tcPr>
          <w:p w14:paraId="0F32264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47.6</w:t>
            </w:r>
          </w:p>
        </w:tc>
        <w:tc>
          <w:tcPr>
            <w:tcW w:w="435" w:type="dxa"/>
            <w:shd w:val="clear" w:color="auto" w:fill="FFFFFF"/>
            <w:tcMar>
              <w:top w:w="0" w:type="dxa"/>
              <w:left w:w="0" w:type="dxa"/>
              <w:bottom w:w="0" w:type="dxa"/>
              <w:right w:w="0" w:type="dxa"/>
            </w:tcMar>
            <w:vAlign w:val="center"/>
          </w:tcPr>
          <w:p w14:paraId="00D1641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47.6</w:t>
            </w:r>
          </w:p>
        </w:tc>
        <w:tc>
          <w:tcPr>
            <w:tcW w:w="780" w:type="dxa"/>
            <w:vMerge w:val="continue"/>
            <w:shd w:val="clear" w:color="auto" w:fill="FFFFFF"/>
            <w:tcMar>
              <w:top w:w="0" w:type="dxa"/>
              <w:left w:w="0" w:type="dxa"/>
              <w:bottom w:w="0" w:type="dxa"/>
              <w:right w:w="0" w:type="dxa"/>
            </w:tcMar>
            <w:vAlign w:val="center"/>
          </w:tcPr>
          <w:p w14:paraId="0300D9A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r>
      <w:tr w14:paraId="7559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3" w:hRule="atLeast"/>
          <w:jc w:val="center"/>
        </w:trPr>
        <w:tc>
          <w:tcPr>
            <w:tcW w:w="420" w:type="dxa"/>
            <w:shd w:val="clear" w:color="auto" w:fill="FFFFFF"/>
            <w:tcMar>
              <w:top w:w="0" w:type="dxa"/>
              <w:left w:w="0" w:type="dxa"/>
              <w:bottom w:w="0" w:type="dxa"/>
              <w:right w:w="0" w:type="dxa"/>
            </w:tcMar>
            <w:vAlign w:val="center"/>
          </w:tcPr>
          <w:p w14:paraId="1F309F5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28</w:t>
            </w:r>
          </w:p>
        </w:tc>
        <w:tc>
          <w:tcPr>
            <w:tcW w:w="514" w:type="dxa"/>
            <w:vMerge w:val="continue"/>
            <w:shd w:val="clear" w:color="auto" w:fill="FFFFFF"/>
            <w:tcMar>
              <w:top w:w="0" w:type="dxa"/>
              <w:left w:w="0" w:type="dxa"/>
              <w:bottom w:w="0" w:type="dxa"/>
              <w:right w:w="0" w:type="dxa"/>
            </w:tcMar>
            <w:vAlign w:val="center"/>
          </w:tcPr>
          <w:p w14:paraId="20DBB1D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c>
          <w:tcPr>
            <w:tcW w:w="825" w:type="dxa"/>
            <w:shd w:val="clear" w:color="auto" w:fill="FFFFFF"/>
            <w:tcMar>
              <w:top w:w="0" w:type="dxa"/>
              <w:left w:w="0" w:type="dxa"/>
              <w:bottom w:w="0" w:type="dxa"/>
              <w:right w:w="0" w:type="dxa"/>
            </w:tcMar>
            <w:vAlign w:val="center"/>
          </w:tcPr>
          <w:p w14:paraId="5FF9042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压滤机</w:t>
            </w:r>
          </w:p>
        </w:tc>
        <w:tc>
          <w:tcPr>
            <w:tcW w:w="840" w:type="dxa"/>
            <w:shd w:val="clear" w:color="auto" w:fill="FFFFFF"/>
            <w:tcMar>
              <w:top w:w="0" w:type="dxa"/>
              <w:left w:w="0" w:type="dxa"/>
              <w:bottom w:w="0" w:type="dxa"/>
              <w:right w:w="0" w:type="dxa"/>
            </w:tcMar>
            <w:vAlign w:val="center"/>
          </w:tcPr>
          <w:p w14:paraId="1A04DD7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75</w:t>
            </w:r>
          </w:p>
        </w:tc>
        <w:tc>
          <w:tcPr>
            <w:tcW w:w="675" w:type="dxa"/>
            <w:vMerge w:val="continue"/>
            <w:shd w:val="clear" w:color="auto" w:fill="FFFFFF"/>
            <w:tcMar>
              <w:top w:w="0" w:type="dxa"/>
              <w:left w:w="0" w:type="dxa"/>
              <w:bottom w:w="0" w:type="dxa"/>
              <w:right w:w="0" w:type="dxa"/>
            </w:tcMar>
            <w:vAlign w:val="center"/>
          </w:tcPr>
          <w:p w14:paraId="2F5E5B7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510" w:type="dxa"/>
            <w:shd w:val="clear" w:color="auto" w:fill="FFFFFF"/>
            <w:tcMar>
              <w:top w:w="0" w:type="dxa"/>
              <w:left w:w="0" w:type="dxa"/>
              <w:bottom w:w="0" w:type="dxa"/>
              <w:right w:w="0" w:type="dxa"/>
            </w:tcMar>
            <w:vAlign w:val="center"/>
          </w:tcPr>
          <w:p w14:paraId="6F56560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13.8</w:t>
            </w:r>
          </w:p>
        </w:tc>
        <w:tc>
          <w:tcPr>
            <w:tcW w:w="390" w:type="dxa"/>
            <w:shd w:val="clear" w:color="auto" w:fill="FFFFFF"/>
            <w:tcMar>
              <w:top w:w="0" w:type="dxa"/>
              <w:left w:w="0" w:type="dxa"/>
              <w:bottom w:w="0" w:type="dxa"/>
              <w:right w:w="0" w:type="dxa"/>
            </w:tcMar>
            <w:vAlign w:val="center"/>
          </w:tcPr>
          <w:p w14:paraId="72C3800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-5.3</w:t>
            </w:r>
          </w:p>
        </w:tc>
        <w:tc>
          <w:tcPr>
            <w:tcW w:w="420" w:type="dxa"/>
            <w:shd w:val="clear" w:color="auto" w:fill="FFFFFF"/>
            <w:tcMar>
              <w:top w:w="0" w:type="dxa"/>
              <w:left w:w="0" w:type="dxa"/>
              <w:bottom w:w="0" w:type="dxa"/>
              <w:right w:w="0" w:type="dxa"/>
            </w:tcMar>
            <w:vAlign w:val="center"/>
          </w:tcPr>
          <w:p w14:paraId="1A1BC7D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1.2</w:t>
            </w:r>
          </w:p>
        </w:tc>
        <w:tc>
          <w:tcPr>
            <w:tcW w:w="435" w:type="dxa"/>
            <w:shd w:val="clear" w:color="auto" w:fill="FFFFFF"/>
            <w:tcMar>
              <w:top w:w="0" w:type="dxa"/>
              <w:left w:w="0" w:type="dxa"/>
              <w:bottom w:w="0" w:type="dxa"/>
              <w:right w:w="0" w:type="dxa"/>
            </w:tcMar>
            <w:vAlign w:val="center"/>
          </w:tcPr>
          <w:p w14:paraId="6FF76C1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2.0</w:t>
            </w:r>
          </w:p>
        </w:tc>
        <w:tc>
          <w:tcPr>
            <w:tcW w:w="435" w:type="dxa"/>
            <w:shd w:val="clear" w:color="auto" w:fill="FFFFFF"/>
            <w:tcMar>
              <w:top w:w="0" w:type="dxa"/>
              <w:left w:w="0" w:type="dxa"/>
              <w:bottom w:w="0" w:type="dxa"/>
              <w:right w:w="0" w:type="dxa"/>
            </w:tcMar>
            <w:vAlign w:val="center"/>
          </w:tcPr>
          <w:p w14:paraId="53070CA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16.6</w:t>
            </w:r>
          </w:p>
        </w:tc>
        <w:tc>
          <w:tcPr>
            <w:tcW w:w="465" w:type="dxa"/>
            <w:shd w:val="clear" w:color="auto" w:fill="FFFFFF"/>
            <w:tcMar>
              <w:top w:w="0" w:type="dxa"/>
              <w:left w:w="0" w:type="dxa"/>
              <w:bottom w:w="0" w:type="dxa"/>
              <w:right w:w="0" w:type="dxa"/>
            </w:tcMar>
            <w:vAlign w:val="center"/>
          </w:tcPr>
          <w:p w14:paraId="11BF65B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1.0</w:t>
            </w:r>
          </w:p>
        </w:tc>
        <w:tc>
          <w:tcPr>
            <w:tcW w:w="450" w:type="dxa"/>
            <w:shd w:val="clear" w:color="auto" w:fill="FFFFFF"/>
            <w:tcMar>
              <w:top w:w="0" w:type="dxa"/>
              <w:left w:w="0" w:type="dxa"/>
              <w:bottom w:w="0" w:type="dxa"/>
              <w:right w:w="0" w:type="dxa"/>
            </w:tcMar>
            <w:vAlign w:val="center"/>
          </w:tcPr>
          <w:p w14:paraId="0FE8722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8.8</w:t>
            </w:r>
          </w:p>
        </w:tc>
        <w:tc>
          <w:tcPr>
            <w:tcW w:w="525" w:type="dxa"/>
            <w:shd w:val="clear" w:color="auto" w:fill="FFFFFF"/>
            <w:tcMar>
              <w:top w:w="0" w:type="dxa"/>
              <w:left w:w="0" w:type="dxa"/>
              <w:bottom w:w="0" w:type="dxa"/>
              <w:right w:w="0" w:type="dxa"/>
            </w:tcMar>
            <w:vAlign w:val="center"/>
          </w:tcPr>
          <w:p w14:paraId="36291F0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64.5</w:t>
            </w:r>
          </w:p>
        </w:tc>
        <w:tc>
          <w:tcPr>
            <w:tcW w:w="540" w:type="dxa"/>
            <w:shd w:val="clear" w:color="auto" w:fill="FFFFFF"/>
            <w:tcMar>
              <w:top w:w="0" w:type="dxa"/>
              <w:left w:w="0" w:type="dxa"/>
              <w:bottom w:w="0" w:type="dxa"/>
              <w:right w:w="0" w:type="dxa"/>
            </w:tcMar>
            <w:vAlign w:val="center"/>
          </w:tcPr>
          <w:p w14:paraId="089849F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63.5</w:t>
            </w:r>
          </w:p>
        </w:tc>
        <w:tc>
          <w:tcPr>
            <w:tcW w:w="495" w:type="dxa"/>
            <w:shd w:val="clear" w:color="auto" w:fill="FFFFFF"/>
            <w:tcMar>
              <w:top w:w="0" w:type="dxa"/>
              <w:left w:w="0" w:type="dxa"/>
              <w:bottom w:w="0" w:type="dxa"/>
              <w:right w:w="0" w:type="dxa"/>
            </w:tcMar>
            <w:vAlign w:val="center"/>
          </w:tcPr>
          <w:p w14:paraId="572A082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66.8</w:t>
            </w:r>
          </w:p>
        </w:tc>
        <w:tc>
          <w:tcPr>
            <w:tcW w:w="510" w:type="dxa"/>
            <w:shd w:val="clear" w:color="auto" w:fill="FFFFFF"/>
            <w:tcMar>
              <w:top w:w="0" w:type="dxa"/>
              <w:left w:w="0" w:type="dxa"/>
              <w:bottom w:w="0" w:type="dxa"/>
              <w:right w:w="0" w:type="dxa"/>
            </w:tcMar>
            <w:vAlign w:val="center"/>
          </w:tcPr>
          <w:p w14:paraId="46B7775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63.5</w:t>
            </w:r>
          </w:p>
        </w:tc>
        <w:tc>
          <w:tcPr>
            <w:tcW w:w="510" w:type="dxa"/>
            <w:vMerge w:val="continue"/>
            <w:shd w:val="clear" w:color="auto" w:fill="FFFFFF"/>
            <w:tcMar>
              <w:top w:w="0" w:type="dxa"/>
              <w:left w:w="0" w:type="dxa"/>
              <w:bottom w:w="0" w:type="dxa"/>
              <w:right w:w="0" w:type="dxa"/>
            </w:tcMar>
            <w:vAlign w:val="center"/>
          </w:tcPr>
          <w:p w14:paraId="64685D9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465" w:type="dxa"/>
            <w:shd w:val="clear" w:color="auto" w:fill="FFFFFF"/>
            <w:tcMar>
              <w:top w:w="0" w:type="dxa"/>
              <w:left w:w="0" w:type="dxa"/>
              <w:bottom w:w="0" w:type="dxa"/>
              <w:right w:w="0" w:type="dxa"/>
            </w:tcMar>
            <w:vAlign w:val="center"/>
          </w:tcPr>
          <w:p w14:paraId="03C5599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4573833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5D6FB28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7406A2D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02" w:type="dxa"/>
            <w:shd w:val="clear" w:color="auto" w:fill="FFFFFF"/>
            <w:tcMar>
              <w:top w:w="0" w:type="dxa"/>
              <w:left w:w="0" w:type="dxa"/>
              <w:bottom w:w="0" w:type="dxa"/>
              <w:right w:w="0" w:type="dxa"/>
            </w:tcMar>
            <w:vAlign w:val="center"/>
          </w:tcPr>
          <w:p w14:paraId="580CBE9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43.5</w:t>
            </w:r>
          </w:p>
        </w:tc>
        <w:tc>
          <w:tcPr>
            <w:tcW w:w="425" w:type="dxa"/>
            <w:shd w:val="clear" w:color="auto" w:fill="FFFFFF"/>
            <w:tcMar>
              <w:top w:w="0" w:type="dxa"/>
              <w:left w:w="0" w:type="dxa"/>
              <w:bottom w:w="0" w:type="dxa"/>
              <w:right w:w="0" w:type="dxa"/>
            </w:tcMar>
            <w:vAlign w:val="center"/>
          </w:tcPr>
          <w:p w14:paraId="5C20632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42.5</w:t>
            </w:r>
          </w:p>
        </w:tc>
        <w:tc>
          <w:tcPr>
            <w:tcW w:w="435" w:type="dxa"/>
            <w:shd w:val="clear" w:color="auto" w:fill="FFFFFF"/>
            <w:tcMar>
              <w:top w:w="0" w:type="dxa"/>
              <w:left w:w="0" w:type="dxa"/>
              <w:bottom w:w="0" w:type="dxa"/>
              <w:right w:w="0" w:type="dxa"/>
            </w:tcMar>
            <w:vAlign w:val="center"/>
          </w:tcPr>
          <w:p w14:paraId="26D1887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45.8</w:t>
            </w:r>
          </w:p>
        </w:tc>
        <w:tc>
          <w:tcPr>
            <w:tcW w:w="435" w:type="dxa"/>
            <w:shd w:val="clear" w:color="auto" w:fill="FFFFFF"/>
            <w:tcMar>
              <w:top w:w="0" w:type="dxa"/>
              <w:left w:w="0" w:type="dxa"/>
              <w:bottom w:w="0" w:type="dxa"/>
              <w:right w:w="0" w:type="dxa"/>
            </w:tcMar>
            <w:vAlign w:val="center"/>
          </w:tcPr>
          <w:p w14:paraId="1989B8C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42.5</w:t>
            </w:r>
          </w:p>
        </w:tc>
        <w:tc>
          <w:tcPr>
            <w:tcW w:w="780" w:type="dxa"/>
            <w:vMerge w:val="continue"/>
            <w:shd w:val="clear" w:color="auto" w:fill="FFFFFF"/>
            <w:tcMar>
              <w:top w:w="0" w:type="dxa"/>
              <w:left w:w="0" w:type="dxa"/>
              <w:bottom w:w="0" w:type="dxa"/>
              <w:right w:w="0" w:type="dxa"/>
            </w:tcMar>
            <w:vAlign w:val="center"/>
          </w:tcPr>
          <w:p w14:paraId="6C7CE6F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r>
      <w:tr w14:paraId="1FFC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2" w:hRule="atLeast"/>
          <w:jc w:val="center"/>
        </w:trPr>
        <w:tc>
          <w:tcPr>
            <w:tcW w:w="420" w:type="dxa"/>
            <w:shd w:val="clear" w:color="auto" w:fill="FFFFFF"/>
            <w:tcMar>
              <w:top w:w="0" w:type="dxa"/>
              <w:left w:w="0" w:type="dxa"/>
              <w:bottom w:w="0" w:type="dxa"/>
              <w:right w:w="0" w:type="dxa"/>
            </w:tcMar>
            <w:vAlign w:val="center"/>
          </w:tcPr>
          <w:p w14:paraId="2B50FCF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29</w:t>
            </w:r>
          </w:p>
        </w:tc>
        <w:tc>
          <w:tcPr>
            <w:tcW w:w="514" w:type="dxa"/>
            <w:vMerge w:val="continue"/>
            <w:shd w:val="clear" w:color="auto" w:fill="FFFFFF"/>
            <w:tcMar>
              <w:top w:w="0" w:type="dxa"/>
              <w:left w:w="0" w:type="dxa"/>
              <w:bottom w:w="0" w:type="dxa"/>
              <w:right w:w="0" w:type="dxa"/>
            </w:tcMar>
            <w:vAlign w:val="center"/>
          </w:tcPr>
          <w:p w14:paraId="5755845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c>
          <w:tcPr>
            <w:tcW w:w="825" w:type="dxa"/>
            <w:shd w:val="clear" w:color="auto" w:fill="FFFFFF"/>
            <w:tcMar>
              <w:top w:w="0" w:type="dxa"/>
              <w:left w:w="0" w:type="dxa"/>
              <w:bottom w:w="0" w:type="dxa"/>
              <w:right w:w="0" w:type="dxa"/>
            </w:tcMar>
            <w:vAlign w:val="center"/>
          </w:tcPr>
          <w:p w14:paraId="44B6DB3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泵类</w:t>
            </w:r>
          </w:p>
        </w:tc>
        <w:tc>
          <w:tcPr>
            <w:tcW w:w="840" w:type="dxa"/>
            <w:shd w:val="clear" w:color="auto" w:fill="FFFFFF"/>
            <w:tcMar>
              <w:top w:w="0" w:type="dxa"/>
              <w:left w:w="0" w:type="dxa"/>
              <w:bottom w:w="0" w:type="dxa"/>
              <w:right w:w="0" w:type="dxa"/>
            </w:tcMar>
            <w:vAlign w:val="center"/>
          </w:tcPr>
          <w:p w14:paraId="3A7FBC2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80</w:t>
            </w:r>
          </w:p>
        </w:tc>
        <w:tc>
          <w:tcPr>
            <w:tcW w:w="675" w:type="dxa"/>
            <w:vMerge w:val="continue"/>
            <w:shd w:val="clear" w:color="auto" w:fill="FFFFFF"/>
            <w:tcMar>
              <w:top w:w="0" w:type="dxa"/>
              <w:left w:w="0" w:type="dxa"/>
              <w:bottom w:w="0" w:type="dxa"/>
              <w:right w:w="0" w:type="dxa"/>
            </w:tcMar>
            <w:vAlign w:val="center"/>
          </w:tcPr>
          <w:p w14:paraId="0C24D39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510" w:type="dxa"/>
            <w:shd w:val="clear" w:color="auto" w:fill="FFFFFF"/>
            <w:tcMar>
              <w:top w:w="0" w:type="dxa"/>
              <w:left w:w="0" w:type="dxa"/>
              <w:bottom w:w="0" w:type="dxa"/>
              <w:right w:w="0" w:type="dxa"/>
            </w:tcMar>
            <w:vAlign w:val="center"/>
          </w:tcPr>
          <w:p w14:paraId="113729F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-7.2</w:t>
            </w:r>
          </w:p>
        </w:tc>
        <w:tc>
          <w:tcPr>
            <w:tcW w:w="390" w:type="dxa"/>
            <w:shd w:val="clear" w:color="auto" w:fill="FFFFFF"/>
            <w:tcMar>
              <w:top w:w="0" w:type="dxa"/>
              <w:left w:w="0" w:type="dxa"/>
              <w:bottom w:w="0" w:type="dxa"/>
              <w:right w:w="0" w:type="dxa"/>
            </w:tcMar>
            <w:vAlign w:val="center"/>
          </w:tcPr>
          <w:p w14:paraId="15FCAA4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-5.5</w:t>
            </w:r>
          </w:p>
        </w:tc>
        <w:tc>
          <w:tcPr>
            <w:tcW w:w="420" w:type="dxa"/>
            <w:shd w:val="clear" w:color="auto" w:fill="FFFFFF"/>
            <w:tcMar>
              <w:top w:w="0" w:type="dxa"/>
              <w:left w:w="0" w:type="dxa"/>
              <w:bottom w:w="0" w:type="dxa"/>
              <w:right w:w="0" w:type="dxa"/>
            </w:tcMar>
            <w:vAlign w:val="center"/>
          </w:tcPr>
          <w:p w14:paraId="39D139F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0.5</w:t>
            </w:r>
          </w:p>
        </w:tc>
        <w:tc>
          <w:tcPr>
            <w:tcW w:w="435" w:type="dxa"/>
            <w:shd w:val="clear" w:color="auto" w:fill="FFFFFF"/>
            <w:tcMar>
              <w:top w:w="0" w:type="dxa"/>
              <w:left w:w="0" w:type="dxa"/>
              <w:bottom w:w="0" w:type="dxa"/>
              <w:right w:w="0" w:type="dxa"/>
            </w:tcMar>
            <w:vAlign w:val="center"/>
          </w:tcPr>
          <w:p w14:paraId="3E2E3CC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18.8</w:t>
            </w:r>
          </w:p>
        </w:tc>
        <w:tc>
          <w:tcPr>
            <w:tcW w:w="435" w:type="dxa"/>
            <w:shd w:val="clear" w:color="auto" w:fill="FFFFFF"/>
            <w:tcMar>
              <w:top w:w="0" w:type="dxa"/>
              <w:left w:w="0" w:type="dxa"/>
              <w:bottom w:w="0" w:type="dxa"/>
              <w:right w:w="0" w:type="dxa"/>
            </w:tcMar>
            <w:vAlign w:val="center"/>
          </w:tcPr>
          <w:p w14:paraId="1517250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14.1</w:t>
            </w:r>
          </w:p>
        </w:tc>
        <w:tc>
          <w:tcPr>
            <w:tcW w:w="465" w:type="dxa"/>
            <w:shd w:val="clear" w:color="auto" w:fill="FFFFFF"/>
            <w:tcMar>
              <w:top w:w="0" w:type="dxa"/>
              <w:left w:w="0" w:type="dxa"/>
              <w:bottom w:w="0" w:type="dxa"/>
              <w:right w:w="0" w:type="dxa"/>
            </w:tcMar>
            <w:vAlign w:val="center"/>
          </w:tcPr>
          <w:p w14:paraId="7C92D5C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2.6</w:t>
            </w:r>
          </w:p>
        </w:tc>
        <w:tc>
          <w:tcPr>
            <w:tcW w:w="450" w:type="dxa"/>
            <w:shd w:val="clear" w:color="auto" w:fill="FFFFFF"/>
            <w:tcMar>
              <w:top w:w="0" w:type="dxa"/>
              <w:left w:w="0" w:type="dxa"/>
              <w:bottom w:w="0" w:type="dxa"/>
              <w:right w:w="0" w:type="dxa"/>
            </w:tcMar>
            <w:vAlign w:val="center"/>
          </w:tcPr>
          <w:p w14:paraId="497C251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29.6</w:t>
            </w:r>
          </w:p>
        </w:tc>
        <w:tc>
          <w:tcPr>
            <w:tcW w:w="525" w:type="dxa"/>
            <w:shd w:val="clear" w:color="auto" w:fill="FFFFFF"/>
            <w:tcMar>
              <w:top w:w="0" w:type="dxa"/>
              <w:left w:w="0" w:type="dxa"/>
              <w:bottom w:w="0" w:type="dxa"/>
              <w:right w:w="0" w:type="dxa"/>
            </w:tcMar>
            <w:vAlign w:val="center"/>
          </w:tcPr>
          <w:p w14:paraId="3D2F075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68.5</w:t>
            </w:r>
          </w:p>
        </w:tc>
        <w:tc>
          <w:tcPr>
            <w:tcW w:w="540" w:type="dxa"/>
            <w:shd w:val="clear" w:color="auto" w:fill="FFFFFF"/>
            <w:tcMar>
              <w:top w:w="0" w:type="dxa"/>
              <w:left w:w="0" w:type="dxa"/>
              <w:bottom w:w="0" w:type="dxa"/>
              <w:right w:w="0" w:type="dxa"/>
            </w:tcMar>
            <w:vAlign w:val="center"/>
          </w:tcPr>
          <w:p w14:paraId="4FB4602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68.5</w:t>
            </w:r>
          </w:p>
        </w:tc>
        <w:tc>
          <w:tcPr>
            <w:tcW w:w="495" w:type="dxa"/>
            <w:shd w:val="clear" w:color="auto" w:fill="FFFFFF"/>
            <w:tcMar>
              <w:top w:w="0" w:type="dxa"/>
              <w:left w:w="0" w:type="dxa"/>
              <w:bottom w:w="0" w:type="dxa"/>
              <w:right w:w="0" w:type="dxa"/>
            </w:tcMar>
            <w:vAlign w:val="center"/>
          </w:tcPr>
          <w:p w14:paraId="16C06D7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69.1</w:t>
            </w:r>
          </w:p>
        </w:tc>
        <w:tc>
          <w:tcPr>
            <w:tcW w:w="510" w:type="dxa"/>
            <w:shd w:val="clear" w:color="auto" w:fill="FFFFFF"/>
            <w:tcMar>
              <w:top w:w="0" w:type="dxa"/>
              <w:left w:w="0" w:type="dxa"/>
              <w:bottom w:w="0" w:type="dxa"/>
              <w:right w:w="0" w:type="dxa"/>
            </w:tcMar>
            <w:vAlign w:val="center"/>
          </w:tcPr>
          <w:p w14:paraId="0698019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68.5</w:t>
            </w:r>
          </w:p>
        </w:tc>
        <w:tc>
          <w:tcPr>
            <w:tcW w:w="510" w:type="dxa"/>
            <w:vMerge w:val="continue"/>
            <w:shd w:val="clear" w:color="auto" w:fill="FFFFFF"/>
            <w:tcMar>
              <w:top w:w="0" w:type="dxa"/>
              <w:left w:w="0" w:type="dxa"/>
              <w:bottom w:w="0" w:type="dxa"/>
              <w:right w:w="0" w:type="dxa"/>
            </w:tcMar>
            <w:vAlign w:val="center"/>
          </w:tcPr>
          <w:p w14:paraId="592B045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465" w:type="dxa"/>
            <w:shd w:val="clear" w:color="auto" w:fill="FFFFFF"/>
            <w:tcMar>
              <w:top w:w="0" w:type="dxa"/>
              <w:left w:w="0" w:type="dxa"/>
              <w:bottom w:w="0" w:type="dxa"/>
              <w:right w:w="0" w:type="dxa"/>
            </w:tcMar>
            <w:vAlign w:val="center"/>
          </w:tcPr>
          <w:p w14:paraId="1CAEDDE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1C239FA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2262EE3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14DCFF3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02" w:type="dxa"/>
            <w:shd w:val="clear" w:color="auto" w:fill="FFFFFF"/>
            <w:tcMar>
              <w:top w:w="0" w:type="dxa"/>
              <w:left w:w="0" w:type="dxa"/>
              <w:bottom w:w="0" w:type="dxa"/>
              <w:right w:w="0" w:type="dxa"/>
            </w:tcMar>
            <w:vAlign w:val="center"/>
          </w:tcPr>
          <w:p w14:paraId="266C9BB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47.5</w:t>
            </w:r>
          </w:p>
        </w:tc>
        <w:tc>
          <w:tcPr>
            <w:tcW w:w="425" w:type="dxa"/>
            <w:shd w:val="clear" w:color="auto" w:fill="FFFFFF"/>
            <w:tcMar>
              <w:top w:w="0" w:type="dxa"/>
              <w:left w:w="0" w:type="dxa"/>
              <w:bottom w:w="0" w:type="dxa"/>
              <w:right w:w="0" w:type="dxa"/>
            </w:tcMar>
            <w:vAlign w:val="center"/>
          </w:tcPr>
          <w:p w14:paraId="58ED14B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47.5</w:t>
            </w:r>
          </w:p>
        </w:tc>
        <w:tc>
          <w:tcPr>
            <w:tcW w:w="435" w:type="dxa"/>
            <w:shd w:val="clear" w:color="auto" w:fill="FFFFFF"/>
            <w:tcMar>
              <w:top w:w="0" w:type="dxa"/>
              <w:left w:w="0" w:type="dxa"/>
              <w:bottom w:w="0" w:type="dxa"/>
              <w:right w:w="0" w:type="dxa"/>
            </w:tcMar>
            <w:vAlign w:val="center"/>
          </w:tcPr>
          <w:p w14:paraId="20466E0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48.1</w:t>
            </w:r>
          </w:p>
        </w:tc>
        <w:tc>
          <w:tcPr>
            <w:tcW w:w="435" w:type="dxa"/>
            <w:shd w:val="clear" w:color="auto" w:fill="FFFFFF"/>
            <w:tcMar>
              <w:top w:w="0" w:type="dxa"/>
              <w:left w:w="0" w:type="dxa"/>
              <w:bottom w:w="0" w:type="dxa"/>
              <w:right w:w="0" w:type="dxa"/>
            </w:tcMar>
            <w:vAlign w:val="center"/>
          </w:tcPr>
          <w:p w14:paraId="7E7BCA2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47.5</w:t>
            </w:r>
          </w:p>
        </w:tc>
        <w:tc>
          <w:tcPr>
            <w:tcW w:w="780" w:type="dxa"/>
            <w:vMerge w:val="continue"/>
            <w:shd w:val="clear" w:color="auto" w:fill="FFFFFF"/>
            <w:tcMar>
              <w:top w:w="0" w:type="dxa"/>
              <w:left w:w="0" w:type="dxa"/>
              <w:bottom w:w="0" w:type="dxa"/>
              <w:right w:w="0" w:type="dxa"/>
            </w:tcMar>
            <w:vAlign w:val="center"/>
          </w:tcPr>
          <w:p w14:paraId="62FF472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r>
      <w:tr w14:paraId="79A2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2" w:hRule="atLeast"/>
          <w:jc w:val="center"/>
        </w:trPr>
        <w:tc>
          <w:tcPr>
            <w:tcW w:w="420" w:type="dxa"/>
            <w:shd w:val="clear" w:color="auto" w:fill="FFFFFF"/>
            <w:tcMar>
              <w:top w:w="0" w:type="dxa"/>
              <w:left w:w="0" w:type="dxa"/>
              <w:bottom w:w="0" w:type="dxa"/>
              <w:right w:w="0" w:type="dxa"/>
            </w:tcMar>
            <w:vAlign w:val="center"/>
          </w:tcPr>
          <w:p w14:paraId="383EF8D1">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s="Times New Roman"/>
                <w:sz w:val="21"/>
                <w:szCs w:val="21"/>
                <w:lang w:val="en-US" w:eastAsia="zh-CN"/>
              </w:rPr>
            </w:pPr>
            <w:r>
              <w:rPr>
                <w:rFonts w:hint="eastAsia" w:cs="Times New Roman"/>
                <w:sz w:val="21"/>
                <w:szCs w:val="21"/>
                <w:lang w:val="en-US" w:eastAsia="zh-CN"/>
              </w:rPr>
              <w:t>30</w:t>
            </w:r>
          </w:p>
        </w:tc>
        <w:tc>
          <w:tcPr>
            <w:tcW w:w="514" w:type="dxa"/>
            <w:vMerge w:val="continue"/>
            <w:shd w:val="clear" w:color="auto" w:fill="FFFFFF"/>
            <w:tcMar>
              <w:top w:w="0" w:type="dxa"/>
              <w:left w:w="0" w:type="dxa"/>
              <w:bottom w:w="0" w:type="dxa"/>
              <w:right w:w="0" w:type="dxa"/>
            </w:tcMar>
            <w:vAlign w:val="center"/>
          </w:tcPr>
          <w:p w14:paraId="29B5B37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c>
          <w:tcPr>
            <w:tcW w:w="825" w:type="dxa"/>
            <w:shd w:val="clear" w:color="auto" w:fill="FFFFFF"/>
            <w:tcMar>
              <w:top w:w="0" w:type="dxa"/>
              <w:left w:w="0" w:type="dxa"/>
              <w:bottom w:w="0" w:type="dxa"/>
              <w:right w:w="0" w:type="dxa"/>
            </w:tcMar>
            <w:vAlign w:val="center"/>
          </w:tcPr>
          <w:p w14:paraId="18CA23F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泵类</w:t>
            </w:r>
          </w:p>
        </w:tc>
        <w:tc>
          <w:tcPr>
            <w:tcW w:w="840" w:type="dxa"/>
            <w:shd w:val="clear" w:color="auto" w:fill="FFFFFF"/>
            <w:tcMar>
              <w:top w:w="0" w:type="dxa"/>
              <w:left w:w="0" w:type="dxa"/>
              <w:bottom w:w="0" w:type="dxa"/>
              <w:right w:w="0" w:type="dxa"/>
            </w:tcMar>
            <w:vAlign w:val="center"/>
          </w:tcPr>
          <w:p w14:paraId="51E0DDD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80</w:t>
            </w:r>
          </w:p>
        </w:tc>
        <w:tc>
          <w:tcPr>
            <w:tcW w:w="675" w:type="dxa"/>
            <w:vMerge w:val="continue"/>
            <w:shd w:val="clear" w:color="auto" w:fill="FFFFFF"/>
            <w:tcMar>
              <w:top w:w="0" w:type="dxa"/>
              <w:left w:w="0" w:type="dxa"/>
              <w:bottom w:w="0" w:type="dxa"/>
              <w:right w:w="0" w:type="dxa"/>
            </w:tcMar>
            <w:vAlign w:val="center"/>
          </w:tcPr>
          <w:p w14:paraId="436E61C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510" w:type="dxa"/>
            <w:shd w:val="clear" w:color="auto" w:fill="FFFFFF"/>
            <w:tcMar>
              <w:top w:w="0" w:type="dxa"/>
              <w:left w:w="0" w:type="dxa"/>
              <w:bottom w:w="0" w:type="dxa"/>
              <w:right w:w="0" w:type="dxa"/>
            </w:tcMar>
            <w:vAlign w:val="center"/>
          </w:tcPr>
          <w:p w14:paraId="51395FC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14</w:t>
            </w:r>
          </w:p>
        </w:tc>
        <w:tc>
          <w:tcPr>
            <w:tcW w:w="390" w:type="dxa"/>
            <w:shd w:val="clear" w:color="auto" w:fill="FFFFFF"/>
            <w:tcMar>
              <w:top w:w="0" w:type="dxa"/>
              <w:left w:w="0" w:type="dxa"/>
              <w:bottom w:w="0" w:type="dxa"/>
              <w:right w:w="0" w:type="dxa"/>
            </w:tcMar>
            <w:vAlign w:val="center"/>
          </w:tcPr>
          <w:p w14:paraId="6F2A6CE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0</w:t>
            </w:r>
          </w:p>
        </w:tc>
        <w:tc>
          <w:tcPr>
            <w:tcW w:w="420" w:type="dxa"/>
            <w:shd w:val="clear" w:color="auto" w:fill="FFFFFF"/>
            <w:tcMar>
              <w:top w:w="0" w:type="dxa"/>
              <w:left w:w="0" w:type="dxa"/>
              <w:bottom w:w="0" w:type="dxa"/>
              <w:right w:w="0" w:type="dxa"/>
            </w:tcMar>
            <w:vAlign w:val="center"/>
          </w:tcPr>
          <w:p w14:paraId="51A73DE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0.5</w:t>
            </w:r>
          </w:p>
        </w:tc>
        <w:tc>
          <w:tcPr>
            <w:tcW w:w="435" w:type="dxa"/>
            <w:shd w:val="clear" w:color="auto" w:fill="FFFFFF"/>
            <w:tcMar>
              <w:top w:w="0" w:type="dxa"/>
              <w:left w:w="0" w:type="dxa"/>
              <w:bottom w:w="0" w:type="dxa"/>
              <w:right w:w="0" w:type="dxa"/>
            </w:tcMar>
            <w:vAlign w:val="center"/>
          </w:tcPr>
          <w:p w14:paraId="68BEA5D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1.5</w:t>
            </w:r>
          </w:p>
        </w:tc>
        <w:tc>
          <w:tcPr>
            <w:tcW w:w="435" w:type="dxa"/>
            <w:shd w:val="clear" w:color="auto" w:fill="FFFFFF"/>
            <w:tcMar>
              <w:top w:w="0" w:type="dxa"/>
              <w:left w:w="0" w:type="dxa"/>
              <w:bottom w:w="0" w:type="dxa"/>
              <w:right w:w="0" w:type="dxa"/>
            </w:tcMar>
            <w:vAlign w:val="center"/>
          </w:tcPr>
          <w:p w14:paraId="2EA31DB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21.8</w:t>
            </w:r>
          </w:p>
        </w:tc>
        <w:tc>
          <w:tcPr>
            <w:tcW w:w="465" w:type="dxa"/>
            <w:shd w:val="clear" w:color="auto" w:fill="FFFFFF"/>
            <w:tcMar>
              <w:top w:w="0" w:type="dxa"/>
              <w:left w:w="0" w:type="dxa"/>
              <w:bottom w:w="0" w:type="dxa"/>
              <w:right w:w="0" w:type="dxa"/>
            </w:tcMar>
            <w:vAlign w:val="center"/>
          </w:tcPr>
          <w:p w14:paraId="18D7CC9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4.3</w:t>
            </w:r>
          </w:p>
        </w:tc>
        <w:tc>
          <w:tcPr>
            <w:tcW w:w="450" w:type="dxa"/>
            <w:shd w:val="clear" w:color="auto" w:fill="FFFFFF"/>
            <w:tcMar>
              <w:top w:w="0" w:type="dxa"/>
              <w:left w:w="0" w:type="dxa"/>
              <w:bottom w:w="0" w:type="dxa"/>
              <w:right w:w="0" w:type="dxa"/>
            </w:tcMar>
            <w:vAlign w:val="center"/>
          </w:tcPr>
          <w:p w14:paraId="14DDF16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9.2</w:t>
            </w:r>
          </w:p>
        </w:tc>
        <w:tc>
          <w:tcPr>
            <w:tcW w:w="525" w:type="dxa"/>
            <w:shd w:val="clear" w:color="auto" w:fill="FFFFFF"/>
            <w:tcMar>
              <w:top w:w="0" w:type="dxa"/>
              <w:left w:w="0" w:type="dxa"/>
              <w:bottom w:w="0" w:type="dxa"/>
              <w:right w:w="0" w:type="dxa"/>
            </w:tcMar>
            <w:vAlign w:val="center"/>
          </w:tcPr>
          <w:p w14:paraId="0A9EEED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70.2</w:t>
            </w:r>
          </w:p>
        </w:tc>
        <w:tc>
          <w:tcPr>
            <w:tcW w:w="540" w:type="dxa"/>
            <w:shd w:val="clear" w:color="auto" w:fill="FFFFFF"/>
            <w:tcMar>
              <w:top w:w="0" w:type="dxa"/>
              <w:left w:w="0" w:type="dxa"/>
              <w:bottom w:w="0" w:type="dxa"/>
              <w:right w:w="0" w:type="dxa"/>
            </w:tcMar>
            <w:vAlign w:val="center"/>
          </w:tcPr>
          <w:p w14:paraId="2D6F7F5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68.5</w:t>
            </w:r>
          </w:p>
        </w:tc>
        <w:tc>
          <w:tcPr>
            <w:tcW w:w="495" w:type="dxa"/>
            <w:shd w:val="clear" w:color="auto" w:fill="FFFFFF"/>
            <w:tcMar>
              <w:top w:w="0" w:type="dxa"/>
              <w:left w:w="0" w:type="dxa"/>
              <w:bottom w:w="0" w:type="dxa"/>
              <w:right w:w="0" w:type="dxa"/>
            </w:tcMar>
            <w:vAlign w:val="center"/>
          </w:tcPr>
          <w:p w14:paraId="169ECBD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68.7</w:t>
            </w:r>
          </w:p>
        </w:tc>
        <w:tc>
          <w:tcPr>
            <w:tcW w:w="510" w:type="dxa"/>
            <w:shd w:val="clear" w:color="auto" w:fill="FFFFFF"/>
            <w:tcMar>
              <w:top w:w="0" w:type="dxa"/>
              <w:left w:w="0" w:type="dxa"/>
              <w:bottom w:w="0" w:type="dxa"/>
              <w:right w:w="0" w:type="dxa"/>
            </w:tcMar>
            <w:vAlign w:val="center"/>
          </w:tcPr>
          <w:p w14:paraId="03AFC9C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68.5</w:t>
            </w:r>
          </w:p>
        </w:tc>
        <w:tc>
          <w:tcPr>
            <w:tcW w:w="510" w:type="dxa"/>
            <w:vMerge w:val="continue"/>
            <w:shd w:val="clear" w:color="auto" w:fill="FFFFFF"/>
            <w:tcMar>
              <w:top w:w="0" w:type="dxa"/>
              <w:left w:w="0" w:type="dxa"/>
              <w:bottom w:w="0" w:type="dxa"/>
              <w:right w:w="0" w:type="dxa"/>
            </w:tcMar>
            <w:vAlign w:val="center"/>
          </w:tcPr>
          <w:p w14:paraId="407892A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p>
        </w:tc>
        <w:tc>
          <w:tcPr>
            <w:tcW w:w="465" w:type="dxa"/>
            <w:shd w:val="clear" w:color="auto" w:fill="FFFFFF"/>
            <w:tcMar>
              <w:top w:w="0" w:type="dxa"/>
              <w:left w:w="0" w:type="dxa"/>
              <w:bottom w:w="0" w:type="dxa"/>
              <w:right w:w="0" w:type="dxa"/>
            </w:tcMar>
            <w:vAlign w:val="center"/>
          </w:tcPr>
          <w:p w14:paraId="6917768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755EB6B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4161C2A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64" w:type="dxa"/>
            <w:shd w:val="clear" w:color="auto" w:fill="FFFFFF"/>
            <w:tcMar>
              <w:top w:w="0" w:type="dxa"/>
              <w:left w:w="0" w:type="dxa"/>
              <w:bottom w:w="0" w:type="dxa"/>
              <w:right w:w="0" w:type="dxa"/>
            </w:tcMar>
            <w:vAlign w:val="center"/>
          </w:tcPr>
          <w:p w14:paraId="0A0FE4A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21.0</w:t>
            </w:r>
          </w:p>
        </w:tc>
        <w:tc>
          <w:tcPr>
            <w:tcW w:w="502" w:type="dxa"/>
            <w:shd w:val="clear" w:color="auto" w:fill="FFFFFF"/>
            <w:tcMar>
              <w:top w:w="0" w:type="dxa"/>
              <w:left w:w="0" w:type="dxa"/>
              <w:bottom w:w="0" w:type="dxa"/>
              <w:right w:w="0" w:type="dxa"/>
            </w:tcMar>
            <w:vAlign w:val="center"/>
          </w:tcPr>
          <w:p w14:paraId="7205D1C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49.2</w:t>
            </w:r>
          </w:p>
        </w:tc>
        <w:tc>
          <w:tcPr>
            <w:tcW w:w="425" w:type="dxa"/>
            <w:shd w:val="clear" w:color="auto" w:fill="FFFFFF"/>
            <w:tcMar>
              <w:top w:w="0" w:type="dxa"/>
              <w:left w:w="0" w:type="dxa"/>
              <w:bottom w:w="0" w:type="dxa"/>
              <w:right w:w="0" w:type="dxa"/>
            </w:tcMar>
            <w:vAlign w:val="center"/>
          </w:tcPr>
          <w:p w14:paraId="6F623FF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47.5</w:t>
            </w:r>
          </w:p>
        </w:tc>
        <w:tc>
          <w:tcPr>
            <w:tcW w:w="435" w:type="dxa"/>
            <w:shd w:val="clear" w:color="auto" w:fill="FFFFFF"/>
            <w:tcMar>
              <w:top w:w="0" w:type="dxa"/>
              <w:left w:w="0" w:type="dxa"/>
              <w:bottom w:w="0" w:type="dxa"/>
              <w:right w:w="0" w:type="dxa"/>
            </w:tcMar>
            <w:vAlign w:val="center"/>
          </w:tcPr>
          <w:p w14:paraId="5AF771C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47.7</w:t>
            </w:r>
          </w:p>
        </w:tc>
        <w:tc>
          <w:tcPr>
            <w:tcW w:w="435" w:type="dxa"/>
            <w:shd w:val="clear" w:color="auto" w:fill="FFFFFF"/>
            <w:tcMar>
              <w:top w:w="0" w:type="dxa"/>
              <w:left w:w="0" w:type="dxa"/>
              <w:bottom w:w="0" w:type="dxa"/>
              <w:right w:w="0" w:type="dxa"/>
            </w:tcMar>
            <w:vAlign w:val="center"/>
          </w:tcPr>
          <w:p w14:paraId="13FBFDC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sz w:val="21"/>
                <w:szCs w:val="21"/>
              </w:rPr>
            </w:pPr>
            <w:r>
              <w:rPr>
                <w:rFonts w:hint="default" w:ascii="Times New Roman" w:hAnsi="Times New Roman" w:eastAsia="Arial" w:cs="Times New Roman"/>
                <w:sz w:val="21"/>
                <w:szCs w:val="21"/>
              </w:rPr>
              <w:t>47.5</w:t>
            </w:r>
          </w:p>
        </w:tc>
        <w:tc>
          <w:tcPr>
            <w:tcW w:w="780" w:type="dxa"/>
            <w:vMerge w:val="continue"/>
            <w:shd w:val="clear" w:color="auto" w:fill="FFFFFF"/>
            <w:tcMar>
              <w:top w:w="0" w:type="dxa"/>
              <w:left w:w="0" w:type="dxa"/>
              <w:bottom w:w="0" w:type="dxa"/>
              <w:right w:w="0" w:type="dxa"/>
            </w:tcMar>
            <w:vAlign w:val="center"/>
          </w:tcPr>
          <w:p w14:paraId="68B8DB0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r>
      <w:tr w14:paraId="729FD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2" w:hRule="atLeast"/>
          <w:jc w:val="center"/>
        </w:trPr>
        <w:tc>
          <w:tcPr>
            <w:tcW w:w="420" w:type="dxa"/>
            <w:shd w:val="clear" w:color="auto" w:fill="FFFFFF"/>
            <w:tcMar>
              <w:top w:w="0" w:type="dxa"/>
              <w:left w:w="0" w:type="dxa"/>
              <w:bottom w:w="0" w:type="dxa"/>
              <w:right w:w="0" w:type="dxa"/>
            </w:tcMar>
            <w:vAlign w:val="center"/>
          </w:tcPr>
          <w:p w14:paraId="40313C9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5B9BD5" w:themeColor="accent1"/>
                <w:sz w:val="21"/>
                <w:szCs w:val="21"/>
                <w:lang w:val="en-US" w:eastAsia="zh-CN"/>
                <w14:textFill>
                  <w14:solidFill>
                    <w14:schemeClr w14:val="accent1"/>
                  </w14:solidFill>
                </w14:textFill>
              </w:rPr>
            </w:pPr>
            <w:r>
              <w:rPr>
                <w:rFonts w:hint="eastAsia" w:eastAsia="宋体" w:cs="Times New Roman"/>
                <w:color w:val="5B9BD5" w:themeColor="accent1"/>
                <w:sz w:val="21"/>
                <w:szCs w:val="21"/>
                <w:lang w:val="en-US" w:eastAsia="zh-CN"/>
                <w14:textFill>
                  <w14:solidFill>
                    <w14:schemeClr w14:val="accent1"/>
                  </w14:solidFill>
                </w14:textFill>
              </w:rPr>
              <w:t>3</w:t>
            </w:r>
            <w:r>
              <w:rPr>
                <w:rFonts w:hint="eastAsia" w:cs="Times New Roman"/>
                <w:color w:val="5B9BD5" w:themeColor="accent1"/>
                <w:sz w:val="21"/>
                <w:szCs w:val="21"/>
                <w:lang w:val="en-US" w:eastAsia="zh-CN"/>
                <w14:textFill>
                  <w14:solidFill>
                    <w14:schemeClr w14:val="accent1"/>
                  </w14:solidFill>
                </w14:textFill>
              </w:rPr>
              <w:t>1</w:t>
            </w:r>
          </w:p>
        </w:tc>
        <w:tc>
          <w:tcPr>
            <w:tcW w:w="514" w:type="dxa"/>
            <w:vMerge w:val="continue"/>
            <w:shd w:val="clear" w:color="auto" w:fill="FFFFFF"/>
            <w:tcMar>
              <w:top w:w="0" w:type="dxa"/>
              <w:left w:w="0" w:type="dxa"/>
              <w:bottom w:w="0" w:type="dxa"/>
              <w:right w:w="0" w:type="dxa"/>
            </w:tcMar>
            <w:vAlign w:val="center"/>
          </w:tcPr>
          <w:p w14:paraId="66C3CBA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5B9BD5" w:themeColor="accent1"/>
                <w:sz w:val="21"/>
                <w:szCs w:val="21"/>
                <w14:textFill>
                  <w14:solidFill>
                    <w14:schemeClr w14:val="accent1"/>
                  </w14:solidFill>
                </w14:textFill>
              </w:rPr>
            </w:pPr>
          </w:p>
        </w:tc>
        <w:tc>
          <w:tcPr>
            <w:tcW w:w="825" w:type="dxa"/>
            <w:shd w:val="clear" w:color="auto" w:fill="FFFFFF"/>
            <w:tcMar>
              <w:top w:w="0" w:type="dxa"/>
              <w:left w:w="0" w:type="dxa"/>
              <w:bottom w:w="0" w:type="dxa"/>
              <w:right w:w="0" w:type="dxa"/>
            </w:tcMar>
            <w:vAlign w:val="center"/>
          </w:tcPr>
          <w:p w14:paraId="4D5FF5C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color w:val="5B9BD5" w:themeColor="accent1"/>
                <w:sz w:val="21"/>
                <w:szCs w:val="21"/>
                <w14:textFill>
                  <w14:solidFill>
                    <w14:schemeClr w14:val="accent1"/>
                  </w14:solidFill>
                </w14:textFill>
              </w:rPr>
            </w:pPr>
            <w:r>
              <w:rPr>
                <w:rFonts w:hint="default" w:ascii="Times New Roman" w:hAnsi="Times New Roman" w:eastAsia="Arial" w:cs="Times New Roman"/>
                <w:color w:val="5B9BD5" w:themeColor="accent1"/>
                <w:sz w:val="21"/>
                <w:szCs w:val="21"/>
                <w14:textFill>
                  <w14:solidFill>
                    <w14:schemeClr w14:val="accent1"/>
                  </w14:solidFill>
                </w14:textFill>
              </w:rPr>
              <w:t>风机</w:t>
            </w:r>
          </w:p>
        </w:tc>
        <w:tc>
          <w:tcPr>
            <w:tcW w:w="840" w:type="dxa"/>
            <w:shd w:val="clear" w:color="auto" w:fill="FFFFFF"/>
            <w:tcMar>
              <w:top w:w="0" w:type="dxa"/>
              <w:left w:w="0" w:type="dxa"/>
              <w:bottom w:w="0" w:type="dxa"/>
              <w:right w:w="0" w:type="dxa"/>
            </w:tcMar>
            <w:vAlign w:val="center"/>
          </w:tcPr>
          <w:p w14:paraId="521C681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color w:val="5B9BD5" w:themeColor="accent1"/>
                <w:sz w:val="21"/>
                <w:szCs w:val="21"/>
                <w14:textFill>
                  <w14:solidFill>
                    <w14:schemeClr w14:val="accent1"/>
                  </w14:solidFill>
                </w14:textFill>
              </w:rPr>
            </w:pPr>
            <w:r>
              <w:rPr>
                <w:rFonts w:hint="default" w:ascii="Times New Roman" w:hAnsi="Times New Roman" w:eastAsia="Arial" w:cs="Times New Roman"/>
                <w:color w:val="5B9BD5" w:themeColor="accent1"/>
                <w:sz w:val="21"/>
                <w:szCs w:val="21"/>
                <w14:textFill>
                  <w14:solidFill>
                    <w14:schemeClr w14:val="accent1"/>
                  </w14:solidFill>
                </w14:textFill>
              </w:rPr>
              <w:t>85</w:t>
            </w:r>
          </w:p>
        </w:tc>
        <w:tc>
          <w:tcPr>
            <w:tcW w:w="675" w:type="dxa"/>
            <w:vMerge w:val="continue"/>
            <w:shd w:val="clear" w:color="auto" w:fill="FFFFFF"/>
            <w:tcMar>
              <w:top w:w="0" w:type="dxa"/>
              <w:left w:w="0" w:type="dxa"/>
              <w:bottom w:w="0" w:type="dxa"/>
              <w:right w:w="0" w:type="dxa"/>
            </w:tcMar>
            <w:vAlign w:val="center"/>
          </w:tcPr>
          <w:p w14:paraId="0634EED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color w:val="5B9BD5" w:themeColor="accent1"/>
                <w:sz w:val="21"/>
                <w:szCs w:val="21"/>
                <w14:textFill>
                  <w14:solidFill>
                    <w14:schemeClr w14:val="accent1"/>
                  </w14:solidFill>
                </w14:textFill>
              </w:rPr>
            </w:pPr>
          </w:p>
        </w:tc>
        <w:tc>
          <w:tcPr>
            <w:tcW w:w="510" w:type="dxa"/>
            <w:shd w:val="clear" w:color="auto" w:fill="FFFFFF"/>
            <w:tcMar>
              <w:top w:w="0" w:type="dxa"/>
              <w:left w:w="0" w:type="dxa"/>
              <w:bottom w:w="0" w:type="dxa"/>
              <w:right w:w="0" w:type="dxa"/>
            </w:tcMar>
            <w:vAlign w:val="center"/>
          </w:tcPr>
          <w:p w14:paraId="60BE32C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color w:val="5B9BD5" w:themeColor="accent1"/>
                <w:sz w:val="21"/>
                <w:szCs w:val="21"/>
                <w14:textFill>
                  <w14:solidFill>
                    <w14:schemeClr w14:val="accent1"/>
                  </w14:solidFill>
                </w14:textFill>
              </w:rPr>
            </w:pPr>
            <w:r>
              <w:rPr>
                <w:rFonts w:hint="default" w:ascii="Times New Roman" w:hAnsi="Times New Roman" w:eastAsia="Arial" w:cs="Times New Roman"/>
                <w:color w:val="5B9BD5" w:themeColor="accent1"/>
                <w:sz w:val="21"/>
                <w:szCs w:val="21"/>
                <w14:textFill>
                  <w14:solidFill>
                    <w14:schemeClr w14:val="accent1"/>
                  </w14:solidFill>
                </w14:textFill>
              </w:rPr>
              <w:t>-6</w:t>
            </w:r>
          </w:p>
        </w:tc>
        <w:tc>
          <w:tcPr>
            <w:tcW w:w="390" w:type="dxa"/>
            <w:shd w:val="clear" w:color="auto" w:fill="FFFFFF"/>
            <w:tcMar>
              <w:top w:w="0" w:type="dxa"/>
              <w:left w:w="0" w:type="dxa"/>
              <w:bottom w:w="0" w:type="dxa"/>
              <w:right w:w="0" w:type="dxa"/>
            </w:tcMar>
            <w:vAlign w:val="center"/>
          </w:tcPr>
          <w:p w14:paraId="02CF013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color w:val="5B9BD5" w:themeColor="accent1"/>
                <w:sz w:val="21"/>
                <w:szCs w:val="21"/>
                <w14:textFill>
                  <w14:solidFill>
                    <w14:schemeClr w14:val="accent1"/>
                  </w14:solidFill>
                </w14:textFill>
              </w:rPr>
            </w:pPr>
            <w:r>
              <w:rPr>
                <w:rFonts w:hint="default" w:ascii="Times New Roman" w:hAnsi="Times New Roman" w:eastAsia="Arial" w:cs="Times New Roman"/>
                <w:color w:val="5B9BD5" w:themeColor="accent1"/>
                <w:sz w:val="21"/>
                <w:szCs w:val="21"/>
                <w14:textFill>
                  <w14:solidFill>
                    <w14:schemeClr w14:val="accent1"/>
                  </w14:solidFill>
                </w14:textFill>
              </w:rPr>
              <w:t>-3.6</w:t>
            </w:r>
          </w:p>
        </w:tc>
        <w:tc>
          <w:tcPr>
            <w:tcW w:w="420" w:type="dxa"/>
            <w:shd w:val="clear" w:color="auto" w:fill="FFFFFF"/>
            <w:tcMar>
              <w:top w:w="0" w:type="dxa"/>
              <w:left w:w="0" w:type="dxa"/>
              <w:bottom w:w="0" w:type="dxa"/>
              <w:right w:w="0" w:type="dxa"/>
            </w:tcMar>
            <w:vAlign w:val="center"/>
          </w:tcPr>
          <w:p w14:paraId="10F786A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color w:val="5B9BD5" w:themeColor="accent1"/>
                <w:sz w:val="21"/>
                <w:szCs w:val="21"/>
                <w14:textFill>
                  <w14:solidFill>
                    <w14:schemeClr w14:val="accent1"/>
                  </w14:solidFill>
                </w14:textFill>
              </w:rPr>
            </w:pPr>
            <w:r>
              <w:rPr>
                <w:rFonts w:hint="default" w:ascii="Times New Roman" w:hAnsi="Times New Roman" w:eastAsia="Arial" w:cs="Times New Roman"/>
                <w:color w:val="5B9BD5" w:themeColor="accent1"/>
                <w:sz w:val="21"/>
                <w:szCs w:val="21"/>
                <w14:textFill>
                  <w14:solidFill>
                    <w14:schemeClr w14:val="accent1"/>
                  </w14:solidFill>
                </w14:textFill>
              </w:rPr>
              <w:t>0.6</w:t>
            </w:r>
          </w:p>
        </w:tc>
        <w:tc>
          <w:tcPr>
            <w:tcW w:w="435" w:type="dxa"/>
            <w:shd w:val="clear" w:color="auto" w:fill="FFFFFF"/>
            <w:tcMar>
              <w:top w:w="0" w:type="dxa"/>
              <w:left w:w="0" w:type="dxa"/>
              <w:bottom w:w="0" w:type="dxa"/>
              <w:right w:w="0" w:type="dxa"/>
            </w:tcMar>
            <w:vAlign w:val="center"/>
          </w:tcPr>
          <w:p w14:paraId="441F640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color w:val="5B9BD5" w:themeColor="accent1"/>
                <w:sz w:val="21"/>
                <w:szCs w:val="21"/>
                <w14:textFill>
                  <w14:solidFill>
                    <w14:schemeClr w14:val="accent1"/>
                  </w14:solidFill>
                </w14:textFill>
              </w:rPr>
            </w:pPr>
            <w:r>
              <w:rPr>
                <w:rFonts w:hint="default" w:ascii="Times New Roman" w:hAnsi="Times New Roman" w:eastAsia="Arial" w:cs="Times New Roman"/>
                <w:color w:val="5B9BD5" w:themeColor="accent1"/>
                <w:sz w:val="21"/>
                <w:szCs w:val="21"/>
                <w14:textFill>
                  <w14:solidFill>
                    <w14:schemeClr w14:val="accent1"/>
                  </w14:solidFill>
                </w14:textFill>
              </w:rPr>
              <w:t>17.8</w:t>
            </w:r>
          </w:p>
        </w:tc>
        <w:tc>
          <w:tcPr>
            <w:tcW w:w="435" w:type="dxa"/>
            <w:shd w:val="clear" w:color="auto" w:fill="FFFFFF"/>
            <w:tcMar>
              <w:top w:w="0" w:type="dxa"/>
              <w:left w:w="0" w:type="dxa"/>
              <w:bottom w:w="0" w:type="dxa"/>
              <w:right w:w="0" w:type="dxa"/>
            </w:tcMar>
            <w:vAlign w:val="center"/>
          </w:tcPr>
          <w:p w14:paraId="122B01E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color w:val="5B9BD5" w:themeColor="accent1"/>
                <w:sz w:val="21"/>
                <w:szCs w:val="21"/>
                <w14:textFill>
                  <w14:solidFill>
                    <w14:schemeClr w14:val="accent1"/>
                  </w14:solidFill>
                </w14:textFill>
              </w:rPr>
            </w:pPr>
            <w:r>
              <w:rPr>
                <w:rFonts w:hint="default" w:ascii="Times New Roman" w:hAnsi="Times New Roman" w:eastAsia="Arial" w:cs="Times New Roman"/>
                <w:color w:val="5B9BD5" w:themeColor="accent1"/>
                <w:sz w:val="21"/>
                <w:szCs w:val="21"/>
                <w14:textFill>
                  <w14:solidFill>
                    <w14:schemeClr w14:val="accent1"/>
                  </w14:solidFill>
                </w14:textFill>
              </w:rPr>
              <w:t>16.1</w:t>
            </w:r>
          </w:p>
        </w:tc>
        <w:tc>
          <w:tcPr>
            <w:tcW w:w="465" w:type="dxa"/>
            <w:shd w:val="clear" w:color="auto" w:fill="FFFFFF"/>
            <w:tcMar>
              <w:top w:w="0" w:type="dxa"/>
              <w:left w:w="0" w:type="dxa"/>
              <w:bottom w:w="0" w:type="dxa"/>
              <w:right w:w="0" w:type="dxa"/>
            </w:tcMar>
            <w:vAlign w:val="center"/>
          </w:tcPr>
          <w:p w14:paraId="76AF74B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color w:val="5B9BD5" w:themeColor="accent1"/>
                <w:sz w:val="21"/>
                <w:szCs w:val="21"/>
                <w14:textFill>
                  <w14:solidFill>
                    <w14:schemeClr w14:val="accent1"/>
                  </w14:solidFill>
                </w14:textFill>
              </w:rPr>
            </w:pPr>
            <w:r>
              <w:rPr>
                <w:rFonts w:hint="default" w:ascii="Times New Roman" w:hAnsi="Times New Roman" w:eastAsia="Arial" w:cs="Times New Roman"/>
                <w:color w:val="5B9BD5" w:themeColor="accent1"/>
                <w:sz w:val="21"/>
                <w:szCs w:val="21"/>
                <w14:textFill>
                  <w14:solidFill>
                    <w14:schemeClr w14:val="accent1"/>
                  </w14:solidFill>
                </w14:textFill>
              </w:rPr>
              <w:t>0.7</w:t>
            </w:r>
          </w:p>
        </w:tc>
        <w:tc>
          <w:tcPr>
            <w:tcW w:w="450" w:type="dxa"/>
            <w:shd w:val="clear" w:color="auto" w:fill="FFFFFF"/>
            <w:tcMar>
              <w:top w:w="0" w:type="dxa"/>
              <w:left w:w="0" w:type="dxa"/>
              <w:bottom w:w="0" w:type="dxa"/>
              <w:right w:w="0" w:type="dxa"/>
            </w:tcMar>
            <w:vAlign w:val="center"/>
          </w:tcPr>
          <w:p w14:paraId="731D6D9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color w:val="5B9BD5" w:themeColor="accent1"/>
                <w:sz w:val="21"/>
                <w:szCs w:val="21"/>
                <w14:textFill>
                  <w14:solidFill>
                    <w14:schemeClr w14:val="accent1"/>
                  </w14:solidFill>
                </w14:textFill>
              </w:rPr>
            </w:pPr>
            <w:r>
              <w:rPr>
                <w:rFonts w:hint="default" w:ascii="Times New Roman" w:hAnsi="Times New Roman" w:eastAsia="Arial" w:cs="Times New Roman"/>
                <w:color w:val="5B9BD5" w:themeColor="accent1"/>
                <w:sz w:val="21"/>
                <w:szCs w:val="21"/>
                <w14:textFill>
                  <w14:solidFill>
                    <w14:schemeClr w14:val="accent1"/>
                  </w14:solidFill>
                </w14:textFill>
              </w:rPr>
              <w:t>28.7</w:t>
            </w:r>
          </w:p>
        </w:tc>
        <w:tc>
          <w:tcPr>
            <w:tcW w:w="525" w:type="dxa"/>
            <w:shd w:val="clear" w:color="auto" w:fill="FFFFFF"/>
            <w:tcMar>
              <w:top w:w="0" w:type="dxa"/>
              <w:left w:w="0" w:type="dxa"/>
              <w:bottom w:w="0" w:type="dxa"/>
              <w:right w:w="0" w:type="dxa"/>
            </w:tcMar>
            <w:vAlign w:val="center"/>
          </w:tcPr>
          <w:p w14:paraId="639D275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color w:val="5B9BD5" w:themeColor="accent1"/>
                <w:sz w:val="21"/>
                <w:szCs w:val="21"/>
                <w14:textFill>
                  <w14:solidFill>
                    <w14:schemeClr w14:val="accent1"/>
                  </w14:solidFill>
                </w14:textFill>
              </w:rPr>
            </w:pPr>
            <w:r>
              <w:rPr>
                <w:rFonts w:hint="default" w:ascii="Times New Roman" w:hAnsi="Times New Roman" w:eastAsia="Arial" w:cs="Times New Roman"/>
                <w:color w:val="5B9BD5" w:themeColor="accent1"/>
                <w:sz w:val="21"/>
                <w:szCs w:val="21"/>
                <w14:textFill>
                  <w14:solidFill>
                    <w14:schemeClr w14:val="accent1"/>
                  </w14:solidFill>
                </w14:textFill>
              </w:rPr>
              <w:t>73.5</w:t>
            </w:r>
          </w:p>
        </w:tc>
        <w:tc>
          <w:tcPr>
            <w:tcW w:w="540" w:type="dxa"/>
            <w:shd w:val="clear" w:color="auto" w:fill="FFFFFF"/>
            <w:tcMar>
              <w:top w:w="0" w:type="dxa"/>
              <w:left w:w="0" w:type="dxa"/>
              <w:bottom w:w="0" w:type="dxa"/>
              <w:right w:w="0" w:type="dxa"/>
            </w:tcMar>
            <w:vAlign w:val="center"/>
          </w:tcPr>
          <w:p w14:paraId="59D6AEE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color w:val="5B9BD5" w:themeColor="accent1"/>
                <w:sz w:val="21"/>
                <w:szCs w:val="21"/>
                <w14:textFill>
                  <w14:solidFill>
                    <w14:schemeClr w14:val="accent1"/>
                  </w14:solidFill>
                </w14:textFill>
              </w:rPr>
            </w:pPr>
            <w:r>
              <w:rPr>
                <w:rFonts w:hint="default" w:ascii="Times New Roman" w:hAnsi="Times New Roman" w:eastAsia="Arial" w:cs="Times New Roman"/>
                <w:color w:val="5B9BD5" w:themeColor="accent1"/>
                <w:sz w:val="21"/>
                <w:szCs w:val="21"/>
                <w14:textFill>
                  <w14:solidFill>
                    <w14:schemeClr w14:val="accent1"/>
                  </w14:solidFill>
                </w14:textFill>
              </w:rPr>
              <w:t>73.5</w:t>
            </w:r>
          </w:p>
        </w:tc>
        <w:tc>
          <w:tcPr>
            <w:tcW w:w="495" w:type="dxa"/>
            <w:shd w:val="clear" w:color="auto" w:fill="FFFFFF"/>
            <w:tcMar>
              <w:top w:w="0" w:type="dxa"/>
              <w:left w:w="0" w:type="dxa"/>
              <w:bottom w:w="0" w:type="dxa"/>
              <w:right w:w="0" w:type="dxa"/>
            </w:tcMar>
            <w:vAlign w:val="center"/>
          </w:tcPr>
          <w:p w14:paraId="0135C2F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color w:val="5B9BD5" w:themeColor="accent1"/>
                <w:sz w:val="21"/>
                <w:szCs w:val="21"/>
                <w14:textFill>
                  <w14:solidFill>
                    <w14:schemeClr w14:val="accent1"/>
                  </w14:solidFill>
                </w14:textFill>
              </w:rPr>
            </w:pPr>
            <w:r>
              <w:rPr>
                <w:rFonts w:hint="default" w:ascii="Times New Roman" w:hAnsi="Times New Roman" w:eastAsia="Arial" w:cs="Times New Roman"/>
                <w:color w:val="5B9BD5" w:themeColor="accent1"/>
                <w:sz w:val="21"/>
                <w:szCs w:val="21"/>
                <w14:textFill>
                  <w14:solidFill>
                    <w14:schemeClr w14:val="accent1"/>
                  </w14:solidFill>
                </w14:textFill>
              </w:rPr>
              <w:t>78.7</w:t>
            </w:r>
          </w:p>
        </w:tc>
        <w:tc>
          <w:tcPr>
            <w:tcW w:w="510" w:type="dxa"/>
            <w:shd w:val="clear" w:color="auto" w:fill="FFFFFF"/>
            <w:tcMar>
              <w:top w:w="0" w:type="dxa"/>
              <w:left w:w="0" w:type="dxa"/>
              <w:bottom w:w="0" w:type="dxa"/>
              <w:right w:w="0" w:type="dxa"/>
            </w:tcMar>
            <w:vAlign w:val="center"/>
          </w:tcPr>
          <w:p w14:paraId="0AC4CF4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color w:val="5B9BD5" w:themeColor="accent1"/>
                <w:sz w:val="21"/>
                <w:szCs w:val="21"/>
                <w14:textFill>
                  <w14:solidFill>
                    <w14:schemeClr w14:val="accent1"/>
                  </w14:solidFill>
                </w14:textFill>
              </w:rPr>
            </w:pPr>
            <w:r>
              <w:rPr>
                <w:rFonts w:hint="default" w:ascii="Times New Roman" w:hAnsi="Times New Roman" w:eastAsia="Arial" w:cs="Times New Roman"/>
                <w:color w:val="5B9BD5" w:themeColor="accent1"/>
                <w:sz w:val="21"/>
                <w:szCs w:val="21"/>
                <w14:textFill>
                  <w14:solidFill>
                    <w14:schemeClr w14:val="accent1"/>
                  </w14:solidFill>
                </w14:textFill>
              </w:rPr>
              <w:t>73.5</w:t>
            </w:r>
          </w:p>
        </w:tc>
        <w:tc>
          <w:tcPr>
            <w:tcW w:w="510" w:type="dxa"/>
            <w:vMerge w:val="continue"/>
            <w:shd w:val="clear" w:color="auto" w:fill="FFFFFF"/>
            <w:tcMar>
              <w:top w:w="0" w:type="dxa"/>
              <w:left w:w="0" w:type="dxa"/>
              <w:bottom w:w="0" w:type="dxa"/>
              <w:right w:w="0" w:type="dxa"/>
            </w:tcMar>
            <w:vAlign w:val="center"/>
          </w:tcPr>
          <w:p w14:paraId="2ED8497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color w:val="5B9BD5" w:themeColor="accent1"/>
                <w:sz w:val="21"/>
                <w:szCs w:val="21"/>
                <w14:textFill>
                  <w14:solidFill>
                    <w14:schemeClr w14:val="accent1"/>
                  </w14:solidFill>
                </w14:textFill>
              </w:rPr>
            </w:pPr>
          </w:p>
        </w:tc>
        <w:tc>
          <w:tcPr>
            <w:tcW w:w="465" w:type="dxa"/>
            <w:shd w:val="clear" w:color="auto" w:fill="FFFFFF"/>
            <w:tcMar>
              <w:top w:w="0" w:type="dxa"/>
              <w:left w:w="0" w:type="dxa"/>
              <w:bottom w:w="0" w:type="dxa"/>
              <w:right w:w="0" w:type="dxa"/>
            </w:tcMar>
            <w:vAlign w:val="center"/>
          </w:tcPr>
          <w:p w14:paraId="7384A33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color w:val="5B9BD5" w:themeColor="accent1"/>
                <w:sz w:val="21"/>
                <w:szCs w:val="21"/>
                <w14:textFill>
                  <w14:solidFill>
                    <w14:schemeClr w14:val="accent1"/>
                  </w14:solidFill>
                </w14:textFill>
              </w:rPr>
            </w:pPr>
            <w:r>
              <w:rPr>
                <w:rFonts w:hint="default" w:ascii="Times New Roman" w:hAnsi="Times New Roman" w:eastAsia="Arial" w:cs="Times New Roman"/>
                <w:color w:val="5B9BD5" w:themeColor="accent1"/>
                <w:sz w:val="21"/>
                <w:szCs w:val="21"/>
                <w14:textFill>
                  <w14:solidFill>
                    <w14:schemeClr w14:val="accent1"/>
                  </w14:solidFill>
                </w14:textFill>
              </w:rPr>
              <w:t>21.0</w:t>
            </w:r>
          </w:p>
        </w:tc>
        <w:tc>
          <w:tcPr>
            <w:tcW w:w="564" w:type="dxa"/>
            <w:shd w:val="clear" w:color="auto" w:fill="FFFFFF"/>
            <w:tcMar>
              <w:top w:w="0" w:type="dxa"/>
              <w:left w:w="0" w:type="dxa"/>
              <w:bottom w:w="0" w:type="dxa"/>
              <w:right w:w="0" w:type="dxa"/>
            </w:tcMar>
            <w:vAlign w:val="center"/>
          </w:tcPr>
          <w:p w14:paraId="6D740F5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color w:val="5B9BD5" w:themeColor="accent1"/>
                <w:sz w:val="21"/>
                <w:szCs w:val="21"/>
                <w14:textFill>
                  <w14:solidFill>
                    <w14:schemeClr w14:val="accent1"/>
                  </w14:solidFill>
                </w14:textFill>
              </w:rPr>
            </w:pPr>
            <w:r>
              <w:rPr>
                <w:rFonts w:hint="default" w:ascii="Times New Roman" w:hAnsi="Times New Roman" w:eastAsia="Arial" w:cs="Times New Roman"/>
                <w:color w:val="5B9BD5" w:themeColor="accent1"/>
                <w:sz w:val="21"/>
                <w:szCs w:val="21"/>
                <w14:textFill>
                  <w14:solidFill>
                    <w14:schemeClr w14:val="accent1"/>
                  </w14:solidFill>
                </w14:textFill>
              </w:rPr>
              <w:t>21.0</w:t>
            </w:r>
          </w:p>
        </w:tc>
        <w:tc>
          <w:tcPr>
            <w:tcW w:w="564" w:type="dxa"/>
            <w:shd w:val="clear" w:color="auto" w:fill="FFFFFF"/>
            <w:tcMar>
              <w:top w:w="0" w:type="dxa"/>
              <w:left w:w="0" w:type="dxa"/>
              <w:bottom w:w="0" w:type="dxa"/>
              <w:right w:w="0" w:type="dxa"/>
            </w:tcMar>
            <w:vAlign w:val="center"/>
          </w:tcPr>
          <w:p w14:paraId="1DB6FE1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color w:val="5B9BD5" w:themeColor="accent1"/>
                <w:sz w:val="21"/>
                <w:szCs w:val="21"/>
                <w14:textFill>
                  <w14:solidFill>
                    <w14:schemeClr w14:val="accent1"/>
                  </w14:solidFill>
                </w14:textFill>
              </w:rPr>
            </w:pPr>
            <w:r>
              <w:rPr>
                <w:rFonts w:hint="default" w:ascii="Times New Roman" w:hAnsi="Times New Roman" w:eastAsia="Arial" w:cs="Times New Roman"/>
                <w:color w:val="5B9BD5" w:themeColor="accent1"/>
                <w:sz w:val="21"/>
                <w:szCs w:val="21"/>
                <w14:textFill>
                  <w14:solidFill>
                    <w14:schemeClr w14:val="accent1"/>
                  </w14:solidFill>
                </w14:textFill>
              </w:rPr>
              <w:t>21.0</w:t>
            </w:r>
          </w:p>
        </w:tc>
        <w:tc>
          <w:tcPr>
            <w:tcW w:w="564" w:type="dxa"/>
            <w:shd w:val="clear" w:color="auto" w:fill="FFFFFF"/>
            <w:tcMar>
              <w:top w:w="0" w:type="dxa"/>
              <w:left w:w="0" w:type="dxa"/>
              <w:bottom w:w="0" w:type="dxa"/>
              <w:right w:w="0" w:type="dxa"/>
            </w:tcMar>
            <w:vAlign w:val="center"/>
          </w:tcPr>
          <w:p w14:paraId="0A816F5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color w:val="5B9BD5" w:themeColor="accent1"/>
                <w:sz w:val="21"/>
                <w:szCs w:val="21"/>
                <w14:textFill>
                  <w14:solidFill>
                    <w14:schemeClr w14:val="accent1"/>
                  </w14:solidFill>
                </w14:textFill>
              </w:rPr>
            </w:pPr>
            <w:r>
              <w:rPr>
                <w:rFonts w:hint="default" w:ascii="Times New Roman" w:hAnsi="Times New Roman" w:eastAsia="Arial" w:cs="Times New Roman"/>
                <w:color w:val="5B9BD5" w:themeColor="accent1"/>
                <w:sz w:val="21"/>
                <w:szCs w:val="21"/>
                <w14:textFill>
                  <w14:solidFill>
                    <w14:schemeClr w14:val="accent1"/>
                  </w14:solidFill>
                </w14:textFill>
              </w:rPr>
              <w:t>21.0</w:t>
            </w:r>
          </w:p>
        </w:tc>
        <w:tc>
          <w:tcPr>
            <w:tcW w:w="502" w:type="dxa"/>
            <w:shd w:val="clear" w:color="auto" w:fill="FFFFFF"/>
            <w:tcMar>
              <w:top w:w="0" w:type="dxa"/>
              <w:left w:w="0" w:type="dxa"/>
              <w:bottom w:w="0" w:type="dxa"/>
              <w:right w:w="0" w:type="dxa"/>
            </w:tcMar>
            <w:vAlign w:val="center"/>
          </w:tcPr>
          <w:p w14:paraId="7714429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color w:val="5B9BD5" w:themeColor="accent1"/>
                <w:sz w:val="21"/>
                <w:szCs w:val="21"/>
                <w14:textFill>
                  <w14:solidFill>
                    <w14:schemeClr w14:val="accent1"/>
                  </w14:solidFill>
                </w14:textFill>
              </w:rPr>
            </w:pPr>
            <w:r>
              <w:rPr>
                <w:rFonts w:hint="default" w:ascii="Times New Roman" w:hAnsi="Times New Roman" w:eastAsia="Arial" w:cs="Times New Roman"/>
                <w:color w:val="5B9BD5" w:themeColor="accent1"/>
                <w:sz w:val="21"/>
                <w:szCs w:val="21"/>
                <w14:textFill>
                  <w14:solidFill>
                    <w14:schemeClr w14:val="accent1"/>
                  </w14:solidFill>
                </w14:textFill>
              </w:rPr>
              <w:t>52.5</w:t>
            </w:r>
          </w:p>
        </w:tc>
        <w:tc>
          <w:tcPr>
            <w:tcW w:w="425" w:type="dxa"/>
            <w:shd w:val="clear" w:color="auto" w:fill="FFFFFF"/>
            <w:tcMar>
              <w:top w:w="0" w:type="dxa"/>
              <w:left w:w="0" w:type="dxa"/>
              <w:bottom w:w="0" w:type="dxa"/>
              <w:right w:w="0" w:type="dxa"/>
            </w:tcMar>
            <w:vAlign w:val="center"/>
          </w:tcPr>
          <w:p w14:paraId="6C6F287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color w:val="5B9BD5" w:themeColor="accent1"/>
                <w:sz w:val="21"/>
                <w:szCs w:val="21"/>
                <w14:textFill>
                  <w14:solidFill>
                    <w14:schemeClr w14:val="accent1"/>
                  </w14:solidFill>
                </w14:textFill>
              </w:rPr>
            </w:pPr>
            <w:r>
              <w:rPr>
                <w:rFonts w:hint="default" w:ascii="Times New Roman" w:hAnsi="Times New Roman" w:eastAsia="Arial" w:cs="Times New Roman"/>
                <w:color w:val="5B9BD5" w:themeColor="accent1"/>
                <w:sz w:val="21"/>
                <w:szCs w:val="21"/>
                <w14:textFill>
                  <w14:solidFill>
                    <w14:schemeClr w14:val="accent1"/>
                  </w14:solidFill>
                </w14:textFill>
              </w:rPr>
              <w:t>52.5</w:t>
            </w:r>
          </w:p>
        </w:tc>
        <w:tc>
          <w:tcPr>
            <w:tcW w:w="435" w:type="dxa"/>
            <w:shd w:val="clear" w:color="auto" w:fill="FFFFFF"/>
            <w:tcMar>
              <w:top w:w="0" w:type="dxa"/>
              <w:left w:w="0" w:type="dxa"/>
              <w:bottom w:w="0" w:type="dxa"/>
              <w:right w:w="0" w:type="dxa"/>
            </w:tcMar>
            <w:vAlign w:val="center"/>
          </w:tcPr>
          <w:p w14:paraId="07E4F67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color w:val="5B9BD5" w:themeColor="accent1"/>
                <w:sz w:val="21"/>
                <w:szCs w:val="21"/>
                <w14:textFill>
                  <w14:solidFill>
                    <w14:schemeClr w14:val="accent1"/>
                  </w14:solidFill>
                </w14:textFill>
              </w:rPr>
            </w:pPr>
            <w:r>
              <w:rPr>
                <w:rFonts w:hint="default" w:ascii="Times New Roman" w:hAnsi="Times New Roman" w:eastAsia="Arial" w:cs="Times New Roman"/>
                <w:color w:val="5B9BD5" w:themeColor="accent1"/>
                <w:sz w:val="21"/>
                <w:szCs w:val="21"/>
                <w14:textFill>
                  <w14:solidFill>
                    <w14:schemeClr w14:val="accent1"/>
                  </w14:solidFill>
                </w14:textFill>
              </w:rPr>
              <w:t>57.7</w:t>
            </w:r>
          </w:p>
        </w:tc>
        <w:tc>
          <w:tcPr>
            <w:tcW w:w="435" w:type="dxa"/>
            <w:shd w:val="clear" w:color="auto" w:fill="FFFFFF"/>
            <w:tcMar>
              <w:top w:w="0" w:type="dxa"/>
              <w:left w:w="0" w:type="dxa"/>
              <w:bottom w:w="0" w:type="dxa"/>
              <w:right w:w="0" w:type="dxa"/>
            </w:tcMar>
            <w:vAlign w:val="center"/>
          </w:tcPr>
          <w:p w14:paraId="1E56034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color w:val="5B9BD5" w:themeColor="accent1"/>
                <w:sz w:val="21"/>
                <w:szCs w:val="21"/>
                <w14:textFill>
                  <w14:solidFill>
                    <w14:schemeClr w14:val="accent1"/>
                  </w14:solidFill>
                </w14:textFill>
              </w:rPr>
            </w:pPr>
            <w:r>
              <w:rPr>
                <w:rFonts w:hint="default" w:ascii="Times New Roman" w:hAnsi="Times New Roman" w:eastAsia="Arial" w:cs="Times New Roman"/>
                <w:color w:val="5B9BD5" w:themeColor="accent1"/>
                <w:sz w:val="21"/>
                <w:szCs w:val="21"/>
                <w14:textFill>
                  <w14:solidFill>
                    <w14:schemeClr w14:val="accent1"/>
                  </w14:solidFill>
                </w14:textFill>
              </w:rPr>
              <w:t>52.5</w:t>
            </w:r>
          </w:p>
        </w:tc>
        <w:tc>
          <w:tcPr>
            <w:tcW w:w="780" w:type="dxa"/>
            <w:vMerge w:val="continue"/>
            <w:shd w:val="clear" w:color="auto" w:fill="FFFFFF"/>
            <w:tcMar>
              <w:top w:w="0" w:type="dxa"/>
              <w:left w:w="0" w:type="dxa"/>
              <w:bottom w:w="0" w:type="dxa"/>
              <w:right w:w="0" w:type="dxa"/>
            </w:tcMar>
            <w:vAlign w:val="center"/>
          </w:tcPr>
          <w:p w14:paraId="1B46561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p>
        </w:tc>
      </w:tr>
      <w:bookmarkEnd w:id="2"/>
    </w:tbl>
    <w:p w14:paraId="37CD268A">
      <w:pPr>
        <w:pStyle w:val="99"/>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5B9BD5" w:themeColor="accent1"/>
          <w:lang w:eastAsia="zh-CN"/>
          <w14:textFill>
            <w14:solidFill>
              <w14:schemeClr w14:val="accent1"/>
            </w14:solidFill>
          </w14:textFill>
        </w:rPr>
      </w:pPr>
      <w:r>
        <w:rPr>
          <w:rFonts w:hint="default" w:ascii="Times New Roman" w:hAnsi="Times New Roman" w:cs="Times New Roman"/>
          <w:color w:val="5B9BD5" w:themeColor="accent1"/>
          <w14:textFill>
            <w14:solidFill>
              <w14:schemeClr w14:val="accent1"/>
            </w14:solidFill>
          </w14:textFill>
        </w:rPr>
        <w:t>表</w:t>
      </w:r>
      <w:r>
        <w:rPr>
          <w:rFonts w:hint="eastAsia" w:cs="Times New Roman"/>
          <w:color w:val="5B9BD5" w:themeColor="accent1"/>
          <w:lang w:val="en-US" w:eastAsia="zh-CN"/>
          <w14:textFill>
            <w14:solidFill>
              <w14:schemeClr w14:val="accent1"/>
            </w14:solidFill>
          </w14:textFill>
        </w:rPr>
        <w:t>25-2</w:t>
      </w:r>
      <w:r>
        <w:rPr>
          <w:rFonts w:hint="default" w:ascii="Times New Roman" w:hAnsi="Times New Roman" w:cs="Times New Roman"/>
          <w:color w:val="5B9BD5" w:themeColor="accent1"/>
          <w14:textFill>
            <w14:solidFill>
              <w14:schemeClr w14:val="accent1"/>
            </w14:solidFill>
          </w14:textFill>
        </w:rPr>
        <w:t xml:space="preserve">  </w:t>
      </w:r>
      <w:r>
        <w:rPr>
          <w:rFonts w:hint="eastAsia" w:cs="Times New Roman"/>
          <w:color w:val="5B9BD5" w:themeColor="accent1"/>
          <w:lang w:val="en-US" w:eastAsia="zh-CN"/>
          <w14:textFill>
            <w14:solidFill>
              <w14:schemeClr w14:val="accent1"/>
            </w14:solidFill>
          </w14:textFill>
        </w:rPr>
        <w:t>项目工业企业</w:t>
      </w:r>
      <w:r>
        <w:rPr>
          <w:rFonts w:hint="default" w:ascii="Times New Roman" w:hAnsi="Times New Roman" w:cs="Times New Roman"/>
          <w:color w:val="5B9BD5" w:themeColor="accent1"/>
          <w14:textFill>
            <w14:solidFill>
              <w14:schemeClr w14:val="accent1"/>
            </w14:solidFill>
          </w14:textFill>
        </w:rPr>
        <w:t>噪声源强调查清单</w:t>
      </w:r>
      <w:r>
        <w:rPr>
          <w:rFonts w:hint="eastAsia" w:cs="Times New Roman"/>
          <w:color w:val="5B9BD5" w:themeColor="accent1"/>
          <w:lang w:eastAsia="zh-CN"/>
          <w14:textFill>
            <w14:solidFill>
              <w14:schemeClr w14:val="accent1"/>
            </w14:solidFill>
          </w14:textFill>
        </w:rPr>
        <w:t>（</w:t>
      </w:r>
      <w:r>
        <w:rPr>
          <w:rFonts w:hint="eastAsia" w:cs="Times New Roman"/>
          <w:color w:val="5B9BD5" w:themeColor="accent1"/>
          <w:lang w:val="en-US" w:eastAsia="zh-CN"/>
          <w14:textFill>
            <w14:solidFill>
              <w14:schemeClr w14:val="accent1"/>
            </w14:solidFill>
          </w14:textFill>
        </w:rPr>
        <w:t>室外声源</w:t>
      </w:r>
      <w:r>
        <w:rPr>
          <w:rFonts w:hint="eastAsia" w:cs="Times New Roman"/>
          <w:color w:val="5B9BD5" w:themeColor="accent1"/>
          <w:lang w:eastAsia="zh-CN"/>
          <w14:textFill>
            <w14:solidFill>
              <w14:schemeClr w14:val="accent1"/>
            </w14:solidFill>
          </w14:textFill>
        </w:rP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056"/>
        <w:gridCol w:w="686"/>
        <w:gridCol w:w="645"/>
        <w:gridCol w:w="569"/>
        <w:gridCol w:w="1929"/>
        <w:gridCol w:w="2183"/>
        <w:gridCol w:w="1686"/>
      </w:tblGrid>
      <w:tr w14:paraId="2845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0" w:type="auto"/>
            <w:vMerge w:val="restart"/>
            <w:vAlign w:val="center"/>
          </w:tcPr>
          <w:p w14:paraId="00C8ADCB">
            <w:pPr>
              <w:jc w:val="center"/>
              <w:rPr>
                <w:rFonts w:hint="default" w:ascii="Times New Roman" w:hAnsi="Times New Roman" w:cs="Times New Roman" w:eastAsiaTheme="minorEastAsia"/>
                <w:b w:val="0"/>
                <w:bCs/>
                <w:color w:val="5B9BD5" w:themeColor="accent1"/>
                <w:sz w:val="21"/>
                <w:szCs w:val="21"/>
                <w14:textFill>
                  <w14:solidFill>
                    <w14:schemeClr w14:val="accent1"/>
                  </w14:solidFill>
                </w14:textFill>
              </w:rPr>
            </w:pPr>
            <w:r>
              <w:rPr>
                <w:rFonts w:hint="default" w:ascii="Times New Roman" w:hAnsi="Times New Roman" w:cs="Times New Roman" w:eastAsiaTheme="minorEastAsia"/>
                <w:b w:val="0"/>
                <w:bCs/>
                <w:color w:val="5B9BD5" w:themeColor="accent1"/>
                <w:sz w:val="21"/>
                <w:szCs w:val="21"/>
                <w14:textFill>
                  <w14:solidFill>
                    <w14:schemeClr w14:val="accent1"/>
                  </w14:solidFill>
                </w14:textFill>
              </w:rPr>
              <w:t>序号</w:t>
            </w:r>
          </w:p>
        </w:tc>
        <w:tc>
          <w:tcPr>
            <w:tcW w:w="0" w:type="auto"/>
            <w:vMerge w:val="restart"/>
            <w:vAlign w:val="center"/>
          </w:tcPr>
          <w:p w14:paraId="21E8DED6">
            <w:pPr>
              <w:jc w:val="center"/>
              <w:rPr>
                <w:rFonts w:hint="default" w:ascii="Times New Roman" w:hAnsi="Times New Roman" w:cs="Times New Roman" w:eastAsiaTheme="minorEastAsia"/>
                <w:b w:val="0"/>
                <w:bCs/>
                <w:color w:val="5B9BD5" w:themeColor="accent1"/>
                <w:sz w:val="21"/>
                <w:szCs w:val="21"/>
                <w14:textFill>
                  <w14:solidFill>
                    <w14:schemeClr w14:val="accent1"/>
                  </w14:solidFill>
                </w14:textFill>
              </w:rPr>
            </w:pPr>
            <w:r>
              <w:rPr>
                <w:rFonts w:hint="default" w:ascii="Times New Roman" w:hAnsi="Times New Roman" w:cs="Times New Roman" w:eastAsiaTheme="minorEastAsia"/>
                <w:b w:val="0"/>
                <w:bCs/>
                <w:color w:val="5B9BD5" w:themeColor="accent1"/>
                <w:sz w:val="21"/>
                <w:szCs w:val="21"/>
                <w14:textFill>
                  <w14:solidFill>
                    <w14:schemeClr w14:val="accent1"/>
                  </w14:solidFill>
                </w14:textFill>
              </w:rPr>
              <w:t>声源名称</w:t>
            </w:r>
          </w:p>
        </w:tc>
        <w:tc>
          <w:tcPr>
            <w:tcW w:w="1900" w:type="dxa"/>
            <w:gridSpan w:val="3"/>
            <w:vAlign w:val="center"/>
          </w:tcPr>
          <w:p w14:paraId="43A86DF3">
            <w:pPr>
              <w:jc w:val="center"/>
              <w:rPr>
                <w:rFonts w:hint="default" w:ascii="Times New Roman" w:hAnsi="Times New Roman" w:cs="Times New Roman" w:eastAsiaTheme="minorEastAsia"/>
                <w:b w:val="0"/>
                <w:bCs/>
                <w:color w:val="5B9BD5" w:themeColor="accent1"/>
                <w:sz w:val="21"/>
                <w:szCs w:val="21"/>
                <w14:textFill>
                  <w14:solidFill>
                    <w14:schemeClr w14:val="accent1"/>
                  </w14:solidFill>
                </w14:textFill>
              </w:rPr>
            </w:pPr>
            <w:r>
              <w:rPr>
                <w:rFonts w:hint="default" w:ascii="Times New Roman" w:hAnsi="Times New Roman" w:cs="Times New Roman" w:eastAsiaTheme="minorEastAsia"/>
                <w:b w:val="0"/>
                <w:bCs/>
                <w:color w:val="5B9BD5" w:themeColor="accent1"/>
                <w:sz w:val="21"/>
                <w:szCs w:val="21"/>
                <w14:textFill>
                  <w14:solidFill>
                    <w14:schemeClr w14:val="accent1"/>
                  </w14:solidFill>
                </w14:textFill>
              </w:rPr>
              <w:t>空间相对位置/m</w:t>
            </w:r>
          </w:p>
        </w:tc>
        <w:tc>
          <w:tcPr>
            <w:tcW w:w="1929" w:type="dxa"/>
            <w:vAlign w:val="center"/>
          </w:tcPr>
          <w:p w14:paraId="3F165CEA">
            <w:pPr>
              <w:jc w:val="center"/>
              <w:rPr>
                <w:rFonts w:hint="default" w:ascii="Times New Roman" w:hAnsi="Times New Roman" w:cs="Times New Roman" w:eastAsiaTheme="minorEastAsia"/>
                <w:b w:val="0"/>
                <w:bCs/>
                <w:color w:val="5B9BD5" w:themeColor="accent1"/>
                <w:sz w:val="21"/>
                <w:szCs w:val="21"/>
                <w:lang w:eastAsia="zh-CN"/>
                <w14:textFill>
                  <w14:solidFill>
                    <w14:schemeClr w14:val="accent1"/>
                  </w14:solidFill>
                </w14:textFill>
              </w:rPr>
            </w:pPr>
            <w:r>
              <w:rPr>
                <w:rFonts w:hint="default" w:ascii="Times New Roman" w:hAnsi="Times New Roman" w:cs="Times New Roman" w:eastAsiaTheme="minorEastAsia"/>
                <w:b w:val="0"/>
                <w:bCs/>
                <w:color w:val="5B9BD5" w:themeColor="accent1"/>
                <w:sz w:val="21"/>
                <w:szCs w:val="21"/>
                <w:lang w:eastAsia="zh-CN"/>
                <w14:textFill>
                  <w14:solidFill>
                    <w14:schemeClr w14:val="accent1"/>
                  </w14:solidFill>
                </w14:textFill>
              </w:rPr>
              <w:t>声源源强</w:t>
            </w:r>
          </w:p>
        </w:tc>
        <w:tc>
          <w:tcPr>
            <w:tcW w:w="2183" w:type="dxa"/>
            <w:vMerge w:val="restart"/>
            <w:vAlign w:val="center"/>
          </w:tcPr>
          <w:p w14:paraId="2B47A837">
            <w:pPr>
              <w:jc w:val="center"/>
              <w:rPr>
                <w:rFonts w:hint="default" w:ascii="Times New Roman" w:hAnsi="Times New Roman" w:cs="Times New Roman" w:eastAsiaTheme="minorEastAsia"/>
                <w:b w:val="0"/>
                <w:bCs/>
                <w:color w:val="5B9BD5" w:themeColor="accent1"/>
                <w:sz w:val="21"/>
                <w:szCs w:val="21"/>
                <w14:textFill>
                  <w14:solidFill>
                    <w14:schemeClr w14:val="accent1"/>
                  </w14:solidFill>
                </w14:textFill>
              </w:rPr>
            </w:pPr>
            <w:r>
              <w:rPr>
                <w:rFonts w:hint="default" w:ascii="Times New Roman" w:hAnsi="Times New Roman" w:cs="Times New Roman" w:eastAsiaTheme="minorEastAsia"/>
                <w:b w:val="0"/>
                <w:bCs/>
                <w:color w:val="5B9BD5" w:themeColor="accent1"/>
                <w:sz w:val="21"/>
                <w:szCs w:val="21"/>
                <w14:textFill>
                  <w14:solidFill>
                    <w14:schemeClr w14:val="accent1"/>
                  </w14:solidFill>
                </w14:textFill>
              </w:rPr>
              <w:t>声源控制措施</w:t>
            </w:r>
          </w:p>
        </w:tc>
        <w:tc>
          <w:tcPr>
            <w:tcW w:w="1686" w:type="dxa"/>
            <w:vMerge w:val="restart"/>
            <w:vAlign w:val="center"/>
          </w:tcPr>
          <w:p w14:paraId="2FCC67F9">
            <w:pPr>
              <w:jc w:val="center"/>
              <w:rPr>
                <w:rFonts w:hint="default" w:ascii="Times New Roman" w:hAnsi="Times New Roman" w:cs="Times New Roman" w:eastAsiaTheme="minorEastAsia"/>
                <w:b w:val="0"/>
                <w:bCs/>
                <w:color w:val="5B9BD5" w:themeColor="accent1"/>
                <w:sz w:val="21"/>
                <w:szCs w:val="21"/>
                <w14:textFill>
                  <w14:solidFill>
                    <w14:schemeClr w14:val="accent1"/>
                  </w14:solidFill>
                </w14:textFill>
              </w:rPr>
            </w:pPr>
            <w:r>
              <w:rPr>
                <w:rFonts w:hint="default" w:ascii="Times New Roman" w:hAnsi="Times New Roman" w:cs="Times New Roman" w:eastAsiaTheme="minorEastAsia"/>
                <w:b w:val="0"/>
                <w:bCs/>
                <w:color w:val="5B9BD5" w:themeColor="accent1"/>
                <w:sz w:val="21"/>
                <w:szCs w:val="21"/>
                <w14:textFill>
                  <w14:solidFill>
                    <w14:schemeClr w14:val="accent1"/>
                  </w14:solidFill>
                </w14:textFill>
              </w:rPr>
              <w:t>运行时段</w:t>
            </w:r>
          </w:p>
        </w:tc>
      </w:tr>
      <w:tr w14:paraId="0DE2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Merge w:val="continue"/>
            <w:shd w:val="clear" w:color="auto" w:fill="FFFFFF"/>
            <w:vAlign w:val="center"/>
          </w:tcPr>
          <w:p w14:paraId="059AE713">
            <w:pPr>
              <w:jc w:val="center"/>
              <w:rPr>
                <w:rFonts w:hint="default" w:ascii="Times New Roman" w:hAnsi="Times New Roman" w:cs="Times New Roman" w:eastAsiaTheme="minorEastAsia"/>
                <w:color w:val="5B9BD5" w:themeColor="accent1"/>
                <w:sz w:val="21"/>
                <w:szCs w:val="21"/>
                <w14:textFill>
                  <w14:solidFill>
                    <w14:schemeClr w14:val="accent1"/>
                  </w14:solidFill>
                </w14:textFill>
              </w:rPr>
            </w:pPr>
          </w:p>
        </w:tc>
        <w:tc>
          <w:tcPr>
            <w:tcW w:w="0" w:type="auto"/>
            <w:vMerge w:val="continue"/>
            <w:shd w:val="clear" w:color="auto" w:fill="FFFFFF"/>
            <w:vAlign w:val="center"/>
          </w:tcPr>
          <w:p w14:paraId="2FF0CCA3">
            <w:pPr>
              <w:jc w:val="center"/>
              <w:rPr>
                <w:rFonts w:hint="default" w:ascii="Times New Roman" w:hAnsi="Times New Roman" w:cs="Times New Roman" w:eastAsiaTheme="minorEastAsia"/>
                <w:color w:val="5B9BD5" w:themeColor="accent1"/>
                <w:sz w:val="21"/>
                <w:szCs w:val="21"/>
                <w14:textFill>
                  <w14:solidFill>
                    <w14:schemeClr w14:val="accent1"/>
                  </w14:solidFill>
                </w14:textFill>
              </w:rPr>
            </w:pPr>
          </w:p>
        </w:tc>
        <w:tc>
          <w:tcPr>
            <w:tcW w:w="686" w:type="dxa"/>
            <w:shd w:val="clear" w:color="auto" w:fill="FFFFFF"/>
            <w:vAlign w:val="center"/>
          </w:tcPr>
          <w:p w14:paraId="1238226C">
            <w:pPr>
              <w:jc w:val="center"/>
              <w:rPr>
                <w:rFonts w:hint="default" w:ascii="Times New Roman" w:hAnsi="Times New Roman" w:cs="Times New Roman" w:eastAsiaTheme="minorEastAsia"/>
                <w:color w:val="5B9BD5" w:themeColor="accent1"/>
                <w:sz w:val="21"/>
                <w:szCs w:val="21"/>
                <w14:textFill>
                  <w14:solidFill>
                    <w14:schemeClr w14:val="accent1"/>
                  </w14:solidFill>
                </w14:textFill>
              </w:rPr>
            </w:pPr>
            <w:r>
              <w:rPr>
                <w:rFonts w:hint="default" w:ascii="Times New Roman" w:hAnsi="Times New Roman" w:cs="Times New Roman" w:eastAsiaTheme="minorEastAsia"/>
                <w:color w:val="5B9BD5" w:themeColor="accent1"/>
                <w:sz w:val="21"/>
                <w:szCs w:val="21"/>
                <w14:textFill>
                  <w14:solidFill>
                    <w14:schemeClr w14:val="accent1"/>
                  </w14:solidFill>
                </w14:textFill>
              </w:rPr>
              <w:t>X</w:t>
            </w:r>
          </w:p>
        </w:tc>
        <w:tc>
          <w:tcPr>
            <w:tcW w:w="645" w:type="dxa"/>
            <w:shd w:val="clear" w:color="auto" w:fill="FFFFFF"/>
            <w:vAlign w:val="center"/>
          </w:tcPr>
          <w:p w14:paraId="43D89720">
            <w:pPr>
              <w:jc w:val="center"/>
              <w:rPr>
                <w:rFonts w:hint="default" w:ascii="Times New Roman" w:hAnsi="Times New Roman" w:cs="Times New Roman" w:eastAsiaTheme="minorEastAsia"/>
                <w:color w:val="5B9BD5" w:themeColor="accent1"/>
                <w:sz w:val="21"/>
                <w:szCs w:val="21"/>
                <w14:textFill>
                  <w14:solidFill>
                    <w14:schemeClr w14:val="accent1"/>
                  </w14:solidFill>
                </w14:textFill>
              </w:rPr>
            </w:pPr>
            <w:r>
              <w:rPr>
                <w:rFonts w:hint="default" w:ascii="Times New Roman" w:hAnsi="Times New Roman" w:cs="Times New Roman" w:eastAsiaTheme="minorEastAsia"/>
                <w:color w:val="5B9BD5" w:themeColor="accent1"/>
                <w:sz w:val="21"/>
                <w:szCs w:val="21"/>
                <w14:textFill>
                  <w14:solidFill>
                    <w14:schemeClr w14:val="accent1"/>
                  </w14:solidFill>
                </w14:textFill>
              </w:rPr>
              <w:t>Y</w:t>
            </w:r>
          </w:p>
        </w:tc>
        <w:tc>
          <w:tcPr>
            <w:tcW w:w="569" w:type="dxa"/>
            <w:shd w:val="clear" w:color="auto" w:fill="FFFFFF"/>
            <w:vAlign w:val="center"/>
          </w:tcPr>
          <w:p w14:paraId="08C05661">
            <w:pPr>
              <w:jc w:val="center"/>
              <w:rPr>
                <w:rFonts w:hint="default" w:ascii="Times New Roman" w:hAnsi="Times New Roman" w:cs="Times New Roman" w:eastAsiaTheme="minorEastAsia"/>
                <w:color w:val="5B9BD5" w:themeColor="accent1"/>
                <w:sz w:val="21"/>
                <w:szCs w:val="21"/>
                <w14:textFill>
                  <w14:solidFill>
                    <w14:schemeClr w14:val="accent1"/>
                  </w14:solidFill>
                </w14:textFill>
              </w:rPr>
            </w:pPr>
            <w:r>
              <w:rPr>
                <w:rFonts w:hint="default" w:ascii="Times New Roman" w:hAnsi="Times New Roman" w:cs="Times New Roman" w:eastAsiaTheme="minorEastAsia"/>
                <w:color w:val="5B9BD5" w:themeColor="accent1"/>
                <w:sz w:val="21"/>
                <w:szCs w:val="21"/>
                <w14:textFill>
                  <w14:solidFill>
                    <w14:schemeClr w14:val="accent1"/>
                  </w14:solidFill>
                </w14:textFill>
              </w:rPr>
              <w:t>Z</w:t>
            </w:r>
          </w:p>
        </w:tc>
        <w:tc>
          <w:tcPr>
            <w:tcW w:w="1929" w:type="dxa"/>
            <w:shd w:val="clear" w:color="auto" w:fill="FFFFFF"/>
            <w:vAlign w:val="center"/>
          </w:tcPr>
          <w:p w14:paraId="750C0F76">
            <w:pPr>
              <w:jc w:val="center"/>
              <w:rPr>
                <w:rFonts w:hint="default" w:ascii="Times New Roman" w:hAnsi="Times New Roman" w:cs="Times New Roman" w:eastAsiaTheme="minorEastAsia"/>
                <w:color w:val="5B9BD5" w:themeColor="accent1"/>
                <w:sz w:val="21"/>
                <w:szCs w:val="21"/>
                <w14:textFill>
                  <w14:solidFill>
                    <w14:schemeClr w14:val="accent1"/>
                  </w14:solidFill>
                </w14:textFill>
              </w:rPr>
            </w:pPr>
            <w:r>
              <w:rPr>
                <w:rFonts w:hint="default" w:ascii="Times New Roman" w:hAnsi="Times New Roman" w:cs="Times New Roman" w:eastAsiaTheme="minorEastAsia"/>
                <w:color w:val="5B9BD5" w:themeColor="accent1"/>
                <w:sz w:val="21"/>
                <w:szCs w:val="21"/>
                <w14:textFill>
                  <w14:solidFill>
                    <w14:schemeClr w14:val="accent1"/>
                  </w14:solidFill>
                </w14:textFill>
              </w:rPr>
              <w:t>声功率级/dB(A)</w:t>
            </w:r>
          </w:p>
        </w:tc>
        <w:tc>
          <w:tcPr>
            <w:tcW w:w="2183" w:type="dxa"/>
            <w:vMerge w:val="continue"/>
            <w:shd w:val="clear" w:color="auto" w:fill="FFFFFF"/>
            <w:vAlign w:val="center"/>
          </w:tcPr>
          <w:p w14:paraId="0CFA5E6A">
            <w:pPr>
              <w:jc w:val="center"/>
              <w:rPr>
                <w:rFonts w:hint="default" w:ascii="Times New Roman" w:hAnsi="Times New Roman" w:cs="Times New Roman" w:eastAsiaTheme="minorEastAsia"/>
                <w:color w:val="5B9BD5" w:themeColor="accent1"/>
                <w:sz w:val="21"/>
                <w:szCs w:val="21"/>
                <w14:textFill>
                  <w14:solidFill>
                    <w14:schemeClr w14:val="accent1"/>
                  </w14:solidFill>
                </w14:textFill>
              </w:rPr>
            </w:pPr>
          </w:p>
        </w:tc>
        <w:tc>
          <w:tcPr>
            <w:tcW w:w="1686" w:type="dxa"/>
            <w:vMerge w:val="continue"/>
            <w:shd w:val="clear" w:color="auto" w:fill="FFFFFF"/>
            <w:vAlign w:val="center"/>
          </w:tcPr>
          <w:p w14:paraId="50FD4985">
            <w:pPr>
              <w:jc w:val="center"/>
              <w:rPr>
                <w:rFonts w:hint="default" w:ascii="Times New Roman" w:hAnsi="Times New Roman" w:cs="Times New Roman" w:eastAsiaTheme="minorEastAsia"/>
                <w:color w:val="5B9BD5" w:themeColor="accent1"/>
                <w:sz w:val="21"/>
                <w:szCs w:val="21"/>
                <w14:textFill>
                  <w14:solidFill>
                    <w14:schemeClr w14:val="accent1"/>
                  </w14:solidFill>
                </w14:textFill>
              </w:rPr>
            </w:pPr>
          </w:p>
        </w:tc>
      </w:tr>
      <w:tr w14:paraId="5C8F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7" w:hRule="exact"/>
          <w:jc w:val="center"/>
        </w:trPr>
        <w:tc>
          <w:tcPr>
            <w:tcW w:w="636" w:type="dxa"/>
            <w:shd w:val="clear" w:color="auto" w:fill="FFFFFF"/>
            <w:vAlign w:val="center"/>
          </w:tcPr>
          <w:p w14:paraId="121B391A">
            <w:pPr>
              <w:jc w:val="center"/>
              <w:rPr>
                <w:rFonts w:hint="default" w:ascii="Times New Roman" w:hAnsi="Times New Roman" w:cs="Times New Roman"/>
                <w:color w:val="5B9BD5" w:themeColor="accent1"/>
                <w:szCs w:val="21"/>
                <w14:textFill>
                  <w14:solidFill>
                    <w14:schemeClr w14:val="accent1"/>
                  </w14:solidFill>
                </w14:textFill>
              </w:rPr>
            </w:pPr>
            <w:r>
              <w:rPr>
                <w:rFonts w:hint="default" w:ascii="Times New Roman" w:hAnsi="Times New Roman" w:cs="Times New Roman"/>
                <w:color w:val="5B9BD5" w:themeColor="accent1"/>
                <w:szCs w:val="21"/>
                <w14:textFill>
                  <w14:solidFill>
                    <w14:schemeClr w14:val="accent1"/>
                  </w14:solidFill>
                </w14:textFill>
              </w:rPr>
              <w:t>1</w:t>
            </w:r>
          </w:p>
        </w:tc>
        <w:tc>
          <w:tcPr>
            <w:tcW w:w="1056" w:type="dxa"/>
            <w:shd w:val="clear" w:color="auto" w:fill="FFFFFF"/>
            <w:vAlign w:val="center"/>
          </w:tcPr>
          <w:p w14:paraId="3BC0ECE2">
            <w:pPr>
              <w:jc w:val="center"/>
              <w:rPr>
                <w:rFonts w:hint="default" w:cs="Times New Roman"/>
                <w:color w:val="5B9BD5" w:themeColor="accent1"/>
                <w:szCs w:val="21"/>
                <w:lang w:val="en-US" w:eastAsia="zh-CN"/>
                <w14:textFill>
                  <w14:solidFill>
                    <w14:schemeClr w14:val="accent1"/>
                  </w14:solidFill>
                </w14:textFill>
              </w:rPr>
            </w:pPr>
            <w:r>
              <w:rPr>
                <w:rFonts w:hint="eastAsia" w:cs="Times New Roman"/>
                <w:color w:val="5B9BD5" w:themeColor="accent1"/>
                <w:szCs w:val="21"/>
                <w:lang w:val="en-US" w:eastAsia="zh-CN"/>
                <w14:textFill>
                  <w14:solidFill>
                    <w14:schemeClr w14:val="accent1"/>
                  </w14:solidFill>
                </w14:textFill>
              </w:rPr>
              <w:t>风机</w:t>
            </w:r>
          </w:p>
        </w:tc>
        <w:tc>
          <w:tcPr>
            <w:tcW w:w="686" w:type="dxa"/>
            <w:shd w:val="clear" w:color="auto" w:fill="FFFFFF"/>
            <w:vAlign w:val="center"/>
          </w:tcPr>
          <w:p w14:paraId="1B80B37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color w:val="5B9BD5" w:themeColor="accent1"/>
                <w:sz w:val="21"/>
                <w:szCs w:val="21"/>
                <w:lang w:val="en-US" w:eastAsia="zh-CN"/>
                <w14:textFill>
                  <w14:solidFill>
                    <w14:schemeClr w14:val="accent1"/>
                  </w14:solidFill>
                </w14:textFill>
              </w:rPr>
            </w:pPr>
            <w:r>
              <w:rPr>
                <w:rFonts w:hint="default" w:ascii="Times New Roman" w:hAnsi="Times New Roman" w:eastAsia="Arial" w:cs="Times New Roman"/>
                <w:color w:val="5B9BD5" w:themeColor="accent1"/>
                <w:sz w:val="21"/>
                <w:szCs w:val="21"/>
                <w14:textFill>
                  <w14:solidFill>
                    <w14:schemeClr w14:val="accent1"/>
                  </w14:solidFill>
                </w14:textFill>
              </w:rPr>
              <w:t>-0.3</w:t>
            </w:r>
          </w:p>
        </w:tc>
        <w:tc>
          <w:tcPr>
            <w:tcW w:w="645" w:type="dxa"/>
            <w:shd w:val="clear" w:color="auto" w:fill="FFFFFF"/>
            <w:vAlign w:val="center"/>
          </w:tcPr>
          <w:p w14:paraId="30C391D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color w:val="5B9BD5" w:themeColor="accent1"/>
                <w:sz w:val="21"/>
                <w:szCs w:val="21"/>
                <w:lang w:val="en-US" w:eastAsia="zh-CN"/>
                <w14:textFill>
                  <w14:solidFill>
                    <w14:schemeClr w14:val="accent1"/>
                  </w14:solidFill>
                </w14:textFill>
              </w:rPr>
            </w:pPr>
            <w:r>
              <w:rPr>
                <w:rFonts w:hint="default" w:ascii="Times New Roman" w:hAnsi="Times New Roman" w:eastAsia="Arial" w:cs="Times New Roman"/>
                <w:color w:val="5B9BD5" w:themeColor="accent1"/>
                <w:sz w:val="21"/>
                <w:szCs w:val="21"/>
                <w14:textFill>
                  <w14:solidFill>
                    <w14:schemeClr w14:val="accent1"/>
                  </w14:solidFill>
                </w14:textFill>
              </w:rPr>
              <w:t>-2.5</w:t>
            </w:r>
          </w:p>
        </w:tc>
        <w:tc>
          <w:tcPr>
            <w:tcW w:w="569" w:type="dxa"/>
            <w:shd w:val="clear" w:color="auto" w:fill="FFFFFF"/>
            <w:vAlign w:val="center"/>
          </w:tcPr>
          <w:p w14:paraId="0EFF15E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color w:val="5B9BD5" w:themeColor="accent1"/>
                <w:sz w:val="21"/>
                <w:szCs w:val="21"/>
                <w:lang w:val="en-US" w:eastAsia="zh-CN"/>
                <w14:textFill>
                  <w14:solidFill>
                    <w14:schemeClr w14:val="accent1"/>
                  </w14:solidFill>
                </w14:textFill>
              </w:rPr>
            </w:pPr>
            <w:r>
              <w:rPr>
                <w:rFonts w:hint="default" w:ascii="Times New Roman" w:hAnsi="Times New Roman" w:eastAsia="Arial" w:cs="Times New Roman"/>
                <w:color w:val="5B9BD5" w:themeColor="accent1"/>
                <w:sz w:val="21"/>
                <w:szCs w:val="21"/>
                <w14:textFill>
                  <w14:solidFill>
                    <w14:schemeClr w14:val="accent1"/>
                  </w14:solidFill>
                </w14:textFill>
              </w:rPr>
              <w:t>0.6</w:t>
            </w:r>
          </w:p>
        </w:tc>
        <w:tc>
          <w:tcPr>
            <w:tcW w:w="1929" w:type="dxa"/>
            <w:shd w:val="clear" w:color="auto" w:fill="FFFFFF"/>
            <w:vAlign w:val="center"/>
          </w:tcPr>
          <w:p w14:paraId="43F8D8AB">
            <w:pPr>
              <w:jc w:val="center"/>
              <w:rPr>
                <w:rFonts w:hint="default" w:ascii="Times New Roman" w:hAnsi="Times New Roman" w:eastAsia="宋体" w:cs="Times New Roman"/>
                <w:color w:val="5B9BD5" w:themeColor="accent1"/>
                <w:szCs w:val="21"/>
                <w:lang w:val="en-US" w:eastAsia="zh-CN"/>
                <w14:textFill>
                  <w14:solidFill>
                    <w14:schemeClr w14:val="accent1"/>
                  </w14:solidFill>
                </w14:textFill>
              </w:rPr>
            </w:pPr>
            <w:r>
              <w:rPr>
                <w:rFonts w:hint="eastAsia" w:ascii="Times New Roman" w:hAnsi="Times New Roman" w:cs="Times New Roman"/>
                <w:color w:val="5B9BD5" w:themeColor="accent1"/>
                <w:szCs w:val="21"/>
                <w:lang w:val="en-US" w:eastAsia="zh-CN"/>
                <w14:textFill>
                  <w14:solidFill>
                    <w14:schemeClr w14:val="accent1"/>
                  </w14:solidFill>
                </w14:textFill>
              </w:rPr>
              <w:t>85</w:t>
            </w:r>
          </w:p>
        </w:tc>
        <w:tc>
          <w:tcPr>
            <w:tcW w:w="2183" w:type="dxa"/>
            <w:shd w:val="clear" w:color="auto" w:fill="FFFFFF"/>
            <w:vAlign w:val="center"/>
          </w:tcPr>
          <w:p w14:paraId="4D335A13">
            <w:pPr>
              <w:jc w:val="center"/>
              <w:rPr>
                <w:rFonts w:hint="eastAsia" w:ascii="Times New Roman" w:hAnsi="Times New Roman" w:eastAsia="宋体" w:cs="Times New Roman"/>
                <w:color w:val="5B9BD5" w:themeColor="accent1"/>
                <w:sz w:val="21"/>
                <w:szCs w:val="21"/>
                <w:lang w:val="en-US" w:eastAsia="zh-CN"/>
                <w14:textFill>
                  <w14:solidFill>
                    <w14:schemeClr w14:val="accent1"/>
                  </w14:solidFill>
                </w14:textFill>
              </w:rPr>
            </w:pPr>
            <w:r>
              <w:rPr>
                <w:rFonts w:hint="default" w:ascii="Times New Roman" w:hAnsi="Times New Roman" w:cs="Times New Roman"/>
                <w:color w:val="5B9BD5" w:themeColor="accent1"/>
                <w:szCs w:val="21"/>
                <w14:textFill>
                  <w14:solidFill>
                    <w14:schemeClr w14:val="accent1"/>
                  </w14:solidFill>
                </w14:textFill>
              </w:rPr>
              <w:t>基础减振</w:t>
            </w:r>
            <w:r>
              <w:rPr>
                <w:rFonts w:hint="eastAsia" w:cs="Times New Roman"/>
                <w:color w:val="5B9BD5" w:themeColor="accent1"/>
                <w:szCs w:val="21"/>
                <w:lang w:val="en-US" w:eastAsia="zh-CN"/>
                <w14:textFill>
                  <w14:solidFill>
                    <w14:schemeClr w14:val="accent1"/>
                  </w14:solidFill>
                </w14:textFill>
              </w:rPr>
              <w:t>等</w:t>
            </w:r>
          </w:p>
        </w:tc>
        <w:tc>
          <w:tcPr>
            <w:tcW w:w="1686" w:type="dxa"/>
            <w:shd w:val="clear" w:color="auto" w:fill="FFFFFF"/>
            <w:vAlign w:val="center"/>
          </w:tcPr>
          <w:p w14:paraId="47C72484">
            <w:pPr>
              <w:jc w:val="center"/>
              <w:rPr>
                <w:rFonts w:hint="default" w:ascii="Times New Roman" w:hAnsi="Times New Roman" w:cs="Times New Roman"/>
                <w:color w:val="5B9BD5" w:themeColor="accent1"/>
                <w:sz w:val="21"/>
                <w:szCs w:val="21"/>
                <w14:textFill>
                  <w14:solidFill>
                    <w14:schemeClr w14:val="accent1"/>
                  </w14:solidFill>
                </w14:textFill>
              </w:rPr>
            </w:pPr>
            <w:r>
              <w:rPr>
                <w:rFonts w:hint="default" w:ascii="Times New Roman" w:hAnsi="Times New Roman" w:cs="Times New Roman"/>
                <w:color w:val="5B9BD5" w:themeColor="accent1"/>
                <w:sz w:val="21"/>
                <w:szCs w:val="21"/>
                <w14:textFill>
                  <w14:solidFill>
                    <w14:schemeClr w14:val="accent1"/>
                  </w14:solidFill>
                </w14:textFill>
              </w:rPr>
              <w:t>正常生产过程</w:t>
            </w:r>
          </w:p>
        </w:tc>
      </w:tr>
    </w:tbl>
    <w:p w14:paraId="305EB8E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Times New Roman" w:hAnsi="Times New Roman" w:cs="Times New Roman"/>
        </w:rPr>
      </w:pPr>
      <w:r>
        <w:rPr>
          <w:rFonts w:hint="default" w:ascii="Times New Roman" w:hAnsi="Times New Roman" w:cs="Times New Roman" w:eastAsiaTheme="minorEastAsia"/>
          <w:b w:val="0"/>
          <w:bCs/>
          <w:sz w:val="21"/>
          <w:szCs w:val="21"/>
          <w:lang w:val="en-US" w:eastAsia="zh-CN"/>
        </w:rPr>
        <w:t>表中坐标以厂界中心（</w:t>
      </w:r>
      <w:bookmarkStart w:id="3" w:name="PO_7"/>
      <w:r>
        <w:rPr>
          <w:rFonts w:hint="default" w:ascii="Times New Roman" w:hAnsi="Times New Roman" w:cs="Times New Roman" w:eastAsiaTheme="minorEastAsia"/>
          <w:b w:val="0"/>
          <w:bCs/>
          <w:sz w:val="21"/>
          <w:szCs w:val="21"/>
          <w:lang w:val="en-US" w:eastAsia="zh-CN"/>
        </w:rPr>
        <w:t>114.948303,36.103321</w:t>
      </w:r>
      <w:bookmarkEnd w:id="3"/>
      <w:r>
        <w:rPr>
          <w:rFonts w:hint="default" w:ascii="Times New Roman" w:hAnsi="Times New Roman" w:cs="Times New Roman" w:eastAsiaTheme="minorEastAsia"/>
          <w:b w:val="0"/>
          <w:bCs/>
          <w:sz w:val="21"/>
          <w:szCs w:val="21"/>
          <w:lang w:val="en-US" w:eastAsia="zh-CN"/>
        </w:rPr>
        <w:t>）为坐标原点，正东向为X轴正方向，正北向为Y轴正方向</w:t>
      </w:r>
      <w:r>
        <w:rPr>
          <w:rFonts w:hint="eastAsia" w:ascii="Times New Roman" w:hAnsi="Times New Roman" w:cs="Times New Roman" w:eastAsiaTheme="minorEastAsia"/>
          <w:b w:val="0"/>
          <w:bCs/>
          <w:sz w:val="21"/>
          <w:szCs w:val="21"/>
          <w:lang w:val="en-US" w:eastAsia="zh-CN"/>
        </w:rPr>
        <w:t>。</w:t>
      </w:r>
    </w:p>
    <w:p w14:paraId="732BB406">
      <w:pPr>
        <w:pStyle w:val="23"/>
        <w:spacing w:before="0" w:beforeAutospacing="0" w:after="0" w:afterAutospacing="0"/>
        <w:ind w:firstLine="640" w:firstLineChars="200"/>
        <w:jc w:val="both"/>
        <w:outlineLvl w:val="0"/>
        <w:rPr>
          <w:rFonts w:hint="default" w:ascii="Times New Roman" w:hAnsi="Times New Roman" w:eastAsia="黑体" w:cs="Times New Roman"/>
          <w:snapToGrid w:val="0"/>
          <w:color w:val="auto"/>
          <w:sz w:val="32"/>
          <w:szCs w:val="32"/>
        </w:rPr>
        <w:sectPr>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pP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94"/>
        <w:gridCol w:w="8530"/>
      </w:tblGrid>
      <w:tr w14:paraId="337E92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294" w:type="dxa"/>
            <w:tcMar>
              <w:left w:w="28" w:type="dxa"/>
              <w:right w:w="28" w:type="dxa"/>
            </w:tcMar>
            <w:vAlign w:val="center"/>
          </w:tcPr>
          <w:p w14:paraId="421B4E11">
            <w:pPr>
              <w:adjustRightInd w:val="0"/>
              <w:snapToGrid w:val="0"/>
              <w:jc w:val="center"/>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运营</w:t>
            </w:r>
          </w:p>
          <w:p w14:paraId="1EB3CA4A">
            <w:pPr>
              <w:adjustRightInd w:val="0"/>
              <w:snapToGrid w:val="0"/>
              <w:jc w:val="center"/>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期环</w:t>
            </w:r>
          </w:p>
          <w:p w14:paraId="373D1479">
            <w:pPr>
              <w:adjustRightInd w:val="0"/>
              <w:snapToGrid w:val="0"/>
              <w:jc w:val="center"/>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境影</w:t>
            </w:r>
          </w:p>
          <w:p w14:paraId="143A7EE7">
            <w:pPr>
              <w:adjustRightInd w:val="0"/>
              <w:snapToGrid w:val="0"/>
              <w:jc w:val="center"/>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响和</w:t>
            </w:r>
          </w:p>
          <w:p w14:paraId="36B0D692">
            <w:pPr>
              <w:adjustRightInd w:val="0"/>
              <w:snapToGrid w:val="0"/>
              <w:jc w:val="center"/>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保护</w:t>
            </w:r>
          </w:p>
          <w:p w14:paraId="72E7FBDF">
            <w:pPr>
              <w:adjustRightInd w:val="0"/>
              <w:snapToGrid w:val="0"/>
              <w:jc w:val="center"/>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措施</w:t>
            </w:r>
          </w:p>
        </w:tc>
        <w:tc>
          <w:tcPr>
            <w:tcW w:w="8530" w:type="dxa"/>
            <w:vAlign w:val="center"/>
          </w:tcPr>
          <w:p w14:paraId="61F3233A">
            <w:pPr>
              <w:pStyle w:val="57"/>
              <w:spacing w:line="480" w:lineRule="exact"/>
              <w:ind w:firstLine="512"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②</w:t>
            </w:r>
            <w:r>
              <w:rPr>
                <w:rFonts w:hint="default" w:ascii="Times New Roman" w:hAnsi="Times New Roman" w:cs="Times New Roman"/>
                <w:color w:val="auto"/>
                <w:sz w:val="24"/>
                <w:szCs w:val="24"/>
              </w:rPr>
              <w:t>预测模式</w:t>
            </w:r>
          </w:p>
          <w:p w14:paraId="221B48D3">
            <w:pPr>
              <w:keepNext w:val="0"/>
              <w:keepLines w:val="0"/>
              <w:pageBreakBefore w:val="0"/>
              <w:widowControl w:val="0"/>
              <w:kinsoku/>
              <w:wordWrap/>
              <w:overflowPunct/>
              <w:topLinePunct w:val="0"/>
              <w:autoSpaceDE/>
              <w:autoSpaceDN/>
              <w:bidi w:val="0"/>
              <w:adjustRightInd w:val="0"/>
              <w:snapToGrid w:val="0"/>
              <w:spacing w:line="500" w:lineRule="exact"/>
              <w:ind w:left="0" w:firstLine="480" w:firstLineChars="200"/>
              <w:textAlignment w:val="auto"/>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eastAsia="zh-CN"/>
              </w:rPr>
              <w:t>1）单个室外点声源在预测点产生的声级计算基本公式</w:t>
            </w:r>
          </w:p>
          <w:p w14:paraId="3C9F441A">
            <w:pPr>
              <w:keepNext w:val="0"/>
              <w:keepLines w:val="0"/>
              <w:pageBreakBefore w:val="0"/>
              <w:widowControl w:val="0"/>
              <w:kinsoku/>
              <w:wordWrap/>
              <w:overflowPunct/>
              <w:topLinePunct w:val="0"/>
              <w:autoSpaceDE/>
              <w:autoSpaceDN/>
              <w:bidi w:val="0"/>
              <w:adjustRightInd w:val="0"/>
              <w:snapToGrid w:val="0"/>
              <w:spacing w:line="500" w:lineRule="exact"/>
              <w:ind w:left="0" w:firstLine="480" w:firstLineChars="200"/>
              <w:textAlignment w:val="auto"/>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eastAsia="zh-CN"/>
              </w:rPr>
              <w:t>已知声源的倍频带声功率级（从63Hz到8000Hz标称频带中心频率的8个倍频带），预测点位置的倍频带声压级L</w:t>
            </w:r>
            <w:r>
              <w:rPr>
                <w:rFonts w:hint="eastAsia" w:ascii="Times New Roman" w:hAnsi="Times New Roman" w:eastAsia="宋体" w:cs="Times New Roman"/>
                <w:color w:val="000000"/>
                <w:sz w:val="24"/>
                <w:szCs w:val="24"/>
                <w:vertAlign w:val="subscript"/>
                <w:lang w:eastAsia="zh-CN"/>
              </w:rPr>
              <w:t>P</w:t>
            </w:r>
            <w:r>
              <w:rPr>
                <w:rFonts w:hint="eastAsia" w:ascii="Times New Roman" w:hAnsi="Times New Roman" w:eastAsia="宋体" w:cs="Times New Roman"/>
                <w:color w:val="000000"/>
                <w:sz w:val="24"/>
                <w:szCs w:val="24"/>
                <w:lang w:eastAsia="zh-CN"/>
              </w:rPr>
              <w:t>（r）可按下式计算：</w:t>
            </w:r>
          </w:p>
          <w:p w14:paraId="5CF0C1E5">
            <w:pPr>
              <w:keepNext w:val="0"/>
              <w:keepLines w:val="0"/>
              <w:pageBreakBefore w:val="0"/>
              <w:widowControl w:val="0"/>
              <w:kinsoku/>
              <w:wordWrap/>
              <w:overflowPunct/>
              <w:topLinePunct w:val="0"/>
              <w:autoSpaceDE/>
              <w:autoSpaceDN/>
              <w:bidi w:val="0"/>
              <w:adjustRightInd w:val="0"/>
              <w:snapToGrid w:val="0"/>
              <w:spacing w:line="500" w:lineRule="exact"/>
              <w:ind w:left="0"/>
              <w:jc w:val="center"/>
              <w:textAlignment w:val="auto"/>
              <w:rPr>
                <w:color w:val="000000"/>
                <w:sz w:val="24"/>
                <w:szCs w:val="24"/>
              </w:rPr>
            </w:pPr>
            <w:r>
              <w:rPr>
                <w:color w:val="000000"/>
                <w:sz w:val="24"/>
                <w:szCs w:val="24"/>
              </w:rPr>
              <w:drawing>
                <wp:anchor distT="0" distB="0" distL="114300" distR="114300" simplePos="0" relativeHeight="251667456" behindDoc="1" locked="0" layoutInCell="1" allowOverlap="1">
                  <wp:simplePos x="0" y="0"/>
                  <wp:positionH relativeFrom="column">
                    <wp:posOffset>763270</wp:posOffset>
                  </wp:positionH>
                  <wp:positionV relativeFrom="paragraph">
                    <wp:posOffset>34925</wp:posOffset>
                  </wp:positionV>
                  <wp:extent cx="3305175" cy="257175"/>
                  <wp:effectExtent l="0" t="0" r="9525" b="9525"/>
                  <wp:wrapTight wrapText="bothSides">
                    <wp:wrapPolygon>
                      <wp:start x="0" y="0"/>
                      <wp:lineTo x="0" y="20107"/>
                      <wp:lineTo x="21538" y="20107"/>
                      <wp:lineTo x="21538" y="0"/>
                      <wp:lineTo x="0" y="0"/>
                    </wp:wrapPolygon>
                  </wp:wrapTight>
                  <wp:docPr id="15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2"/>
                          <pic:cNvPicPr>
                            <a:picLocks noChangeAspect="1"/>
                          </pic:cNvPicPr>
                        </pic:nvPicPr>
                        <pic:blipFill>
                          <a:blip r:embed="rId8"/>
                          <a:stretch>
                            <a:fillRect/>
                          </a:stretch>
                        </pic:blipFill>
                        <pic:spPr>
                          <a:xfrm>
                            <a:off x="0" y="0"/>
                            <a:ext cx="3305175" cy="257175"/>
                          </a:xfrm>
                          <a:prstGeom prst="rect">
                            <a:avLst/>
                          </a:prstGeom>
                          <a:noFill/>
                          <a:ln>
                            <a:noFill/>
                          </a:ln>
                        </pic:spPr>
                      </pic:pic>
                    </a:graphicData>
                  </a:graphic>
                </wp:anchor>
              </w:drawing>
            </w:r>
          </w:p>
          <w:p w14:paraId="0CEB8639">
            <w:pPr>
              <w:keepNext w:val="0"/>
              <w:keepLines w:val="0"/>
              <w:pageBreakBefore w:val="0"/>
              <w:widowControl w:val="0"/>
              <w:kinsoku/>
              <w:wordWrap/>
              <w:overflowPunct/>
              <w:topLinePunct w:val="0"/>
              <w:autoSpaceDE/>
              <w:autoSpaceDN/>
              <w:bidi w:val="0"/>
              <w:adjustRightInd w:val="0"/>
              <w:snapToGrid w:val="0"/>
              <w:spacing w:line="500" w:lineRule="exact"/>
              <w:ind w:left="0" w:firstLine="500" w:firstLineChars="200"/>
              <w:textAlignment w:val="auto"/>
              <w:rPr>
                <w:color w:val="000000"/>
                <w:spacing w:val="5"/>
                <w:sz w:val="24"/>
                <w:szCs w:val="24"/>
              </w:rPr>
            </w:pPr>
            <w:r>
              <w:rPr>
                <w:color w:val="000000"/>
                <w:spacing w:val="5"/>
                <w:sz w:val="24"/>
                <w:szCs w:val="24"/>
              </w:rPr>
              <w:t>式中：</w:t>
            </w:r>
            <w:r>
              <w:rPr>
                <w:rFonts w:hint="eastAsia"/>
                <w:color w:val="000000"/>
                <w:spacing w:val="5"/>
                <w:sz w:val="24"/>
                <w:szCs w:val="24"/>
                <w:lang w:val="en-US" w:eastAsia="zh-CN"/>
              </w:rPr>
              <w:t>L</w:t>
            </w:r>
            <w:r>
              <w:rPr>
                <w:rFonts w:hint="eastAsia"/>
                <w:color w:val="000000"/>
                <w:spacing w:val="5"/>
                <w:sz w:val="24"/>
                <w:szCs w:val="24"/>
                <w:vertAlign w:val="subscript"/>
                <w:lang w:val="en-US" w:eastAsia="zh-CN"/>
              </w:rPr>
              <w:t>p</w:t>
            </w:r>
            <w:r>
              <w:rPr>
                <w:rFonts w:hint="eastAsia"/>
                <w:color w:val="000000"/>
                <w:spacing w:val="5"/>
                <w:sz w:val="24"/>
                <w:szCs w:val="24"/>
                <w:vertAlign w:val="baseline"/>
                <w:lang w:val="en-US" w:eastAsia="zh-CN"/>
              </w:rPr>
              <w:t>（r）</w:t>
            </w:r>
            <w:r>
              <w:rPr>
                <w:color w:val="000000"/>
                <w:spacing w:val="5"/>
                <w:sz w:val="24"/>
                <w:szCs w:val="24"/>
              </w:rPr>
              <w:t>——距离声源r处的声压级，dB；</w:t>
            </w:r>
          </w:p>
          <w:p w14:paraId="091D997C">
            <w:pPr>
              <w:keepNext w:val="0"/>
              <w:keepLines w:val="0"/>
              <w:pageBreakBefore w:val="0"/>
              <w:widowControl w:val="0"/>
              <w:kinsoku/>
              <w:wordWrap/>
              <w:overflowPunct/>
              <w:topLinePunct w:val="0"/>
              <w:autoSpaceDE/>
              <w:autoSpaceDN/>
              <w:bidi w:val="0"/>
              <w:adjustRightInd w:val="0"/>
              <w:snapToGrid w:val="0"/>
              <w:spacing w:line="500" w:lineRule="exact"/>
              <w:ind w:left="0" w:firstLine="1235" w:firstLineChars="494"/>
              <w:textAlignment w:val="auto"/>
              <w:rPr>
                <w:color w:val="000000"/>
                <w:spacing w:val="5"/>
                <w:sz w:val="24"/>
                <w:szCs w:val="24"/>
              </w:rPr>
            </w:pPr>
            <w:r>
              <w:rPr>
                <w:rFonts w:hint="eastAsia"/>
                <w:color w:val="000000"/>
                <w:spacing w:val="5"/>
                <w:sz w:val="24"/>
                <w:szCs w:val="24"/>
                <w:lang w:val="en-US" w:eastAsia="zh-CN"/>
              </w:rPr>
              <w:t>L</w:t>
            </w:r>
            <w:r>
              <w:rPr>
                <w:rFonts w:hint="eastAsia"/>
                <w:color w:val="000000"/>
                <w:spacing w:val="5"/>
                <w:sz w:val="24"/>
                <w:szCs w:val="24"/>
                <w:vertAlign w:val="subscript"/>
                <w:lang w:val="en-US" w:eastAsia="zh-CN"/>
              </w:rPr>
              <w:t>w</w:t>
            </w:r>
            <w:r>
              <w:rPr>
                <w:color w:val="000000"/>
                <w:spacing w:val="5"/>
                <w:sz w:val="24"/>
                <w:szCs w:val="24"/>
              </w:rPr>
              <w:t>——由点声源产生的声功率级（A计权或倍频带），dB；</w:t>
            </w:r>
          </w:p>
          <w:p w14:paraId="3AAC2175">
            <w:pPr>
              <w:keepNext w:val="0"/>
              <w:keepLines w:val="0"/>
              <w:pageBreakBefore w:val="0"/>
              <w:widowControl w:val="0"/>
              <w:kinsoku/>
              <w:wordWrap/>
              <w:overflowPunct/>
              <w:topLinePunct w:val="0"/>
              <w:autoSpaceDE/>
              <w:autoSpaceDN/>
              <w:bidi w:val="0"/>
              <w:adjustRightInd w:val="0"/>
              <w:snapToGrid w:val="0"/>
              <w:spacing w:line="500" w:lineRule="exact"/>
              <w:ind w:left="0" w:firstLine="1222" w:firstLineChars="489"/>
              <w:textAlignment w:val="auto"/>
              <w:rPr>
                <w:color w:val="000000"/>
                <w:spacing w:val="5"/>
                <w:sz w:val="24"/>
                <w:szCs w:val="24"/>
              </w:rPr>
            </w:pPr>
            <w:r>
              <w:rPr>
                <w:rFonts w:hint="eastAsia"/>
                <w:color w:val="000000"/>
                <w:spacing w:val="5"/>
                <w:sz w:val="24"/>
                <w:szCs w:val="24"/>
                <w:lang w:val="en-US" w:eastAsia="zh-CN"/>
              </w:rPr>
              <w:t>D</w:t>
            </w:r>
            <w:r>
              <w:rPr>
                <w:rFonts w:hint="eastAsia"/>
                <w:color w:val="000000"/>
                <w:spacing w:val="5"/>
                <w:sz w:val="24"/>
                <w:szCs w:val="24"/>
                <w:vertAlign w:val="subscript"/>
                <w:lang w:val="en-US" w:eastAsia="zh-CN"/>
              </w:rPr>
              <w:t>c</w:t>
            </w:r>
            <w:r>
              <w:rPr>
                <w:color w:val="000000"/>
                <w:spacing w:val="5"/>
                <w:sz w:val="24"/>
                <w:szCs w:val="24"/>
              </w:rPr>
              <w:t>——指向性校正，dB；</w:t>
            </w:r>
          </w:p>
          <w:p w14:paraId="08EE9918">
            <w:pPr>
              <w:keepNext w:val="0"/>
              <w:keepLines w:val="0"/>
              <w:pageBreakBefore w:val="0"/>
              <w:widowControl w:val="0"/>
              <w:kinsoku/>
              <w:wordWrap/>
              <w:overflowPunct/>
              <w:topLinePunct w:val="0"/>
              <w:autoSpaceDE/>
              <w:autoSpaceDN/>
              <w:bidi w:val="0"/>
              <w:adjustRightInd w:val="0"/>
              <w:snapToGrid w:val="0"/>
              <w:spacing w:line="500" w:lineRule="exact"/>
              <w:ind w:left="0" w:firstLine="1235" w:firstLineChars="494"/>
              <w:textAlignment w:val="auto"/>
              <w:rPr>
                <w:color w:val="000000"/>
                <w:spacing w:val="5"/>
                <w:sz w:val="24"/>
                <w:szCs w:val="24"/>
              </w:rPr>
            </w:pPr>
            <w:r>
              <w:rPr>
                <w:rFonts w:hint="eastAsia"/>
                <w:color w:val="000000"/>
                <w:spacing w:val="5"/>
                <w:sz w:val="24"/>
                <w:szCs w:val="24"/>
                <w:lang w:val="en-US" w:eastAsia="zh-CN"/>
              </w:rPr>
              <w:t>A</w:t>
            </w:r>
            <w:r>
              <w:rPr>
                <w:rFonts w:hint="eastAsia"/>
                <w:color w:val="000000"/>
                <w:spacing w:val="5"/>
                <w:sz w:val="24"/>
                <w:szCs w:val="24"/>
                <w:vertAlign w:val="subscript"/>
                <w:lang w:val="en-US" w:eastAsia="zh-CN"/>
              </w:rPr>
              <w:t>div</w:t>
            </w:r>
            <w:r>
              <w:rPr>
                <w:color w:val="000000"/>
                <w:spacing w:val="5"/>
                <w:sz w:val="24"/>
                <w:szCs w:val="24"/>
              </w:rPr>
              <w:t>——几何发散引起的衰减，dB；</w:t>
            </w:r>
          </w:p>
          <w:p w14:paraId="5424BA01">
            <w:pPr>
              <w:keepNext w:val="0"/>
              <w:keepLines w:val="0"/>
              <w:pageBreakBefore w:val="0"/>
              <w:widowControl w:val="0"/>
              <w:kinsoku/>
              <w:wordWrap/>
              <w:overflowPunct/>
              <w:topLinePunct w:val="0"/>
              <w:autoSpaceDE/>
              <w:autoSpaceDN/>
              <w:bidi w:val="0"/>
              <w:adjustRightInd w:val="0"/>
              <w:snapToGrid w:val="0"/>
              <w:spacing w:line="500" w:lineRule="exact"/>
              <w:ind w:left="0" w:firstLine="1235" w:firstLineChars="494"/>
              <w:textAlignment w:val="auto"/>
              <w:rPr>
                <w:color w:val="000000"/>
                <w:spacing w:val="5"/>
                <w:sz w:val="24"/>
                <w:szCs w:val="24"/>
              </w:rPr>
            </w:pPr>
            <w:r>
              <w:rPr>
                <w:rFonts w:hint="eastAsia"/>
                <w:color w:val="000000"/>
                <w:spacing w:val="5"/>
                <w:sz w:val="24"/>
                <w:szCs w:val="24"/>
                <w:lang w:val="en-US" w:eastAsia="zh-CN"/>
              </w:rPr>
              <w:t>A</w:t>
            </w:r>
            <w:r>
              <w:rPr>
                <w:rFonts w:hint="eastAsia"/>
                <w:color w:val="000000"/>
                <w:spacing w:val="5"/>
                <w:sz w:val="24"/>
                <w:szCs w:val="24"/>
                <w:vertAlign w:val="subscript"/>
                <w:lang w:val="en-US" w:eastAsia="zh-CN"/>
              </w:rPr>
              <w:t>gr</w:t>
            </w:r>
            <w:r>
              <w:rPr>
                <w:color w:val="000000"/>
                <w:spacing w:val="5"/>
                <w:sz w:val="24"/>
                <w:szCs w:val="24"/>
              </w:rPr>
              <w:t>——地面效应引起的衰减，dB；</w:t>
            </w:r>
          </w:p>
          <w:p w14:paraId="5D2270EB">
            <w:pPr>
              <w:keepNext w:val="0"/>
              <w:keepLines w:val="0"/>
              <w:pageBreakBefore w:val="0"/>
              <w:widowControl w:val="0"/>
              <w:kinsoku/>
              <w:wordWrap/>
              <w:overflowPunct/>
              <w:topLinePunct w:val="0"/>
              <w:autoSpaceDE/>
              <w:autoSpaceDN/>
              <w:bidi w:val="0"/>
              <w:adjustRightInd w:val="0"/>
              <w:snapToGrid w:val="0"/>
              <w:spacing w:line="500" w:lineRule="exact"/>
              <w:ind w:left="0" w:firstLine="1235" w:firstLineChars="494"/>
              <w:textAlignment w:val="auto"/>
              <w:rPr>
                <w:color w:val="000000"/>
                <w:spacing w:val="5"/>
                <w:sz w:val="24"/>
                <w:szCs w:val="24"/>
              </w:rPr>
            </w:pPr>
            <w:r>
              <w:rPr>
                <w:rFonts w:hint="eastAsia"/>
                <w:color w:val="000000"/>
                <w:spacing w:val="5"/>
                <w:sz w:val="24"/>
                <w:szCs w:val="24"/>
                <w:lang w:val="en-US" w:eastAsia="zh-CN"/>
              </w:rPr>
              <w:t>A</w:t>
            </w:r>
            <w:r>
              <w:rPr>
                <w:rFonts w:hint="eastAsia"/>
                <w:color w:val="000000"/>
                <w:spacing w:val="5"/>
                <w:sz w:val="24"/>
                <w:szCs w:val="24"/>
                <w:vertAlign w:val="subscript"/>
                <w:lang w:val="en-US" w:eastAsia="zh-CN"/>
              </w:rPr>
              <w:t>atm</w:t>
            </w:r>
            <w:r>
              <w:rPr>
                <w:color w:val="000000"/>
                <w:spacing w:val="5"/>
                <w:sz w:val="24"/>
                <w:szCs w:val="24"/>
              </w:rPr>
              <w:t>——大气吸收引起的衰减，dB；</w:t>
            </w:r>
          </w:p>
          <w:p w14:paraId="3942A43B">
            <w:pPr>
              <w:keepNext w:val="0"/>
              <w:keepLines w:val="0"/>
              <w:pageBreakBefore w:val="0"/>
              <w:widowControl w:val="0"/>
              <w:kinsoku/>
              <w:wordWrap/>
              <w:overflowPunct/>
              <w:topLinePunct w:val="0"/>
              <w:autoSpaceDE/>
              <w:autoSpaceDN/>
              <w:bidi w:val="0"/>
              <w:adjustRightInd w:val="0"/>
              <w:snapToGrid w:val="0"/>
              <w:spacing w:line="500" w:lineRule="exact"/>
              <w:ind w:left="0" w:firstLine="1250" w:firstLineChars="500"/>
              <w:textAlignment w:val="auto"/>
              <w:rPr>
                <w:color w:val="000000"/>
                <w:spacing w:val="5"/>
                <w:sz w:val="24"/>
                <w:szCs w:val="24"/>
              </w:rPr>
            </w:pPr>
            <w:r>
              <w:rPr>
                <w:rFonts w:hint="eastAsia"/>
                <w:color w:val="000000"/>
                <w:spacing w:val="5"/>
                <w:sz w:val="24"/>
                <w:szCs w:val="24"/>
                <w:lang w:val="en-US" w:eastAsia="zh-CN"/>
              </w:rPr>
              <w:t>A</w:t>
            </w:r>
            <w:r>
              <w:rPr>
                <w:rFonts w:hint="eastAsia"/>
                <w:color w:val="000000"/>
                <w:spacing w:val="5"/>
                <w:sz w:val="24"/>
                <w:szCs w:val="24"/>
                <w:vertAlign w:val="subscript"/>
                <w:lang w:val="en-US" w:eastAsia="zh-CN"/>
              </w:rPr>
              <w:t>bar</w:t>
            </w:r>
            <w:r>
              <w:rPr>
                <w:color w:val="000000"/>
                <w:spacing w:val="5"/>
                <w:sz w:val="24"/>
                <w:szCs w:val="24"/>
              </w:rPr>
              <w:t>——</w:t>
            </w:r>
            <w:r>
              <w:rPr>
                <w:rFonts w:hint="eastAsia"/>
                <w:color w:val="000000"/>
                <w:spacing w:val="5"/>
                <w:sz w:val="24"/>
                <w:szCs w:val="24"/>
                <w:lang w:val="en-US" w:eastAsia="zh-CN"/>
              </w:rPr>
              <w:t>障碍物屏蔽</w:t>
            </w:r>
            <w:r>
              <w:rPr>
                <w:color w:val="000000"/>
                <w:spacing w:val="5"/>
                <w:sz w:val="24"/>
                <w:szCs w:val="24"/>
              </w:rPr>
              <w:t>引起的衰减，dB；</w:t>
            </w:r>
          </w:p>
          <w:p w14:paraId="555E8BFC">
            <w:pPr>
              <w:keepNext w:val="0"/>
              <w:keepLines w:val="0"/>
              <w:pageBreakBefore w:val="0"/>
              <w:widowControl w:val="0"/>
              <w:kinsoku/>
              <w:wordWrap/>
              <w:overflowPunct/>
              <w:topLinePunct w:val="0"/>
              <w:autoSpaceDE/>
              <w:autoSpaceDN/>
              <w:bidi w:val="0"/>
              <w:adjustRightInd w:val="0"/>
              <w:snapToGrid w:val="0"/>
              <w:spacing w:line="500" w:lineRule="exact"/>
              <w:ind w:left="0" w:firstLine="1250" w:firstLineChars="500"/>
              <w:textAlignment w:val="auto"/>
              <w:rPr>
                <w:color w:val="000000"/>
                <w:spacing w:val="5"/>
                <w:sz w:val="24"/>
                <w:szCs w:val="24"/>
              </w:rPr>
            </w:pPr>
            <w:r>
              <w:rPr>
                <w:rFonts w:hint="eastAsia"/>
                <w:color w:val="000000"/>
                <w:spacing w:val="5"/>
                <w:sz w:val="24"/>
                <w:szCs w:val="24"/>
                <w:lang w:val="en-US" w:eastAsia="zh-CN"/>
              </w:rPr>
              <w:t>A</w:t>
            </w:r>
            <w:r>
              <w:rPr>
                <w:rFonts w:hint="eastAsia"/>
                <w:color w:val="000000"/>
                <w:spacing w:val="5"/>
                <w:sz w:val="24"/>
                <w:szCs w:val="24"/>
                <w:vertAlign w:val="subscript"/>
                <w:lang w:val="en-US" w:eastAsia="zh-CN"/>
              </w:rPr>
              <w:t>misc</w:t>
            </w:r>
            <w:r>
              <w:rPr>
                <w:color w:val="000000"/>
                <w:spacing w:val="5"/>
                <w:sz w:val="24"/>
                <w:szCs w:val="24"/>
              </w:rPr>
              <w:t>——其</w:t>
            </w:r>
            <w:r>
              <w:rPr>
                <w:rFonts w:hint="eastAsia"/>
                <w:color w:val="000000"/>
                <w:spacing w:val="5"/>
                <w:sz w:val="24"/>
                <w:szCs w:val="24"/>
                <w:lang w:val="en-US" w:eastAsia="zh-CN"/>
              </w:rPr>
              <w:t>他</w:t>
            </w:r>
            <w:r>
              <w:rPr>
                <w:color w:val="000000"/>
                <w:spacing w:val="5"/>
                <w:sz w:val="24"/>
                <w:szCs w:val="24"/>
              </w:rPr>
              <w:t>多方面效应引起的衰减，dB。</w:t>
            </w:r>
          </w:p>
          <w:p w14:paraId="19D83D6F">
            <w:pPr>
              <w:keepNext w:val="0"/>
              <w:keepLines w:val="0"/>
              <w:pageBreakBefore w:val="0"/>
              <w:widowControl w:val="0"/>
              <w:kinsoku/>
              <w:wordWrap/>
              <w:overflowPunct/>
              <w:topLinePunct w:val="0"/>
              <w:autoSpaceDE/>
              <w:autoSpaceDN/>
              <w:bidi w:val="0"/>
              <w:adjustRightInd w:val="0"/>
              <w:snapToGrid w:val="0"/>
              <w:spacing w:line="500" w:lineRule="exact"/>
              <w:ind w:left="0" w:firstLine="500" w:firstLineChars="200"/>
              <w:textAlignment w:val="auto"/>
              <w:rPr>
                <w:color w:val="000000"/>
                <w:spacing w:val="5"/>
                <w:sz w:val="24"/>
                <w:szCs w:val="24"/>
              </w:rPr>
            </w:pPr>
            <w:r>
              <w:rPr>
                <w:color w:val="000000"/>
                <w:spacing w:val="5"/>
                <w:sz w:val="24"/>
                <w:szCs w:val="24"/>
              </w:rPr>
              <w:t>2）室内点声源对厂界噪声预测点贡献值预测模式</w:t>
            </w:r>
          </w:p>
          <w:p w14:paraId="109BCCE9">
            <w:pPr>
              <w:keepNext w:val="0"/>
              <w:keepLines w:val="0"/>
              <w:pageBreakBefore w:val="0"/>
              <w:widowControl w:val="0"/>
              <w:kinsoku/>
              <w:wordWrap/>
              <w:overflowPunct/>
              <w:topLinePunct w:val="0"/>
              <w:autoSpaceDE/>
              <w:autoSpaceDN/>
              <w:bidi w:val="0"/>
              <w:adjustRightInd w:val="0"/>
              <w:snapToGrid w:val="0"/>
              <w:spacing w:line="500" w:lineRule="exact"/>
              <w:ind w:left="0" w:firstLine="500" w:firstLineChars="200"/>
              <w:textAlignment w:val="auto"/>
              <w:rPr>
                <w:color w:val="000000"/>
                <w:spacing w:val="5"/>
                <w:sz w:val="24"/>
                <w:szCs w:val="24"/>
              </w:rPr>
            </w:pPr>
            <w:r>
              <w:rPr>
                <w:color w:val="000000"/>
                <w:spacing w:val="5"/>
                <w:sz w:val="24"/>
                <w:szCs w:val="24"/>
              </w:rPr>
              <w:t>室内声源首先换算为等效室外声源，再按各类声源模式计算。</w:t>
            </w:r>
          </w:p>
          <w:p w14:paraId="30C9F875">
            <w:pPr>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left="0"/>
              <w:textAlignment w:val="auto"/>
              <w:rPr>
                <w:color w:val="000000"/>
                <w:spacing w:val="5"/>
                <w:sz w:val="24"/>
                <w:szCs w:val="24"/>
              </w:rPr>
            </w:pPr>
            <w:r>
              <w:rPr>
                <w:rFonts w:hint="eastAsia"/>
                <w:color w:val="000000"/>
                <w:spacing w:val="5"/>
                <w:sz w:val="24"/>
                <w:szCs w:val="24"/>
                <w:lang w:val="en-US" w:eastAsia="zh-CN"/>
              </w:rPr>
              <w:t xml:space="preserve">    a</w:t>
            </w:r>
            <w:r>
              <w:rPr>
                <w:color w:val="000000"/>
                <w:spacing w:val="5"/>
                <w:sz w:val="24"/>
                <w:szCs w:val="24"/>
              </w:rPr>
              <w:t>首先计算出某个室内声源靠近围护结构处的倍频带声压级：</w:t>
            </w:r>
          </w:p>
          <w:p w14:paraId="3DB6FB20">
            <w:pPr>
              <w:pStyle w:val="57"/>
              <w:spacing w:line="480" w:lineRule="exact"/>
              <w:ind w:firstLine="512"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
                <w:color w:val="000000" w:themeColor="text1"/>
                <w:sz w:val="24"/>
                <w:szCs w:val="24"/>
                <w14:textFill>
                  <w14:solidFill>
                    <w14:schemeClr w14:val="tx1"/>
                  </w14:solidFill>
                </w14:textFill>
              </w:rPr>
              <w:t>L</w:t>
            </w:r>
            <w:r>
              <w:rPr>
                <w:rFonts w:hint="default" w:ascii="Times New Roman" w:hAnsi="Times New Roman" w:cs="Times New Roman"/>
                <w:i/>
                <w:color w:val="000000" w:themeColor="text1"/>
                <w:sz w:val="24"/>
                <w:szCs w:val="24"/>
                <w:vertAlign w:val="subscript"/>
                <w14:textFill>
                  <w14:solidFill>
                    <w14:schemeClr w14:val="tx1"/>
                  </w14:solidFill>
                </w14:textFill>
              </w:rPr>
              <w:t>p1</w:t>
            </w:r>
            <w:r>
              <w:rPr>
                <w:rFonts w:hint="default" w:ascii="Times New Roman" w:hAnsi="Times New Roman" w:cs="Times New Roman"/>
                <w:i/>
                <w:color w:val="000000" w:themeColor="text1"/>
                <w:sz w:val="24"/>
                <w:szCs w:val="24"/>
                <w14:textFill>
                  <w14:solidFill>
                    <w14:schemeClr w14:val="tx1"/>
                  </w14:solidFill>
                </w14:textFill>
              </w:rPr>
              <w:t>=L</w:t>
            </w:r>
            <w:r>
              <w:rPr>
                <w:rFonts w:hint="default" w:ascii="Times New Roman" w:hAnsi="Times New Roman" w:cs="Times New Roman"/>
                <w:i/>
                <w:color w:val="000000" w:themeColor="text1"/>
                <w:sz w:val="24"/>
                <w:szCs w:val="24"/>
                <w:vertAlign w:val="subscript"/>
                <w14:textFill>
                  <w14:solidFill>
                    <w14:schemeClr w14:val="tx1"/>
                  </w14:solidFill>
                </w14:textFill>
              </w:rPr>
              <w:t>w</w:t>
            </w:r>
            <w:r>
              <w:rPr>
                <w:rFonts w:hint="default" w:ascii="Times New Roman" w:hAnsi="Times New Roman" w:cs="Times New Roman"/>
                <w:i/>
                <w:color w:val="000000" w:themeColor="text1"/>
                <w:sz w:val="24"/>
                <w:szCs w:val="24"/>
                <w14:textFill>
                  <w14:solidFill>
                    <w14:schemeClr w14:val="tx1"/>
                  </w14:solidFill>
                </w14:textFill>
              </w:rPr>
              <w:t>+10lg(Q/4</w:t>
            </w:r>
            <w:r>
              <w:rPr>
                <w:rFonts w:hint="default" w:ascii="Times New Roman" w:hAnsi="Times New Roman" w:cs="Times New Roman"/>
                <w:i/>
                <w:color w:val="000000" w:themeColor="text1"/>
                <w:sz w:val="24"/>
                <w:szCs w:val="24"/>
                <w:lang w:val="en-US" w:eastAsia="zh-CN"/>
                <w14:textFill>
                  <w14:solidFill>
                    <w14:schemeClr w14:val="tx1"/>
                  </w14:solidFill>
                </w14:textFill>
              </w:rPr>
              <w:t>π</w:t>
            </w:r>
            <w:r>
              <w:rPr>
                <w:rFonts w:hint="default" w:ascii="Times New Roman" w:hAnsi="Times New Roman" w:cs="Times New Roman"/>
                <w:i/>
                <w:color w:val="000000" w:themeColor="text1"/>
                <w:sz w:val="24"/>
                <w:szCs w:val="24"/>
                <w14:textFill>
                  <w14:solidFill>
                    <w14:schemeClr w14:val="tx1"/>
                  </w14:solidFill>
                </w14:textFill>
              </w:rPr>
              <w:t>r</w:t>
            </w:r>
            <w:r>
              <w:rPr>
                <w:rFonts w:hint="default" w:ascii="Times New Roman" w:hAnsi="Times New Roman" w:cs="Times New Roman"/>
                <w:i/>
                <w:color w:val="000000" w:themeColor="text1"/>
                <w:sz w:val="24"/>
                <w:szCs w:val="24"/>
                <w:vertAlign w:val="superscript"/>
                <w14:textFill>
                  <w14:solidFill>
                    <w14:schemeClr w14:val="tx1"/>
                  </w14:solidFill>
                </w14:textFill>
              </w:rPr>
              <w:t>2</w:t>
            </w:r>
            <w:r>
              <w:rPr>
                <w:rFonts w:hint="default" w:ascii="Times New Roman" w:hAnsi="Times New Roman" w:cs="Times New Roman"/>
                <w:i/>
                <w:color w:val="000000" w:themeColor="text1"/>
                <w:sz w:val="24"/>
                <w:szCs w:val="24"/>
                <w14:textFill>
                  <w14:solidFill>
                    <w14:schemeClr w14:val="tx1"/>
                  </w14:solidFill>
                </w14:textFill>
              </w:rPr>
              <w:t>+4/R)</w:t>
            </w:r>
          </w:p>
          <w:p w14:paraId="027812AE">
            <w:pPr>
              <w:pStyle w:val="57"/>
              <w:spacing w:line="480" w:lineRule="exact"/>
              <w:ind w:firstLine="512" w:firstLineChars="20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式中：L</w:t>
            </w:r>
            <w:r>
              <w:rPr>
                <w:rFonts w:hint="default" w:ascii="Times New Roman" w:hAnsi="Times New Roman" w:cs="Times New Roman"/>
                <w:color w:val="000000" w:themeColor="text1"/>
                <w:sz w:val="24"/>
                <w:szCs w:val="24"/>
                <w:vertAlign w:val="subscript"/>
                <w14:textFill>
                  <w14:solidFill>
                    <w14:schemeClr w14:val="tx1"/>
                  </w14:solidFill>
                </w14:textFill>
              </w:rPr>
              <w:t>p1</w:t>
            </w:r>
            <w:r>
              <w:rPr>
                <w:rFonts w:hint="default" w:ascii="Times New Roman" w:hAnsi="Times New Roman" w:cs="Times New Roman"/>
                <w:color w:val="000000" w:themeColor="text1"/>
                <w:sz w:val="24"/>
                <w:szCs w:val="24"/>
                <w14:textFill>
                  <w14:solidFill>
                    <w14:schemeClr w14:val="tx1"/>
                  </w14:solidFill>
                </w14:textFill>
              </w:rPr>
              <w:t>—靠近开口处（或窗户）室内某倍频带的声压级或A声级，dB；</w:t>
            </w:r>
          </w:p>
          <w:p w14:paraId="145D6BB3">
            <w:pPr>
              <w:pStyle w:val="57"/>
              <w:spacing w:line="480" w:lineRule="exact"/>
              <w:ind w:firstLine="512" w:firstLineChars="20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L</w:t>
            </w:r>
            <w:r>
              <w:rPr>
                <w:rFonts w:hint="default" w:ascii="Times New Roman" w:hAnsi="Times New Roman" w:cs="Times New Roman"/>
                <w:color w:val="000000" w:themeColor="text1"/>
                <w:sz w:val="24"/>
                <w:szCs w:val="24"/>
                <w:vertAlign w:val="subscript"/>
                <w14:textFill>
                  <w14:solidFill>
                    <w14:schemeClr w14:val="tx1"/>
                  </w14:solidFill>
                </w14:textFill>
              </w:rPr>
              <w:t>w</w:t>
            </w:r>
            <w:r>
              <w:rPr>
                <w:rFonts w:hint="default" w:ascii="Times New Roman" w:hAnsi="Times New Roman" w:cs="Times New Roman"/>
                <w:color w:val="000000" w:themeColor="text1"/>
                <w:sz w:val="24"/>
                <w:szCs w:val="24"/>
                <w14:textFill>
                  <w14:solidFill>
                    <w14:schemeClr w14:val="tx1"/>
                  </w14:solidFill>
                </w14:textFill>
              </w:rPr>
              <w:t>—点声源声功率级（A计权或倍频带），dB；</w:t>
            </w:r>
          </w:p>
          <w:p w14:paraId="6F47586F">
            <w:pPr>
              <w:pStyle w:val="57"/>
              <w:spacing w:line="480" w:lineRule="exact"/>
              <w:ind w:firstLine="512" w:firstLineChars="20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Q—指向性因数；</w:t>
            </w:r>
          </w:p>
          <w:p w14:paraId="7D3E1717">
            <w:pPr>
              <w:pStyle w:val="57"/>
              <w:spacing w:line="480" w:lineRule="exact"/>
              <w:ind w:firstLine="512" w:firstLineChars="20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R—房间常数；R</w:t>
            </w:r>
            <w:r>
              <w:rPr>
                <w:rFonts w:hint="eastAsia" w:ascii="Times New Roman" w:hAnsi="Times New Roman" w:cs="Times New Roman"/>
                <w:color w:val="000000" w:themeColor="text1"/>
                <w:sz w:val="24"/>
                <w:szCs w:val="24"/>
                <w:lang w:val="en-US" w:eastAsia="zh-CN"/>
                <w14:textFill>
                  <w14:solidFill>
                    <w14:schemeClr w14:val="tx1"/>
                  </w14:solidFill>
                </w14:textFill>
              </w:rPr>
              <w:t>=S</w:t>
            </w:r>
            <w:r>
              <w:rPr>
                <w:rFonts w:hint="default" w:ascii="Times New Roman" w:hAnsi="Times New Roman" w:cs="Times New Roman"/>
                <w:color w:val="000000" w:themeColor="text1"/>
                <w:sz w:val="24"/>
                <w:szCs w:val="24"/>
                <w:lang w:val="en-US" w:eastAsia="zh-CN"/>
                <w14:textFill>
                  <w14:solidFill>
                    <w14:schemeClr w14:val="tx1"/>
                  </w14:solidFill>
                </w14:textFill>
              </w:rPr>
              <w:t>α</w:t>
            </w:r>
            <w:r>
              <w:rPr>
                <w:rFonts w:hint="default" w:ascii="Times New Roman" w:hAnsi="Times New Roman" w:cs="Times New Roman"/>
                <w:i/>
                <w:color w:val="000000" w:themeColor="text1"/>
                <w:sz w:val="24"/>
                <w:szCs w:val="24"/>
                <w14:textFill>
                  <w14:solidFill>
                    <w14:schemeClr w14:val="tx1"/>
                  </w14:solidFill>
                </w14:textFill>
              </w:rPr>
              <w:t>/</w:t>
            </w:r>
            <w:r>
              <w:rPr>
                <w:rFonts w:hint="eastAsia" w:ascii="Times New Roman" w:hAnsi="Times New Roman" w:cs="Times New Roman"/>
                <w:i/>
                <w:color w:val="000000" w:themeColor="text1"/>
                <w:sz w:val="24"/>
                <w:szCs w:val="24"/>
                <w:lang w:eastAsia="zh-CN"/>
                <w14:textFill>
                  <w14:solidFill>
                    <w14:schemeClr w14:val="tx1"/>
                  </w14:solidFill>
                </w14:textFill>
              </w:rPr>
              <w:t>（</w:t>
            </w:r>
            <w:r>
              <w:rPr>
                <w:rFonts w:hint="eastAsia" w:ascii="Times New Roman" w:hAnsi="Times New Roman" w:cs="Times New Roman"/>
                <w:i/>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lang w:val="en-US" w:eastAsia="zh-CN"/>
                <w14:textFill>
                  <w14:solidFill>
                    <w14:schemeClr w14:val="tx1"/>
                  </w14:solidFill>
                </w14:textFill>
              </w:rPr>
              <w:t>α</w:t>
            </w:r>
            <w:r>
              <w:rPr>
                <w:rFonts w:hint="eastAsia" w:ascii="Times New Roman" w:hAnsi="Times New Roman" w:cs="Times New Roman"/>
                <w:i/>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，S为房间内表面面积，m</w:t>
            </w:r>
            <w:r>
              <w:rPr>
                <w:rFonts w:hint="default" w:ascii="Times New Roman" w:hAnsi="Times New Roman" w:cs="Times New Roman"/>
                <w:color w:val="000000" w:themeColor="text1"/>
                <w:sz w:val="24"/>
                <w:szCs w:val="24"/>
                <w:vertAlign w:val="super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；α为平均吸声系数；</w:t>
            </w:r>
          </w:p>
          <w:p w14:paraId="2DF9AC90">
            <w:pPr>
              <w:pStyle w:val="57"/>
              <w:spacing w:line="480" w:lineRule="exact"/>
              <w:ind w:firstLine="512" w:firstLineChars="20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r—声源到靠近围护结构某点处的距离，m。</w:t>
            </w:r>
          </w:p>
          <w:p w14:paraId="007E7B8B">
            <w:pPr>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left="0"/>
              <w:textAlignment w:val="auto"/>
              <w:rPr>
                <w:color w:val="000000"/>
                <w:spacing w:val="5"/>
                <w:sz w:val="24"/>
                <w:szCs w:val="24"/>
              </w:rPr>
            </w:pPr>
            <w:r>
              <w:rPr>
                <w:rFonts w:hint="eastAsia"/>
                <w:color w:val="000000"/>
                <w:spacing w:val="5"/>
                <w:sz w:val="24"/>
                <w:szCs w:val="24"/>
                <w:lang w:val="en-US" w:eastAsia="zh-CN"/>
              </w:rPr>
              <w:t xml:space="preserve">    b</w:t>
            </w:r>
            <w:r>
              <w:rPr>
                <w:color w:val="000000"/>
                <w:spacing w:val="5"/>
                <w:sz w:val="24"/>
                <w:szCs w:val="24"/>
              </w:rPr>
              <w:t>计算出所有室内声源在靠近围护结构处产生的</w:t>
            </w:r>
            <w:r>
              <w:rPr>
                <w:rFonts w:hint="eastAsia"/>
                <w:color w:val="000000"/>
                <w:sz w:val="24"/>
                <w:szCs w:val="24"/>
                <w:lang w:val="en-US" w:eastAsia="zh-CN"/>
              </w:rPr>
              <w:t>i</w:t>
            </w:r>
            <w:r>
              <w:rPr>
                <w:color w:val="000000"/>
                <w:spacing w:val="5"/>
                <w:sz w:val="24"/>
                <w:szCs w:val="24"/>
              </w:rPr>
              <w:t>倍频带叠加声压级：</w:t>
            </w:r>
          </w:p>
          <w:p w14:paraId="5FCBEBF0">
            <w:pPr>
              <w:keepNext w:val="0"/>
              <w:keepLines w:val="0"/>
              <w:pageBreakBefore w:val="0"/>
              <w:widowControl w:val="0"/>
              <w:kinsoku/>
              <w:wordWrap/>
              <w:overflowPunct/>
              <w:topLinePunct w:val="0"/>
              <w:autoSpaceDE/>
              <w:autoSpaceDN/>
              <w:bidi w:val="0"/>
              <w:adjustRightInd w:val="0"/>
              <w:snapToGrid w:val="0"/>
              <w:spacing w:line="500" w:lineRule="exact"/>
              <w:ind w:left="0" w:firstLine="480" w:firstLineChars="200"/>
              <w:jc w:val="center"/>
              <w:textAlignment w:val="auto"/>
              <w:rPr>
                <w:color w:val="000000"/>
                <w:spacing w:val="5"/>
                <w:sz w:val="24"/>
                <w:szCs w:val="24"/>
              </w:rPr>
            </w:pPr>
            <w:r>
              <w:rPr>
                <w:color w:val="000000"/>
                <w:sz w:val="24"/>
                <w:szCs w:val="24"/>
              </w:rPr>
              <w:drawing>
                <wp:anchor distT="0" distB="0" distL="114300" distR="114300" simplePos="0" relativeHeight="251668480" behindDoc="1" locked="0" layoutInCell="1" allowOverlap="1">
                  <wp:simplePos x="0" y="0"/>
                  <wp:positionH relativeFrom="column">
                    <wp:posOffset>1544320</wp:posOffset>
                  </wp:positionH>
                  <wp:positionV relativeFrom="paragraph">
                    <wp:posOffset>-7870825</wp:posOffset>
                  </wp:positionV>
                  <wp:extent cx="1714500" cy="504825"/>
                  <wp:effectExtent l="0" t="0" r="0" b="9525"/>
                  <wp:wrapTight wrapText="bothSides">
                    <wp:wrapPolygon>
                      <wp:start x="0" y="0"/>
                      <wp:lineTo x="0" y="20486"/>
                      <wp:lineTo x="21360" y="20486"/>
                      <wp:lineTo x="21360" y="0"/>
                      <wp:lineTo x="0" y="0"/>
                    </wp:wrapPolygon>
                  </wp:wrapTight>
                  <wp:docPr id="18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20"/>
                          <pic:cNvPicPr>
                            <a:picLocks noChangeAspect="1"/>
                          </pic:cNvPicPr>
                        </pic:nvPicPr>
                        <pic:blipFill>
                          <a:blip r:embed="rId9"/>
                          <a:stretch>
                            <a:fillRect/>
                          </a:stretch>
                        </pic:blipFill>
                        <pic:spPr>
                          <a:xfrm>
                            <a:off x="0" y="0"/>
                            <a:ext cx="1714500" cy="504825"/>
                          </a:xfrm>
                          <a:prstGeom prst="rect">
                            <a:avLst/>
                          </a:prstGeom>
                          <a:noFill/>
                          <a:ln>
                            <a:noFill/>
                          </a:ln>
                        </pic:spPr>
                      </pic:pic>
                    </a:graphicData>
                  </a:graphic>
                </wp:anchor>
              </w:drawing>
            </w:r>
          </w:p>
          <w:p w14:paraId="20C72982">
            <w:pPr>
              <w:keepNext w:val="0"/>
              <w:keepLines w:val="0"/>
              <w:pageBreakBefore w:val="0"/>
              <w:widowControl w:val="0"/>
              <w:kinsoku/>
              <w:wordWrap/>
              <w:overflowPunct/>
              <w:topLinePunct w:val="0"/>
              <w:autoSpaceDE/>
              <w:autoSpaceDN/>
              <w:bidi w:val="0"/>
              <w:adjustRightInd w:val="0"/>
              <w:snapToGrid w:val="0"/>
              <w:spacing w:line="500" w:lineRule="exact"/>
              <w:ind w:left="0" w:firstLine="500" w:firstLineChars="200"/>
              <w:textAlignment w:val="auto"/>
              <w:rPr>
                <w:color w:val="000000"/>
                <w:spacing w:val="5"/>
                <w:sz w:val="24"/>
                <w:szCs w:val="24"/>
              </w:rPr>
            </w:pPr>
          </w:p>
          <w:p w14:paraId="42B84955">
            <w:pPr>
              <w:keepNext w:val="0"/>
              <w:keepLines w:val="0"/>
              <w:pageBreakBefore w:val="0"/>
              <w:widowControl w:val="0"/>
              <w:kinsoku/>
              <w:wordWrap/>
              <w:overflowPunct/>
              <w:topLinePunct w:val="0"/>
              <w:autoSpaceDE/>
              <w:autoSpaceDN/>
              <w:bidi w:val="0"/>
              <w:adjustRightInd w:val="0"/>
              <w:snapToGrid w:val="0"/>
              <w:spacing w:line="500" w:lineRule="exact"/>
              <w:ind w:left="0" w:firstLine="480" w:firstLineChars="200"/>
              <w:textAlignment w:val="auto"/>
              <w:rPr>
                <w:color w:val="000000"/>
                <w:spacing w:val="5"/>
                <w:sz w:val="24"/>
                <w:szCs w:val="24"/>
              </w:rPr>
            </w:pPr>
            <w:r>
              <w:rPr>
                <w:color w:val="000000"/>
                <w:sz w:val="24"/>
                <w:szCs w:val="24"/>
              </w:rPr>
              <w:drawing>
                <wp:anchor distT="0" distB="0" distL="114300" distR="114300" simplePos="0" relativeHeight="251669504" behindDoc="1" locked="0" layoutInCell="1" allowOverlap="1">
                  <wp:simplePos x="0" y="0"/>
                  <wp:positionH relativeFrom="column">
                    <wp:posOffset>860425</wp:posOffset>
                  </wp:positionH>
                  <wp:positionV relativeFrom="paragraph">
                    <wp:posOffset>73025</wp:posOffset>
                  </wp:positionV>
                  <wp:extent cx="457200" cy="238125"/>
                  <wp:effectExtent l="0" t="0" r="0" b="9525"/>
                  <wp:wrapTight wrapText="bothSides">
                    <wp:wrapPolygon>
                      <wp:start x="0" y="0"/>
                      <wp:lineTo x="0" y="20045"/>
                      <wp:lineTo x="20700" y="20045"/>
                      <wp:lineTo x="20700" y="0"/>
                      <wp:lineTo x="0" y="0"/>
                    </wp:wrapPolygon>
                  </wp:wrapTight>
                  <wp:docPr id="20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21"/>
                          <pic:cNvPicPr>
                            <a:picLocks noChangeAspect="1"/>
                          </pic:cNvPicPr>
                        </pic:nvPicPr>
                        <pic:blipFill>
                          <a:blip r:embed="rId10"/>
                          <a:stretch>
                            <a:fillRect/>
                          </a:stretch>
                        </pic:blipFill>
                        <pic:spPr>
                          <a:xfrm>
                            <a:off x="0" y="0"/>
                            <a:ext cx="457200" cy="238125"/>
                          </a:xfrm>
                          <a:prstGeom prst="rect">
                            <a:avLst/>
                          </a:prstGeom>
                          <a:noFill/>
                          <a:ln>
                            <a:noFill/>
                          </a:ln>
                        </pic:spPr>
                      </pic:pic>
                    </a:graphicData>
                  </a:graphic>
                </wp:anchor>
              </w:drawing>
            </w:r>
            <w:r>
              <w:rPr>
                <w:color w:val="000000"/>
                <w:spacing w:val="5"/>
                <w:sz w:val="24"/>
                <w:szCs w:val="24"/>
              </w:rPr>
              <w:t>式中：——靠近围护结构处室内N个声源</w:t>
            </w:r>
            <w:r>
              <w:rPr>
                <w:rFonts w:hint="eastAsia"/>
                <w:color w:val="000000"/>
                <w:spacing w:val="5"/>
                <w:sz w:val="24"/>
                <w:szCs w:val="24"/>
                <w:lang w:val="en-US" w:eastAsia="zh-CN"/>
              </w:rPr>
              <w:t>i</w:t>
            </w:r>
            <w:r>
              <w:rPr>
                <w:color w:val="000000"/>
                <w:spacing w:val="5"/>
                <w:sz w:val="24"/>
                <w:szCs w:val="24"/>
              </w:rPr>
              <w:t>倍频带的叠加声压级，dB；</w:t>
            </w:r>
          </w:p>
          <w:p w14:paraId="49325A7A">
            <w:pPr>
              <w:keepNext w:val="0"/>
              <w:keepLines w:val="0"/>
              <w:pageBreakBefore w:val="0"/>
              <w:widowControl w:val="0"/>
              <w:kinsoku/>
              <w:wordWrap/>
              <w:overflowPunct/>
              <w:topLinePunct w:val="0"/>
              <w:autoSpaceDE/>
              <w:autoSpaceDN/>
              <w:bidi w:val="0"/>
              <w:adjustRightInd w:val="0"/>
              <w:snapToGrid w:val="0"/>
              <w:spacing w:line="500" w:lineRule="exact"/>
              <w:ind w:left="0" w:firstLine="1185" w:firstLineChars="494"/>
              <w:textAlignment w:val="auto"/>
              <w:rPr>
                <w:color w:val="000000"/>
                <w:spacing w:val="5"/>
                <w:sz w:val="24"/>
                <w:szCs w:val="24"/>
              </w:rPr>
            </w:pPr>
            <w:r>
              <w:rPr>
                <w:color w:val="000000"/>
                <w:sz w:val="24"/>
                <w:szCs w:val="24"/>
              </w:rPr>
              <w:fldChar w:fldCharType="begin"/>
            </w:r>
            <w:r>
              <w:rPr>
                <w:color w:val="000000"/>
                <w:sz w:val="24"/>
                <w:szCs w:val="24"/>
              </w:rPr>
              <w:instrText xml:space="preserve"> INCLUDEPICTURE "C:\\Users\\环评三部\\AppData\\Local\\Temp\\ksohtml9380\\wps25.jpg" \* MERGEFORMATINET </w:instrText>
            </w:r>
            <w:r>
              <w:rPr>
                <w:color w:val="000000"/>
                <w:sz w:val="24"/>
                <w:szCs w:val="24"/>
              </w:rPr>
              <w:fldChar w:fldCharType="separate"/>
            </w:r>
            <w:r>
              <w:rPr>
                <w:color w:val="000000"/>
                <w:sz w:val="24"/>
                <w:szCs w:val="24"/>
              </w:rPr>
              <w:drawing>
                <wp:inline distT="0" distB="0" distL="114300" distR="114300">
                  <wp:extent cx="285750" cy="238125"/>
                  <wp:effectExtent l="0" t="0" r="0" b="9525"/>
                  <wp:docPr id="21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图片 23"/>
                          <pic:cNvPicPr>
                            <a:picLocks noChangeAspect="1"/>
                          </pic:cNvPicPr>
                        </pic:nvPicPr>
                        <pic:blipFill>
                          <a:blip r:embed="rId11"/>
                          <a:stretch>
                            <a:fillRect/>
                          </a:stretch>
                        </pic:blipFill>
                        <pic:spPr>
                          <a:xfrm>
                            <a:off x="0" y="0"/>
                            <a:ext cx="285750" cy="238125"/>
                          </a:xfrm>
                          <a:prstGeom prst="rect">
                            <a:avLst/>
                          </a:prstGeom>
                          <a:noFill/>
                          <a:ln>
                            <a:noFill/>
                          </a:ln>
                        </pic:spPr>
                      </pic:pic>
                    </a:graphicData>
                  </a:graphic>
                </wp:inline>
              </w:drawing>
            </w:r>
            <w:r>
              <w:rPr>
                <w:color w:val="000000"/>
                <w:sz w:val="24"/>
                <w:szCs w:val="24"/>
              </w:rPr>
              <w:fldChar w:fldCharType="end"/>
            </w:r>
            <w:r>
              <w:rPr>
                <w:color w:val="000000"/>
                <w:spacing w:val="5"/>
                <w:sz w:val="24"/>
                <w:szCs w:val="24"/>
              </w:rPr>
              <w:t>——室内</w:t>
            </w:r>
            <w:r>
              <w:rPr>
                <w:rFonts w:hint="eastAsia"/>
                <w:color w:val="000000"/>
                <w:spacing w:val="5"/>
                <w:sz w:val="24"/>
                <w:szCs w:val="24"/>
                <w:lang w:val="en-US" w:eastAsia="zh-CN"/>
              </w:rPr>
              <w:t>j</w:t>
            </w:r>
            <w:r>
              <w:rPr>
                <w:color w:val="000000"/>
                <w:spacing w:val="5"/>
                <w:sz w:val="24"/>
                <w:szCs w:val="24"/>
              </w:rPr>
              <w:t>声源</w:t>
            </w:r>
            <w:r>
              <w:rPr>
                <w:rFonts w:hint="eastAsia"/>
                <w:color w:val="000000"/>
                <w:spacing w:val="5"/>
                <w:sz w:val="24"/>
                <w:szCs w:val="24"/>
                <w:lang w:val="en-US" w:eastAsia="zh-CN"/>
              </w:rPr>
              <w:t>i</w:t>
            </w:r>
            <w:r>
              <w:rPr>
                <w:color w:val="000000"/>
                <w:spacing w:val="5"/>
                <w:sz w:val="24"/>
                <w:szCs w:val="24"/>
              </w:rPr>
              <w:t>倍频带的声压级，dB；</w:t>
            </w:r>
          </w:p>
          <w:p w14:paraId="70EBB3FD">
            <w:pPr>
              <w:keepNext w:val="0"/>
              <w:keepLines w:val="0"/>
              <w:pageBreakBefore w:val="0"/>
              <w:widowControl w:val="0"/>
              <w:kinsoku/>
              <w:wordWrap/>
              <w:overflowPunct/>
              <w:topLinePunct w:val="0"/>
              <w:autoSpaceDE/>
              <w:autoSpaceDN/>
              <w:bidi w:val="0"/>
              <w:adjustRightInd w:val="0"/>
              <w:snapToGrid w:val="0"/>
              <w:spacing w:line="500" w:lineRule="exact"/>
              <w:ind w:left="0" w:firstLine="1235" w:firstLineChars="494"/>
              <w:textAlignment w:val="auto"/>
              <w:rPr>
                <w:color w:val="000000"/>
                <w:spacing w:val="5"/>
                <w:sz w:val="24"/>
                <w:szCs w:val="24"/>
              </w:rPr>
            </w:pPr>
            <w:r>
              <w:rPr>
                <w:rFonts w:hint="eastAsia"/>
                <w:color w:val="000000"/>
                <w:spacing w:val="5"/>
                <w:sz w:val="24"/>
                <w:szCs w:val="24"/>
                <w:lang w:val="en-US" w:eastAsia="zh-CN"/>
              </w:rPr>
              <w:t>N</w:t>
            </w:r>
            <w:r>
              <w:rPr>
                <w:color w:val="000000"/>
                <w:spacing w:val="5"/>
                <w:sz w:val="24"/>
                <w:szCs w:val="24"/>
              </w:rPr>
              <w:t>——室内声源总数。</w:t>
            </w:r>
          </w:p>
          <w:p w14:paraId="1CEB07FF">
            <w:pPr>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left="0"/>
              <w:textAlignment w:val="auto"/>
              <w:rPr>
                <w:color w:val="000000"/>
                <w:spacing w:val="5"/>
                <w:sz w:val="24"/>
                <w:szCs w:val="24"/>
              </w:rPr>
            </w:pPr>
            <w:r>
              <w:rPr>
                <w:rFonts w:hint="eastAsia"/>
                <w:color w:val="000000"/>
                <w:spacing w:val="5"/>
                <w:sz w:val="24"/>
                <w:szCs w:val="24"/>
                <w:lang w:val="en-US" w:eastAsia="zh-CN"/>
              </w:rPr>
              <w:t xml:space="preserve">    c</w:t>
            </w:r>
            <w:r>
              <w:rPr>
                <w:color w:val="000000"/>
                <w:spacing w:val="5"/>
                <w:sz w:val="24"/>
                <w:szCs w:val="24"/>
              </w:rPr>
              <w:t>计算出室外靠近围护结构处的声压级：</w:t>
            </w:r>
          </w:p>
          <w:p w14:paraId="7216DD3A">
            <w:pPr>
              <w:pStyle w:val="57"/>
              <w:spacing w:line="480" w:lineRule="exact"/>
              <w:ind w:firstLine="512"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
                <w:color w:val="000000" w:themeColor="text1"/>
                <w:sz w:val="24"/>
                <w:szCs w:val="24"/>
                <w14:textFill>
                  <w14:solidFill>
                    <w14:schemeClr w14:val="tx1"/>
                  </w14:solidFill>
                </w14:textFill>
              </w:rPr>
              <w:t>L</w:t>
            </w:r>
            <w:r>
              <w:rPr>
                <w:rFonts w:hint="default" w:ascii="Times New Roman" w:hAnsi="Times New Roman" w:cs="Times New Roman"/>
                <w:i/>
                <w:color w:val="000000" w:themeColor="text1"/>
                <w:sz w:val="24"/>
                <w:szCs w:val="24"/>
                <w:vertAlign w:val="subscript"/>
                <w14:textFill>
                  <w14:solidFill>
                    <w14:schemeClr w14:val="tx1"/>
                  </w14:solidFill>
                </w14:textFill>
              </w:rPr>
              <w:t>p2</w:t>
            </w:r>
            <w:r>
              <w:rPr>
                <w:rFonts w:hint="eastAsia" w:ascii="Times New Roman" w:hAnsi="Times New Roman" w:cs="Times New Roman"/>
                <w:i/>
                <w:color w:val="000000" w:themeColor="text1"/>
                <w:sz w:val="24"/>
                <w:szCs w:val="24"/>
                <w:vertAlign w:val="subscript"/>
                <w:lang w:val="en-US" w:eastAsia="zh-CN"/>
                <w14:textFill>
                  <w14:solidFill>
                    <w14:schemeClr w14:val="tx1"/>
                  </w14:solidFill>
                </w14:textFill>
              </w:rPr>
              <w:t>i</w:t>
            </w:r>
            <w:r>
              <w:rPr>
                <w:rFonts w:hint="eastAsia" w:ascii="Times New Roman" w:hAnsi="Times New Roman" w:cs="Times New Roman"/>
                <w:i/>
                <w:color w:val="000000" w:themeColor="text1"/>
                <w:sz w:val="24"/>
                <w:szCs w:val="24"/>
                <w:vertAlign w:val="baseline"/>
                <w:lang w:val="en-US" w:eastAsia="zh-CN"/>
                <w14:textFill>
                  <w14:solidFill>
                    <w14:schemeClr w14:val="tx1"/>
                  </w14:solidFill>
                </w14:textFill>
              </w:rPr>
              <w:t>（T）</w:t>
            </w:r>
            <w:r>
              <w:rPr>
                <w:rFonts w:hint="default" w:ascii="Times New Roman" w:hAnsi="Times New Roman" w:cs="Times New Roman"/>
                <w:i/>
                <w:color w:val="000000" w:themeColor="text1"/>
                <w:sz w:val="24"/>
                <w:szCs w:val="24"/>
                <w14:textFill>
                  <w14:solidFill>
                    <w14:schemeClr w14:val="tx1"/>
                  </w14:solidFill>
                </w14:textFill>
              </w:rPr>
              <w:t>=L</w:t>
            </w:r>
            <w:r>
              <w:rPr>
                <w:rFonts w:hint="default" w:ascii="Times New Roman" w:hAnsi="Times New Roman" w:cs="Times New Roman"/>
                <w:i/>
                <w:color w:val="000000" w:themeColor="text1"/>
                <w:sz w:val="24"/>
                <w:szCs w:val="24"/>
                <w:vertAlign w:val="subscript"/>
                <w14:textFill>
                  <w14:solidFill>
                    <w14:schemeClr w14:val="tx1"/>
                  </w14:solidFill>
                </w14:textFill>
              </w:rPr>
              <w:t>p1</w:t>
            </w:r>
            <w:r>
              <w:rPr>
                <w:rFonts w:hint="eastAsia" w:ascii="Times New Roman" w:hAnsi="Times New Roman" w:cs="Times New Roman"/>
                <w:i/>
                <w:color w:val="000000" w:themeColor="text1"/>
                <w:sz w:val="24"/>
                <w:szCs w:val="24"/>
                <w:vertAlign w:val="subscript"/>
                <w:lang w:val="en-US" w:eastAsia="zh-CN"/>
                <w14:textFill>
                  <w14:solidFill>
                    <w14:schemeClr w14:val="tx1"/>
                  </w14:solidFill>
                </w14:textFill>
              </w:rPr>
              <w:t>i</w:t>
            </w:r>
            <w:r>
              <w:rPr>
                <w:rFonts w:hint="eastAsia" w:ascii="Times New Roman" w:hAnsi="Times New Roman" w:cs="Times New Roman"/>
                <w:i/>
                <w:color w:val="000000" w:themeColor="text1"/>
                <w:sz w:val="24"/>
                <w:szCs w:val="24"/>
                <w:vertAlign w:val="baseline"/>
                <w:lang w:val="en-US" w:eastAsia="zh-CN"/>
                <w14:textFill>
                  <w14:solidFill>
                    <w14:schemeClr w14:val="tx1"/>
                  </w14:solidFill>
                </w14:textFill>
              </w:rPr>
              <w:t>（T）</w:t>
            </w:r>
            <w:r>
              <w:rPr>
                <w:rFonts w:hint="default" w:ascii="Times New Roman" w:hAnsi="Times New Roman" w:cs="Times New Roman"/>
                <w:i/>
                <w:color w:val="000000" w:themeColor="text1"/>
                <w:sz w:val="24"/>
                <w:szCs w:val="24"/>
                <w14:textFill>
                  <w14:solidFill>
                    <w14:schemeClr w14:val="tx1"/>
                  </w14:solidFill>
                </w14:textFill>
              </w:rPr>
              <w:t>-(TL</w:t>
            </w:r>
            <w:r>
              <w:rPr>
                <w:rFonts w:hint="eastAsia" w:ascii="Times New Roman" w:hAnsi="Times New Roman" w:cs="Times New Roman"/>
                <w:i/>
                <w:color w:val="000000" w:themeColor="text1"/>
                <w:sz w:val="24"/>
                <w:szCs w:val="24"/>
                <w:vertAlign w:val="subscript"/>
                <w:lang w:val="en-US" w:eastAsia="zh-CN"/>
                <w14:textFill>
                  <w14:solidFill>
                    <w14:schemeClr w14:val="tx1"/>
                  </w14:solidFill>
                </w14:textFill>
              </w:rPr>
              <w:t>i</w:t>
            </w:r>
            <w:r>
              <w:rPr>
                <w:rFonts w:hint="default" w:ascii="Times New Roman" w:hAnsi="Times New Roman" w:cs="Times New Roman"/>
                <w:i/>
                <w:color w:val="000000" w:themeColor="text1"/>
                <w:sz w:val="24"/>
                <w:szCs w:val="24"/>
                <w14:textFill>
                  <w14:solidFill>
                    <w14:schemeClr w14:val="tx1"/>
                  </w14:solidFill>
                </w14:textFill>
              </w:rPr>
              <w:t>+6)</w:t>
            </w:r>
          </w:p>
          <w:p w14:paraId="24EDB953">
            <w:pPr>
              <w:pStyle w:val="57"/>
              <w:spacing w:line="480" w:lineRule="exact"/>
              <w:ind w:firstLine="512" w:firstLineChars="20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式中：</w:t>
            </w:r>
            <w:r>
              <w:rPr>
                <w:rFonts w:hint="default" w:ascii="Times New Roman" w:hAnsi="Times New Roman" w:cs="Times New Roman"/>
                <w:i/>
                <w:color w:val="000000" w:themeColor="text1"/>
                <w:sz w:val="24"/>
                <w:szCs w:val="24"/>
                <w14:textFill>
                  <w14:solidFill>
                    <w14:schemeClr w14:val="tx1"/>
                  </w14:solidFill>
                </w14:textFill>
              </w:rPr>
              <w:t>L</w:t>
            </w:r>
            <w:r>
              <w:rPr>
                <w:rFonts w:hint="default" w:ascii="Times New Roman" w:hAnsi="Times New Roman" w:cs="Times New Roman"/>
                <w:i/>
                <w:color w:val="000000" w:themeColor="text1"/>
                <w:sz w:val="24"/>
                <w:szCs w:val="24"/>
                <w:vertAlign w:val="subscript"/>
                <w14:textFill>
                  <w14:solidFill>
                    <w14:schemeClr w14:val="tx1"/>
                  </w14:solidFill>
                </w14:textFill>
              </w:rPr>
              <w:t>p2</w:t>
            </w:r>
            <w:r>
              <w:rPr>
                <w:rFonts w:hint="eastAsia" w:ascii="Times New Roman" w:hAnsi="Times New Roman" w:cs="Times New Roman"/>
                <w:i/>
                <w:color w:val="000000" w:themeColor="text1"/>
                <w:sz w:val="24"/>
                <w:szCs w:val="24"/>
                <w:vertAlign w:val="subscript"/>
                <w:lang w:val="en-US" w:eastAsia="zh-CN"/>
                <w14:textFill>
                  <w14:solidFill>
                    <w14:schemeClr w14:val="tx1"/>
                  </w14:solidFill>
                </w14:textFill>
              </w:rPr>
              <w:t>i</w:t>
            </w:r>
            <w:r>
              <w:rPr>
                <w:rFonts w:hint="eastAsia" w:ascii="Times New Roman" w:hAnsi="Times New Roman" w:cs="Times New Roman"/>
                <w:i/>
                <w:color w:val="000000" w:themeColor="text1"/>
                <w:sz w:val="24"/>
                <w:szCs w:val="24"/>
                <w:vertAlign w:val="baseline"/>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—靠近围护结构处室外N个声源i倍频带的叠加声压级，dB；</w:t>
            </w:r>
          </w:p>
          <w:p w14:paraId="0EE37B08">
            <w:pPr>
              <w:pStyle w:val="57"/>
              <w:spacing w:line="480" w:lineRule="exact"/>
              <w:ind w:firstLine="512" w:firstLineChars="20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
                <w:color w:val="000000" w:themeColor="text1"/>
                <w:sz w:val="24"/>
                <w:szCs w:val="24"/>
                <w14:textFill>
                  <w14:solidFill>
                    <w14:schemeClr w14:val="tx1"/>
                  </w14:solidFill>
                </w14:textFill>
              </w:rPr>
              <w:t>TL</w:t>
            </w:r>
            <w:r>
              <w:rPr>
                <w:rFonts w:hint="eastAsia" w:ascii="Times New Roman" w:hAnsi="Times New Roman" w:cs="Times New Roman"/>
                <w:i/>
                <w:color w:val="000000" w:themeColor="text1"/>
                <w:sz w:val="24"/>
                <w:szCs w:val="24"/>
                <w:vertAlign w:val="subscript"/>
                <w:lang w:val="en-US" w:eastAsia="zh-CN"/>
                <w14:textFill>
                  <w14:solidFill>
                    <w14:schemeClr w14:val="tx1"/>
                  </w14:solidFill>
                </w14:textFill>
              </w:rPr>
              <w:t>i</w:t>
            </w:r>
            <w:r>
              <w:rPr>
                <w:rFonts w:hint="default" w:ascii="Times New Roman" w:hAnsi="Times New Roman" w:cs="Times New Roman"/>
                <w:color w:val="000000" w:themeColor="text1"/>
                <w:sz w:val="24"/>
                <w:szCs w:val="24"/>
                <w14:textFill>
                  <w14:solidFill>
                    <w14:schemeClr w14:val="tx1"/>
                  </w14:solidFill>
                </w14:textFill>
              </w:rPr>
              <w:t>—围护结构i倍频带的隔声量，dB。</w:t>
            </w:r>
          </w:p>
          <w:p w14:paraId="0420895A">
            <w:pPr>
              <w:keepNext w:val="0"/>
              <w:keepLines w:val="0"/>
              <w:pageBreakBefore w:val="0"/>
              <w:widowControl w:val="0"/>
              <w:kinsoku/>
              <w:wordWrap/>
              <w:overflowPunct/>
              <w:topLinePunct w:val="0"/>
              <w:autoSpaceDE/>
              <w:autoSpaceDN/>
              <w:bidi w:val="0"/>
              <w:adjustRightInd w:val="0"/>
              <w:snapToGrid w:val="0"/>
              <w:spacing w:line="500" w:lineRule="exact"/>
              <w:ind w:left="0" w:firstLine="500" w:firstLineChars="200"/>
              <w:textAlignment w:val="auto"/>
              <w:rPr>
                <w:color w:val="000000"/>
                <w:spacing w:val="5"/>
                <w:sz w:val="24"/>
                <w:szCs w:val="24"/>
              </w:rPr>
            </w:pPr>
            <w:r>
              <w:rPr>
                <w:rFonts w:hint="eastAsia"/>
                <w:color w:val="000000"/>
                <w:spacing w:val="5"/>
                <w:sz w:val="24"/>
                <w:szCs w:val="24"/>
                <w:lang w:val="en-US" w:eastAsia="zh-CN"/>
              </w:rPr>
              <w:t>d</w:t>
            </w:r>
            <w:r>
              <w:rPr>
                <w:color w:val="000000"/>
                <w:spacing w:val="5"/>
                <w:sz w:val="24"/>
                <w:szCs w:val="24"/>
              </w:rPr>
              <w:t>将室外声源的声压级和透过面积换算成等效的室外声源，计算出中心位置位于透声面积(S)处的等效声源的倍频带声功率级。</w:t>
            </w:r>
          </w:p>
          <w:p w14:paraId="0B4B3302">
            <w:pPr>
              <w:keepNext w:val="0"/>
              <w:keepLines w:val="0"/>
              <w:pageBreakBefore w:val="0"/>
              <w:widowControl w:val="0"/>
              <w:kinsoku/>
              <w:wordWrap/>
              <w:overflowPunct/>
              <w:topLinePunct w:val="0"/>
              <w:autoSpaceDE/>
              <w:autoSpaceDN/>
              <w:bidi w:val="0"/>
              <w:adjustRightInd w:val="0"/>
              <w:snapToGrid w:val="0"/>
              <w:spacing w:line="500" w:lineRule="exact"/>
              <w:ind w:left="0"/>
              <w:jc w:val="center"/>
              <w:textAlignment w:val="auto"/>
              <w:rPr>
                <w:color w:val="000000"/>
                <w:spacing w:val="5"/>
                <w:sz w:val="24"/>
                <w:szCs w:val="24"/>
              </w:rPr>
            </w:pPr>
            <w:r>
              <w:rPr>
                <w:color w:val="000000"/>
                <w:sz w:val="24"/>
                <w:szCs w:val="24"/>
              </w:rPr>
              <w:drawing>
                <wp:anchor distT="0" distB="0" distL="114300" distR="114300" simplePos="0" relativeHeight="251670528" behindDoc="1" locked="0" layoutInCell="1" allowOverlap="1">
                  <wp:simplePos x="0" y="0"/>
                  <wp:positionH relativeFrom="column">
                    <wp:posOffset>1487170</wp:posOffset>
                  </wp:positionH>
                  <wp:positionV relativeFrom="paragraph">
                    <wp:posOffset>25400</wp:posOffset>
                  </wp:positionV>
                  <wp:extent cx="1685925" cy="285750"/>
                  <wp:effectExtent l="0" t="0" r="9525" b="0"/>
                  <wp:wrapTight wrapText="bothSides">
                    <wp:wrapPolygon>
                      <wp:start x="0" y="0"/>
                      <wp:lineTo x="0" y="20160"/>
                      <wp:lineTo x="21478" y="20160"/>
                      <wp:lineTo x="21478" y="0"/>
                      <wp:lineTo x="0" y="0"/>
                    </wp:wrapPolygon>
                  </wp:wrapTight>
                  <wp:docPr id="199"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32"/>
                          <pic:cNvPicPr>
                            <a:picLocks noChangeAspect="1"/>
                          </pic:cNvPicPr>
                        </pic:nvPicPr>
                        <pic:blipFill>
                          <a:blip r:embed="rId12"/>
                          <a:stretch>
                            <a:fillRect/>
                          </a:stretch>
                        </pic:blipFill>
                        <pic:spPr>
                          <a:xfrm>
                            <a:off x="0" y="0"/>
                            <a:ext cx="1685925" cy="285750"/>
                          </a:xfrm>
                          <a:prstGeom prst="rect">
                            <a:avLst/>
                          </a:prstGeom>
                          <a:noFill/>
                          <a:ln>
                            <a:noFill/>
                          </a:ln>
                        </pic:spPr>
                      </pic:pic>
                    </a:graphicData>
                  </a:graphic>
                </wp:anchor>
              </w:drawing>
            </w:r>
          </w:p>
          <w:p w14:paraId="6B0D0BE7">
            <w:pPr>
              <w:keepNext w:val="0"/>
              <w:keepLines w:val="0"/>
              <w:pageBreakBefore w:val="0"/>
              <w:widowControl w:val="0"/>
              <w:kinsoku/>
              <w:wordWrap/>
              <w:overflowPunct/>
              <w:topLinePunct w:val="0"/>
              <w:autoSpaceDE/>
              <w:autoSpaceDN/>
              <w:bidi w:val="0"/>
              <w:adjustRightInd w:val="0"/>
              <w:snapToGrid w:val="0"/>
              <w:spacing w:line="500" w:lineRule="exact"/>
              <w:ind w:left="0" w:firstLine="500" w:firstLineChars="200"/>
              <w:textAlignment w:val="auto"/>
              <w:rPr>
                <w:color w:val="000000"/>
                <w:spacing w:val="5"/>
                <w:sz w:val="24"/>
                <w:szCs w:val="24"/>
              </w:rPr>
            </w:pPr>
            <w:r>
              <w:rPr>
                <w:rFonts w:hint="eastAsia"/>
                <w:color w:val="000000"/>
                <w:spacing w:val="5"/>
                <w:sz w:val="24"/>
                <w:szCs w:val="24"/>
                <w:lang w:val="en-US" w:eastAsia="zh-CN"/>
              </w:rPr>
              <w:t>e</w:t>
            </w:r>
            <w:r>
              <w:rPr>
                <w:color w:val="000000"/>
                <w:spacing w:val="5"/>
                <w:sz w:val="24"/>
                <w:szCs w:val="24"/>
              </w:rPr>
              <w:t>等效室外声源的位置为围护结构的位置，其倍频带声功率级为</w:t>
            </w:r>
            <w:r>
              <w:rPr>
                <w:rFonts w:hint="eastAsia"/>
                <w:color w:val="000000"/>
                <w:spacing w:val="5"/>
                <w:sz w:val="24"/>
                <w:szCs w:val="24"/>
                <w:lang w:val="en-US" w:eastAsia="zh-CN"/>
              </w:rPr>
              <w:t>L</w:t>
            </w:r>
            <w:r>
              <w:rPr>
                <w:rFonts w:hint="eastAsia"/>
                <w:color w:val="000000"/>
                <w:spacing w:val="5"/>
                <w:sz w:val="24"/>
                <w:szCs w:val="24"/>
                <w:vertAlign w:val="subscript"/>
                <w:lang w:val="en-US" w:eastAsia="zh-CN"/>
              </w:rPr>
              <w:t>w</w:t>
            </w:r>
            <w:r>
              <w:rPr>
                <w:color w:val="000000"/>
                <w:spacing w:val="5"/>
                <w:sz w:val="24"/>
                <w:szCs w:val="24"/>
              </w:rPr>
              <w:t>，根据厂房结构（门、窗）和预测点的位置关系，分别按照面声源、线声源和点声源的衰减模式，计算预测点处的声级。</w:t>
            </w:r>
          </w:p>
          <w:p w14:paraId="75FD5C03">
            <w:pPr>
              <w:keepNext w:val="0"/>
              <w:keepLines w:val="0"/>
              <w:pageBreakBefore w:val="0"/>
              <w:widowControl w:val="0"/>
              <w:kinsoku/>
              <w:wordWrap/>
              <w:overflowPunct/>
              <w:topLinePunct w:val="0"/>
              <w:autoSpaceDE/>
              <w:autoSpaceDN/>
              <w:bidi w:val="0"/>
              <w:adjustRightInd w:val="0"/>
              <w:snapToGrid w:val="0"/>
              <w:spacing w:line="500" w:lineRule="exact"/>
              <w:ind w:left="0" w:firstLine="500" w:firstLineChars="200"/>
              <w:textAlignment w:val="auto"/>
              <w:rPr>
                <w:color w:val="000000"/>
                <w:spacing w:val="5"/>
                <w:sz w:val="24"/>
                <w:szCs w:val="24"/>
              </w:rPr>
            </w:pPr>
            <w:r>
              <w:rPr>
                <w:rFonts w:hint="eastAsia"/>
                <w:color w:val="000000"/>
                <w:spacing w:val="5"/>
                <w:sz w:val="24"/>
                <w:szCs w:val="24"/>
                <w:lang w:val="en-US" w:eastAsia="zh-CN"/>
              </w:rPr>
              <w:t>3</w:t>
            </w:r>
            <w:r>
              <w:rPr>
                <w:color w:val="000000"/>
                <w:spacing w:val="5"/>
                <w:sz w:val="24"/>
                <w:szCs w:val="24"/>
              </w:rPr>
              <w:t>）计算总声压级</w:t>
            </w:r>
          </w:p>
          <w:p w14:paraId="1B35D6A3">
            <w:pPr>
              <w:keepNext w:val="0"/>
              <w:keepLines w:val="0"/>
              <w:pageBreakBefore w:val="0"/>
              <w:widowControl w:val="0"/>
              <w:kinsoku/>
              <w:wordWrap/>
              <w:overflowPunct/>
              <w:topLinePunct w:val="0"/>
              <w:autoSpaceDE/>
              <w:autoSpaceDN/>
              <w:bidi w:val="0"/>
              <w:adjustRightInd w:val="0"/>
              <w:snapToGrid w:val="0"/>
              <w:spacing w:line="500" w:lineRule="exact"/>
              <w:ind w:left="0" w:firstLine="484" w:firstLineChars="200"/>
              <w:textAlignment w:val="auto"/>
              <w:rPr>
                <w:rFonts w:hint="eastAsia" w:eastAsia="宋体"/>
                <w:color w:val="000000"/>
                <w:spacing w:val="5"/>
                <w:sz w:val="24"/>
                <w:szCs w:val="24"/>
                <w:lang w:eastAsia="zh-CN"/>
              </w:rPr>
            </w:pPr>
            <w:r>
              <w:rPr>
                <w:color w:val="000000"/>
                <w:spacing w:val="1"/>
                <w:sz w:val="24"/>
                <w:szCs w:val="24"/>
              </w:rPr>
              <w:t>计算</w:t>
            </w:r>
            <w:r>
              <w:rPr>
                <w:rFonts w:hint="eastAsia"/>
                <w:color w:val="000000"/>
                <w:spacing w:val="1"/>
                <w:sz w:val="24"/>
                <w:szCs w:val="24"/>
                <w:lang w:val="en-US" w:eastAsia="zh-CN"/>
              </w:rPr>
              <w:t>本项目</w:t>
            </w:r>
            <w:r>
              <w:rPr>
                <w:color w:val="000000"/>
                <w:spacing w:val="1"/>
                <w:sz w:val="24"/>
                <w:szCs w:val="24"/>
              </w:rPr>
              <w:t>各室外噪声源和各含噪声源厂房对各预测点噪声贡献值：</w:t>
            </w:r>
            <w:r>
              <w:rPr>
                <w:color w:val="000000"/>
                <w:spacing w:val="5"/>
                <w:sz w:val="24"/>
                <w:szCs w:val="24"/>
              </w:rPr>
              <w:t>设第</w:t>
            </w:r>
            <w:r>
              <w:rPr>
                <w:rFonts w:hint="eastAsia"/>
                <w:color w:val="000000"/>
                <w:spacing w:val="5"/>
                <w:sz w:val="24"/>
                <w:szCs w:val="24"/>
                <w:lang w:val="en-US" w:eastAsia="zh-CN"/>
              </w:rPr>
              <w:t>i</w:t>
            </w:r>
            <w:r>
              <w:rPr>
                <w:color w:val="000000"/>
                <w:spacing w:val="5"/>
                <w:sz w:val="24"/>
                <w:szCs w:val="24"/>
              </w:rPr>
              <w:t>个室外声源在预测点产生的A声级为</w:t>
            </w:r>
            <w:r>
              <w:rPr>
                <w:rFonts w:hint="eastAsia"/>
                <w:color w:val="000000"/>
                <w:spacing w:val="5"/>
                <w:sz w:val="24"/>
                <w:szCs w:val="24"/>
                <w:lang w:val="en-US" w:eastAsia="zh-CN"/>
              </w:rPr>
              <w:t>L</w:t>
            </w:r>
            <w:r>
              <w:rPr>
                <w:rFonts w:hint="eastAsia"/>
                <w:color w:val="000000"/>
                <w:spacing w:val="5"/>
                <w:sz w:val="24"/>
                <w:szCs w:val="24"/>
                <w:vertAlign w:val="subscript"/>
                <w:lang w:val="en-US" w:eastAsia="zh-CN"/>
              </w:rPr>
              <w:t>Ai</w:t>
            </w:r>
            <w:r>
              <w:rPr>
                <w:color w:val="000000"/>
                <w:spacing w:val="5"/>
                <w:sz w:val="24"/>
                <w:szCs w:val="24"/>
              </w:rPr>
              <w:t>，在T时间内该声源工作时间为</w:t>
            </w:r>
            <w:r>
              <w:rPr>
                <w:rFonts w:hint="eastAsia"/>
                <w:color w:val="000000"/>
                <w:spacing w:val="5"/>
                <w:sz w:val="24"/>
                <w:szCs w:val="24"/>
                <w:lang w:val="en-US" w:eastAsia="zh-CN"/>
              </w:rPr>
              <w:t>t</w:t>
            </w:r>
            <w:r>
              <w:rPr>
                <w:rFonts w:hint="eastAsia"/>
                <w:color w:val="000000"/>
                <w:spacing w:val="5"/>
                <w:sz w:val="24"/>
                <w:szCs w:val="24"/>
                <w:vertAlign w:val="subscript"/>
                <w:lang w:val="en-US" w:eastAsia="zh-CN"/>
              </w:rPr>
              <w:t>i</w:t>
            </w:r>
            <w:r>
              <w:rPr>
                <w:color w:val="000000"/>
                <w:spacing w:val="5"/>
                <w:sz w:val="24"/>
                <w:szCs w:val="24"/>
              </w:rPr>
              <w:t>；第</w:t>
            </w:r>
            <w:r>
              <w:rPr>
                <w:rFonts w:hint="eastAsia"/>
                <w:color w:val="000000"/>
                <w:spacing w:val="5"/>
                <w:sz w:val="24"/>
                <w:szCs w:val="24"/>
                <w:lang w:val="en-US" w:eastAsia="zh-CN"/>
              </w:rPr>
              <w:t>j</w:t>
            </w:r>
            <w:r>
              <w:rPr>
                <w:color w:val="000000"/>
                <w:spacing w:val="5"/>
                <w:sz w:val="24"/>
                <w:szCs w:val="24"/>
              </w:rPr>
              <w:t>个等效室外声源在预测点产生的A声级为</w:t>
            </w:r>
            <w:r>
              <w:rPr>
                <w:rFonts w:hint="eastAsia"/>
                <w:color w:val="000000"/>
                <w:spacing w:val="5"/>
                <w:sz w:val="24"/>
                <w:szCs w:val="24"/>
                <w:lang w:val="en-US" w:eastAsia="zh-CN"/>
              </w:rPr>
              <w:t>L</w:t>
            </w:r>
            <w:r>
              <w:rPr>
                <w:rFonts w:hint="eastAsia"/>
                <w:color w:val="000000"/>
                <w:spacing w:val="5"/>
                <w:sz w:val="24"/>
                <w:szCs w:val="24"/>
                <w:vertAlign w:val="subscript"/>
                <w:lang w:val="en-US" w:eastAsia="zh-CN"/>
              </w:rPr>
              <w:t>Aj</w:t>
            </w:r>
            <w:r>
              <w:rPr>
                <w:color w:val="000000"/>
                <w:spacing w:val="5"/>
                <w:sz w:val="24"/>
                <w:szCs w:val="24"/>
              </w:rPr>
              <w:t>，在T时间内该声源工作时间为</w:t>
            </w:r>
            <w:r>
              <w:rPr>
                <w:rFonts w:hint="eastAsia"/>
                <w:color w:val="000000"/>
                <w:spacing w:val="5"/>
                <w:sz w:val="24"/>
                <w:szCs w:val="24"/>
                <w:lang w:val="en-US" w:eastAsia="zh-CN"/>
              </w:rPr>
              <w:t>t</w:t>
            </w:r>
            <w:r>
              <w:rPr>
                <w:rFonts w:hint="eastAsia"/>
                <w:color w:val="000000"/>
                <w:spacing w:val="5"/>
                <w:sz w:val="24"/>
                <w:szCs w:val="24"/>
                <w:vertAlign w:val="subscript"/>
                <w:lang w:val="en-US" w:eastAsia="zh-CN"/>
              </w:rPr>
              <w:t>j</w:t>
            </w:r>
            <w:r>
              <w:rPr>
                <w:color w:val="000000"/>
                <w:spacing w:val="5"/>
                <w:sz w:val="24"/>
                <w:szCs w:val="24"/>
              </w:rPr>
              <w:t>，则</w:t>
            </w:r>
            <w:r>
              <w:rPr>
                <w:rFonts w:hint="eastAsia"/>
                <w:color w:val="000000"/>
                <w:spacing w:val="5"/>
                <w:sz w:val="24"/>
                <w:szCs w:val="24"/>
                <w:lang w:val="en-US" w:eastAsia="zh-CN"/>
              </w:rPr>
              <w:t>本项目</w:t>
            </w:r>
            <w:r>
              <w:rPr>
                <w:color w:val="000000"/>
                <w:spacing w:val="5"/>
                <w:sz w:val="24"/>
                <w:szCs w:val="24"/>
              </w:rPr>
              <w:t>声源对预测点产生的贡献值(</w:t>
            </w:r>
            <w:r>
              <w:rPr>
                <w:rFonts w:hint="eastAsia"/>
                <w:color w:val="000000"/>
                <w:spacing w:val="5"/>
                <w:sz w:val="24"/>
                <w:szCs w:val="24"/>
                <w:lang w:val="en-US" w:eastAsia="zh-CN"/>
              </w:rPr>
              <w:t>L</w:t>
            </w:r>
            <w:r>
              <w:rPr>
                <w:rFonts w:hint="eastAsia"/>
                <w:color w:val="000000"/>
                <w:spacing w:val="5"/>
                <w:sz w:val="24"/>
                <w:szCs w:val="24"/>
                <w:vertAlign w:val="subscript"/>
                <w:lang w:val="en-US" w:eastAsia="zh-CN"/>
              </w:rPr>
              <w:t>eqg</w:t>
            </w:r>
            <w:r>
              <w:rPr>
                <w:color w:val="000000"/>
                <w:spacing w:val="5"/>
                <w:sz w:val="24"/>
                <w:szCs w:val="24"/>
              </w:rPr>
              <w:t>)为</w:t>
            </w:r>
            <w:r>
              <w:rPr>
                <w:rFonts w:hint="eastAsia"/>
                <w:color w:val="000000"/>
                <w:spacing w:val="5"/>
                <w:sz w:val="24"/>
                <w:szCs w:val="24"/>
                <w:lang w:eastAsia="zh-CN"/>
              </w:rPr>
              <w:t>：</w:t>
            </w:r>
          </w:p>
          <w:p w14:paraId="0B43D351">
            <w:pPr>
              <w:keepNext w:val="0"/>
              <w:keepLines w:val="0"/>
              <w:pageBreakBefore w:val="0"/>
              <w:widowControl w:val="0"/>
              <w:kinsoku/>
              <w:wordWrap/>
              <w:overflowPunct/>
              <w:topLinePunct w:val="0"/>
              <w:autoSpaceDE/>
              <w:autoSpaceDN/>
              <w:bidi w:val="0"/>
              <w:adjustRightInd w:val="0"/>
              <w:snapToGrid w:val="0"/>
              <w:spacing w:line="500" w:lineRule="exact"/>
              <w:ind w:left="0"/>
              <w:jc w:val="center"/>
              <w:textAlignment w:val="auto"/>
              <w:rPr>
                <w:color w:val="0000FF"/>
                <w:spacing w:val="5"/>
                <w:sz w:val="24"/>
                <w:szCs w:val="24"/>
              </w:rPr>
            </w:pPr>
            <w:r>
              <w:rPr>
                <w:color w:val="0000FF"/>
                <w:sz w:val="24"/>
                <w:szCs w:val="24"/>
              </w:rPr>
              <w:drawing>
                <wp:anchor distT="0" distB="0" distL="114300" distR="114300" simplePos="0" relativeHeight="251671552" behindDoc="1" locked="0" layoutInCell="1" allowOverlap="1">
                  <wp:simplePos x="0" y="0"/>
                  <wp:positionH relativeFrom="column">
                    <wp:posOffset>1220470</wp:posOffset>
                  </wp:positionH>
                  <wp:positionV relativeFrom="paragraph">
                    <wp:posOffset>53975</wp:posOffset>
                  </wp:positionV>
                  <wp:extent cx="2524125" cy="514350"/>
                  <wp:effectExtent l="0" t="0" r="9525" b="0"/>
                  <wp:wrapTight wrapText="bothSides">
                    <wp:wrapPolygon>
                      <wp:start x="0" y="0"/>
                      <wp:lineTo x="0" y="20800"/>
                      <wp:lineTo x="21518" y="20800"/>
                      <wp:lineTo x="21518" y="0"/>
                      <wp:lineTo x="0" y="0"/>
                    </wp:wrapPolygon>
                  </wp:wrapTight>
                  <wp:docPr id="217"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图片 41"/>
                          <pic:cNvPicPr>
                            <a:picLocks noChangeAspect="1"/>
                          </pic:cNvPicPr>
                        </pic:nvPicPr>
                        <pic:blipFill>
                          <a:blip r:embed="rId13"/>
                          <a:stretch>
                            <a:fillRect/>
                          </a:stretch>
                        </pic:blipFill>
                        <pic:spPr>
                          <a:xfrm>
                            <a:off x="0" y="0"/>
                            <a:ext cx="2524125" cy="514350"/>
                          </a:xfrm>
                          <a:prstGeom prst="rect">
                            <a:avLst/>
                          </a:prstGeom>
                          <a:noFill/>
                          <a:ln>
                            <a:noFill/>
                          </a:ln>
                        </pic:spPr>
                      </pic:pic>
                    </a:graphicData>
                  </a:graphic>
                </wp:anchor>
              </w:drawing>
            </w:r>
          </w:p>
          <w:p w14:paraId="0A05BE64">
            <w:pPr>
              <w:pStyle w:val="89"/>
              <w:ind w:firstLine="480"/>
              <w:rPr>
                <w:rFonts w:hint="default" w:ascii="Times New Roman" w:hAnsi="Times New Roman" w:cs="Times New Roman"/>
                <w:snapToGrid w:val="0"/>
                <w:color w:val="auto"/>
                <w:szCs w:val="25"/>
                <w:lang w:val="en-US" w:eastAsia="zh-CN"/>
              </w:rPr>
            </w:pPr>
          </w:p>
          <w:p w14:paraId="680ADD5E">
            <w:pPr>
              <w:pStyle w:val="89"/>
              <w:ind w:firstLine="480"/>
              <w:rPr>
                <w:rFonts w:hint="default" w:ascii="Times New Roman" w:hAnsi="Times New Roman" w:cs="Times New Roman"/>
                <w:snapToGrid w:val="0"/>
                <w:color w:val="auto"/>
                <w:szCs w:val="25"/>
              </w:rPr>
            </w:pPr>
            <w:r>
              <w:rPr>
                <w:rFonts w:hint="default" w:ascii="Times New Roman" w:hAnsi="Times New Roman" w:cs="Times New Roman"/>
                <w:snapToGrid w:val="0"/>
                <w:color w:val="auto"/>
                <w:szCs w:val="25"/>
                <w:lang w:val="en-US" w:eastAsia="zh-CN"/>
              </w:rPr>
              <w:t>③</w:t>
            </w:r>
            <w:r>
              <w:rPr>
                <w:rFonts w:hint="default" w:ascii="Times New Roman" w:hAnsi="Times New Roman" w:cs="Times New Roman"/>
                <w:snapToGrid w:val="0"/>
                <w:color w:val="auto"/>
                <w:szCs w:val="25"/>
              </w:rPr>
              <w:t>预测结果</w:t>
            </w:r>
          </w:p>
          <w:p w14:paraId="0E85D788">
            <w:pPr>
              <w:pStyle w:val="89"/>
              <w:ind w:left="0" w:leftChars="0" w:firstLine="480" w:firstLineChars="200"/>
              <w:jc w:val="both"/>
              <w:rPr>
                <w:rFonts w:hint="default" w:cs="Times New Roman"/>
                <w:b w:val="0"/>
                <w:bCs w:val="0"/>
                <w:snapToGrid w:val="0"/>
                <w:color w:val="auto"/>
                <w:szCs w:val="25"/>
                <w:lang w:val="en-US" w:eastAsia="zh-CN"/>
              </w:rPr>
            </w:pPr>
            <w:r>
              <w:rPr>
                <w:rFonts w:hint="eastAsia" w:cs="Times New Roman"/>
                <w:b w:val="0"/>
                <w:bCs w:val="0"/>
                <w:snapToGrid w:val="0"/>
                <w:color w:val="auto"/>
                <w:szCs w:val="25"/>
                <w:lang w:val="en-US" w:eastAsia="zh-CN"/>
              </w:rPr>
              <w:t>本项目厂界噪声预测结果见表26。</w:t>
            </w:r>
          </w:p>
          <w:p w14:paraId="07A0F563">
            <w:pPr>
              <w:pStyle w:val="99"/>
              <w:rPr>
                <w:rFonts w:hint="default" w:ascii="Times New Roman" w:hAnsi="Times New Roman" w:cs="Times New Roman"/>
                <w:color w:val="auto"/>
              </w:rPr>
            </w:pPr>
          </w:p>
          <w:p w14:paraId="354C7A4D">
            <w:pPr>
              <w:pStyle w:val="99"/>
              <w:rPr>
                <w:rFonts w:hint="default" w:ascii="Times New Roman" w:hAnsi="Times New Roman" w:cs="Times New Roman"/>
                <w:color w:val="5B9BD5" w:themeColor="accent1"/>
                <w14:textFill>
                  <w14:solidFill>
                    <w14:schemeClr w14:val="accent1"/>
                  </w14:solidFill>
                </w14:textFill>
              </w:rPr>
            </w:pPr>
            <w:r>
              <w:rPr>
                <w:rFonts w:hint="default" w:ascii="Times New Roman" w:hAnsi="Times New Roman" w:cs="Times New Roman"/>
                <w:color w:val="5B9BD5" w:themeColor="accent1"/>
                <w14:textFill>
                  <w14:solidFill>
                    <w14:schemeClr w14:val="accent1"/>
                  </w14:solidFill>
                </w14:textFill>
              </w:rPr>
              <w:t>表</w:t>
            </w:r>
            <w:r>
              <w:rPr>
                <w:rFonts w:hint="eastAsia" w:cs="Times New Roman"/>
                <w:color w:val="5B9BD5" w:themeColor="accent1"/>
                <w:lang w:val="en-US" w:eastAsia="zh-CN"/>
                <w14:textFill>
                  <w14:solidFill>
                    <w14:schemeClr w14:val="accent1"/>
                  </w14:solidFill>
                </w14:textFill>
              </w:rPr>
              <w:t>26</w:t>
            </w:r>
            <w:r>
              <w:rPr>
                <w:rFonts w:hint="default" w:ascii="Times New Roman" w:hAnsi="Times New Roman" w:cs="Times New Roman"/>
                <w:color w:val="5B9BD5" w:themeColor="accent1"/>
                <w14:textFill>
                  <w14:solidFill>
                    <w14:schemeClr w14:val="accent1"/>
                  </w14:solidFill>
                </w14:textFill>
              </w:rPr>
              <w:t xml:space="preserve">  噪声预测结果一览表  单位dB(A)</w:t>
            </w:r>
          </w:p>
          <w:tbl>
            <w:tblPr>
              <w:tblStyle w:val="29"/>
              <w:tblW w:w="36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1732"/>
              <w:gridCol w:w="1261"/>
              <w:gridCol w:w="1261"/>
            </w:tblGrid>
            <w:tr w14:paraId="0F98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1487" w:type="pct"/>
                  <w:vMerge w:val="restart"/>
                  <w:tcBorders>
                    <w:tl2br w:val="nil"/>
                    <w:tr2bl w:val="nil"/>
                  </w:tcBorders>
                  <w:vAlign w:val="center"/>
                </w:tcPr>
                <w:p w14:paraId="3C9269C7">
                  <w:pPr>
                    <w:spacing w:line="260" w:lineRule="exact"/>
                    <w:jc w:val="center"/>
                    <w:rPr>
                      <w:rFonts w:hint="default" w:ascii="Times New Roman" w:hAnsi="Times New Roman" w:cs="Times New Roman" w:eastAsiaTheme="minorEastAsia"/>
                      <w:b w:val="0"/>
                      <w:bCs/>
                      <w:snapToGrid w:val="0"/>
                      <w:color w:val="5B9BD5" w:themeColor="accent1"/>
                      <w:kern w:val="0"/>
                      <w:szCs w:val="21"/>
                      <w14:textFill>
                        <w14:solidFill>
                          <w14:schemeClr w14:val="accent1"/>
                        </w14:solidFill>
                      </w14:textFill>
                    </w:rPr>
                  </w:pPr>
                  <w:r>
                    <w:rPr>
                      <w:rFonts w:hint="default" w:ascii="Times New Roman" w:hAnsi="Times New Roman" w:cs="Times New Roman" w:eastAsiaTheme="minorEastAsia"/>
                      <w:b w:val="0"/>
                      <w:bCs/>
                      <w:snapToGrid w:val="0"/>
                      <w:color w:val="5B9BD5" w:themeColor="accent1"/>
                      <w:kern w:val="0"/>
                      <w:szCs w:val="21"/>
                      <w14:textFill>
                        <w14:solidFill>
                          <w14:schemeClr w14:val="accent1"/>
                        </w14:solidFill>
                      </w14:textFill>
                    </w:rPr>
                    <w:t>项目</w:t>
                  </w:r>
                </w:p>
              </w:tc>
              <w:tc>
                <w:tcPr>
                  <w:tcW w:w="1430" w:type="pct"/>
                  <w:vMerge w:val="restart"/>
                  <w:tcBorders>
                    <w:tl2br w:val="nil"/>
                    <w:tr2bl w:val="nil"/>
                  </w:tcBorders>
                  <w:vAlign w:val="center"/>
                </w:tcPr>
                <w:p w14:paraId="7180BD8E">
                  <w:pPr>
                    <w:spacing w:line="260" w:lineRule="exact"/>
                    <w:jc w:val="center"/>
                    <w:rPr>
                      <w:rFonts w:hint="default" w:ascii="Times New Roman" w:hAnsi="Times New Roman" w:cs="Times New Roman" w:eastAsiaTheme="minorEastAsia"/>
                      <w:b w:val="0"/>
                      <w:bCs/>
                      <w:snapToGrid w:val="0"/>
                      <w:color w:val="5B9BD5" w:themeColor="accent1"/>
                      <w:kern w:val="0"/>
                      <w:szCs w:val="21"/>
                      <w14:textFill>
                        <w14:solidFill>
                          <w14:schemeClr w14:val="accent1"/>
                        </w14:solidFill>
                      </w14:textFill>
                    </w:rPr>
                  </w:pPr>
                  <w:r>
                    <w:rPr>
                      <w:rFonts w:hint="default" w:ascii="Times New Roman" w:hAnsi="Times New Roman" w:cs="Times New Roman" w:eastAsiaTheme="minorEastAsia"/>
                      <w:b w:val="0"/>
                      <w:bCs/>
                      <w:snapToGrid w:val="0"/>
                      <w:color w:val="5B9BD5" w:themeColor="accent1"/>
                      <w:kern w:val="0"/>
                      <w:szCs w:val="21"/>
                      <w14:textFill>
                        <w14:solidFill>
                          <w14:schemeClr w14:val="accent1"/>
                        </w14:solidFill>
                      </w14:textFill>
                    </w:rPr>
                    <w:t>贡献值</w:t>
                  </w:r>
                </w:p>
              </w:tc>
              <w:tc>
                <w:tcPr>
                  <w:tcW w:w="2082" w:type="pct"/>
                  <w:gridSpan w:val="2"/>
                  <w:tcBorders>
                    <w:tl2br w:val="nil"/>
                    <w:tr2bl w:val="nil"/>
                  </w:tcBorders>
                  <w:vAlign w:val="center"/>
                </w:tcPr>
                <w:p w14:paraId="1EBF4D9A">
                  <w:pPr>
                    <w:spacing w:line="260" w:lineRule="exact"/>
                    <w:jc w:val="center"/>
                    <w:rPr>
                      <w:rFonts w:hint="default" w:ascii="Times New Roman" w:hAnsi="Times New Roman" w:cs="Times New Roman" w:eastAsiaTheme="minorEastAsia"/>
                      <w:b w:val="0"/>
                      <w:bCs/>
                      <w:snapToGrid w:val="0"/>
                      <w:color w:val="5B9BD5" w:themeColor="accent1"/>
                      <w:kern w:val="0"/>
                      <w:szCs w:val="21"/>
                      <w14:textFill>
                        <w14:solidFill>
                          <w14:schemeClr w14:val="accent1"/>
                        </w14:solidFill>
                      </w14:textFill>
                    </w:rPr>
                  </w:pPr>
                  <w:r>
                    <w:rPr>
                      <w:rFonts w:hint="default" w:ascii="Times New Roman" w:hAnsi="Times New Roman" w:cs="Times New Roman" w:eastAsiaTheme="minorEastAsia"/>
                      <w:b w:val="0"/>
                      <w:bCs/>
                      <w:snapToGrid w:val="0"/>
                      <w:color w:val="5B9BD5" w:themeColor="accent1"/>
                      <w:kern w:val="0"/>
                      <w:szCs w:val="21"/>
                      <w14:textFill>
                        <w14:solidFill>
                          <w14:schemeClr w14:val="accent1"/>
                        </w14:solidFill>
                      </w14:textFill>
                    </w:rPr>
                    <w:t>标准值</w:t>
                  </w:r>
                </w:p>
              </w:tc>
            </w:tr>
            <w:tr w14:paraId="0D8E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487" w:type="pct"/>
                  <w:vMerge w:val="continue"/>
                  <w:tcBorders>
                    <w:tl2br w:val="nil"/>
                    <w:tr2bl w:val="nil"/>
                  </w:tcBorders>
                  <w:vAlign w:val="center"/>
                </w:tcPr>
                <w:p w14:paraId="3CA92837">
                  <w:pPr>
                    <w:spacing w:line="260" w:lineRule="exact"/>
                    <w:jc w:val="center"/>
                    <w:rPr>
                      <w:rFonts w:hint="default" w:ascii="Times New Roman" w:hAnsi="Times New Roman" w:cs="Times New Roman" w:eastAsiaTheme="minorEastAsia"/>
                      <w:b w:val="0"/>
                      <w:bCs/>
                      <w:snapToGrid w:val="0"/>
                      <w:color w:val="5B9BD5" w:themeColor="accent1"/>
                      <w:kern w:val="0"/>
                      <w:szCs w:val="21"/>
                      <w14:textFill>
                        <w14:solidFill>
                          <w14:schemeClr w14:val="accent1"/>
                        </w14:solidFill>
                      </w14:textFill>
                    </w:rPr>
                  </w:pPr>
                </w:p>
              </w:tc>
              <w:tc>
                <w:tcPr>
                  <w:tcW w:w="1430" w:type="pct"/>
                  <w:vMerge w:val="continue"/>
                  <w:tcBorders>
                    <w:tl2br w:val="nil"/>
                    <w:tr2bl w:val="nil"/>
                  </w:tcBorders>
                  <w:vAlign w:val="center"/>
                </w:tcPr>
                <w:p w14:paraId="1B1EAD08">
                  <w:pPr>
                    <w:spacing w:line="260" w:lineRule="exact"/>
                    <w:jc w:val="center"/>
                    <w:rPr>
                      <w:rFonts w:hint="default" w:ascii="Times New Roman" w:hAnsi="Times New Roman" w:cs="Times New Roman" w:eastAsiaTheme="minorEastAsia"/>
                      <w:b w:val="0"/>
                      <w:bCs/>
                      <w:snapToGrid w:val="0"/>
                      <w:color w:val="5B9BD5" w:themeColor="accent1"/>
                      <w:kern w:val="0"/>
                      <w:szCs w:val="21"/>
                      <w14:textFill>
                        <w14:solidFill>
                          <w14:schemeClr w14:val="accent1"/>
                        </w14:solidFill>
                      </w14:textFill>
                    </w:rPr>
                  </w:pPr>
                </w:p>
              </w:tc>
              <w:tc>
                <w:tcPr>
                  <w:tcW w:w="1041" w:type="pct"/>
                  <w:tcBorders>
                    <w:tl2br w:val="nil"/>
                    <w:tr2bl w:val="nil"/>
                  </w:tcBorders>
                  <w:vAlign w:val="center"/>
                </w:tcPr>
                <w:p w14:paraId="1DB3DEF4">
                  <w:pPr>
                    <w:spacing w:line="260" w:lineRule="exact"/>
                    <w:jc w:val="center"/>
                    <w:rPr>
                      <w:rFonts w:hint="default" w:ascii="Times New Roman" w:hAnsi="Times New Roman" w:cs="Times New Roman" w:eastAsiaTheme="minorEastAsia"/>
                      <w:b w:val="0"/>
                      <w:bCs/>
                      <w:snapToGrid w:val="0"/>
                      <w:color w:val="5B9BD5" w:themeColor="accent1"/>
                      <w:kern w:val="0"/>
                      <w:szCs w:val="21"/>
                      <w14:textFill>
                        <w14:solidFill>
                          <w14:schemeClr w14:val="accent1"/>
                        </w14:solidFill>
                      </w14:textFill>
                    </w:rPr>
                  </w:pPr>
                  <w:r>
                    <w:rPr>
                      <w:rFonts w:hint="default" w:ascii="Times New Roman" w:hAnsi="Times New Roman" w:cs="Times New Roman" w:eastAsiaTheme="minorEastAsia"/>
                      <w:b w:val="0"/>
                      <w:bCs/>
                      <w:snapToGrid w:val="0"/>
                      <w:color w:val="5B9BD5" w:themeColor="accent1"/>
                      <w:kern w:val="0"/>
                      <w:szCs w:val="21"/>
                      <w14:textFill>
                        <w14:solidFill>
                          <w14:schemeClr w14:val="accent1"/>
                        </w14:solidFill>
                      </w14:textFill>
                    </w:rPr>
                    <w:t>昼间</w:t>
                  </w:r>
                </w:p>
              </w:tc>
              <w:tc>
                <w:tcPr>
                  <w:tcW w:w="1261" w:type="dxa"/>
                  <w:tcBorders>
                    <w:tl2br w:val="nil"/>
                    <w:tr2bl w:val="nil"/>
                  </w:tcBorders>
                  <w:vAlign w:val="center"/>
                </w:tcPr>
                <w:p w14:paraId="4C13AA5B">
                  <w:pPr>
                    <w:spacing w:line="260" w:lineRule="exact"/>
                    <w:jc w:val="center"/>
                    <w:rPr>
                      <w:rFonts w:hint="default" w:ascii="Times New Roman" w:hAnsi="Times New Roman" w:cs="Times New Roman" w:eastAsiaTheme="minorEastAsia"/>
                      <w:b w:val="0"/>
                      <w:bCs/>
                      <w:snapToGrid w:val="0"/>
                      <w:color w:val="5B9BD5" w:themeColor="accent1"/>
                      <w:kern w:val="0"/>
                      <w:szCs w:val="21"/>
                      <w14:textFill>
                        <w14:solidFill>
                          <w14:schemeClr w14:val="accent1"/>
                        </w14:solidFill>
                      </w14:textFill>
                    </w:rPr>
                  </w:pPr>
                  <w:r>
                    <w:rPr>
                      <w:rFonts w:hint="eastAsia" w:cs="Times New Roman" w:eastAsiaTheme="minorEastAsia"/>
                      <w:b w:val="0"/>
                      <w:bCs/>
                      <w:snapToGrid w:val="0"/>
                      <w:color w:val="5B9BD5" w:themeColor="accent1"/>
                      <w:kern w:val="0"/>
                      <w:szCs w:val="21"/>
                      <w:lang w:val="en-US" w:eastAsia="zh-CN"/>
                      <w14:textFill>
                        <w14:solidFill>
                          <w14:schemeClr w14:val="accent1"/>
                        </w14:solidFill>
                      </w14:textFill>
                    </w:rPr>
                    <w:t>夜间</w:t>
                  </w:r>
                </w:p>
              </w:tc>
            </w:tr>
            <w:tr w14:paraId="3021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1487" w:type="pct"/>
                  <w:tcBorders>
                    <w:tl2br w:val="nil"/>
                    <w:tr2bl w:val="nil"/>
                  </w:tcBorders>
                  <w:vAlign w:val="center"/>
                </w:tcPr>
                <w:p w14:paraId="71B7B8F5">
                  <w:pPr>
                    <w:spacing w:line="260" w:lineRule="exact"/>
                    <w:jc w:val="center"/>
                    <w:rPr>
                      <w:rFonts w:hint="default" w:ascii="Times New Roman" w:hAnsi="Times New Roman" w:cs="Times New Roman" w:eastAsiaTheme="minorEastAsia"/>
                      <w:b w:val="0"/>
                      <w:bCs/>
                      <w:snapToGrid w:val="0"/>
                      <w:color w:val="5B9BD5" w:themeColor="accent1"/>
                      <w:kern w:val="0"/>
                      <w:szCs w:val="21"/>
                      <w14:textFill>
                        <w14:solidFill>
                          <w14:schemeClr w14:val="accent1"/>
                        </w14:solidFill>
                      </w14:textFill>
                    </w:rPr>
                  </w:pPr>
                  <w:r>
                    <w:rPr>
                      <w:rFonts w:hint="default" w:ascii="Times New Roman" w:hAnsi="Times New Roman" w:cs="Times New Roman" w:eastAsiaTheme="minorEastAsia"/>
                      <w:b w:val="0"/>
                      <w:bCs/>
                      <w:snapToGrid w:val="0"/>
                      <w:color w:val="5B9BD5" w:themeColor="accent1"/>
                      <w:kern w:val="0"/>
                      <w:szCs w:val="21"/>
                      <w14:textFill>
                        <w14:solidFill>
                          <w14:schemeClr w14:val="accent1"/>
                        </w14:solidFill>
                      </w14:textFill>
                    </w:rPr>
                    <w:t>东厂界</w:t>
                  </w:r>
                </w:p>
              </w:tc>
              <w:tc>
                <w:tcPr>
                  <w:tcW w:w="1430" w:type="pct"/>
                  <w:tcBorders>
                    <w:tl2br w:val="nil"/>
                    <w:tr2bl w:val="nil"/>
                  </w:tcBorders>
                  <w:vAlign w:val="center"/>
                </w:tcPr>
                <w:p w14:paraId="03A88EF7">
                  <w:pPr>
                    <w:spacing w:line="260" w:lineRule="exact"/>
                    <w:jc w:val="center"/>
                    <w:rPr>
                      <w:rFonts w:hint="default" w:ascii="Times New Roman" w:hAnsi="Times New Roman" w:cs="Times New Roman" w:eastAsiaTheme="minorEastAsia"/>
                      <w:b w:val="0"/>
                      <w:bCs/>
                      <w:snapToGrid w:val="0"/>
                      <w:color w:val="5B9BD5" w:themeColor="accent1"/>
                      <w:kern w:val="0"/>
                      <w:szCs w:val="21"/>
                      <w:lang w:val="en-US" w:eastAsia="zh-CN"/>
                      <w14:textFill>
                        <w14:solidFill>
                          <w14:schemeClr w14:val="accent1"/>
                        </w14:solidFill>
                      </w14:textFill>
                    </w:rPr>
                  </w:pPr>
                  <w:r>
                    <w:rPr>
                      <w:rFonts w:hint="eastAsia" w:cs="Times New Roman" w:eastAsiaTheme="minorEastAsia"/>
                      <w:b w:val="0"/>
                      <w:bCs/>
                      <w:snapToGrid w:val="0"/>
                      <w:color w:val="5B9BD5" w:themeColor="accent1"/>
                      <w:kern w:val="0"/>
                      <w:szCs w:val="21"/>
                      <w:lang w:val="en-US" w:eastAsia="zh-CN"/>
                      <w14:textFill>
                        <w14:solidFill>
                          <w14:schemeClr w14:val="accent1"/>
                        </w14:solidFill>
                      </w14:textFill>
                    </w:rPr>
                    <w:t>53.9</w:t>
                  </w:r>
                </w:p>
              </w:tc>
              <w:tc>
                <w:tcPr>
                  <w:tcW w:w="1041" w:type="pct"/>
                  <w:tcBorders>
                    <w:tl2br w:val="nil"/>
                    <w:tr2bl w:val="nil"/>
                  </w:tcBorders>
                  <w:vAlign w:val="center"/>
                </w:tcPr>
                <w:p w14:paraId="3639B4A6">
                  <w:pPr>
                    <w:spacing w:line="260" w:lineRule="exact"/>
                    <w:jc w:val="center"/>
                    <w:rPr>
                      <w:rFonts w:hint="default" w:ascii="Times New Roman" w:hAnsi="Times New Roman" w:cs="Times New Roman" w:eastAsiaTheme="minorEastAsia"/>
                      <w:b w:val="0"/>
                      <w:bCs/>
                      <w:snapToGrid w:val="0"/>
                      <w:color w:val="5B9BD5" w:themeColor="accent1"/>
                      <w:kern w:val="0"/>
                      <w:szCs w:val="21"/>
                      <w:lang w:val="en-US" w:eastAsia="zh-CN"/>
                      <w14:textFill>
                        <w14:solidFill>
                          <w14:schemeClr w14:val="accent1"/>
                        </w14:solidFill>
                      </w14:textFill>
                    </w:rPr>
                  </w:pPr>
                  <w:r>
                    <w:rPr>
                      <w:rFonts w:hint="default" w:ascii="Times New Roman" w:hAnsi="Times New Roman" w:cs="Times New Roman" w:eastAsiaTheme="minorEastAsia"/>
                      <w:b w:val="0"/>
                      <w:bCs/>
                      <w:snapToGrid w:val="0"/>
                      <w:color w:val="5B9BD5" w:themeColor="accent1"/>
                      <w:kern w:val="0"/>
                      <w:szCs w:val="21"/>
                      <w:lang w:val="en-US" w:eastAsia="zh-CN"/>
                      <w14:textFill>
                        <w14:solidFill>
                          <w14:schemeClr w14:val="accent1"/>
                        </w14:solidFill>
                      </w14:textFill>
                    </w:rPr>
                    <w:t>65</w:t>
                  </w:r>
                </w:p>
              </w:tc>
              <w:tc>
                <w:tcPr>
                  <w:tcW w:w="1261" w:type="dxa"/>
                  <w:tcBorders>
                    <w:tl2br w:val="nil"/>
                    <w:tr2bl w:val="nil"/>
                  </w:tcBorders>
                  <w:vAlign w:val="center"/>
                </w:tcPr>
                <w:p w14:paraId="054676BF">
                  <w:pPr>
                    <w:spacing w:line="260" w:lineRule="exact"/>
                    <w:jc w:val="center"/>
                    <w:rPr>
                      <w:rFonts w:hint="default" w:ascii="Times New Roman" w:hAnsi="Times New Roman" w:cs="Times New Roman" w:eastAsiaTheme="minorEastAsia"/>
                      <w:b w:val="0"/>
                      <w:bCs/>
                      <w:snapToGrid w:val="0"/>
                      <w:color w:val="5B9BD5" w:themeColor="accent1"/>
                      <w:kern w:val="0"/>
                      <w:szCs w:val="21"/>
                      <w:lang w:val="en-US" w:eastAsia="zh-CN"/>
                      <w14:textFill>
                        <w14:solidFill>
                          <w14:schemeClr w14:val="accent1"/>
                        </w14:solidFill>
                      </w14:textFill>
                    </w:rPr>
                  </w:pPr>
                  <w:r>
                    <w:rPr>
                      <w:rFonts w:hint="eastAsia" w:cs="Times New Roman" w:eastAsiaTheme="minorEastAsia"/>
                      <w:b w:val="0"/>
                      <w:bCs/>
                      <w:snapToGrid w:val="0"/>
                      <w:color w:val="5B9BD5" w:themeColor="accent1"/>
                      <w:kern w:val="0"/>
                      <w:szCs w:val="21"/>
                      <w:lang w:val="en-US" w:eastAsia="zh-CN"/>
                      <w14:textFill>
                        <w14:solidFill>
                          <w14:schemeClr w14:val="accent1"/>
                        </w14:solidFill>
                      </w14:textFill>
                    </w:rPr>
                    <w:t>55</w:t>
                  </w:r>
                </w:p>
              </w:tc>
            </w:tr>
            <w:tr w14:paraId="7B64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1487" w:type="pct"/>
                  <w:tcBorders>
                    <w:tl2br w:val="nil"/>
                    <w:tr2bl w:val="nil"/>
                  </w:tcBorders>
                  <w:vAlign w:val="center"/>
                </w:tcPr>
                <w:p w14:paraId="2275E0D1">
                  <w:pPr>
                    <w:spacing w:line="260" w:lineRule="exact"/>
                    <w:jc w:val="center"/>
                    <w:rPr>
                      <w:rFonts w:hint="default" w:ascii="Times New Roman" w:hAnsi="Times New Roman" w:cs="Times New Roman" w:eastAsiaTheme="minorEastAsia"/>
                      <w:snapToGrid w:val="0"/>
                      <w:color w:val="5B9BD5" w:themeColor="accent1"/>
                      <w:kern w:val="0"/>
                      <w:szCs w:val="21"/>
                      <w14:textFill>
                        <w14:solidFill>
                          <w14:schemeClr w14:val="accent1"/>
                        </w14:solidFill>
                      </w14:textFill>
                    </w:rPr>
                  </w:pPr>
                  <w:r>
                    <w:rPr>
                      <w:rFonts w:hint="default" w:ascii="Times New Roman" w:hAnsi="Times New Roman" w:cs="Times New Roman" w:eastAsiaTheme="minorEastAsia"/>
                      <w:snapToGrid w:val="0"/>
                      <w:color w:val="5B9BD5" w:themeColor="accent1"/>
                      <w:kern w:val="0"/>
                      <w:szCs w:val="21"/>
                      <w14:textFill>
                        <w14:solidFill>
                          <w14:schemeClr w14:val="accent1"/>
                        </w14:solidFill>
                      </w14:textFill>
                    </w:rPr>
                    <w:t>南厂界</w:t>
                  </w:r>
                </w:p>
              </w:tc>
              <w:tc>
                <w:tcPr>
                  <w:tcW w:w="1430" w:type="pct"/>
                  <w:tcBorders>
                    <w:tl2br w:val="nil"/>
                    <w:tr2bl w:val="nil"/>
                  </w:tcBorders>
                  <w:vAlign w:val="center"/>
                </w:tcPr>
                <w:p w14:paraId="02374722">
                  <w:pPr>
                    <w:spacing w:line="260" w:lineRule="exact"/>
                    <w:jc w:val="center"/>
                    <w:rPr>
                      <w:rFonts w:hint="default" w:ascii="Times New Roman" w:hAnsi="Times New Roman" w:cs="Times New Roman" w:eastAsiaTheme="minorEastAsia"/>
                      <w:snapToGrid w:val="0"/>
                      <w:color w:val="5B9BD5" w:themeColor="accent1"/>
                      <w:kern w:val="0"/>
                      <w:szCs w:val="21"/>
                      <w:lang w:val="en-US" w:eastAsia="zh-CN"/>
                      <w14:textFill>
                        <w14:solidFill>
                          <w14:schemeClr w14:val="accent1"/>
                        </w14:solidFill>
                      </w14:textFill>
                    </w:rPr>
                  </w:pPr>
                  <w:r>
                    <w:rPr>
                      <w:rFonts w:hint="eastAsia" w:cs="Times New Roman" w:eastAsiaTheme="minorEastAsia"/>
                      <w:snapToGrid w:val="0"/>
                      <w:color w:val="5B9BD5" w:themeColor="accent1"/>
                      <w:kern w:val="0"/>
                      <w:szCs w:val="21"/>
                      <w:lang w:val="en-US" w:eastAsia="zh-CN"/>
                      <w14:textFill>
                        <w14:solidFill>
                          <w14:schemeClr w14:val="accent1"/>
                        </w14:solidFill>
                      </w14:textFill>
                    </w:rPr>
                    <w:t>53.7</w:t>
                  </w:r>
                </w:p>
              </w:tc>
              <w:tc>
                <w:tcPr>
                  <w:tcW w:w="1041" w:type="pct"/>
                  <w:tcBorders>
                    <w:tl2br w:val="nil"/>
                    <w:tr2bl w:val="nil"/>
                  </w:tcBorders>
                  <w:vAlign w:val="center"/>
                </w:tcPr>
                <w:p w14:paraId="298C3A32">
                  <w:pPr>
                    <w:spacing w:line="260" w:lineRule="exact"/>
                    <w:jc w:val="center"/>
                    <w:rPr>
                      <w:rFonts w:hint="default" w:ascii="Times New Roman" w:hAnsi="Times New Roman" w:cs="Times New Roman" w:eastAsiaTheme="minorEastAsia"/>
                      <w:snapToGrid w:val="0"/>
                      <w:color w:val="5B9BD5" w:themeColor="accent1"/>
                      <w:kern w:val="0"/>
                      <w:szCs w:val="21"/>
                      <w:lang w:val="en-US" w:eastAsia="zh-CN"/>
                      <w14:textFill>
                        <w14:solidFill>
                          <w14:schemeClr w14:val="accent1"/>
                        </w14:solidFill>
                      </w14:textFill>
                    </w:rPr>
                  </w:pPr>
                  <w:r>
                    <w:rPr>
                      <w:rFonts w:hint="eastAsia" w:cs="Times New Roman" w:eastAsiaTheme="minorEastAsia"/>
                      <w:snapToGrid w:val="0"/>
                      <w:color w:val="5B9BD5" w:themeColor="accent1"/>
                      <w:kern w:val="0"/>
                      <w:szCs w:val="21"/>
                      <w:lang w:val="en-US" w:eastAsia="zh-CN"/>
                      <w14:textFill>
                        <w14:solidFill>
                          <w14:schemeClr w14:val="accent1"/>
                        </w14:solidFill>
                      </w14:textFill>
                    </w:rPr>
                    <w:t>65</w:t>
                  </w:r>
                </w:p>
              </w:tc>
              <w:tc>
                <w:tcPr>
                  <w:tcW w:w="1261" w:type="dxa"/>
                  <w:tcBorders>
                    <w:tl2br w:val="nil"/>
                    <w:tr2bl w:val="nil"/>
                  </w:tcBorders>
                  <w:vAlign w:val="center"/>
                </w:tcPr>
                <w:p w14:paraId="366EA5BB">
                  <w:pPr>
                    <w:spacing w:line="260" w:lineRule="exact"/>
                    <w:jc w:val="center"/>
                    <w:rPr>
                      <w:rFonts w:hint="eastAsia" w:cs="Times New Roman" w:eastAsiaTheme="minorEastAsia"/>
                      <w:snapToGrid w:val="0"/>
                      <w:color w:val="5B9BD5" w:themeColor="accent1"/>
                      <w:kern w:val="0"/>
                      <w:szCs w:val="21"/>
                      <w:lang w:val="en-US" w:eastAsia="zh-CN"/>
                      <w14:textFill>
                        <w14:solidFill>
                          <w14:schemeClr w14:val="accent1"/>
                        </w14:solidFill>
                      </w14:textFill>
                    </w:rPr>
                  </w:pPr>
                  <w:r>
                    <w:rPr>
                      <w:rFonts w:hint="eastAsia" w:cs="Times New Roman" w:eastAsiaTheme="minorEastAsia"/>
                      <w:b w:val="0"/>
                      <w:bCs/>
                      <w:snapToGrid w:val="0"/>
                      <w:color w:val="5B9BD5" w:themeColor="accent1"/>
                      <w:kern w:val="0"/>
                      <w:szCs w:val="21"/>
                      <w:lang w:val="en-US" w:eastAsia="zh-CN"/>
                      <w14:textFill>
                        <w14:solidFill>
                          <w14:schemeClr w14:val="accent1"/>
                        </w14:solidFill>
                      </w14:textFill>
                    </w:rPr>
                    <w:t>55</w:t>
                  </w:r>
                </w:p>
              </w:tc>
            </w:tr>
            <w:tr w14:paraId="36B2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1487" w:type="pct"/>
                  <w:tcBorders>
                    <w:tl2br w:val="nil"/>
                    <w:tr2bl w:val="nil"/>
                  </w:tcBorders>
                  <w:vAlign w:val="center"/>
                </w:tcPr>
                <w:p w14:paraId="3C48645E">
                  <w:pPr>
                    <w:spacing w:line="260" w:lineRule="exact"/>
                    <w:jc w:val="center"/>
                    <w:rPr>
                      <w:rFonts w:hint="default" w:ascii="Times New Roman" w:hAnsi="Times New Roman" w:cs="Times New Roman" w:eastAsiaTheme="minorEastAsia"/>
                      <w:snapToGrid w:val="0"/>
                      <w:color w:val="5B9BD5" w:themeColor="accent1"/>
                      <w:kern w:val="0"/>
                      <w:szCs w:val="21"/>
                      <w14:textFill>
                        <w14:solidFill>
                          <w14:schemeClr w14:val="accent1"/>
                        </w14:solidFill>
                      </w14:textFill>
                    </w:rPr>
                  </w:pPr>
                  <w:r>
                    <w:rPr>
                      <w:rFonts w:hint="default" w:ascii="Times New Roman" w:hAnsi="Times New Roman" w:cs="Times New Roman" w:eastAsiaTheme="minorEastAsia"/>
                      <w:snapToGrid w:val="0"/>
                      <w:color w:val="5B9BD5" w:themeColor="accent1"/>
                      <w:kern w:val="0"/>
                      <w:szCs w:val="21"/>
                      <w14:textFill>
                        <w14:solidFill>
                          <w14:schemeClr w14:val="accent1"/>
                        </w14:solidFill>
                      </w14:textFill>
                    </w:rPr>
                    <w:t>西厂界</w:t>
                  </w:r>
                </w:p>
              </w:tc>
              <w:tc>
                <w:tcPr>
                  <w:tcW w:w="1430" w:type="pct"/>
                  <w:tcBorders>
                    <w:tl2br w:val="nil"/>
                    <w:tr2bl w:val="nil"/>
                  </w:tcBorders>
                  <w:vAlign w:val="center"/>
                </w:tcPr>
                <w:p w14:paraId="315416F8">
                  <w:pPr>
                    <w:spacing w:line="260" w:lineRule="exact"/>
                    <w:jc w:val="center"/>
                    <w:rPr>
                      <w:rFonts w:hint="default" w:ascii="Times New Roman" w:hAnsi="Times New Roman" w:cs="Times New Roman" w:eastAsiaTheme="minorEastAsia"/>
                      <w:snapToGrid w:val="0"/>
                      <w:color w:val="5B9BD5" w:themeColor="accent1"/>
                      <w:kern w:val="0"/>
                      <w:szCs w:val="21"/>
                      <w:lang w:val="en-US" w:eastAsia="zh-CN"/>
                      <w14:textFill>
                        <w14:solidFill>
                          <w14:schemeClr w14:val="accent1"/>
                        </w14:solidFill>
                      </w14:textFill>
                    </w:rPr>
                  </w:pPr>
                  <w:r>
                    <w:rPr>
                      <w:rFonts w:hint="eastAsia" w:cs="Times New Roman" w:eastAsiaTheme="minorEastAsia"/>
                      <w:snapToGrid w:val="0"/>
                      <w:color w:val="5B9BD5" w:themeColor="accent1"/>
                      <w:kern w:val="0"/>
                      <w:szCs w:val="21"/>
                      <w:lang w:val="en-US" w:eastAsia="zh-CN"/>
                      <w14:textFill>
                        <w14:solidFill>
                          <w14:schemeClr w14:val="accent1"/>
                        </w14:solidFill>
                      </w14:textFill>
                    </w:rPr>
                    <w:t>50.2</w:t>
                  </w:r>
                </w:p>
              </w:tc>
              <w:tc>
                <w:tcPr>
                  <w:tcW w:w="1041" w:type="pct"/>
                  <w:tcBorders>
                    <w:tl2br w:val="nil"/>
                    <w:tr2bl w:val="nil"/>
                  </w:tcBorders>
                  <w:vAlign w:val="center"/>
                </w:tcPr>
                <w:p w14:paraId="71A63F96">
                  <w:pPr>
                    <w:spacing w:line="260" w:lineRule="exact"/>
                    <w:jc w:val="center"/>
                    <w:rPr>
                      <w:rFonts w:hint="default" w:ascii="Times New Roman" w:hAnsi="Times New Roman" w:cs="Times New Roman" w:eastAsiaTheme="minorEastAsia"/>
                      <w:snapToGrid w:val="0"/>
                      <w:color w:val="5B9BD5" w:themeColor="accent1"/>
                      <w:kern w:val="0"/>
                      <w:szCs w:val="21"/>
                      <w:lang w:val="en-US" w:eastAsia="zh-CN"/>
                      <w14:textFill>
                        <w14:solidFill>
                          <w14:schemeClr w14:val="accent1"/>
                        </w14:solidFill>
                      </w14:textFill>
                    </w:rPr>
                  </w:pPr>
                  <w:r>
                    <w:rPr>
                      <w:rFonts w:hint="eastAsia" w:cs="Times New Roman" w:eastAsiaTheme="minorEastAsia"/>
                      <w:snapToGrid w:val="0"/>
                      <w:color w:val="5B9BD5" w:themeColor="accent1"/>
                      <w:kern w:val="0"/>
                      <w:szCs w:val="21"/>
                      <w:lang w:val="en-US" w:eastAsia="zh-CN"/>
                      <w14:textFill>
                        <w14:solidFill>
                          <w14:schemeClr w14:val="accent1"/>
                        </w14:solidFill>
                      </w14:textFill>
                    </w:rPr>
                    <w:t>65</w:t>
                  </w:r>
                </w:p>
              </w:tc>
              <w:tc>
                <w:tcPr>
                  <w:tcW w:w="1261" w:type="dxa"/>
                  <w:tcBorders>
                    <w:tl2br w:val="nil"/>
                    <w:tr2bl w:val="nil"/>
                  </w:tcBorders>
                  <w:vAlign w:val="center"/>
                </w:tcPr>
                <w:p w14:paraId="44FAAF05">
                  <w:pPr>
                    <w:spacing w:line="260" w:lineRule="exact"/>
                    <w:jc w:val="center"/>
                    <w:rPr>
                      <w:rFonts w:hint="eastAsia" w:cs="Times New Roman" w:eastAsiaTheme="minorEastAsia"/>
                      <w:snapToGrid w:val="0"/>
                      <w:color w:val="5B9BD5" w:themeColor="accent1"/>
                      <w:kern w:val="0"/>
                      <w:szCs w:val="21"/>
                      <w:lang w:val="en-US" w:eastAsia="zh-CN"/>
                      <w14:textFill>
                        <w14:solidFill>
                          <w14:schemeClr w14:val="accent1"/>
                        </w14:solidFill>
                      </w14:textFill>
                    </w:rPr>
                  </w:pPr>
                  <w:r>
                    <w:rPr>
                      <w:rFonts w:hint="eastAsia" w:cs="Times New Roman" w:eastAsiaTheme="minorEastAsia"/>
                      <w:b w:val="0"/>
                      <w:bCs/>
                      <w:snapToGrid w:val="0"/>
                      <w:color w:val="5B9BD5" w:themeColor="accent1"/>
                      <w:kern w:val="0"/>
                      <w:szCs w:val="21"/>
                      <w:lang w:val="en-US" w:eastAsia="zh-CN"/>
                      <w14:textFill>
                        <w14:solidFill>
                          <w14:schemeClr w14:val="accent1"/>
                        </w14:solidFill>
                      </w14:textFill>
                    </w:rPr>
                    <w:t>55</w:t>
                  </w:r>
                </w:p>
              </w:tc>
            </w:tr>
            <w:tr w14:paraId="3AEE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1487" w:type="pct"/>
                  <w:tcBorders>
                    <w:tl2br w:val="nil"/>
                    <w:tr2bl w:val="nil"/>
                  </w:tcBorders>
                  <w:vAlign w:val="center"/>
                </w:tcPr>
                <w:p w14:paraId="2BEF8296">
                  <w:pPr>
                    <w:spacing w:line="260" w:lineRule="exact"/>
                    <w:jc w:val="center"/>
                    <w:rPr>
                      <w:rFonts w:hint="default" w:ascii="Times New Roman" w:hAnsi="Times New Roman" w:cs="Times New Roman" w:eastAsiaTheme="minorEastAsia"/>
                      <w:snapToGrid w:val="0"/>
                      <w:color w:val="5B9BD5" w:themeColor="accent1"/>
                      <w:kern w:val="0"/>
                      <w:szCs w:val="21"/>
                      <w14:textFill>
                        <w14:solidFill>
                          <w14:schemeClr w14:val="accent1"/>
                        </w14:solidFill>
                      </w14:textFill>
                    </w:rPr>
                  </w:pPr>
                  <w:r>
                    <w:rPr>
                      <w:rFonts w:hint="default" w:ascii="Times New Roman" w:hAnsi="Times New Roman" w:cs="Times New Roman" w:eastAsiaTheme="minorEastAsia"/>
                      <w:snapToGrid w:val="0"/>
                      <w:color w:val="5B9BD5" w:themeColor="accent1"/>
                      <w:kern w:val="0"/>
                      <w:szCs w:val="21"/>
                      <w14:textFill>
                        <w14:solidFill>
                          <w14:schemeClr w14:val="accent1"/>
                        </w14:solidFill>
                      </w14:textFill>
                    </w:rPr>
                    <w:t>北厂界</w:t>
                  </w:r>
                </w:p>
              </w:tc>
              <w:tc>
                <w:tcPr>
                  <w:tcW w:w="1430" w:type="pct"/>
                  <w:tcBorders>
                    <w:tl2br w:val="nil"/>
                    <w:tr2bl w:val="nil"/>
                  </w:tcBorders>
                  <w:vAlign w:val="center"/>
                </w:tcPr>
                <w:p w14:paraId="7D701365">
                  <w:pPr>
                    <w:spacing w:line="260" w:lineRule="exact"/>
                    <w:jc w:val="center"/>
                    <w:rPr>
                      <w:rFonts w:hint="default" w:ascii="Times New Roman" w:hAnsi="Times New Roman" w:cs="Times New Roman" w:eastAsiaTheme="minorEastAsia"/>
                      <w:snapToGrid w:val="0"/>
                      <w:color w:val="5B9BD5" w:themeColor="accent1"/>
                      <w:kern w:val="0"/>
                      <w:szCs w:val="21"/>
                      <w:lang w:val="en-US" w:eastAsia="zh-CN"/>
                      <w14:textFill>
                        <w14:solidFill>
                          <w14:schemeClr w14:val="accent1"/>
                        </w14:solidFill>
                      </w14:textFill>
                    </w:rPr>
                  </w:pPr>
                  <w:r>
                    <w:rPr>
                      <w:rFonts w:hint="eastAsia" w:cs="Times New Roman" w:eastAsiaTheme="minorEastAsia"/>
                      <w:snapToGrid w:val="0"/>
                      <w:color w:val="5B9BD5" w:themeColor="accent1"/>
                      <w:kern w:val="0"/>
                      <w:szCs w:val="21"/>
                      <w:lang w:val="en-US" w:eastAsia="zh-CN"/>
                      <w14:textFill>
                        <w14:solidFill>
                          <w14:schemeClr w14:val="accent1"/>
                        </w14:solidFill>
                      </w14:textFill>
                    </w:rPr>
                    <w:t>48.4</w:t>
                  </w:r>
                </w:p>
              </w:tc>
              <w:tc>
                <w:tcPr>
                  <w:tcW w:w="1041" w:type="pct"/>
                  <w:tcBorders>
                    <w:tl2br w:val="nil"/>
                    <w:tr2bl w:val="nil"/>
                  </w:tcBorders>
                  <w:vAlign w:val="center"/>
                </w:tcPr>
                <w:p w14:paraId="42AE5613">
                  <w:pPr>
                    <w:spacing w:line="260" w:lineRule="exact"/>
                    <w:jc w:val="center"/>
                    <w:rPr>
                      <w:rFonts w:hint="default" w:ascii="Times New Roman" w:hAnsi="Times New Roman" w:cs="Times New Roman" w:eastAsiaTheme="minorEastAsia"/>
                      <w:snapToGrid w:val="0"/>
                      <w:color w:val="5B9BD5" w:themeColor="accent1"/>
                      <w:kern w:val="0"/>
                      <w:szCs w:val="21"/>
                      <w:lang w:val="en-US" w:eastAsia="zh-CN"/>
                      <w14:textFill>
                        <w14:solidFill>
                          <w14:schemeClr w14:val="accent1"/>
                        </w14:solidFill>
                      </w14:textFill>
                    </w:rPr>
                  </w:pPr>
                  <w:r>
                    <w:rPr>
                      <w:rFonts w:hint="eastAsia" w:cs="Times New Roman" w:eastAsiaTheme="minorEastAsia"/>
                      <w:snapToGrid w:val="0"/>
                      <w:color w:val="5B9BD5" w:themeColor="accent1"/>
                      <w:kern w:val="0"/>
                      <w:szCs w:val="21"/>
                      <w:lang w:val="en-US" w:eastAsia="zh-CN"/>
                      <w14:textFill>
                        <w14:solidFill>
                          <w14:schemeClr w14:val="accent1"/>
                        </w14:solidFill>
                      </w14:textFill>
                    </w:rPr>
                    <w:t>65</w:t>
                  </w:r>
                </w:p>
              </w:tc>
              <w:tc>
                <w:tcPr>
                  <w:tcW w:w="1261" w:type="dxa"/>
                  <w:tcBorders>
                    <w:tl2br w:val="nil"/>
                    <w:tr2bl w:val="nil"/>
                  </w:tcBorders>
                  <w:vAlign w:val="center"/>
                </w:tcPr>
                <w:p w14:paraId="6924739B">
                  <w:pPr>
                    <w:spacing w:line="260" w:lineRule="exact"/>
                    <w:jc w:val="center"/>
                    <w:rPr>
                      <w:rFonts w:hint="eastAsia" w:cs="Times New Roman" w:eastAsiaTheme="minorEastAsia"/>
                      <w:snapToGrid w:val="0"/>
                      <w:color w:val="5B9BD5" w:themeColor="accent1"/>
                      <w:kern w:val="0"/>
                      <w:szCs w:val="21"/>
                      <w:lang w:val="en-US" w:eastAsia="zh-CN"/>
                      <w14:textFill>
                        <w14:solidFill>
                          <w14:schemeClr w14:val="accent1"/>
                        </w14:solidFill>
                      </w14:textFill>
                    </w:rPr>
                  </w:pPr>
                  <w:r>
                    <w:rPr>
                      <w:rFonts w:hint="eastAsia" w:cs="Times New Roman" w:eastAsiaTheme="minorEastAsia"/>
                      <w:b w:val="0"/>
                      <w:bCs/>
                      <w:snapToGrid w:val="0"/>
                      <w:color w:val="5B9BD5" w:themeColor="accent1"/>
                      <w:kern w:val="0"/>
                      <w:szCs w:val="21"/>
                      <w:lang w:val="en-US" w:eastAsia="zh-CN"/>
                      <w14:textFill>
                        <w14:solidFill>
                          <w14:schemeClr w14:val="accent1"/>
                        </w14:solidFill>
                      </w14:textFill>
                    </w:rPr>
                    <w:t>55</w:t>
                  </w:r>
                </w:p>
              </w:tc>
            </w:tr>
          </w:tbl>
          <w:p w14:paraId="4CE29587">
            <w:pPr>
              <w:spacing w:line="480" w:lineRule="exact"/>
              <w:ind w:firstLine="480" w:firstLineChars="200"/>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sz w:val="24"/>
              </w:rPr>
              <w:t>由上表可以看出，本项目运营后厂界噪声满足《工业企业厂界环境噪声排放标准》</w:t>
            </w:r>
            <w:r>
              <w:rPr>
                <w:rFonts w:hint="eastAsia" w:cs="Times New Roman" w:eastAsiaTheme="minorEastAsia"/>
                <w:color w:val="auto"/>
                <w:sz w:val="24"/>
                <w:lang w:eastAsia="zh-CN"/>
              </w:rPr>
              <w:t>（</w:t>
            </w:r>
            <w:r>
              <w:rPr>
                <w:rFonts w:hint="default" w:ascii="Times New Roman" w:hAnsi="Times New Roman" w:cs="Times New Roman" w:eastAsiaTheme="minorEastAsia"/>
                <w:color w:val="auto"/>
                <w:sz w:val="24"/>
              </w:rPr>
              <w:t>GB12348-2008</w:t>
            </w:r>
            <w:r>
              <w:rPr>
                <w:rFonts w:hint="eastAsia" w:cs="Times New Roman" w:eastAsiaTheme="minorEastAsia"/>
                <w:color w:val="auto"/>
                <w:sz w:val="24"/>
                <w:lang w:eastAsia="zh-CN"/>
              </w:rPr>
              <w:t>）</w:t>
            </w:r>
            <w:r>
              <w:rPr>
                <w:rFonts w:hint="eastAsia" w:cs="Times New Roman" w:eastAsiaTheme="minorEastAsia"/>
                <w:color w:val="auto"/>
                <w:sz w:val="24"/>
                <w:lang w:val="en-US" w:eastAsia="zh-CN"/>
              </w:rPr>
              <w:t>3类</w:t>
            </w:r>
            <w:r>
              <w:rPr>
                <w:rFonts w:hint="default" w:ascii="Times New Roman" w:hAnsi="Times New Roman" w:cs="Times New Roman" w:eastAsiaTheme="minorEastAsia"/>
                <w:color w:val="auto"/>
                <w:sz w:val="24"/>
              </w:rPr>
              <w:t>标准。</w:t>
            </w:r>
          </w:p>
          <w:p w14:paraId="60502C7C">
            <w:pPr>
              <w:pStyle w:val="83"/>
              <w:spacing w:line="480" w:lineRule="exact"/>
              <w:ind w:firstLine="480" w:firstLineChars="200"/>
              <w:rPr>
                <w:rFonts w:hint="default" w:ascii="Times New Roman" w:hAnsi="Times New Roman" w:cs="Times New Roman" w:eastAsiaTheme="minorEastAsia"/>
                <w:b w:val="0"/>
                <w:bCs w:val="0"/>
                <w:color w:val="auto"/>
                <w:sz w:val="24"/>
                <w:szCs w:val="24"/>
              </w:rPr>
            </w:pPr>
            <w:r>
              <w:rPr>
                <w:rFonts w:hint="default" w:ascii="Times New Roman" w:hAnsi="Times New Roman" w:cs="Times New Roman" w:eastAsiaTheme="minorEastAsia"/>
                <w:b w:val="0"/>
                <w:bCs w:val="0"/>
                <w:color w:val="auto"/>
                <w:sz w:val="24"/>
                <w:szCs w:val="24"/>
              </w:rPr>
              <w:t>（3）声环境保护措施及其可行性分析</w:t>
            </w:r>
          </w:p>
          <w:p w14:paraId="194A26E7">
            <w:pPr>
              <w:pStyle w:val="83"/>
              <w:spacing w:line="480" w:lineRule="exact"/>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fldChar w:fldCharType="begin"/>
            </w:r>
            <w:r>
              <w:rPr>
                <w:rFonts w:hint="default" w:ascii="Times New Roman" w:hAnsi="Times New Roman" w:cs="Times New Roman" w:eastAsiaTheme="minorEastAsia"/>
                <w:color w:val="auto"/>
                <w:sz w:val="24"/>
                <w:szCs w:val="24"/>
              </w:rPr>
              <w:instrText xml:space="preserve"> = 1 \* GB3 \* MERGEFORMAT </w:instrText>
            </w:r>
            <w:r>
              <w:rPr>
                <w:rFonts w:hint="default" w:ascii="Times New Roman" w:hAnsi="Times New Roman" w:cs="Times New Roman" w:eastAsiaTheme="minorEastAsia"/>
                <w:color w:val="auto"/>
                <w:sz w:val="24"/>
                <w:szCs w:val="24"/>
              </w:rPr>
              <w:fldChar w:fldCharType="separate"/>
            </w:r>
            <w:r>
              <w:rPr>
                <w:rFonts w:hint="default" w:ascii="Times New Roman" w:hAnsi="Times New Roman" w:cs="Times New Roman"/>
                <w:color w:val="auto"/>
                <w:sz w:val="24"/>
                <w:szCs w:val="24"/>
              </w:rPr>
              <w:t>①</w:t>
            </w:r>
            <w:r>
              <w:rPr>
                <w:rFonts w:hint="default" w:ascii="Times New Roman" w:hAnsi="Times New Roman" w:cs="Times New Roman" w:eastAsiaTheme="minorEastAsia"/>
                <w:color w:val="auto"/>
                <w:sz w:val="24"/>
                <w:szCs w:val="24"/>
              </w:rPr>
              <w:fldChar w:fldCharType="end"/>
            </w:r>
            <w:r>
              <w:rPr>
                <w:rFonts w:hint="default" w:ascii="Times New Roman" w:hAnsi="Times New Roman" w:cs="Times New Roman" w:eastAsiaTheme="minorEastAsia"/>
                <w:color w:val="auto"/>
                <w:sz w:val="24"/>
                <w:szCs w:val="24"/>
              </w:rPr>
              <w:t>项目生产设备布置于厂房内，采取</w:t>
            </w:r>
            <w:r>
              <w:rPr>
                <w:rFonts w:hint="eastAsia" w:cs="Times New Roman" w:eastAsiaTheme="minorEastAsia"/>
                <w:color w:val="auto"/>
                <w:sz w:val="24"/>
                <w:szCs w:val="24"/>
                <w:lang w:val="en-US" w:eastAsia="zh-CN"/>
              </w:rPr>
              <w:t>厂房</w:t>
            </w:r>
            <w:r>
              <w:rPr>
                <w:rFonts w:hint="default" w:ascii="Times New Roman" w:hAnsi="Times New Roman" w:cs="Times New Roman" w:eastAsiaTheme="minorEastAsia"/>
                <w:color w:val="auto"/>
                <w:sz w:val="24"/>
                <w:szCs w:val="24"/>
              </w:rPr>
              <w:t>隔声措施，合理布置强噪声设备的位置，同时环评要求相应设备采取基础减振</w:t>
            </w:r>
            <w:r>
              <w:rPr>
                <w:rFonts w:hint="eastAsia" w:cs="Times New Roman" w:eastAsiaTheme="minorEastAsia"/>
                <w:color w:val="auto"/>
                <w:sz w:val="24"/>
                <w:szCs w:val="24"/>
                <w:lang w:val="en-US" w:eastAsia="zh-CN"/>
              </w:rPr>
              <w:t>等</w:t>
            </w:r>
            <w:r>
              <w:rPr>
                <w:rFonts w:hint="default" w:ascii="Times New Roman" w:hAnsi="Times New Roman" w:cs="Times New Roman" w:eastAsiaTheme="minorEastAsia"/>
                <w:color w:val="auto"/>
                <w:sz w:val="24"/>
                <w:szCs w:val="24"/>
              </w:rPr>
              <w:t>措施，本项目噪声排放不会对周围环境产生</w:t>
            </w:r>
            <w:r>
              <w:rPr>
                <w:rFonts w:hint="eastAsia" w:cs="Times New Roman" w:eastAsiaTheme="minorEastAsia"/>
                <w:color w:val="auto"/>
                <w:sz w:val="24"/>
                <w:szCs w:val="24"/>
                <w:lang w:val="en-US" w:eastAsia="zh-CN"/>
              </w:rPr>
              <w:t>较大</w:t>
            </w:r>
            <w:r>
              <w:rPr>
                <w:rFonts w:hint="default" w:ascii="Times New Roman" w:hAnsi="Times New Roman" w:cs="Times New Roman" w:eastAsiaTheme="minorEastAsia"/>
                <w:color w:val="auto"/>
                <w:sz w:val="24"/>
                <w:szCs w:val="24"/>
              </w:rPr>
              <w:t>影响。</w:t>
            </w:r>
          </w:p>
          <w:p w14:paraId="63E62D37">
            <w:pPr>
              <w:pStyle w:val="83"/>
              <w:spacing w:line="480" w:lineRule="exact"/>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fldChar w:fldCharType="begin"/>
            </w:r>
            <w:r>
              <w:rPr>
                <w:rFonts w:hint="default" w:ascii="Times New Roman" w:hAnsi="Times New Roman" w:cs="Times New Roman" w:eastAsiaTheme="minorEastAsia"/>
                <w:color w:val="auto"/>
                <w:sz w:val="24"/>
                <w:szCs w:val="24"/>
              </w:rPr>
              <w:instrText xml:space="preserve"> = 2 \* GB3 \* MERGEFORMAT </w:instrText>
            </w:r>
            <w:r>
              <w:rPr>
                <w:rFonts w:hint="default" w:ascii="Times New Roman" w:hAnsi="Times New Roman" w:cs="Times New Roman" w:eastAsiaTheme="minorEastAsia"/>
                <w:color w:val="auto"/>
                <w:sz w:val="24"/>
                <w:szCs w:val="24"/>
              </w:rPr>
              <w:fldChar w:fldCharType="separate"/>
            </w:r>
            <w:r>
              <w:rPr>
                <w:rFonts w:hint="default" w:ascii="Times New Roman" w:hAnsi="Times New Roman" w:cs="Times New Roman"/>
                <w:color w:val="auto"/>
                <w:sz w:val="24"/>
                <w:szCs w:val="24"/>
              </w:rPr>
              <w:t>②</w:t>
            </w:r>
            <w:r>
              <w:rPr>
                <w:rFonts w:hint="default" w:ascii="Times New Roman" w:hAnsi="Times New Roman" w:cs="Times New Roman" w:eastAsiaTheme="minorEastAsia"/>
                <w:color w:val="auto"/>
                <w:sz w:val="24"/>
                <w:szCs w:val="24"/>
              </w:rPr>
              <w:fldChar w:fldCharType="end"/>
            </w:r>
            <w:r>
              <w:rPr>
                <w:rFonts w:hint="default" w:ascii="Times New Roman" w:hAnsi="Times New Roman" w:cs="Times New Roman" w:eastAsiaTheme="minorEastAsia"/>
                <w:color w:val="auto"/>
                <w:sz w:val="24"/>
                <w:szCs w:val="24"/>
              </w:rPr>
              <w:t>建设单位应建立设备定期维护、保养的管理制度，以防止设备故障形成的非正常生产噪声，同时确保环保措施发挥最佳有效的功能；加强职工环保意识教育，提倡文明生产，防止人为噪声。</w:t>
            </w:r>
          </w:p>
          <w:p w14:paraId="699EEDD7">
            <w:pPr>
              <w:pStyle w:val="83"/>
              <w:spacing w:line="480" w:lineRule="exact"/>
              <w:ind w:firstLine="480" w:firstLineChars="200"/>
              <w:rPr>
                <w:rFonts w:hint="default" w:ascii="Times New Roman" w:hAnsi="Times New Roman" w:cs="Times New Roman"/>
                <w:color w:val="auto"/>
              </w:rPr>
            </w:pPr>
            <w:r>
              <w:rPr>
                <w:rFonts w:hint="eastAsia" w:cs="Times New Roman" w:eastAsiaTheme="minorEastAsia"/>
                <w:color w:val="auto"/>
                <w:sz w:val="24"/>
                <w:szCs w:val="24"/>
                <w:lang w:val="en-US" w:eastAsia="zh-CN"/>
              </w:rPr>
              <w:t>采取以上降噪</w:t>
            </w:r>
            <w:r>
              <w:rPr>
                <w:rFonts w:hint="default" w:ascii="Times New Roman" w:hAnsi="Times New Roman" w:cs="Times New Roman" w:eastAsiaTheme="minorEastAsia"/>
                <w:color w:val="auto"/>
                <w:sz w:val="24"/>
                <w:szCs w:val="24"/>
              </w:rPr>
              <w:t>措施后，本项目设备噪声不会对周边声环境产生明显影响。</w:t>
            </w:r>
          </w:p>
          <w:p w14:paraId="770C7EEE">
            <w:pPr>
              <w:snapToGrid w:val="0"/>
              <w:spacing w:line="480" w:lineRule="exact"/>
              <w:ind w:firstLine="480" w:firstLineChars="200"/>
              <w:rPr>
                <w:rFonts w:hint="default" w:ascii="Times New Roman" w:hAnsi="Times New Roman" w:cs="Times New Roman" w:eastAsiaTheme="minorEastAsia"/>
                <w:b w:val="0"/>
                <w:bCs w:val="0"/>
                <w:snapToGrid w:val="0"/>
                <w:color w:val="auto"/>
                <w:kern w:val="0"/>
                <w:sz w:val="24"/>
              </w:rPr>
            </w:pPr>
            <w:r>
              <w:rPr>
                <w:rFonts w:hint="default" w:ascii="Times New Roman" w:hAnsi="Times New Roman" w:cs="Times New Roman" w:eastAsiaTheme="minorEastAsia"/>
                <w:b w:val="0"/>
                <w:bCs w:val="0"/>
                <w:snapToGrid w:val="0"/>
                <w:color w:val="auto"/>
                <w:kern w:val="0"/>
                <w:sz w:val="24"/>
              </w:rPr>
              <w:t>（4）监测计划</w:t>
            </w:r>
          </w:p>
          <w:p w14:paraId="0F1260BC">
            <w:pPr>
              <w:snapToGrid w:val="0"/>
              <w:spacing w:line="480" w:lineRule="exact"/>
              <w:ind w:firstLine="480" w:firstLineChars="200"/>
              <w:contextualSpacing/>
              <w:jc w:val="left"/>
              <w:rPr>
                <w:rFonts w:hint="default" w:ascii="Times New Roman" w:hAnsi="Times New Roman" w:cs="Times New Roman" w:eastAsiaTheme="minorEastAsia"/>
                <w:bCs/>
                <w:snapToGrid w:val="0"/>
                <w:color w:val="auto"/>
                <w:kern w:val="0"/>
                <w:sz w:val="24"/>
              </w:rPr>
            </w:pPr>
            <w:r>
              <w:rPr>
                <w:rFonts w:hint="default" w:ascii="Times New Roman" w:hAnsi="Times New Roman" w:cs="Times New Roman" w:eastAsiaTheme="minorEastAsia"/>
                <w:bCs/>
                <w:snapToGrid w:val="0"/>
                <w:color w:val="auto"/>
                <w:kern w:val="0"/>
                <w:sz w:val="24"/>
              </w:rPr>
              <w:t>污染源监测计划如下：</w:t>
            </w:r>
          </w:p>
          <w:p w14:paraId="76C2F7B7">
            <w:pPr>
              <w:pStyle w:val="52"/>
              <w:adjustRightInd w:val="0"/>
              <w:snapToGrid w:val="0"/>
              <w:ind w:firstLine="2409" w:firstLineChars="1000"/>
              <w:rPr>
                <w:rFonts w:hint="default" w:ascii="Times New Roman" w:hAnsi="Times New Roman" w:cs="Times New Roman" w:eastAsiaTheme="minorEastAsia"/>
                <w:b/>
                <w:snapToGrid w:val="0"/>
                <w:color w:val="auto"/>
                <w:kern w:val="0"/>
                <w:szCs w:val="24"/>
              </w:rPr>
            </w:pPr>
            <w:r>
              <w:rPr>
                <w:rFonts w:hint="default" w:ascii="Times New Roman" w:hAnsi="Times New Roman" w:cs="Times New Roman" w:eastAsiaTheme="minorEastAsia"/>
                <w:b/>
                <w:bCs/>
                <w:color w:val="auto"/>
                <w:szCs w:val="24"/>
              </w:rPr>
              <w:t>表</w:t>
            </w:r>
            <w:r>
              <w:rPr>
                <w:rFonts w:hint="eastAsia" w:cs="Times New Roman" w:eastAsiaTheme="minorEastAsia"/>
                <w:b/>
                <w:bCs/>
                <w:color w:val="auto"/>
                <w:szCs w:val="24"/>
                <w:lang w:val="en-US" w:eastAsia="zh-CN"/>
              </w:rPr>
              <w:t>27</w:t>
            </w:r>
            <w:r>
              <w:rPr>
                <w:rFonts w:hint="default" w:ascii="Times New Roman" w:hAnsi="Times New Roman" w:cs="Times New Roman" w:eastAsiaTheme="minorEastAsia"/>
                <w:b/>
                <w:bCs/>
                <w:color w:val="auto"/>
                <w:szCs w:val="24"/>
              </w:rPr>
              <w:t xml:space="preserve">  </w:t>
            </w:r>
            <w:r>
              <w:rPr>
                <w:rFonts w:hint="default" w:ascii="Times New Roman" w:hAnsi="Times New Roman" w:cs="Times New Roman" w:eastAsiaTheme="minorEastAsia"/>
                <w:b/>
                <w:snapToGrid w:val="0"/>
                <w:color w:val="auto"/>
                <w:szCs w:val="24"/>
              </w:rPr>
              <w:t>污染源</w:t>
            </w:r>
            <w:r>
              <w:rPr>
                <w:rFonts w:hint="default" w:ascii="Times New Roman" w:hAnsi="Times New Roman" w:cs="Times New Roman" w:eastAsiaTheme="minorEastAsia"/>
                <w:b/>
                <w:snapToGrid w:val="0"/>
                <w:color w:val="auto"/>
                <w:kern w:val="0"/>
                <w:szCs w:val="24"/>
              </w:rPr>
              <w:t>监测计划</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14"/>
              <w:gridCol w:w="1068"/>
              <w:gridCol w:w="1329"/>
              <w:gridCol w:w="4293"/>
            </w:tblGrid>
            <w:tr w14:paraId="5FCA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71" w:type="pct"/>
                  <w:tcBorders>
                    <w:tl2br w:val="nil"/>
                    <w:tr2bl w:val="nil"/>
                  </w:tcBorders>
                  <w:vAlign w:val="center"/>
                </w:tcPr>
                <w:p w14:paraId="52BEF0B3">
                  <w:pPr>
                    <w:pStyle w:val="66"/>
                    <w:snapToGrid w:val="0"/>
                    <w:spacing w:line="300" w:lineRule="exact"/>
                    <w:contextualSpacing/>
                    <w:rPr>
                      <w:rFonts w:hint="default" w:ascii="Times New Roman" w:hAnsi="Times New Roman" w:cs="Times New Roman" w:eastAsiaTheme="minorEastAsia"/>
                      <w:b w:val="0"/>
                      <w:bCs w:val="0"/>
                      <w:snapToGrid w:val="0"/>
                      <w:color w:val="auto"/>
                      <w:kern w:val="0"/>
                      <w:szCs w:val="21"/>
                    </w:rPr>
                  </w:pPr>
                  <w:r>
                    <w:rPr>
                      <w:rFonts w:hint="default" w:ascii="Times New Roman" w:hAnsi="Times New Roman" w:cs="Times New Roman" w:eastAsiaTheme="minorEastAsia"/>
                      <w:b w:val="0"/>
                      <w:bCs w:val="0"/>
                      <w:snapToGrid w:val="0"/>
                      <w:color w:val="auto"/>
                      <w:kern w:val="0"/>
                      <w:szCs w:val="21"/>
                    </w:rPr>
                    <w:t>监测点位</w:t>
                  </w:r>
                </w:p>
              </w:tc>
              <w:tc>
                <w:tcPr>
                  <w:tcW w:w="643" w:type="pct"/>
                  <w:tcBorders>
                    <w:tl2br w:val="nil"/>
                    <w:tr2bl w:val="nil"/>
                  </w:tcBorders>
                  <w:vAlign w:val="center"/>
                </w:tcPr>
                <w:p w14:paraId="183A2E57">
                  <w:pPr>
                    <w:pStyle w:val="66"/>
                    <w:snapToGrid w:val="0"/>
                    <w:spacing w:line="300" w:lineRule="exact"/>
                    <w:contextualSpacing/>
                    <w:rPr>
                      <w:rFonts w:hint="default" w:ascii="Times New Roman" w:hAnsi="Times New Roman" w:cs="Times New Roman" w:eastAsiaTheme="minorEastAsia"/>
                      <w:b w:val="0"/>
                      <w:bCs w:val="0"/>
                      <w:snapToGrid w:val="0"/>
                      <w:color w:val="auto"/>
                      <w:kern w:val="0"/>
                      <w:szCs w:val="21"/>
                    </w:rPr>
                  </w:pPr>
                  <w:r>
                    <w:rPr>
                      <w:rFonts w:hint="default" w:ascii="Times New Roman" w:hAnsi="Times New Roman" w:cs="Times New Roman" w:eastAsiaTheme="minorEastAsia"/>
                      <w:b w:val="0"/>
                      <w:bCs w:val="0"/>
                      <w:snapToGrid w:val="0"/>
                      <w:color w:val="auto"/>
                      <w:kern w:val="0"/>
                      <w:szCs w:val="21"/>
                    </w:rPr>
                    <w:t>监测指标</w:t>
                  </w:r>
                </w:p>
              </w:tc>
              <w:tc>
                <w:tcPr>
                  <w:tcW w:w="800" w:type="pct"/>
                  <w:tcBorders>
                    <w:tl2br w:val="nil"/>
                    <w:tr2bl w:val="nil"/>
                  </w:tcBorders>
                  <w:vAlign w:val="center"/>
                </w:tcPr>
                <w:p w14:paraId="1F373162">
                  <w:pPr>
                    <w:pStyle w:val="66"/>
                    <w:snapToGrid w:val="0"/>
                    <w:spacing w:line="300" w:lineRule="exact"/>
                    <w:contextualSpacing/>
                    <w:rPr>
                      <w:rFonts w:hint="default" w:ascii="Times New Roman" w:hAnsi="Times New Roman" w:cs="Times New Roman" w:eastAsiaTheme="minorEastAsia"/>
                      <w:b w:val="0"/>
                      <w:bCs w:val="0"/>
                      <w:snapToGrid w:val="0"/>
                      <w:color w:val="auto"/>
                      <w:kern w:val="0"/>
                      <w:szCs w:val="21"/>
                    </w:rPr>
                  </w:pPr>
                  <w:r>
                    <w:rPr>
                      <w:rFonts w:hint="default" w:ascii="Times New Roman" w:hAnsi="Times New Roman" w:cs="Times New Roman" w:eastAsiaTheme="minorEastAsia"/>
                      <w:b w:val="0"/>
                      <w:bCs w:val="0"/>
                      <w:snapToGrid w:val="0"/>
                      <w:color w:val="auto"/>
                      <w:kern w:val="0"/>
                      <w:szCs w:val="21"/>
                    </w:rPr>
                    <w:t>监测频次</w:t>
                  </w:r>
                </w:p>
              </w:tc>
              <w:tc>
                <w:tcPr>
                  <w:tcW w:w="2584" w:type="pct"/>
                  <w:tcBorders>
                    <w:tl2br w:val="nil"/>
                    <w:tr2bl w:val="nil"/>
                  </w:tcBorders>
                  <w:vAlign w:val="center"/>
                </w:tcPr>
                <w:p w14:paraId="4FFF196C">
                  <w:pPr>
                    <w:pStyle w:val="66"/>
                    <w:snapToGrid w:val="0"/>
                    <w:spacing w:line="300" w:lineRule="exact"/>
                    <w:contextualSpacing/>
                    <w:rPr>
                      <w:rFonts w:hint="default" w:ascii="Times New Roman" w:hAnsi="Times New Roman" w:cs="Times New Roman" w:eastAsiaTheme="minorEastAsia"/>
                      <w:b w:val="0"/>
                      <w:bCs w:val="0"/>
                      <w:snapToGrid w:val="0"/>
                      <w:color w:val="auto"/>
                      <w:kern w:val="0"/>
                      <w:szCs w:val="21"/>
                    </w:rPr>
                  </w:pPr>
                  <w:r>
                    <w:rPr>
                      <w:rFonts w:hint="default" w:ascii="Times New Roman" w:hAnsi="Times New Roman" w:cs="Times New Roman" w:eastAsiaTheme="minorEastAsia"/>
                      <w:b w:val="0"/>
                      <w:bCs w:val="0"/>
                      <w:snapToGrid w:val="0"/>
                      <w:color w:val="auto"/>
                      <w:kern w:val="0"/>
                      <w:szCs w:val="21"/>
                    </w:rPr>
                    <w:t>执行排放标准</w:t>
                  </w:r>
                </w:p>
              </w:tc>
            </w:tr>
            <w:tr w14:paraId="4DDD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971" w:type="pct"/>
                  <w:tcBorders>
                    <w:tl2br w:val="nil"/>
                    <w:tr2bl w:val="nil"/>
                  </w:tcBorders>
                  <w:vAlign w:val="center"/>
                </w:tcPr>
                <w:p w14:paraId="11DC8814">
                  <w:pPr>
                    <w:spacing w:line="240" w:lineRule="exact"/>
                    <w:jc w:val="center"/>
                    <w:rPr>
                      <w:rFonts w:hint="eastAsia" w:ascii="Times New Roman" w:hAnsi="Times New Roman" w:cs="Times New Roman" w:eastAsiaTheme="minorEastAsia"/>
                      <w:snapToGrid w:val="0"/>
                      <w:color w:val="auto"/>
                      <w:kern w:val="0"/>
                      <w:szCs w:val="21"/>
                      <w:lang w:val="en-US" w:eastAsia="zh-CN"/>
                    </w:rPr>
                  </w:pPr>
                  <w:r>
                    <w:rPr>
                      <w:rFonts w:hint="default" w:ascii="Times New Roman" w:hAnsi="Times New Roman" w:cs="Times New Roman" w:eastAsiaTheme="minorEastAsia"/>
                      <w:snapToGrid w:val="0"/>
                      <w:color w:val="auto"/>
                      <w:kern w:val="0"/>
                      <w:szCs w:val="21"/>
                    </w:rPr>
                    <w:t>厂界</w:t>
                  </w:r>
                </w:p>
              </w:tc>
              <w:tc>
                <w:tcPr>
                  <w:tcW w:w="643" w:type="pct"/>
                  <w:tcBorders>
                    <w:tl2br w:val="nil"/>
                    <w:tr2bl w:val="nil"/>
                  </w:tcBorders>
                  <w:vAlign w:val="center"/>
                </w:tcPr>
                <w:p w14:paraId="3C654A63">
                  <w:pPr>
                    <w:spacing w:line="240" w:lineRule="exact"/>
                    <w:jc w:val="center"/>
                    <w:rPr>
                      <w:rFonts w:hint="default" w:ascii="Times New Roman" w:hAnsi="Times New Roman" w:cs="Times New Roman" w:eastAsiaTheme="minorEastAsia"/>
                      <w:snapToGrid w:val="0"/>
                      <w:color w:val="auto"/>
                      <w:kern w:val="0"/>
                      <w:szCs w:val="21"/>
                    </w:rPr>
                  </w:pPr>
                  <w:r>
                    <w:rPr>
                      <w:rFonts w:hint="default" w:ascii="Times New Roman" w:hAnsi="Times New Roman" w:cs="Times New Roman" w:eastAsiaTheme="minorEastAsia"/>
                      <w:snapToGrid w:val="0"/>
                      <w:color w:val="auto"/>
                      <w:kern w:val="0"/>
                      <w:szCs w:val="21"/>
                    </w:rPr>
                    <w:t>等效连续A声级</w:t>
                  </w:r>
                </w:p>
              </w:tc>
              <w:tc>
                <w:tcPr>
                  <w:tcW w:w="800" w:type="pct"/>
                  <w:tcBorders>
                    <w:tl2br w:val="nil"/>
                    <w:tr2bl w:val="nil"/>
                  </w:tcBorders>
                  <w:vAlign w:val="center"/>
                </w:tcPr>
                <w:p w14:paraId="13D7A7CC">
                  <w:pPr>
                    <w:spacing w:line="240" w:lineRule="exact"/>
                    <w:jc w:val="center"/>
                    <w:rPr>
                      <w:rFonts w:hint="default" w:ascii="Times New Roman" w:hAnsi="Times New Roman" w:cs="Times New Roman" w:eastAsiaTheme="minorEastAsia"/>
                      <w:snapToGrid w:val="0"/>
                      <w:color w:val="auto"/>
                      <w:kern w:val="0"/>
                      <w:szCs w:val="21"/>
                    </w:rPr>
                  </w:pPr>
                  <w:r>
                    <w:rPr>
                      <w:rFonts w:hint="default" w:ascii="Times New Roman" w:hAnsi="Times New Roman" w:cs="Times New Roman" w:eastAsiaTheme="minorEastAsia"/>
                      <w:snapToGrid w:val="0"/>
                      <w:color w:val="auto"/>
                      <w:kern w:val="0"/>
                      <w:szCs w:val="21"/>
                    </w:rPr>
                    <w:t>1次/季度</w:t>
                  </w:r>
                </w:p>
              </w:tc>
              <w:tc>
                <w:tcPr>
                  <w:tcW w:w="2584" w:type="pct"/>
                  <w:tcBorders>
                    <w:tl2br w:val="nil"/>
                    <w:tr2bl w:val="nil"/>
                  </w:tcBorders>
                  <w:vAlign w:val="center"/>
                </w:tcPr>
                <w:p w14:paraId="71C32C13">
                  <w:pPr>
                    <w:spacing w:line="240" w:lineRule="exact"/>
                    <w:jc w:val="center"/>
                    <w:rPr>
                      <w:rFonts w:hint="default" w:ascii="Times New Roman" w:hAnsi="Times New Roman" w:cs="Times New Roman" w:eastAsiaTheme="minorEastAsia"/>
                      <w:snapToGrid w:val="0"/>
                      <w:color w:val="auto"/>
                      <w:kern w:val="0"/>
                      <w:szCs w:val="21"/>
                    </w:rPr>
                  </w:pPr>
                  <w:r>
                    <w:rPr>
                      <w:rFonts w:hint="default" w:ascii="Times New Roman" w:hAnsi="Times New Roman" w:cs="Times New Roman" w:eastAsiaTheme="minorEastAsia"/>
                      <w:snapToGrid w:val="0"/>
                      <w:color w:val="auto"/>
                      <w:kern w:val="0"/>
                      <w:szCs w:val="21"/>
                    </w:rPr>
                    <w:t>《工业企业厂界环境噪声排放标准》</w:t>
                  </w:r>
                  <w:r>
                    <w:rPr>
                      <w:rFonts w:hint="eastAsia" w:cs="Times New Roman" w:eastAsiaTheme="minorEastAsia"/>
                      <w:snapToGrid w:val="0"/>
                      <w:color w:val="auto"/>
                      <w:kern w:val="0"/>
                      <w:szCs w:val="21"/>
                      <w:lang w:eastAsia="zh-CN"/>
                    </w:rPr>
                    <w:t>（</w:t>
                  </w:r>
                  <w:r>
                    <w:rPr>
                      <w:rFonts w:hint="default" w:ascii="Times New Roman" w:hAnsi="Times New Roman" w:cs="Times New Roman" w:eastAsiaTheme="minorEastAsia"/>
                      <w:snapToGrid w:val="0"/>
                      <w:color w:val="auto"/>
                      <w:kern w:val="0"/>
                      <w:szCs w:val="21"/>
                    </w:rPr>
                    <w:t>GB12348-2008</w:t>
                  </w:r>
                  <w:r>
                    <w:rPr>
                      <w:rFonts w:hint="eastAsia" w:cs="Times New Roman" w:eastAsiaTheme="minorEastAsia"/>
                      <w:snapToGrid w:val="0"/>
                      <w:color w:val="auto"/>
                      <w:kern w:val="0"/>
                      <w:szCs w:val="21"/>
                      <w:lang w:eastAsia="zh-CN"/>
                    </w:rPr>
                    <w:t>）</w:t>
                  </w:r>
                  <w:r>
                    <w:rPr>
                      <w:rFonts w:hint="eastAsia" w:cs="Times New Roman" w:eastAsiaTheme="minorEastAsia"/>
                      <w:snapToGrid w:val="0"/>
                      <w:color w:val="auto"/>
                      <w:kern w:val="0"/>
                      <w:szCs w:val="21"/>
                      <w:lang w:val="en-US" w:eastAsia="zh-CN"/>
                    </w:rPr>
                    <w:t>3</w:t>
                  </w:r>
                  <w:r>
                    <w:rPr>
                      <w:rFonts w:hint="default" w:ascii="Times New Roman" w:hAnsi="Times New Roman" w:cs="Times New Roman" w:eastAsiaTheme="minorEastAsia"/>
                      <w:snapToGrid w:val="0"/>
                      <w:color w:val="auto"/>
                      <w:kern w:val="0"/>
                      <w:szCs w:val="21"/>
                    </w:rPr>
                    <w:t>类标准</w:t>
                  </w:r>
                </w:p>
              </w:tc>
            </w:tr>
          </w:tbl>
          <w:p w14:paraId="6E872A37">
            <w:pPr>
              <w:keepNext w:val="0"/>
              <w:keepLines w:val="0"/>
              <w:pageBreakBefore w:val="0"/>
              <w:widowControl w:val="0"/>
              <w:kinsoku/>
              <w:wordWrap/>
              <w:overflowPunct/>
              <w:topLinePunct w:val="0"/>
              <w:autoSpaceDE/>
              <w:autoSpaceDN/>
              <w:bidi w:val="0"/>
              <w:adjustRightInd/>
              <w:snapToGrid/>
              <w:spacing w:line="500" w:lineRule="exact"/>
              <w:ind w:firstLine="475" w:firstLineChars="197"/>
              <w:textAlignment w:val="auto"/>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4、固体废物</w:t>
            </w:r>
          </w:p>
          <w:p w14:paraId="4D066501">
            <w:pPr>
              <w:pStyle w:val="92"/>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default" w:cs="Times New Roman"/>
                <w:b w:val="0"/>
                <w:bCs w:val="0"/>
                <w:color w:val="auto"/>
                <w:lang w:val="en-US" w:eastAsia="zh-CN"/>
              </w:rPr>
            </w:pPr>
            <w:r>
              <w:rPr>
                <w:rFonts w:hint="eastAsia" w:cs="Times New Roman"/>
                <w:b w:val="0"/>
                <w:bCs w:val="0"/>
                <w:color w:val="auto"/>
                <w:lang w:eastAsia="zh-CN"/>
              </w:rPr>
              <w:t>（</w:t>
            </w:r>
            <w:r>
              <w:rPr>
                <w:rFonts w:hint="eastAsia" w:cs="Times New Roman"/>
                <w:b w:val="0"/>
                <w:bCs w:val="0"/>
                <w:color w:val="auto"/>
                <w:lang w:val="en-US" w:eastAsia="zh-CN"/>
              </w:rPr>
              <w:t>1</w:t>
            </w:r>
            <w:r>
              <w:rPr>
                <w:rFonts w:hint="eastAsia" w:cs="Times New Roman"/>
                <w:b w:val="0"/>
                <w:bCs w:val="0"/>
                <w:color w:val="auto"/>
                <w:lang w:eastAsia="zh-CN"/>
              </w:rPr>
              <w:t>）</w:t>
            </w:r>
            <w:r>
              <w:rPr>
                <w:rFonts w:hint="eastAsia" w:cs="Times New Roman"/>
                <w:b w:val="0"/>
                <w:bCs w:val="0"/>
                <w:color w:val="auto"/>
                <w:lang w:val="en-US" w:eastAsia="zh-CN"/>
              </w:rPr>
              <w:t>生活垃圾</w:t>
            </w:r>
          </w:p>
          <w:p w14:paraId="73E85C7F">
            <w:pPr>
              <w:pStyle w:val="92"/>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s="Times New Roman"/>
                <w:color w:val="auto"/>
                <w:lang w:val="en-US" w:eastAsia="zh-CN"/>
              </w:rPr>
            </w:pPr>
            <w:r>
              <w:rPr>
                <w:rFonts w:hint="eastAsia" w:cs="Times New Roman"/>
                <w:color w:val="auto"/>
                <w:lang w:val="en-US" w:eastAsia="zh-CN"/>
              </w:rPr>
              <w:t>项目生活垃圾（</w:t>
            </w:r>
            <w:r>
              <w:rPr>
                <w:rFonts w:hint="eastAsia" w:ascii="Times New Roman" w:hAnsi="Times New Roman" w:eastAsia="宋体" w:cs="Times New Roman"/>
                <w:b w:val="0"/>
                <w:bCs w:val="0"/>
                <w:color w:val="000000" w:themeColor="text1"/>
                <w:szCs w:val="21"/>
                <w:lang w:val="en-US" w:eastAsia="zh-CN"/>
                <w14:textFill>
                  <w14:solidFill>
                    <w14:schemeClr w14:val="tx1"/>
                  </w14:solidFill>
                </w14:textFill>
              </w:rPr>
              <w:t>SW64其他垃圾（900-099-S64）</w:t>
            </w:r>
            <w:r>
              <w:rPr>
                <w:rFonts w:hint="eastAsia" w:cs="Times New Roman"/>
                <w:color w:val="auto"/>
                <w:lang w:val="en-US" w:eastAsia="zh-CN"/>
              </w:rPr>
              <w:t>）产生量为1.5t/a，委托环卫部门处理。</w:t>
            </w:r>
          </w:p>
          <w:p w14:paraId="258AB980">
            <w:pPr>
              <w:pStyle w:val="92"/>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default" w:cs="Times New Roman"/>
                <w:b w:val="0"/>
                <w:bCs w:val="0"/>
                <w:color w:val="auto"/>
                <w:lang w:val="en-US" w:eastAsia="zh-CN"/>
              </w:rPr>
            </w:pPr>
            <w:r>
              <w:rPr>
                <w:rFonts w:hint="eastAsia" w:cs="Times New Roman"/>
                <w:b w:val="0"/>
                <w:bCs w:val="0"/>
                <w:color w:val="auto"/>
                <w:lang w:eastAsia="zh-CN"/>
              </w:rPr>
              <w:t>（</w:t>
            </w:r>
            <w:r>
              <w:rPr>
                <w:rFonts w:hint="eastAsia" w:cs="Times New Roman"/>
                <w:b w:val="0"/>
                <w:bCs w:val="0"/>
                <w:color w:val="auto"/>
                <w:lang w:val="en-US" w:eastAsia="zh-CN"/>
              </w:rPr>
              <w:t>2</w:t>
            </w:r>
            <w:r>
              <w:rPr>
                <w:rFonts w:hint="eastAsia" w:cs="Times New Roman"/>
                <w:b w:val="0"/>
                <w:bCs w:val="0"/>
                <w:color w:val="auto"/>
                <w:lang w:eastAsia="zh-CN"/>
              </w:rPr>
              <w:t>）</w:t>
            </w:r>
            <w:r>
              <w:rPr>
                <w:rFonts w:hint="eastAsia" w:cs="Times New Roman"/>
                <w:b w:val="0"/>
                <w:bCs w:val="0"/>
                <w:color w:val="auto"/>
                <w:lang w:val="en-US" w:eastAsia="zh-CN"/>
              </w:rPr>
              <w:t>一般工业固体废物</w:t>
            </w:r>
          </w:p>
          <w:p w14:paraId="0C1641A2">
            <w:pPr>
              <w:pStyle w:val="92"/>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default" w:ascii="Times New Roman" w:hAnsi="Times New Roman" w:cs="Times New Roman"/>
                <w:b w:val="0"/>
                <w:bCs w:val="0"/>
                <w:color w:val="auto"/>
              </w:rPr>
            </w:pPr>
            <w:r>
              <w:rPr>
                <w:rFonts w:hint="eastAsia" w:cs="Times New Roman"/>
                <w:b w:val="0"/>
                <w:bCs w:val="0"/>
                <w:color w:val="auto"/>
                <w:lang w:val="en-US" w:eastAsia="zh-CN"/>
              </w:rPr>
              <w:t>1）</w:t>
            </w:r>
            <w:r>
              <w:rPr>
                <w:rFonts w:hint="default" w:ascii="Times New Roman" w:hAnsi="Times New Roman" w:cs="Times New Roman"/>
                <w:b w:val="0"/>
                <w:bCs w:val="0"/>
                <w:color w:val="auto"/>
              </w:rPr>
              <w:t>环境影响分析</w:t>
            </w:r>
          </w:p>
          <w:p w14:paraId="2507EFDF">
            <w:pPr>
              <w:pStyle w:val="92"/>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default" w:ascii="Times New Roman" w:hAnsi="Times New Roman" w:eastAsia="宋体" w:cs="Times New Roman"/>
                <w:color w:val="auto"/>
                <w:lang w:val="en-US" w:eastAsia="zh-CN"/>
              </w:rPr>
            </w:pPr>
            <w:r>
              <w:rPr>
                <w:rFonts w:hint="eastAsia" w:cs="Times New Roman"/>
                <w:color w:val="000000" w:themeColor="text1"/>
                <w:lang w:val="en-US" w:eastAsia="zh-CN"/>
                <w14:textFill>
                  <w14:solidFill>
                    <w14:schemeClr w14:val="tx1"/>
                  </w14:solidFill>
                </w14:textFill>
              </w:rPr>
              <w:t>项目</w:t>
            </w:r>
            <w:r>
              <w:rPr>
                <w:rFonts w:hint="eastAsia" w:cs="Times New Roman"/>
                <w:color w:val="auto"/>
                <w:lang w:val="en-US" w:eastAsia="zh-CN"/>
              </w:rPr>
              <w:t>除尘灰产生量为0.247</w:t>
            </w:r>
            <w:r>
              <w:rPr>
                <w:rFonts w:hint="eastAsia" w:cs="Times New Roman"/>
                <w:color w:val="auto"/>
                <w:sz w:val="24"/>
                <w:lang w:val="en-US" w:eastAsia="zh-CN"/>
              </w:rPr>
              <w:t>t/a</w:t>
            </w:r>
            <w:r>
              <w:rPr>
                <w:rFonts w:hint="eastAsia" w:cs="Times New Roman"/>
                <w:color w:val="auto"/>
                <w:lang w:val="en-US" w:eastAsia="zh-CN"/>
              </w:rPr>
              <w:t>，废布袋产生量为0.05</w:t>
            </w:r>
            <w:r>
              <w:rPr>
                <w:rFonts w:hint="eastAsia" w:cs="Times New Roman"/>
                <w:color w:val="auto"/>
                <w:sz w:val="24"/>
                <w:lang w:val="en-US" w:eastAsia="zh-CN"/>
              </w:rPr>
              <w:t>t/a</w:t>
            </w:r>
            <w:r>
              <w:rPr>
                <w:rFonts w:hint="eastAsia" w:cs="Times New Roman"/>
                <w:color w:val="auto"/>
                <w:lang w:val="en-US" w:eastAsia="zh-CN"/>
              </w:rPr>
              <w:t>，沉淀池、喷淋塔底泥</w:t>
            </w:r>
            <w:r>
              <w:rPr>
                <w:rFonts w:hint="eastAsia" w:cs="Times New Roman"/>
                <w:color w:val="auto"/>
                <w:sz w:val="24"/>
                <w:lang w:val="en-US" w:eastAsia="zh-CN"/>
              </w:rPr>
              <w:t>产生量为2t/a，废边角料产生量为86.736t/a，</w:t>
            </w:r>
            <w:r>
              <w:rPr>
                <w:rFonts w:hint="eastAsia" w:cs="Times New Roman"/>
                <w:color w:val="auto"/>
                <w:lang w:val="en-US" w:eastAsia="zh-CN"/>
              </w:rPr>
              <w:t>包装废料</w:t>
            </w:r>
            <w:r>
              <w:rPr>
                <w:rFonts w:hint="eastAsia" w:cs="Times New Roman"/>
                <w:color w:val="auto"/>
                <w:sz w:val="24"/>
                <w:lang w:val="en-US" w:eastAsia="zh-CN"/>
              </w:rPr>
              <w:t>产生量为0.005t/a，收集后外售</w:t>
            </w:r>
            <w:r>
              <w:rPr>
                <w:rFonts w:hint="eastAsia" w:cs="Times New Roman"/>
                <w:color w:val="auto"/>
                <w:lang w:val="en-US" w:eastAsia="zh-CN"/>
              </w:rPr>
              <w:t>；</w:t>
            </w:r>
            <w:r>
              <w:rPr>
                <w:rFonts w:hint="eastAsia" w:cs="Times New Roman"/>
                <w:color w:val="ED7D31" w:themeColor="accent2"/>
                <w:lang w:val="en-US" w:eastAsia="zh-CN"/>
                <w14:textFill>
                  <w14:solidFill>
                    <w14:schemeClr w14:val="accent2"/>
                  </w14:solidFill>
                </w14:textFill>
              </w:rPr>
              <w:t>废过滤网</w:t>
            </w:r>
            <w:r>
              <w:rPr>
                <w:rFonts w:hint="eastAsia" w:cs="Times New Roman"/>
                <w:color w:val="ED7D31" w:themeColor="accent2"/>
                <w:sz w:val="24"/>
                <w:lang w:val="en-US" w:eastAsia="zh-CN"/>
                <w14:textFill>
                  <w14:solidFill>
                    <w14:schemeClr w14:val="accent2"/>
                  </w14:solidFill>
                </w14:textFill>
              </w:rPr>
              <w:t>产生量为0.3t/a，</w:t>
            </w:r>
            <w:r>
              <w:rPr>
                <w:rFonts w:hint="eastAsia" w:cs="Times New Roman"/>
                <w:color w:val="ED7D31" w:themeColor="accent2"/>
                <w:lang w:val="en-US" w:eastAsia="zh-CN"/>
                <w14:textFill>
                  <w14:solidFill>
                    <w14:schemeClr w14:val="accent2"/>
                  </w14:solidFill>
                </w14:textFill>
              </w:rPr>
              <w:t>委托专人处置后回用。</w:t>
            </w:r>
          </w:p>
          <w:p w14:paraId="4B5D9C5B">
            <w:pPr>
              <w:pStyle w:val="9"/>
              <w:spacing w:line="440" w:lineRule="exact"/>
              <w:ind w:left="0" w:leftChars="0" w:firstLine="0" w:firstLineChars="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表</w:t>
            </w:r>
            <w:r>
              <w:rPr>
                <w:rFonts w:hint="eastAsia" w:cs="Times New Roman"/>
                <w:b/>
                <w:bCs/>
                <w:color w:val="auto"/>
                <w:sz w:val="24"/>
                <w:lang w:val="en-US" w:eastAsia="zh-CN"/>
              </w:rPr>
              <w:t>28   项目一般工业固体废物类别及处理措施一览表</w:t>
            </w:r>
          </w:p>
          <w:tbl>
            <w:tblPr>
              <w:tblStyle w:val="29"/>
              <w:tblW w:w="8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
              <w:gridCol w:w="745"/>
              <w:gridCol w:w="807"/>
              <w:gridCol w:w="510"/>
              <w:gridCol w:w="1650"/>
              <w:gridCol w:w="675"/>
              <w:gridCol w:w="750"/>
              <w:gridCol w:w="900"/>
              <w:gridCol w:w="930"/>
              <w:gridCol w:w="862"/>
            </w:tblGrid>
            <w:tr w14:paraId="5DBA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02" w:type="dxa"/>
                  <w:tcBorders>
                    <w:tl2br w:val="nil"/>
                    <w:tr2bl w:val="nil"/>
                  </w:tcBorders>
                  <w:vAlign w:val="center"/>
                </w:tcPr>
                <w:p w14:paraId="0811E7D6">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rPr>
                      <w:rFonts w:hint="eastAsia" w:ascii="Times New Roman" w:hAnsi="Times New Roman" w:eastAsia="宋体" w:cs="Times New Roman"/>
                      <w:b w:val="0"/>
                      <w:bCs w:val="0"/>
                      <w:color w:val="000000" w:themeColor="text1"/>
                      <w:szCs w:val="21"/>
                      <w:lang w:eastAsia="zh-CN"/>
                      <w14:textFill>
                        <w14:solidFill>
                          <w14:schemeClr w14:val="tx1"/>
                        </w14:solidFill>
                      </w14:textFill>
                    </w:rPr>
                  </w:pPr>
                  <w:r>
                    <w:rPr>
                      <w:rFonts w:hint="eastAsia" w:cs="Times New Roman"/>
                      <w:b w:val="0"/>
                      <w:bCs w:val="0"/>
                      <w:color w:val="000000" w:themeColor="text1"/>
                      <w:szCs w:val="21"/>
                      <w:lang w:val="en-US" w:eastAsia="zh-CN"/>
                      <w14:textFill>
                        <w14:solidFill>
                          <w14:schemeClr w14:val="tx1"/>
                        </w14:solidFill>
                      </w14:textFill>
                    </w:rPr>
                    <w:t>序号</w:t>
                  </w:r>
                </w:p>
              </w:tc>
              <w:tc>
                <w:tcPr>
                  <w:tcW w:w="745" w:type="dxa"/>
                  <w:tcBorders>
                    <w:tl2br w:val="nil"/>
                    <w:tr2bl w:val="nil"/>
                  </w:tcBorders>
                  <w:vAlign w:val="center"/>
                </w:tcPr>
                <w:p w14:paraId="71CA4C06">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rPr>
                      <w:rFonts w:hint="eastAsia" w:cs="Times New Roman"/>
                      <w:b w:val="0"/>
                      <w:bCs w:val="0"/>
                      <w:color w:val="000000" w:themeColor="text1"/>
                      <w:szCs w:val="21"/>
                      <w:lang w:val="en-US" w:eastAsia="zh-CN"/>
                      <w14:textFill>
                        <w14:solidFill>
                          <w14:schemeClr w14:val="tx1"/>
                        </w14:solidFill>
                      </w14:textFill>
                    </w:rPr>
                  </w:pPr>
                  <w:r>
                    <w:rPr>
                      <w:rFonts w:hint="eastAsia" w:cs="Times New Roman"/>
                      <w:b w:val="0"/>
                      <w:bCs w:val="0"/>
                      <w:color w:val="000000" w:themeColor="text1"/>
                      <w:szCs w:val="21"/>
                      <w:lang w:val="en-US" w:eastAsia="zh-CN"/>
                      <w14:textFill>
                        <w14:solidFill>
                          <w14:schemeClr w14:val="tx1"/>
                        </w14:solidFill>
                      </w14:textFill>
                    </w:rPr>
                    <w:t>产生</w:t>
                  </w:r>
                </w:p>
                <w:p w14:paraId="5ADD3AC9">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环节</w:t>
                  </w:r>
                </w:p>
              </w:tc>
              <w:tc>
                <w:tcPr>
                  <w:tcW w:w="807" w:type="dxa"/>
                  <w:tcBorders>
                    <w:tl2br w:val="nil"/>
                    <w:tr2bl w:val="nil"/>
                  </w:tcBorders>
                  <w:vAlign w:val="center"/>
                </w:tcPr>
                <w:p w14:paraId="20681CC0">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rPr>
                      <w:rFonts w:hint="eastAsia" w:ascii="Times New Roman" w:hAnsi="Times New Roman" w:eastAsia="宋体" w:cs="Times New Roman"/>
                      <w:b w:val="0"/>
                      <w:bCs w:val="0"/>
                      <w:color w:val="000000" w:themeColor="text1"/>
                      <w:szCs w:val="21"/>
                      <w:lang w:val="en-US" w:eastAsia="zh-CN"/>
                      <w14:textFill>
                        <w14:solidFill>
                          <w14:schemeClr w14:val="tx1"/>
                        </w14:solidFill>
                      </w14:textFill>
                    </w:rPr>
                  </w:pPr>
                  <w:r>
                    <w:rPr>
                      <w:rFonts w:hint="eastAsia" w:cs="Times New Roman"/>
                      <w:b w:val="0"/>
                      <w:bCs w:val="0"/>
                      <w:color w:val="000000" w:themeColor="text1"/>
                      <w:szCs w:val="21"/>
                      <w:lang w:val="en-US" w:eastAsia="zh-CN"/>
                      <w14:textFill>
                        <w14:solidFill>
                          <w14:schemeClr w14:val="tx1"/>
                        </w14:solidFill>
                      </w14:textFill>
                    </w:rPr>
                    <w:t>名称</w:t>
                  </w:r>
                </w:p>
              </w:tc>
              <w:tc>
                <w:tcPr>
                  <w:tcW w:w="510" w:type="dxa"/>
                  <w:tcBorders>
                    <w:tl2br w:val="nil"/>
                    <w:tr2bl w:val="nil"/>
                  </w:tcBorders>
                  <w:vAlign w:val="center"/>
                </w:tcPr>
                <w:p w14:paraId="4F2D8B2E">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rPr>
                      <w:rFonts w:hint="eastAsia" w:ascii="Times New Roman" w:hAnsi="Times New Roman" w:eastAsia="宋体" w:cs="Times New Roman"/>
                      <w:b w:val="0"/>
                      <w:bCs w:val="0"/>
                      <w:color w:val="000000" w:themeColor="text1"/>
                      <w:szCs w:val="21"/>
                      <w:lang w:eastAsia="zh-CN"/>
                      <w14:textFill>
                        <w14:solidFill>
                          <w14:schemeClr w14:val="tx1"/>
                        </w14:solidFill>
                      </w14:textFill>
                    </w:rPr>
                  </w:pPr>
                  <w:r>
                    <w:rPr>
                      <w:rFonts w:hint="eastAsia" w:cs="Times New Roman"/>
                      <w:b w:val="0"/>
                      <w:bCs w:val="0"/>
                      <w:color w:val="000000" w:themeColor="text1"/>
                      <w:szCs w:val="21"/>
                      <w:lang w:val="en-US" w:eastAsia="zh-CN"/>
                      <w14:textFill>
                        <w14:solidFill>
                          <w14:schemeClr w14:val="tx1"/>
                        </w14:solidFill>
                      </w14:textFill>
                    </w:rPr>
                    <w:t>属性</w:t>
                  </w:r>
                </w:p>
              </w:tc>
              <w:tc>
                <w:tcPr>
                  <w:tcW w:w="1650" w:type="dxa"/>
                  <w:tcBorders>
                    <w:tl2br w:val="nil"/>
                    <w:tr2bl w:val="nil"/>
                  </w:tcBorders>
                  <w:vAlign w:val="center"/>
                </w:tcPr>
                <w:p w14:paraId="41A8FD9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cs="Times New Roman"/>
                      <w:b w:val="0"/>
                      <w:bCs w:val="0"/>
                      <w:color w:val="000000" w:themeColor="text1"/>
                      <w:szCs w:val="21"/>
                      <w:lang w:val="en-US" w:eastAsia="zh-CN"/>
                      <w14:textFill>
                        <w14:solidFill>
                          <w14:schemeClr w14:val="tx1"/>
                        </w14:solidFill>
                      </w14:textFill>
                    </w:rPr>
                  </w:pPr>
                  <w:r>
                    <w:rPr>
                      <w:rFonts w:hint="eastAsia"/>
                      <w:b w:val="0"/>
                      <w:bCs w:val="0"/>
                      <w:color w:val="auto"/>
                      <w:lang w:val="zh-CN"/>
                    </w:rPr>
                    <w:t>固废代码</w:t>
                  </w:r>
                </w:p>
              </w:tc>
              <w:tc>
                <w:tcPr>
                  <w:tcW w:w="675" w:type="dxa"/>
                  <w:tcBorders>
                    <w:tl2br w:val="nil"/>
                    <w:tr2bl w:val="nil"/>
                  </w:tcBorders>
                  <w:vAlign w:val="center"/>
                </w:tcPr>
                <w:p w14:paraId="3C2E728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b w:val="0"/>
                      <w:bCs w:val="0"/>
                      <w:color w:val="000000" w:themeColor="text1"/>
                      <w:szCs w:val="21"/>
                      <w:lang w:eastAsia="zh-CN"/>
                      <w14:textFill>
                        <w14:solidFill>
                          <w14:schemeClr w14:val="tx1"/>
                        </w14:solidFill>
                      </w14:textFill>
                    </w:rPr>
                  </w:pPr>
                  <w:r>
                    <w:rPr>
                      <w:rFonts w:hint="eastAsia" w:cs="Times New Roman"/>
                      <w:b w:val="0"/>
                      <w:bCs w:val="0"/>
                      <w:color w:val="000000" w:themeColor="text1"/>
                      <w:szCs w:val="21"/>
                      <w:lang w:val="en-US" w:eastAsia="zh-CN"/>
                      <w14:textFill>
                        <w14:solidFill>
                          <w14:schemeClr w14:val="tx1"/>
                        </w14:solidFill>
                      </w14:textFill>
                    </w:rPr>
                    <w:t>物理性状</w:t>
                  </w:r>
                </w:p>
              </w:tc>
              <w:tc>
                <w:tcPr>
                  <w:tcW w:w="750" w:type="dxa"/>
                  <w:tcBorders>
                    <w:tl2br w:val="nil"/>
                    <w:tr2bl w:val="nil"/>
                  </w:tcBorders>
                  <w:vAlign w:val="center"/>
                </w:tcPr>
                <w:p w14:paraId="1C50C1E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cs="Times New Roman"/>
                      <w:b w:val="0"/>
                      <w:bCs w:val="0"/>
                      <w:color w:val="000000" w:themeColor="text1"/>
                      <w:szCs w:val="21"/>
                      <w:lang w:val="en-US" w:eastAsia="zh-CN"/>
                      <w14:textFill>
                        <w14:solidFill>
                          <w14:schemeClr w14:val="tx1"/>
                        </w14:solidFill>
                      </w14:textFill>
                    </w:rPr>
                  </w:pPr>
                  <w:r>
                    <w:rPr>
                      <w:rFonts w:hint="default" w:cs="Times New Roman"/>
                      <w:b w:val="0"/>
                      <w:bCs w:val="0"/>
                      <w:color w:val="000000" w:themeColor="text1"/>
                      <w:szCs w:val="21"/>
                      <w:lang w:val="en-US" w:eastAsia="zh-CN"/>
                      <w14:textFill>
                        <w14:solidFill>
                          <w14:schemeClr w14:val="tx1"/>
                        </w14:solidFill>
                      </w14:textFill>
                    </w:rPr>
                    <w:t>产生量</w:t>
                  </w:r>
                </w:p>
                <w:p w14:paraId="3709268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cs="Times New Roman"/>
                      <w:b w:val="0"/>
                      <w:bCs w:val="0"/>
                      <w:color w:val="000000" w:themeColor="text1"/>
                      <w:szCs w:val="21"/>
                      <w:lang w:val="en-US" w:eastAsia="zh-CN"/>
                      <w14:textFill>
                        <w14:solidFill>
                          <w14:schemeClr w14:val="tx1"/>
                        </w14:solidFill>
                      </w14:textFill>
                    </w:rPr>
                  </w:pPr>
                  <w:r>
                    <w:rPr>
                      <w:rFonts w:hint="default" w:cs="Times New Roman"/>
                      <w:b w:val="0"/>
                      <w:bCs w:val="0"/>
                      <w:color w:val="000000" w:themeColor="text1"/>
                      <w:szCs w:val="21"/>
                      <w:lang w:val="en-US" w:eastAsia="zh-CN"/>
                      <w14:textFill>
                        <w14:solidFill>
                          <w14:schemeClr w14:val="tx1"/>
                        </w14:solidFill>
                      </w14:textFill>
                    </w:rPr>
                    <w:t>（t/a）</w:t>
                  </w:r>
                </w:p>
              </w:tc>
              <w:tc>
                <w:tcPr>
                  <w:tcW w:w="900" w:type="dxa"/>
                  <w:tcBorders>
                    <w:tl2br w:val="nil"/>
                    <w:tr2bl w:val="nil"/>
                  </w:tcBorders>
                  <w:vAlign w:val="center"/>
                </w:tcPr>
                <w:p w14:paraId="6872A3E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cs="Times New Roman"/>
                      <w:b w:val="0"/>
                      <w:bCs w:val="0"/>
                      <w:color w:val="000000" w:themeColor="text1"/>
                      <w:szCs w:val="21"/>
                      <w:lang w:val="en-US" w:eastAsia="zh-CN"/>
                      <w14:textFill>
                        <w14:solidFill>
                          <w14:schemeClr w14:val="tx1"/>
                        </w14:solidFill>
                      </w14:textFill>
                    </w:rPr>
                  </w:pPr>
                  <w:r>
                    <w:rPr>
                      <w:rFonts w:hint="eastAsia" w:cs="Times New Roman"/>
                      <w:b w:val="0"/>
                      <w:bCs w:val="0"/>
                      <w:color w:val="000000" w:themeColor="text1"/>
                      <w:szCs w:val="21"/>
                      <w:lang w:val="en-US" w:eastAsia="zh-CN"/>
                      <w14:textFill>
                        <w14:solidFill>
                          <w14:schemeClr w14:val="tx1"/>
                        </w14:solidFill>
                      </w14:textFill>
                    </w:rPr>
                    <w:t>贮存</w:t>
                  </w:r>
                </w:p>
                <w:p w14:paraId="2FD603C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b w:val="0"/>
                      <w:bCs w:val="0"/>
                      <w:color w:val="000000" w:themeColor="text1"/>
                      <w:szCs w:val="21"/>
                      <w:lang w:val="en-US" w:eastAsia="zh-CN"/>
                      <w14:textFill>
                        <w14:solidFill>
                          <w14:schemeClr w14:val="tx1"/>
                        </w14:solidFill>
                      </w14:textFill>
                    </w:rPr>
                  </w:pPr>
                  <w:r>
                    <w:rPr>
                      <w:rFonts w:hint="eastAsia" w:cs="Times New Roman"/>
                      <w:b w:val="0"/>
                      <w:bCs w:val="0"/>
                      <w:color w:val="000000" w:themeColor="text1"/>
                      <w:szCs w:val="21"/>
                      <w:lang w:val="en-US" w:eastAsia="zh-CN"/>
                      <w14:textFill>
                        <w14:solidFill>
                          <w14:schemeClr w14:val="tx1"/>
                        </w14:solidFill>
                      </w14:textFill>
                    </w:rPr>
                    <w:t>方式</w:t>
                  </w:r>
                </w:p>
              </w:tc>
              <w:tc>
                <w:tcPr>
                  <w:tcW w:w="930" w:type="dxa"/>
                  <w:tcBorders>
                    <w:tl2br w:val="nil"/>
                    <w:tr2bl w:val="nil"/>
                  </w:tcBorders>
                  <w:vAlign w:val="center"/>
                </w:tcPr>
                <w:p w14:paraId="560512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利用处置方式和去向</w:t>
                  </w:r>
                </w:p>
              </w:tc>
              <w:tc>
                <w:tcPr>
                  <w:tcW w:w="862" w:type="dxa"/>
                  <w:tcBorders>
                    <w:tl2br w:val="nil"/>
                    <w:tr2bl w:val="nil"/>
                  </w:tcBorders>
                  <w:vAlign w:val="center"/>
                </w:tcPr>
                <w:p w14:paraId="1CDEC63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利用或处置量（t/a）</w:t>
                  </w:r>
                </w:p>
              </w:tc>
            </w:tr>
            <w:tr w14:paraId="3BD2F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02" w:type="dxa"/>
                  <w:tcBorders>
                    <w:tl2br w:val="nil"/>
                    <w:tr2bl w:val="nil"/>
                  </w:tcBorders>
                  <w:vAlign w:val="center"/>
                </w:tcPr>
                <w:p w14:paraId="4EA090E9">
                  <w:pPr>
                    <w:spacing w:line="240" w:lineRule="exact"/>
                    <w:ind w:left="-105" w:leftChars="-50" w:right="-105" w:rightChars="-50"/>
                    <w:jc w:val="center"/>
                    <w:rPr>
                      <w:rFonts w:hint="default" w:cs="Times New Roman"/>
                      <w:b w:val="0"/>
                      <w:bCs w:val="0"/>
                      <w:color w:val="000000" w:themeColor="text1"/>
                      <w:szCs w:val="21"/>
                      <w:lang w:val="en-US" w:eastAsia="zh-CN"/>
                      <w14:textFill>
                        <w14:solidFill>
                          <w14:schemeClr w14:val="tx1"/>
                        </w14:solidFill>
                      </w14:textFill>
                    </w:rPr>
                  </w:pPr>
                  <w:r>
                    <w:rPr>
                      <w:rFonts w:hint="eastAsia" w:cs="Times New Roman"/>
                      <w:b w:val="0"/>
                      <w:bCs w:val="0"/>
                      <w:color w:val="000000" w:themeColor="text1"/>
                      <w:szCs w:val="21"/>
                      <w:lang w:val="en-US" w:eastAsia="zh-CN"/>
                      <w14:textFill>
                        <w14:solidFill>
                          <w14:schemeClr w14:val="tx1"/>
                        </w14:solidFill>
                      </w14:textFill>
                    </w:rPr>
                    <w:t>1</w:t>
                  </w:r>
                </w:p>
              </w:tc>
              <w:tc>
                <w:tcPr>
                  <w:tcW w:w="745" w:type="dxa"/>
                  <w:tcBorders>
                    <w:tl2br w:val="nil"/>
                    <w:tr2bl w:val="nil"/>
                  </w:tcBorders>
                  <w:vAlign w:val="center"/>
                </w:tcPr>
                <w:p w14:paraId="1898C729">
                  <w:pPr>
                    <w:pStyle w:val="87"/>
                    <w:spacing w:line="280" w:lineRule="exact"/>
                    <w:ind w:firstLine="0" w:firstLineChars="0"/>
                    <w:jc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eastAsia="宋体" w:cs="Times New Roman"/>
                      <w:bCs/>
                      <w:color w:val="auto"/>
                      <w:sz w:val="21"/>
                      <w:szCs w:val="21"/>
                      <w:shd w:val="clear" w:color="auto" w:fill="auto"/>
                      <w:lang w:val="en-US" w:eastAsia="zh-CN"/>
                    </w:rPr>
                    <w:t>沉淀池、喷淋塔</w:t>
                  </w:r>
                </w:p>
              </w:tc>
              <w:tc>
                <w:tcPr>
                  <w:tcW w:w="807" w:type="dxa"/>
                  <w:tcBorders>
                    <w:tl2br w:val="nil"/>
                    <w:tr2bl w:val="nil"/>
                  </w:tcBorders>
                  <w:vAlign w:val="center"/>
                </w:tcPr>
                <w:p w14:paraId="5B3F3626">
                  <w:pPr>
                    <w:pStyle w:val="87"/>
                    <w:spacing w:line="280" w:lineRule="exact"/>
                    <w:ind w:firstLine="0" w:firstLineChars="0"/>
                    <w:jc w:val="center"/>
                    <w:rPr>
                      <w:rFonts w:hint="eastAsia"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Cs/>
                      <w:color w:val="auto"/>
                      <w:sz w:val="21"/>
                      <w:szCs w:val="21"/>
                      <w:shd w:val="clear" w:color="auto" w:fill="auto"/>
                      <w:lang w:val="en-US" w:eastAsia="zh-CN"/>
                    </w:rPr>
                    <w:t>底泥（主要为塑料碎屑）</w:t>
                  </w:r>
                </w:p>
              </w:tc>
              <w:tc>
                <w:tcPr>
                  <w:tcW w:w="510" w:type="dxa"/>
                  <w:vMerge w:val="restart"/>
                  <w:tcBorders>
                    <w:tl2br w:val="nil"/>
                    <w:tr2bl w:val="nil"/>
                  </w:tcBorders>
                  <w:vAlign w:val="center"/>
                </w:tcPr>
                <w:p w14:paraId="18405672">
                  <w:pPr>
                    <w:spacing w:line="240" w:lineRule="exact"/>
                    <w:ind w:left="-105" w:leftChars="-50" w:right="-105" w:rightChars="-50"/>
                    <w:jc w:val="center"/>
                    <w:rPr>
                      <w:rFonts w:hint="eastAsia" w:ascii="Times New Roman" w:hAnsi="Times New Roman" w:eastAsia="宋体" w:cs="Times New Roman"/>
                      <w:b w:val="0"/>
                      <w:bCs w:val="0"/>
                      <w:color w:val="000000" w:themeColor="text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Cs w:val="21"/>
                      <w:lang w:val="en-US" w:eastAsia="zh-CN"/>
                      <w14:textFill>
                        <w14:solidFill>
                          <w14:schemeClr w14:val="tx1"/>
                        </w14:solidFill>
                      </w14:textFill>
                    </w:rPr>
                    <w:t>一般工业固体废物</w:t>
                  </w:r>
                </w:p>
              </w:tc>
              <w:tc>
                <w:tcPr>
                  <w:tcW w:w="1650" w:type="dxa"/>
                  <w:tcBorders>
                    <w:tl2br w:val="nil"/>
                    <w:tr2bl w:val="nil"/>
                  </w:tcBorders>
                  <w:vAlign w:val="center"/>
                </w:tcPr>
                <w:p w14:paraId="10E41081">
                  <w:pPr>
                    <w:spacing w:line="240" w:lineRule="exact"/>
                    <w:jc w:val="center"/>
                    <w:rPr>
                      <w:rFonts w:hint="eastAsia"/>
                      <w:b w:val="0"/>
                      <w:bCs w:val="0"/>
                      <w:color w:val="auto"/>
                      <w:lang w:val="zh-CN"/>
                    </w:rPr>
                  </w:pPr>
                  <w:r>
                    <w:rPr>
                      <w:rFonts w:hint="eastAsia"/>
                      <w:b w:val="0"/>
                      <w:bCs w:val="0"/>
                      <w:color w:val="auto"/>
                      <w:lang w:val="zh-CN"/>
                    </w:rPr>
                    <w:t>SW17</w:t>
                  </w:r>
                </w:p>
                <w:p w14:paraId="413398EB">
                  <w:pPr>
                    <w:spacing w:line="240" w:lineRule="exact"/>
                    <w:jc w:val="center"/>
                    <w:rPr>
                      <w:rFonts w:hint="eastAsia"/>
                      <w:b w:val="0"/>
                      <w:bCs w:val="0"/>
                      <w:color w:val="auto"/>
                      <w:lang w:val="zh-CN"/>
                    </w:rPr>
                  </w:pPr>
                  <w:r>
                    <w:rPr>
                      <w:rFonts w:hint="eastAsia"/>
                      <w:b w:val="0"/>
                      <w:bCs w:val="0"/>
                      <w:color w:val="auto"/>
                      <w:lang w:val="zh-CN"/>
                    </w:rPr>
                    <w:t>可再生类废物（900-003-S17）</w:t>
                  </w:r>
                </w:p>
              </w:tc>
              <w:tc>
                <w:tcPr>
                  <w:tcW w:w="675" w:type="dxa"/>
                  <w:tcBorders>
                    <w:tl2br w:val="nil"/>
                    <w:tr2bl w:val="nil"/>
                  </w:tcBorders>
                  <w:vAlign w:val="center"/>
                </w:tcPr>
                <w:p w14:paraId="4EEFCDC5">
                  <w:pPr>
                    <w:spacing w:line="240" w:lineRule="exact"/>
                    <w:jc w:val="center"/>
                    <w:rPr>
                      <w:rFonts w:hint="default" w:cs="Times New Roman"/>
                      <w:b w:val="0"/>
                      <w:bCs w:val="0"/>
                      <w:color w:val="000000" w:themeColor="text1"/>
                      <w:szCs w:val="21"/>
                      <w:lang w:val="en-US" w:eastAsia="zh-CN"/>
                      <w14:textFill>
                        <w14:solidFill>
                          <w14:schemeClr w14:val="tx1"/>
                        </w14:solidFill>
                      </w14:textFill>
                    </w:rPr>
                  </w:pPr>
                  <w:r>
                    <w:rPr>
                      <w:rFonts w:hint="eastAsia" w:cs="Times New Roman"/>
                      <w:b w:val="0"/>
                      <w:bCs w:val="0"/>
                      <w:color w:val="000000" w:themeColor="text1"/>
                      <w:szCs w:val="21"/>
                      <w:lang w:val="en-US" w:eastAsia="zh-CN"/>
                      <w14:textFill>
                        <w14:solidFill>
                          <w14:schemeClr w14:val="tx1"/>
                        </w14:solidFill>
                      </w14:textFill>
                    </w:rPr>
                    <w:t>固态</w:t>
                  </w:r>
                </w:p>
              </w:tc>
              <w:tc>
                <w:tcPr>
                  <w:tcW w:w="750" w:type="dxa"/>
                  <w:tcBorders>
                    <w:tl2br w:val="nil"/>
                    <w:tr2bl w:val="nil"/>
                  </w:tcBorders>
                  <w:vAlign w:val="center"/>
                </w:tcPr>
                <w:p w14:paraId="4B3147F0">
                  <w:pPr>
                    <w:spacing w:line="240" w:lineRule="exact"/>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2</w:t>
                  </w:r>
                </w:p>
              </w:tc>
              <w:tc>
                <w:tcPr>
                  <w:tcW w:w="900" w:type="dxa"/>
                  <w:vMerge w:val="restart"/>
                  <w:tcBorders>
                    <w:tl2br w:val="nil"/>
                    <w:tr2bl w:val="nil"/>
                  </w:tcBorders>
                  <w:vAlign w:val="center"/>
                </w:tcPr>
                <w:p w14:paraId="74F76A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r>
                    <w:rPr>
                      <w:rFonts w:hint="eastAsia" w:cs="Times New Roman"/>
                      <w:b w:val="0"/>
                      <w:bCs w:val="0"/>
                      <w:color w:val="000000" w:themeColor="text1"/>
                      <w:szCs w:val="21"/>
                      <w:lang w:val="en-US" w:eastAsia="zh-CN"/>
                      <w14:textFill>
                        <w14:solidFill>
                          <w14:schemeClr w14:val="tx1"/>
                        </w14:solidFill>
                      </w14:textFill>
                    </w:rPr>
                    <w:t>暂存于一般固废间</w:t>
                  </w:r>
                </w:p>
              </w:tc>
              <w:tc>
                <w:tcPr>
                  <w:tcW w:w="930" w:type="dxa"/>
                  <w:vMerge w:val="restart"/>
                  <w:tcBorders>
                    <w:tl2br w:val="nil"/>
                    <w:tr2bl w:val="nil"/>
                  </w:tcBorders>
                  <w:vAlign w:val="center"/>
                </w:tcPr>
                <w:p w14:paraId="2792D8C6">
                  <w:pPr>
                    <w:spacing w:line="280" w:lineRule="exact"/>
                    <w:jc w:val="center"/>
                    <w:rPr>
                      <w:rFonts w:hint="default" w:ascii="Times New Roman" w:hAnsi="Times New Roman" w:cs="Times New Roman"/>
                      <w:b w:val="0"/>
                      <w:bCs w:val="0"/>
                      <w:color w:val="000000" w:themeColor="text1"/>
                      <w:szCs w:val="21"/>
                      <w14:textFill>
                        <w14:solidFill>
                          <w14:schemeClr w14:val="tx1"/>
                        </w14:solidFill>
                      </w14:textFill>
                    </w:rPr>
                  </w:pPr>
                  <w:r>
                    <w:rPr>
                      <w:rFonts w:hint="eastAsia" w:cs="Times New Roman"/>
                      <w:color w:val="auto"/>
                      <w:szCs w:val="21"/>
                      <w:shd w:val="clear" w:color="auto" w:fill="auto"/>
                      <w:lang w:val="en-US" w:eastAsia="zh-CN"/>
                    </w:rPr>
                    <w:t>外售</w:t>
                  </w:r>
                </w:p>
              </w:tc>
              <w:tc>
                <w:tcPr>
                  <w:tcW w:w="862" w:type="dxa"/>
                  <w:tcBorders>
                    <w:tl2br w:val="nil"/>
                    <w:tr2bl w:val="nil"/>
                  </w:tcBorders>
                  <w:vAlign w:val="center"/>
                </w:tcPr>
                <w:p w14:paraId="4F76980B">
                  <w:pPr>
                    <w:spacing w:line="240" w:lineRule="exact"/>
                    <w:jc w:val="center"/>
                    <w:rPr>
                      <w:rFonts w:hint="default" w:ascii="Times New Roman" w:hAnsi="Times New Roman" w:eastAsia="宋体" w:cs="Times New Roman"/>
                      <w:b w:val="0"/>
                      <w:bCs w:val="0"/>
                      <w:color w:val="000000" w:themeColor="text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2</w:t>
                  </w:r>
                </w:p>
              </w:tc>
            </w:tr>
            <w:tr w14:paraId="6165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02" w:type="dxa"/>
                  <w:tcBorders>
                    <w:tl2br w:val="nil"/>
                    <w:tr2bl w:val="nil"/>
                  </w:tcBorders>
                  <w:vAlign w:val="center"/>
                </w:tcPr>
                <w:p w14:paraId="04C2A9FB">
                  <w:pPr>
                    <w:spacing w:line="240" w:lineRule="exact"/>
                    <w:ind w:left="-105" w:leftChars="-50" w:right="-105" w:rightChars="-50"/>
                    <w:jc w:val="center"/>
                    <w:rPr>
                      <w:rFonts w:hint="default" w:cs="Times New Roman"/>
                      <w:b w:val="0"/>
                      <w:bCs w:val="0"/>
                      <w:color w:val="000000" w:themeColor="text1"/>
                      <w:szCs w:val="21"/>
                      <w:lang w:val="en-US" w:eastAsia="zh-CN"/>
                      <w14:textFill>
                        <w14:solidFill>
                          <w14:schemeClr w14:val="tx1"/>
                        </w14:solidFill>
                      </w14:textFill>
                    </w:rPr>
                  </w:pPr>
                  <w:r>
                    <w:rPr>
                      <w:rFonts w:hint="eastAsia" w:cs="Times New Roman"/>
                      <w:b w:val="0"/>
                      <w:bCs w:val="0"/>
                      <w:color w:val="000000" w:themeColor="text1"/>
                      <w:szCs w:val="21"/>
                      <w:lang w:val="en-US" w:eastAsia="zh-CN"/>
                      <w14:textFill>
                        <w14:solidFill>
                          <w14:schemeClr w14:val="tx1"/>
                        </w14:solidFill>
                      </w14:textFill>
                    </w:rPr>
                    <w:t>2</w:t>
                  </w:r>
                </w:p>
              </w:tc>
              <w:tc>
                <w:tcPr>
                  <w:tcW w:w="745" w:type="dxa"/>
                  <w:vMerge w:val="restart"/>
                  <w:tcBorders>
                    <w:tl2br w:val="nil"/>
                    <w:tr2bl w:val="nil"/>
                  </w:tcBorders>
                  <w:vAlign w:val="center"/>
                </w:tcPr>
                <w:p w14:paraId="799BFCD7">
                  <w:pPr>
                    <w:pStyle w:val="87"/>
                    <w:spacing w:line="280" w:lineRule="exact"/>
                    <w:ind w:firstLine="0" w:firstLineChars="0"/>
                    <w:jc w:val="center"/>
                    <w:rPr>
                      <w:rFonts w:hint="default" w:ascii="Times New Roman" w:hAnsi="Times New Roman" w:eastAsia="宋体" w:cs="Times New Roman"/>
                      <w:bCs/>
                      <w:color w:val="0000FF"/>
                      <w:sz w:val="21"/>
                      <w:szCs w:val="21"/>
                      <w:shd w:val="clear" w:color="auto" w:fill="auto"/>
                      <w:lang w:val="en-US" w:eastAsia="zh-CN"/>
                    </w:rPr>
                  </w:pPr>
                  <w:r>
                    <w:rPr>
                      <w:rFonts w:hint="eastAsia" w:ascii="Times New Roman" w:hAnsi="Times New Roman" w:cs="Times New Roman"/>
                      <w:bCs/>
                      <w:color w:val="0000FF"/>
                      <w:sz w:val="21"/>
                      <w:szCs w:val="21"/>
                      <w:shd w:val="clear" w:color="auto" w:fill="auto"/>
                      <w:lang w:val="en-US" w:eastAsia="zh-CN"/>
                    </w:rPr>
                    <w:t>除尘器</w:t>
                  </w:r>
                </w:p>
              </w:tc>
              <w:tc>
                <w:tcPr>
                  <w:tcW w:w="807" w:type="dxa"/>
                  <w:tcBorders>
                    <w:tl2br w:val="nil"/>
                    <w:tr2bl w:val="nil"/>
                  </w:tcBorders>
                  <w:vAlign w:val="center"/>
                </w:tcPr>
                <w:p w14:paraId="3B0FCA29">
                  <w:pPr>
                    <w:pStyle w:val="87"/>
                    <w:spacing w:line="280" w:lineRule="exact"/>
                    <w:ind w:firstLine="0" w:firstLineChars="0"/>
                    <w:jc w:val="center"/>
                    <w:rPr>
                      <w:rFonts w:hint="default" w:ascii="Times New Roman" w:hAnsi="Times New Roman" w:cs="Times New Roman"/>
                      <w:bCs/>
                      <w:color w:val="0000FF"/>
                      <w:sz w:val="21"/>
                      <w:szCs w:val="21"/>
                      <w:shd w:val="clear" w:color="auto" w:fill="auto"/>
                      <w:lang w:val="en-US" w:eastAsia="zh-CN"/>
                    </w:rPr>
                  </w:pPr>
                  <w:r>
                    <w:rPr>
                      <w:rFonts w:hint="eastAsia" w:ascii="Times New Roman" w:hAnsi="Times New Roman" w:cs="Times New Roman"/>
                      <w:bCs/>
                      <w:color w:val="0000FF"/>
                      <w:sz w:val="21"/>
                      <w:szCs w:val="21"/>
                      <w:shd w:val="clear" w:color="auto" w:fill="auto"/>
                      <w:lang w:val="en-US" w:eastAsia="zh-CN"/>
                    </w:rPr>
                    <w:t>除尘灰（主要为塑料碎屑）</w:t>
                  </w:r>
                </w:p>
              </w:tc>
              <w:tc>
                <w:tcPr>
                  <w:tcW w:w="510" w:type="dxa"/>
                  <w:vMerge w:val="continue"/>
                  <w:tcBorders>
                    <w:tl2br w:val="nil"/>
                    <w:tr2bl w:val="nil"/>
                  </w:tcBorders>
                  <w:vAlign w:val="center"/>
                </w:tcPr>
                <w:p w14:paraId="0DF9BB89">
                  <w:pPr>
                    <w:spacing w:line="240" w:lineRule="exact"/>
                    <w:ind w:left="-105" w:leftChars="-50" w:right="-105" w:rightChars="-50"/>
                    <w:jc w:val="center"/>
                    <w:rPr>
                      <w:rFonts w:hint="eastAsia" w:ascii="Times New Roman" w:hAnsi="Times New Roman" w:eastAsia="宋体" w:cs="Times New Roman"/>
                      <w:b w:val="0"/>
                      <w:bCs w:val="0"/>
                      <w:color w:val="0000FF"/>
                      <w:szCs w:val="21"/>
                      <w:lang w:val="en-US" w:eastAsia="zh-CN"/>
                    </w:rPr>
                  </w:pPr>
                </w:p>
              </w:tc>
              <w:tc>
                <w:tcPr>
                  <w:tcW w:w="1650" w:type="dxa"/>
                  <w:tcBorders>
                    <w:tl2br w:val="nil"/>
                    <w:tr2bl w:val="nil"/>
                  </w:tcBorders>
                  <w:vAlign w:val="center"/>
                </w:tcPr>
                <w:p w14:paraId="475E56EE">
                  <w:pPr>
                    <w:spacing w:line="240" w:lineRule="exact"/>
                    <w:jc w:val="center"/>
                    <w:rPr>
                      <w:rFonts w:hint="eastAsia"/>
                      <w:b w:val="0"/>
                      <w:bCs w:val="0"/>
                      <w:color w:val="0000FF"/>
                      <w:lang w:val="zh-CN"/>
                    </w:rPr>
                  </w:pPr>
                  <w:r>
                    <w:rPr>
                      <w:rFonts w:hint="eastAsia"/>
                      <w:b w:val="0"/>
                      <w:bCs w:val="0"/>
                      <w:color w:val="0000FF"/>
                      <w:lang w:val="zh-CN"/>
                    </w:rPr>
                    <w:t>SW17</w:t>
                  </w:r>
                </w:p>
                <w:p w14:paraId="06A466CB">
                  <w:pPr>
                    <w:spacing w:line="240" w:lineRule="exact"/>
                    <w:jc w:val="center"/>
                    <w:rPr>
                      <w:rFonts w:hint="eastAsia"/>
                      <w:b w:val="0"/>
                      <w:bCs w:val="0"/>
                      <w:color w:val="0000FF"/>
                      <w:lang w:val="zh-CN"/>
                    </w:rPr>
                  </w:pPr>
                  <w:r>
                    <w:rPr>
                      <w:rFonts w:hint="eastAsia"/>
                      <w:b w:val="0"/>
                      <w:bCs w:val="0"/>
                      <w:color w:val="0000FF"/>
                      <w:lang w:val="zh-CN"/>
                    </w:rPr>
                    <w:t>可再生类废物（900-003-S17）</w:t>
                  </w:r>
                </w:p>
              </w:tc>
              <w:tc>
                <w:tcPr>
                  <w:tcW w:w="675" w:type="dxa"/>
                  <w:tcBorders>
                    <w:tl2br w:val="nil"/>
                    <w:tr2bl w:val="nil"/>
                  </w:tcBorders>
                  <w:vAlign w:val="center"/>
                </w:tcPr>
                <w:p w14:paraId="77DA5A27">
                  <w:pPr>
                    <w:spacing w:line="240" w:lineRule="exact"/>
                    <w:jc w:val="center"/>
                    <w:rPr>
                      <w:rFonts w:hint="eastAsia" w:cs="Times New Roman"/>
                      <w:b w:val="0"/>
                      <w:bCs w:val="0"/>
                      <w:color w:val="0000FF"/>
                      <w:szCs w:val="21"/>
                      <w:lang w:val="en-US" w:eastAsia="zh-CN"/>
                    </w:rPr>
                  </w:pPr>
                  <w:r>
                    <w:rPr>
                      <w:rFonts w:hint="eastAsia" w:cs="Times New Roman"/>
                      <w:b w:val="0"/>
                      <w:bCs w:val="0"/>
                      <w:color w:val="0000FF"/>
                      <w:szCs w:val="21"/>
                      <w:lang w:val="en-US" w:eastAsia="zh-CN"/>
                    </w:rPr>
                    <w:t>固态</w:t>
                  </w:r>
                </w:p>
              </w:tc>
              <w:tc>
                <w:tcPr>
                  <w:tcW w:w="750" w:type="dxa"/>
                  <w:tcBorders>
                    <w:tl2br w:val="nil"/>
                    <w:tr2bl w:val="nil"/>
                  </w:tcBorders>
                  <w:vAlign w:val="center"/>
                </w:tcPr>
                <w:p w14:paraId="19B25277">
                  <w:pPr>
                    <w:spacing w:line="240" w:lineRule="exact"/>
                    <w:jc w:val="center"/>
                    <w:rPr>
                      <w:rFonts w:hint="default" w:cs="Times New Roman"/>
                      <w:b w:val="0"/>
                      <w:bCs w:val="0"/>
                      <w:color w:val="0000FF"/>
                      <w:sz w:val="21"/>
                      <w:szCs w:val="21"/>
                      <w:lang w:val="en-US" w:eastAsia="zh-CN"/>
                    </w:rPr>
                  </w:pPr>
                  <w:r>
                    <w:rPr>
                      <w:rFonts w:hint="eastAsia" w:cs="Times New Roman"/>
                      <w:b w:val="0"/>
                      <w:bCs w:val="0"/>
                      <w:color w:val="0000FF"/>
                      <w:sz w:val="21"/>
                      <w:szCs w:val="21"/>
                      <w:lang w:val="en-US" w:eastAsia="zh-CN"/>
                    </w:rPr>
                    <w:t>0.247</w:t>
                  </w:r>
                </w:p>
              </w:tc>
              <w:tc>
                <w:tcPr>
                  <w:tcW w:w="900" w:type="dxa"/>
                  <w:vMerge w:val="continue"/>
                  <w:tcBorders>
                    <w:tl2br w:val="nil"/>
                    <w:tr2bl w:val="nil"/>
                  </w:tcBorders>
                  <w:vAlign w:val="center"/>
                </w:tcPr>
                <w:p w14:paraId="37F1D9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b w:val="0"/>
                      <w:bCs w:val="0"/>
                      <w:color w:val="0000FF"/>
                      <w:szCs w:val="21"/>
                      <w:lang w:val="en-US" w:eastAsia="zh-CN"/>
                    </w:rPr>
                  </w:pPr>
                </w:p>
              </w:tc>
              <w:tc>
                <w:tcPr>
                  <w:tcW w:w="930" w:type="dxa"/>
                  <w:vMerge w:val="continue"/>
                  <w:tcBorders>
                    <w:tl2br w:val="nil"/>
                    <w:tr2bl w:val="nil"/>
                  </w:tcBorders>
                  <w:vAlign w:val="center"/>
                </w:tcPr>
                <w:p w14:paraId="047C23E5">
                  <w:pPr>
                    <w:spacing w:line="280" w:lineRule="exact"/>
                    <w:jc w:val="center"/>
                    <w:rPr>
                      <w:rFonts w:hint="eastAsia" w:cs="Times New Roman"/>
                      <w:color w:val="0000FF"/>
                      <w:szCs w:val="21"/>
                      <w:shd w:val="clear" w:color="auto" w:fill="auto"/>
                      <w:lang w:val="en-US" w:eastAsia="zh-CN"/>
                    </w:rPr>
                  </w:pPr>
                </w:p>
              </w:tc>
              <w:tc>
                <w:tcPr>
                  <w:tcW w:w="862" w:type="dxa"/>
                  <w:tcBorders>
                    <w:tl2br w:val="nil"/>
                    <w:tr2bl w:val="nil"/>
                  </w:tcBorders>
                  <w:vAlign w:val="center"/>
                </w:tcPr>
                <w:p w14:paraId="6AB9FB84">
                  <w:pPr>
                    <w:spacing w:line="240" w:lineRule="exact"/>
                    <w:jc w:val="center"/>
                    <w:rPr>
                      <w:rFonts w:hint="eastAsia" w:cs="Times New Roman"/>
                      <w:b w:val="0"/>
                      <w:bCs w:val="0"/>
                      <w:color w:val="0000FF"/>
                      <w:sz w:val="21"/>
                      <w:szCs w:val="21"/>
                      <w:lang w:val="en-US" w:eastAsia="zh-CN"/>
                    </w:rPr>
                  </w:pPr>
                  <w:r>
                    <w:rPr>
                      <w:rFonts w:hint="eastAsia" w:cs="Times New Roman"/>
                      <w:b w:val="0"/>
                      <w:bCs w:val="0"/>
                      <w:color w:val="0000FF"/>
                      <w:sz w:val="21"/>
                      <w:szCs w:val="21"/>
                      <w:lang w:val="en-US" w:eastAsia="zh-CN"/>
                    </w:rPr>
                    <w:t>0.247</w:t>
                  </w:r>
                </w:p>
              </w:tc>
            </w:tr>
            <w:tr w14:paraId="56BC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02" w:type="dxa"/>
                  <w:tcBorders>
                    <w:tl2br w:val="nil"/>
                    <w:tr2bl w:val="nil"/>
                  </w:tcBorders>
                  <w:vAlign w:val="center"/>
                </w:tcPr>
                <w:p w14:paraId="0871651B">
                  <w:pPr>
                    <w:spacing w:line="240" w:lineRule="exact"/>
                    <w:ind w:left="-105" w:leftChars="-50" w:right="-105" w:rightChars="-50"/>
                    <w:jc w:val="center"/>
                    <w:rPr>
                      <w:rFonts w:hint="default" w:cs="Times New Roman"/>
                      <w:b w:val="0"/>
                      <w:bCs w:val="0"/>
                      <w:color w:val="000000" w:themeColor="text1"/>
                      <w:szCs w:val="21"/>
                      <w:lang w:val="en-US" w:eastAsia="zh-CN"/>
                      <w14:textFill>
                        <w14:solidFill>
                          <w14:schemeClr w14:val="tx1"/>
                        </w14:solidFill>
                      </w14:textFill>
                    </w:rPr>
                  </w:pPr>
                  <w:r>
                    <w:rPr>
                      <w:rFonts w:hint="eastAsia" w:cs="Times New Roman"/>
                      <w:b w:val="0"/>
                      <w:bCs w:val="0"/>
                      <w:color w:val="000000" w:themeColor="text1"/>
                      <w:szCs w:val="21"/>
                      <w:lang w:val="en-US" w:eastAsia="zh-CN"/>
                      <w14:textFill>
                        <w14:solidFill>
                          <w14:schemeClr w14:val="tx1"/>
                        </w14:solidFill>
                      </w14:textFill>
                    </w:rPr>
                    <w:t>3</w:t>
                  </w:r>
                </w:p>
              </w:tc>
              <w:tc>
                <w:tcPr>
                  <w:tcW w:w="745" w:type="dxa"/>
                  <w:vMerge w:val="continue"/>
                  <w:tcBorders>
                    <w:tl2br w:val="nil"/>
                    <w:tr2bl w:val="nil"/>
                  </w:tcBorders>
                  <w:vAlign w:val="center"/>
                </w:tcPr>
                <w:p w14:paraId="7F0578DE">
                  <w:pPr>
                    <w:pStyle w:val="87"/>
                    <w:spacing w:line="280" w:lineRule="exact"/>
                    <w:ind w:firstLine="0" w:firstLineChars="0"/>
                    <w:jc w:val="center"/>
                    <w:rPr>
                      <w:rFonts w:hint="eastAsia" w:ascii="Times New Roman" w:hAnsi="Times New Roman" w:cs="Times New Roman"/>
                      <w:bCs/>
                      <w:color w:val="0000FF"/>
                      <w:sz w:val="21"/>
                      <w:szCs w:val="21"/>
                      <w:shd w:val="clear" w:color="auto" w:fill="auto"/>
                      <w:lang w:val="en-US" w:eastAsia="zh-CN"/>
                    </w:rPr>
                  </w:pPr>
                </w:p>
              </w:tc>
              <w:tc>
                <w:tcPr>
                  <w:tcW w:w="807" w:type="dxa"/>
                  <w:tcBorders>
                    <w:tl2br w:val="nil"/>
                    <w:tr2bl w:val="nil"/>
                  </w:tcBorders>
                  <w:vAlign w:val="center"/>
                </w:tcPr>
                <w:p w14:paraId="35FCB73C">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废布袋</w:t>
                  </w:r>
                </w:p>
              </w:tc>
              <w:tc>
                <w:tcPr>
                  <w:tcW w:w="510" w:type="dxa"/>
                  <w:vMerge w:val="continue"/>
                  <w:tcBorders>
                    <w:tl2br w:val="nil"/>
                    <w:tr2bl w:val="nil"/>
                  </w:tcBorders>
                  <w:vAlign w:val="center"/>
                </w:tcPr>
                <w:p w14:paraId="2AEE5C8E">
                  <w:pPr>
                    <w:spacing w:line="240" w:lineRule="exact"/>
                    <w:ind w:left="-105" w:leftChars="-50" w:right="-105" w:rightChars="-50"/>
                    <w:jc w:val="center"/>
                    <w:rPr>
                      <w:rFonts w:hint="eastAsia" w:ascii="Times New Roman" w:hAnsi="Times New Roman" w:eastAsia="宋体" w:cs="Times New Roman"/>
                      <w:b w:val="0"/>
                      <w:bCs w:val="0"/>
                      <w:color w:val="auto"/>
                      <w:szCs w:val="21"/>
                      <w:lang w:val="en-US" w:eastAsia="zh-CN"/>
                    </w:rPr>
                  </w:pPr>
                </w:p>
              </w:tc>
              <w:tc>
                <w:tcPr>
                  <w:tcW w:w="1650" w:type="dxa"/>
                  <w:tcBorders>
                    <w:tl2br w:val="nil"/>
                    <w:tr2bl w:val="nil"/>
                  </w:tcBorders>
                  <w:vAlign w:val="center"/>
                </w:tcPr>
                <w:p w14:paraId="60D4209B">
                  <w:pPr>
                    <w:spacing w:line="240" w:lineRule="exact"/>
                    <w:jc w:val="center"/>
                    <w:rPr>
                      <w:rFonts w:hint="eastAsia"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SW59</w:t>
                  </w:r>
                </w:p>
                <w:p w14:paraId="1A5A9F50">
                  <w:pPr>
                    <w:spacing w:line="240" w:lineRule="exact"/>
                    <w:jc w:val="center"/>
                    <w:rPr>
                      <w:rFonts w:hint="eastAsia"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其他工业固体</w:t>
                  </w:r>
                </w:p>
                <w:p w14:paraId="6B7B6824">
                  <w:pPr>
                    <w:spacing w:line="240" w:lineRule="exact"/>
                    <w:jc w:val="center"/>
                    <w:rPr>
                      <w:rFonts w:hint="eastAsia"/>
                      <w:b w:val="0"/>
                      <w:bCs w:val="0"/>
                      <w:color w:val="auto"/>
                      <w:lang w:val="zh-CN"/>
                    </w:rPr>
                  </w:pPr>
                  <w:r>
                    <w:rPr>
                      <w:rFonts w:hint="eastAsia" w:ascii="Times New Roman" w:hAnsi="Times New Roman" w:eastAsia="宋体" w:cs="Times New Roman"/>
                      <w:b w:val="0"/>
                      <w:bCs w:val="0"/>
                      <w:color w:val="auto"/>
                      <w:szCs w:val="21"/>
                      <w:lang w:val="en-US" w:eastAsia="zh-CN"/>
                    </w:rPr>
                    <w:t>废物</w:t>
                  </w:r>
                  <w:r>
                    <w:rPr>
                      <w:rFonts w:hint="eastAsia" w:cs="Times New Roman"/>
                      <w:b w:val="0"/>
                      <w:bCs w:val="0"/>
                      <w:color w:val="auto"/>
                      <w:szCs w:val="21"/>
                      <w:lang w:val="en-US" w:eastAsia="zh-CN"/>
                    </w:rPr>
                    <w:t>（900-009-S59）</w:t>
                  </w:r>
                </w:p>
              </w:tc>
              <w:tc>
                <w:tcPr>
                  <w:tcW w:w="675" w:type="dxa"/>
                  <w:tcBorders>
                    <w:tl2br w:val="nil"/>
                    <w:tr2bl w:val="nil"/>
                  </w:tcBorders>
                  <w:vAlign w:val="center"/>
                </w:tcPr>
                <w:p w14:paraId="06BCE79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cs="Times New Roman"/>
                      <w:b w:val="0"/>
                      <w:bCs w:val="0"/>
                      <w:color w:val="auto"/>
                      <w:szCs w:val="21"/>
                      <w:lang w:val="en-US" w:eastAsia="zh-CN"/>
                    </w:rPr>
                  </w:pPr>
                  <w:r>
                    <w:rPr>
                      <w:rFonts w:hint="eastAsia" w:cs="Times New Roman"/>
                      <w:b w:val="0"/>
                      <w:bCs w:val="0"/>
                      <w:color w:val="auto"/>
                      <w:szCs w:val="21"/>
                      <w:lang w:val="en-US" w:eastAsia="zh-CN"/>
                    </w:rPr>
                    <w:t>固态</w:t>
                  </w:r>
                </w:p>
              </w:tc>
              <w:tc>
                <w:tcPr>
                  <w:tcW w:w="750" w:type="dxa"/>
                  <w:tcBorders>
                    <w:tl2br w:val="nil"/>
                    <w:tr2bl w:val="nil"/>
                  </w:tcBorders>
                  <w:vAlign w:val="center"/>
                </w:tcPr>
                <w:p w14:paraId="284B3C62">
                  <w:pPr>
                    <w:spacing w:line="240" w:lineRule="exact"/>
                    <w:jc w:val="center"/>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0.05</w:t>
                  </w:r>
                </w:p>
              </w:tc>
              <w:tc>
                <w:tcPr>
                  <w:tcW w:w="900" w:type="dxa"/>
                  <w:vMerge w:val="continue"/>
                  <w:tcBorders>
                    <w:tl2br w:val="nil"/>
                    <w:tr2bl w:val="nil"/>
                  </w:tcBorders>
                  <w:vAlign w:val="center"/>
                </w:tcPr>
                <w:p w14:paraId="7F76599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b w:val="0"/>
                      <w:bCs w:val="0"/>
                      <w:color w:val="auto"/>
                      <w:szCs w:val="21"/>
                      <w:lang w:val="en-US" w:eastAsia="zh-CN"/>
                    </w:rPr>
                  </w:pPr>
                </w:p>
              </w:tc>
              <w:tc>
                <w:tcPr>
                  <w:tcW w:w="930" w:type="dxa"/>
                  <w:vMerge w:val="continue"/>
                  <w:tcBorders>
                    <w:tl2br w:val="nil"/>
                    <w:tr2bl w:val="nil"/>
                  </w:tcBorders>
                  <w:vAlign w:val="center"/>
                </w:tcPr>
                <w:p w14:paraId="595A141D">
                  <w:pPr>
                    <w:spacing w:line="280" w:lineRule="exact"/>
                    <w:jc w:val="center"/>
                    <w:rPr>
                      <w:rFonts w:hint="eastAsia" w:cs="Times New Roman"/>
                      <w:color w:val="auto"/>
                      <w:szCs w:val="21"/>
                      <w:shd w:val="clear" w:color="auto" w:fill="auto"/>
                      <w:lang w:val="en-US" w:eastAsia="zh-CN"/>
                    </w:rPr>
                  </w:pPr>
                </w:p>
              </w:tc>
              <w:tc>
                <w:tcPr>
                  <w:tcW w:w="862" w:type="dxa"/>
                  <w:tcBorders>
                    <w:tl2br w:val="nil"/>
                    <w:tr2bl w:val="nil"/>
                  </w:tcBorders>
                  <w:vAlign w:val="center"/>
                </w:tcPr>
                <w:p w14:paraId="66C42318">
                  <w:pPr>
                    <w:spacing w:line="240" w:lineRule="exact"/>
                    <w:jc w:val="center"/>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0.05</w:t>
                  </w:r>
                </w:p>
              </w:tc>
            </w:tr>
            <w:tr w14:paraId="2348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02" w:type="dxa"/>
                  <w:tcBorders>
                    <w:tl2br w:val="nil"/>
                    <w:tr2bl w:val="nil"/>
                  </w:tcBorders>
                  <w:vAlign w:val="center"/>
                </w:tcPr>
                <w:p w14:paraId="165C75E5">
                  <w:pPr>
                    <w:spacing w:line="240" w:lineRule="exact"/>
                    <w:ind w:left="-105" w:leftChars="-50" w:right="-105" w:rightChars="-50"/>
                    <w:jc w:val="center"/>
                    <w:rPr>
                      <w:rFonts w:hint="default" w:cs="Times New Roman"/>
                      <w:b w:val="0"/>
                      <w:bCs w:val="0"/>
                      <w:color w:val="000000" w:themeColor="text1"/>
                      <w:szCs w:val="21"/>
                      <w:lang w:val="en-US" w:eastAsia="zh-CN"/>
                      <w14:textFill>
                        <w14:solidFill>
                          <w14:schemeClr w14:val="tx1"/>
                        </w14:solidFill>
                      </w14:textFill>
                    </w:rPr>
                  </w:pPr>
                  <w:r>
                    <w:rPr>
                      <w:rFonts w:hint="eastAsia" w:cs="Times New Roman"/>
                      <w:b w:val="0"/>
                      <w:bCs w:val="0"/>
                      <w:color w:val="000000" w:themeColor="text1"/>
                      <w:szCs w:val="21"/>
                      <w:lang w:val="en-US" w:eastAsia="zh-CN"/>
                      <w14:textFill>
                        <w14:solidFill>
                          <w14:schemeClr w14:val="tx1"/>
                        </w14:solidFill>
                      </w14:textFill>
                    </w:rPr>
                    <w:t>4</w:t>
                  </w:r>
                </w:p>
              </w:tc>
              <w:tc>
                <w:tcPr>
                  <w:tcW w:w="745" w:type="dxa"/>
                  <w:tcBorders>
                    <w:tl2br w:val="nil"/>
                    <w:tr2bl w:val="nil"/>
                  </w:tcBorders>
                  <w:vAlign w:val="center"/>
                </w:tcPr>
                <w:p w14:paraId="35D8E1D5">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切料工序</w:t>
                  </w:r>
                </w:p>
              </w:tc>
              <w:tc>
                <w:tcPr>
                  <w:tcW w:w="807" w:type="dxa"/>
                  <w:tcBorders>
                    <w:tl2br w:val="nil"/>
                    <w:tr2bl w:val="nil"/>
                  </w:tcBorders>
                  <w:vAlign w:val="center"/>
                </w:tcPr>
                <w:p w14:paraId="7B2117F2">
                  <w:pPr>
                    <w:pStyle w:val="87"/>
                    <w:spacing w:line="280" w:lineRule="exact"/>
                    <w:ind w:firstLine="0" w:firstLineChars="0"/>
                    <w:jc w:val="center"/>
                    <w:rPr>
                      <w:rFonts w:hint="default" w:ascii="Times New Roman" w:hAnsi="Times New Roman" w:eastAsia="宋体"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废边角料</w:t>
                  </w:r>
                </w:p>
              </w:tc>
              <w:tc>
                <w:tcPr>
                  <w:tcW w:w="510" w:type="dxa"/>
                  <w:vMerge w:val="continue"/>
                  <w:tcBorders>
                    <w:tl2br w:val="nil"/>
                    <w:tr2bl w:val="nil"/>
                  </w:tcBorders>
                  <w:vAlign w:val="center"/>
                </w:tcPr>
                <w:p w14:paraId="2EB94731">
                  <w:pPr>
                    <w:spacing w:line="240" w:lineRule="exact"/>
                    <w:ind w:left="-105" w:leftChars="-50" w:right="-105" w:rightChars="-50"/>
                    <w:jc w:val="center"/>
                    <w:rPr>
                      <w:rFonts w:hint="eastAsia" w:ascii="Times New Roman" w:hAnsi="Times New Roman" w:eastAsia="宋体" w:cs="Times New Roman"/>
                      <w:b w:val="0"/>
                      <w:bCs w:val="0"/>
                      <w:color w:val="auto"/>
                      <w:szCs w:val="21"/>
                      <w:lang w:val="en-US" w:eastAsia="zh-CN"/>
                    </w:rPr>
                  </w:pPr>
                </w:p>
              </w:tc>
              <w:tc>
                <w:tcPr>
                  <w:tcW w:w="1650" w:type="dxa"/>
                  <w:tcBorders>
                    <w:tl2br w:val="nil"/>
                    <w:tr2bl w:val="nil"/>
                  </w:tcBorders>
                  <w:vAlign w:val="center"/>
                </w:tcPr>
                <w:p w14:paraId="51EF0D1D">
                  <w:pPr>
                    <w:spacing w:line="240" w:lineRule="exact"/>
                    <w:jc w:val="center"/>
                    <w:rPr>
                      <w:rFonts w:hint="eastAsia"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SW17</w:t>
                  </w:r>
                </w:p>
                <w:p w14:paraId="0B038815">
                  <w:pPr>
                    <w:spacing w:line="240" w:lineRule="exact"/>
                    <w:jc w:val="center"/>
                    <w:rPr>
                      <w:rFonts w:hint="eastAsia"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可再生类废物</w:t>
                  </w:r>
                  <w:r>
                    <w:rPr>
                      <w:rFonts w:hint="eastAsia" w:cs="Times New Roman"/>
                      <w:b w:val="0"/>
                      <w:bCs w:val="0"/>
                      <w:color w:val="auto"/>
                      <w:szCs w:val="21"/>
                      <w:lang w:val="en-US" w:eastAsia="zh-CN"/>
                    </w:rPr>
                    <w:t>（900-003-S17）</w:t>
                  </w:r>
                </w:p>
              </w:tc>
              <w:tc>
                <w:tcPr>
                  <w:tcW w:w="675" w:type="dxa"/>
                  <w:tcBorders>
                    <w:tl2br w:val="nil"/>
                    <w:tr2bl w:val="nil"/>
                  </w:tcBorders>
                  <w:vAlign w:val="center"/>
                </w:tcPr>
                <w:p w14:paraId="4C86F5B0">
                  <w:pPr>
                    <w:spacing w:line="240" w:lineRule="exact"/>
                    <w:jc w:val="center"/>
                    <w:rPr>
                      <w:rFonts w:hint="default" w:cs="Times New Roman"/>
                      <w:b w:val="0"/>
                      <w:bCs w:val="0"/>
                      <w:color w:val="auto"/>
                      <w:szCs w:val="21"/>
                      <w:lang w:val="en-US" w:eastAsia="zh-CN"/>
                    </w:rPr>
                  </w:pPr>
                  <w:r>
                    <w:rPr>
                      <w:rFonts w:hint="eastAsia" w:cs="Times New Roman"/>
                      <w:b w:val="0"/>
                      <w:bCs w:val="0"/>
                      <w:color w:val="auto"/>
                      <w:szCs w:val="21"/>
                      <w:lang w:val="en-US" w:eastAsia="zh-CN"/>
                    </w:rPr>
                    <w:t>固态</w:t>
                  </w:r>
                </w:p>
              </w:tc>
              <w:tc>
                <w:tcPr>
                  <w:tcW w:w="750" w:type="dxa"/>
                  <w:tcBorders>
                    <w:tl2br w:val="nil"/>
                    <w:tr2bl w:val="nil"/>
                  </w:tcBorders>
                  <w:vAlign w:val="center"/>
                </w:tcPr>
                <w:p w14:paraId="5BDD9AE4">
                  <w:pPr>
                    <w:spacing w:line="240" w:lineRule="exact"/>
                    <w:jc w:val="center"/>
                    <w:rPr>
                      <w:rFonts w:hint="default" w:cs="Times New Roman"/>
                      <w:b w:val="0"/>
                      <w:bCs w:val="0"/>
                      <w:color w:val="auto"/>
                      <w:sz w:val="21"/>
                      <w:szCs w:val="21"/>
                      <w:lang w:val="en-US" w:eastAsia="zh-CN"/>
                    </w:rPr>
                  </w:pPr>
                  <w:r>
                    <w:rPr>
                      <w:rFonts w:hint="default" w:cs="Times New Roman"/>
                      <w:b w:val="0"/>
                      <w:bCs w:val="0"/>
                      <w:color w:val="auto"/>
                      <w:sz w:val="21"/>
                      <w:szCs w:val="21"/>
                      <w:lang w:val="en-US" w:eastAsia="zh-CN"/>
                    </w:rPr>
                    <w:t>86.7</w:t>
                  </w:r>
                  <w:r>
                    <w:rPr>
                      <w:rFonts w:hint="eastAsia" w:cs="Times New Roman"/>
                      <w:b w:val="0"/>
                      <w:bCs w:val="0"/>
                      <w:color w:val="auto"/>
                      <w:sz w:val="21"/>
                      <w:szCs w:val="21"/>
                      <w:lang w:val="en-US" w:eastAsia="zh-CN"/>
                    </w:rPr>
                    <w:t>36</w:t>
                  </w:r>
                </w:p>
              </w:tc>
              <w:tc>
                <w:tcPr>
                  <w:tcW w:w="900" w:type="dxa"/>
                  <w:vMerge w:val="continue"/>
                  <w:tcBorders>
                    <w:tl2br w:val="nil"/>
                    <w:tr2bl w:val="nil"/>
                  </w:tcBorders>
                  <w:vAlign w:val="center"/>
                </w:tcPr>
                <w:p w14:paraId="7B973D2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b w:val="0"/>
                      <w:bCs w:val="0"/>
                      <w:color w:val="auto"/>
                      <w:szCs w:val="21"/>
                      <w:lang w:val="en-US" w:eastAsia="zh-CN"/>
                    </w:rPr>
                  </w:pPr>
                </w:p>
              </w:tc>
              <w:tc>
                <w:tcPr>
                  <w:tcW w:w="930" w:type="dxa"/>
                  <w:vMerge w:val="continue"/>
                  <w:tcBorders>
                    <w:tl2br w:val="nil"/>
                    <w:tr2bl w:val="nil"/>
                  </w:tcBorders>
                  <w:vAlign w:val="center"/>
                </w:tcPr>
                <w:p w14:paraId="7464DB9E">
                  <w:pPr>
                    <w:spacing w:line="280" w:lineRule="exact"/>
                    <w:jc w:val="center"/>
                    <w:rPr>
                      <w:rFonts w:hint="eastAsia" w:ascii="Times New Roman" w:hAnsi="Times New Roman" w:eastAsia="宋体" w:cs="Times New Roman"/>
                      <w:b w:val="0"/>
                      <w:bCs w:val="0"/>
                      <w:color w:val="auto"/>
                      <w:sz w:val="21"/>
                      <w:szCs w:val="21"/>
                      <w:lang w:val="en-US" w:eastAsia="zh-CN"/>
                    </w:rPr>
                  </w:pPr>
                </w:p>
              </w:tc>
              <w:tc>
                <w:tcPr>
                  <w:tcW w:w="862" w:type="dxa"/>
                  <w:tcBorders>
                    <w:tl2br w:val="nil"/>
                    <w:tr2bl w:val="nil"/>
                  </w:tcBorders>
                  <w:vAlign w:val="center"/>
                </w:tcPr>
                <w:p w14:paraId="10F6DAD8">
                  <w:pPr>
                    <w:spacing w:line="240" w:lineRule="exact"/>
                    <w:jc w:val="center"/>
                    <w:rPr>
                      <w:rFonts w:hint="default" w:cs="Times New Roman"/>
                      <w:b w:val="0"/>
                      <w:bCs w:val="0"/>
                      <w:color w:val="auto"/>
                      <w:sz w:val="21"/>
                      <w:szCs w:val="21"/>
                      <w:lang w:val="en-US" w:eastAsia="zh-CN"/>
                    </w:rPr>
                  </w:pPr>
                  <w:r>
                    <w:rPr>
                      <w:rFonts w:hint="default" w:cs="Times New Roman"/>
                      <w:b w:val="0"/>
                      <w:bCs w:val="0"/>
                      <w:color w:val="auto"/>
                      <w:sz w:val="21"/>
                      <w:szCs w:val="21"/>
                      <w:lang w:val="en-US" w:eastAsia="zh-CN"/>
                    </w:rPr>
                    <w:t>86.7</w:t>
                  </w:r>
                  <w:r>
                    <w:rPr>
                      <w:rFonts w:hint="eastAsia" w:cs="Times New Roman"/>
                      <w:b w:val="0"/>
                      <w:bCs w:val="0"/>
                      <w:color w:val="auto"/>
                      <w:sz w:val="21"/>
                      <w:szCs w:val="21"/>
                      <w:lang w:val="en-US" w:eastAsia="zh-CN"/>
                    </w:rPr>
                    <w:t>36</w:t>
                  </w:r>
                </w:p>
              </w:tc>
            </w:tr>
            <w:tr w14:paraId="2DCE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02" w:type="dxa"/>
                  <w:tcBorders>
                    <w:tl2br w:val="nil"/>
                    <w:tr2bl w:val="nil"/>
                  </w:tcBorders>
                  <w:vAlign w:val="center"/>
                </w:tcPr>
                <w:p w14:paraId="24AB66A4">
                  <w:pPr>
                    <w:spacing w:line="240" w:lineRule="exact"/>
                    <w:ind w:left="-105" w:leftChars="-50" w:right="-105" w:rightChars="-50"/>
                    <w:jc w:val="center"/>
                    <w:rPr>
                      <w:rFonts w:hint="default" w:cs="Times New Roman"/>
                      <w:b w:val="0"/>
                      <w:bCs w:val="0"/>
                      <w:color w:val="000000" w:themeColor="text1"/>
                      <w:szCs w:val="21"/>
                      <w:lang w:val="en-US" w:eastAsia="zh-CN"/>
                      <w14:textFill>
                        <w14:solidFill>
                          <w14:schemeClr w14:val="tx1"/>
                        </w14:solidFill>
                      </w14:textFill>
                    </w:rPr>
                  </w:pPr>
                  <w:r>
                    <w:rPr>
                      <w:rFonts w:hint="eastAsia" w:cs="Times New Roman"/>
                      <w:b w:val="0"/>
                      <w:bCs w:val="0"/>
                      <w:color w:val="000000" w:themeColor="text1"/>
                      <w:szCs w:val="21"/>
                      <w:lang w:val="en-US" w:eastAsia="zh-CN"/>
                      <w14:textFill>
                        <w14:solidFill>
                          <w14:schemeClr w14:val="tx1"/>
                        </w14:solidFill>
                      </w14:textFill>
                    </w:rPr>
                    <w:t>5</w:t>
                  </w:r>
                </w:p>
              </w:tc>
              <w:tc>
                <w:tcPr>
                  <w:tcW w:w="745" w:type="dxa"/>
                  <w:tcBorders>
                    <w:tl2br w:val="nil"/>
                    <w:tr2bl w:val="nil"/>
                  </w:tcBorders>
                  <w:vAlign w:val="center"/>
                </w:tcPr>
                <w:p w14:paraId="6B98EABB">
                  <w:pPr>
                    <w:pStyle w:val="87"/>
                    <w:spacing w:line="280" w:lineRule="exact"/>
                    <w:ind w:firstLine="0" w:firstLineChars="0"/>
                    <w:jc w:val="center"/>
                    <w:rPr>
                      <w:rFonts w:hint="eastAsia" w:ascii="Times New Roman" w:hAnsi="Times New Roman" w:cs="Times New Roman"/>
                      <w:b w:val="0"/>
                      <w:bCs w:val="0"/>
                      <w:color w:val="000000" w:themeColor="text1"/>
                      <w:sz w:val="21"/>
                      <w:szCs w:val="21"/>
                      <w:shd w:val="clear" w:color="auto" w:fill="auto"/>
                      <w:lang w:val="en-US" w:eastAsia="zh-CN"/>
                      <w14:textFill>
                        <w14:solidFill>
                          <w14:schemeClr w14:val="tx1"/>
                        </w14:solidFill>
                      </w14:textFill>
                    </w:rPr>
                  </w:pPr>
                  <w:r>
                    <w:rPr>
                      <w:rFonts w:hint="eastAsia" w:ascii="Times New Roman" w:hAnsi="Times New Roman" w:cs="Times New Roman"/>
                      <w:bCs/>
                      <w:color w:val="auto"/>
                      <w:sz w:val="21"/>
                      <w:szCs w:val="21"/>
                      <w:shd w:val="clear" w:color="auto" w:fill="auto"/>
                      <w:lang w:val="en-US" w:eastAsia="zh-CN"/>
                    </w:rPr>
                    <w:t>包装工序</w:t>
                  </w:r>
                </w:p>
              </w:tc>
              <w:tc>
                <w:tcPr>
                  <w:tcW w:w="807" w:type="dxa"/>
                  <w:tcBorders>
                    <w:tl2br w:val="nil"/>
                    <w:tr2bl w:val="nil"/>
                  </w:tcBorders>
                  <w:vAlign w:val="center"/>
                </w:tcPr>
                <w:p w14:paraId="159E0E7B">
                  <w:pPr>
                    <w:pStyle w:val="87"/>
                    <w:spacing w:line="280" w:lineRule="exact"/>
                    <w:ind w:firstLine="0" w:firstLineChars="0"/>
                    <w:jc w:val="center"/>
                    <w:rPr>
                      <w:rFonts w:hint="eastAsia" w:ascii="Times New Roman" w:hAnsi="Times New Roman" w:cs="Times New Roman"/>
                      <w:b w:val="0"/>
                      <w:bCs w:val="0"/>
                      <w:color w:val="000000" w:themeColor="text1"/>
                      <w:sz w:val="21"/>
                      <w:szCs w:val="21"/>
                      <w:shd w:val="clear" w:color="auto" w:fill="auto"/>
                      <w:lang w:val="en-US" w:eastAsia="zh-CN"/>
                      <w14:textFill>
                        <w14:solidFill>
                          <w14:schemeClr w14:val="tx1"/>
                        </w14:solidFill>
                      </w14:textFill>
                    </w:rPr>
                  </w:pPr>
                  <w:r>
                    <w:rPr>
                      <w:rFonts w:hint="eastAsia" w:ascii="Times New Roman" w:hAnsi="Times New Roman" w:cs="Times New Roman"/>
                      <w:bCs/>
                      <w:color w:val="auto"/>
                      <w:sz w:val="21"/>
                      <w:szCs w:val="21"/>
                      <w:shd w:val="clear" w:color="auto" w:fill="auto"/>
                      <w:lang w:val="en-US" w:eastAsia="zh-CN"/>
                    </w:rPr>
                    <w:t>包装废料</w:t>
                  </w:r>
                </w:p>
              </w:tc>
              <w:tc>
                <w:tcPr>
                  <w:tcW w:w="510" w:type="dxa"/>
                  <w:vMerge w:val="continue"/>
                  <w:tcBorders>
                    <w:tl2br w:val="nil"/>
                    <w:tr2bl w:val="nil"/>
                  </w:tcBorders>
                  <w:vAlign w:val="center"/>
                </w:tcPr>
                <w:p w14:paraId="19C68287">
                  <w:pPr>
                    <w:spacing w:line="240" w:lineRule="exact"/>
                    <w:ind w:left="-105" w:leftChars="-50" w:right="-105" w:rightChars="-50"/>
                    <w:jc w:val="center"/>
                    <w:rPr>
                      <w:rFonts w:hint="eastAsia" w:ascii="Times New Roman" w:hAnsi="Times New Roman" w:eastAsia="宋体" w:cs="Times New Roman"/>
                      <w:b w:val="0"/>
                      <w:bCs w:val="0"/>
                      <w:color w:val="000000" w:themeColor="text1"/>
                      <w:szCs w:val="21"/>
                      <w:lang w:val="en-US" w:eastAsia="zh-CN"/>
                      <w14:textFill>
                        <w14:solidFill>
                          <w14:schemeClr w14:val="tx1"/>
                        </w14:solidFill>
                      </w14:textFill>
                    </w:rPr>
                  </w:pPr>
                </w:p>
              </w:tc>
              <w:tc>
                <w:tcPr>
                  <w:tcW w:w="1650" w:type="dxa"/>
                  <w:tcBorders>
                    <w:tl2br w:val="nil"/>
                    <w:tr2bl w:val="nil"/>
                  </w:tcBorders>
                  <w:vAlign w:val="center"/>
                </w:tcPr>
                <w:p w14:paraId="75324F7B">
                  <w:pPr>
                    <w:spacing w:line="240" w:lineRule="exact"/>
                    <w:jc w:val="center"/>
                    <w:rPr>
                      <w:rFonts w:hint="eastAsia"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SW17</w:t>
                  </w:r>
                </w:p>
                <w:p w14:paraId="36E0E6A3">
                  <w:pPr>
                    <w:spacing w:line="240" w:lineRule="exact"/>
                    <w:jc w:val="center"/>
                    <w:rPr>
                      <w:rFonts w:hint="eastAsia" w:ascii="Times New Roman" w:hAnsi="Times New Roman" w:eastAsia="宋体" w:cs="Times New Roman"/>
                      <w:b w:val="0"/>
                      <w:bCs w:val="0"/>
                      <w:color w:val="000000" w:themeColor="text1"/>
                      <w:szCs w:val="21"/>
                      <w:lang w:val="en-US" w:eastAsia="zh-CN"/>
                      <w14:textFill>
                        <w14:solidFill>
                          <w14:schemeClr w14:val="tx1"/>
                        </w14:solidFill>
                      </w14:textFill>
                    </w:rPr>
                  </w:pPr>
                  <w:r>
                    <w:rPr>
                      <w:rFonts w:hint="eastAsia" w:ascii="Times New Roman" w:hAnsi="Times New Roman" w:eastAsia="宋体" w:cs="Times New Roman"/>
                      <w:b w:val="0"/>
                      <w:bCs w:val="0"/>
                      <w:color w:val="auto"/>
                      <w:szCs w:val="21"/>
                      <w:lang w:val="en-US" w:eastAsia="zh-CN"/>
                    </w:rPr>
                    <w:t>可再生类废物</w:t>
                  </w:r>
                  <w:r>
                    <w:rPr>
                      <w:rFonts w:hint="eastAsia" w:cs="Times New Roman"/>
                      <w:b w:val="0"/>
                      <w:bCs w:val="0"/>
                      <w:color w:val="000000" w:themeColor="text1"/>
                      <w:szCs w:val="21"/>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szCs w:val="21"/>
                      <w:lang w:val="en-US" w:eastAsia="zh-CN"/>
                      <w14:textFill>
                        <w14:solidFill>
                          <w14:schemeClr w14:val="tx1"/>
                        </w14:solidFill>
                      </w14:textFill>
                    </w:rPr>
                    <w:t>900-005-S17</w:t>
                  </w:r>
                  <w:r>
                    <w:rPr>
                      <w:rFonts w:hint="eastAsia" w:cs="Times New Roman"/>
                      <w:b w:val="0"/>
                      <w:bCs w:val="0"/>
                      <w:color w:val="000000" w:themeColor="text1"/>
                      <w:szCs w:val="21"/>
                      <w:lang w:val="en-US" w:eastAsia="zh-CN"/>
                      <w14:textFill>
                        <w14:solidFill>
                          <w14:schemeClr w14:val="tx1"/>
                        </w14:solidFill>
                      </w14:textFill>
                    </w:rPr>
                    <w:t>）</w:t>
                  </w:r>
                </w:p>
              </w:tc>
              <w:tc>
                <w:tcPr>
                  <w:tcW w:w="675" w:type="dxa"/>
                  <w:tcBorders>
                    <w:tl2br w:val="nil"/>
                    <w:tr2bl w:val="nil"/>
                  </w:tcBorders>
                  <w:vAlign w:val="center"/>
                </w:tcPr>
                <w:p w14:paraId="3D72F1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cs="Times New Roman"/>
                      <w:b w:val="0"/>
                      <w:bCs w:val="0"/>
                      <w:color w:val="000000" w:themeColor="text1"/>
                      <w:szCs w:val="21"/>
                      <w:lang w:val="en-US" w:eastAsia="zh-CN"/>
                      <w14:textFill>
                        <w14:solidFill>
                          <w14:schemeClr w14:val="tx1"/>
                        </w14:solidFill>
                      </w14:textFill>
                    </w:rPr>
                  </w:pPr>
                  <w:r>
                    <w:rPr>
                      <w:rFonts w:hint="eastAsia" w:cs="Times New Roman"/>
                      <w:b w:val="0"/>
                      <w:bCs w:val="0"/>
                      <w:color w:val="000000" w:themeColor="text1"/>
                      <w:szCs w:val="21"/>
                      <w:lang w:val="en-US" w:eastAsia="zh-CN"/>
                      <w14:textFill>
                        <w14:solidFill>
                          <w14:schemeClr w14:val="tx1"/>
                        </w14:solidFill>
                      </w14:textFill>
                    </w:rPr>
                    <w:t>固态</w:t>
                  </w:r>
                </w:p>
              </w:tc>
              <w:tc>
                <w:tcPr>
                  <w:tcW w:w="750" w:type="dxa"/>
                  <w:tcBorders>
                    <w:tl2br w:val="nil"/>
                    <w:tr2bl w:val="nil"/>
                  </w:tcBorders>
                  <w:vAlign w:val="center"/>
                </w:tcPr>
                <w:p w14:paraId="2D052796">
                  <w:pPr>
                    <w:spacing w:line="240" w:lineRule="exact"/>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0.005</w:t>
                  </w:r>
                </w:p>
              </w:tc>
              <w:tc>
                <w:tcPr>
                  <w:tcW w:w="900" w:type="dxa"/>
                  <w:vMerge w:val="continue"/>
                  <w:tcBorders>
                    <w:tl2br w:val="nil"/>
                    <w:tr2bl w:val="nil"/>
                  </w:tcBorders>
                  <w:vAlign w:val="center"/>
                </w:tcPr>
                <w:p w14:paraId="17C4F533">
                  <w:pPr>
                    <w:spacing w:line="240" w:lineRule="exact"/>
                    <w:jc w:val="center"/>
                    <w:rPr>
                      <w:rFonts w:hint="eastAsia" w:cs="Times New Roman"/>
                      <w:b w:val="0"/>
                      <w:bCs w:val="0"/>
                      <w:color w:val="000000" w:themeColor="text1"/>
                      <w:szCs w:val="21"/>
                      <w:lang w:val="en-US" w:eastAsia="zh-CN"/>
                      <w14:textFill>
                        <w14:solidFill>
                          <w14:schemeClr w14:val="tx1"/>
                        </w14:solidFill>
                      </w14:textFill>
                    </w:rPr>
                  </w:pPr>
                </w:p>
              </w:tc>
              <w:tc>
                <w:tcPr>
                  <w:tcW w:w="930" w:type="dxa"/>
                  <w:vMerge w:val="continue"/>
                  <w:tcBorders>
                    <w:tl2br w:val="nil"/>
                    <w:tr2bl w:val="nil"/>
                  </w:tcBorders>
                  <w:vAlign w:val="center"/>
                </w:tcPr>
                <w:p w14:paraId="7F543E51">
                  <w:pPr>
                    <w:spacing w:line="280" w:lineRule="exact"/>
                    <w:jc w:val="center"/>
                    <w:rPr>
                      <w:rFonts w:hint="default" w:ascii="Times New Roman" w:hAnsi="Times New Roman" w:cs="Times New Roman"/>
                      <w:b w:val="0"/>
                      <w:bCs w:val="0"/>
                      <w:color w:val="000000" w:themeColor="text1"/>
                      <w:szCs w:val="21"/>
                      <w14:textFill>
                        <w14:solidFill>
                          <w14:schemeClr w14:val="tx1"/>
                        </w14:solidFill>
                      </w14:textFill>
                    </w:rPr>
                  </w:pPr>
                </w:p>
              </w:tc>
              <w:tc>
                <w:tcPr>
                  <w:tcW w:w="862" w:type="dxa"/>
                  <w:tcBorders>
                    <w:tl2br w:val="nil"/>
                    <w:tr2bl w:val="nil"/>
                  </w:tcBorders>
                  <w:vAlign w:val="center"/>
                </w:tcPr>
                <w:p w14:paraId="7650C1F0">
                  <w:pPr>
                    <w:spacing w:line="240" w:lineRule="exact"/>
                    <w:jc w:val="center"/>
                    <w:rPr>
                      <w:rFonts w:hint="default" w:ascii="Times New Roman" w:hAnsi="Times New Roman" w:cs="Times New Roman"/>
                      <w:b w:val="0"/>
                      <w:bCs w:val="0"/>
                      <w:color w:val="000000" w:themeColor="text1"/>
                      <w:sz w:val="21"/>
                      <w:szCs w:val="21"/>
                      <w:lang w:val="en-US"/>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0.005</w:t>
                  </w:r>
                </w:p>
              </w:tc>
            </w:tr>
            <w:tr w14:paraId="0135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02" w:type="dxa"/>
                  <w:tcBorders>
                    <w:tl2br w:val="nil"/>
                    <w:tr2bl w:val="nil"/>
                  </w:tcBorders>
                  <w:vAlign w:val="center"/>
                </w:tcPr>
                <w:p w14:paraId="6F7A8426">
                  <w:pPr>
                    <w:spacing w:line="240" w:lineRule="exact"/>
                    <w:ind w:left="-105" w:leftChars="-50" w:right="-105" w:rightChars="-50"/>
                    <w:jc w:val="center"/>
                    <w:rPr>
                      <w:rFonts w:hint="default" w:cs="Times New Roman"/>
                      <w:b w:val="0"/>
                      <w:bCs w:val="0"/>
                      <w:color w:val="ED7D31" w:themeColor="accent2"/>
                      <w:szCs w:val="21"/>
                      <w:lang w:val="en-US" w:eastAsia="zh-CN"/>
                      <w14:textFill>
                        <w14:solidFill>
                          <w14:schemeClr w14:val="accent2"/>
                        </w14:solidFill>
                      </w14:textFill>
                    </w:rPr>
                  </w:pPr>
                  <w:r>
                    <w:rPr>
                      <w:rFonts w:hint="eastAsia" w:cs="Times New Roman"/>
                      <w:b w:val="0"/>
                      <w:bCs w:val="0"/>
                      <w:color w:val="ED7D31" w:themeColor="accent2"/>
                      <w:szCs w:val="21"/>
                      <w:lang w:val="en-US" w:eastAsia="zh-CN"/>
                      <w14:textFill>
                        <w14:solidFill>
                          <w14:schemeClr w14:val="accent2"/>
                        </w14:solidFill>
                      </w14:textFill>
                    </w:rPr>
                    <w:t>6</w:t>
                  </w:r>
                </w:p>
              </w:tc>
              <w:tc>
                <w:tcPr>
                  <w:tcW w:w="745" w:type="dxa"/>
                  <w:tcBorders>
                    <w:tl2br w:val="nil"/>
                    <w:tr2bl w:val="nil"/>
                  </w:tcBorders>
                  <w:vAlign w:val="center"/>
                </w:tcPr>
                <w:p w14:paraId="3F03E2C9">
                  <w:pPr>
                    <w:pStyle w:val="87"/>
                    <w:spacing w:line="280" w:lineRule="exact"/>
                    <w:ind w:firstLine="0" w:firstLineChars="0"/>
                    <w:jc w:val="center"/>
                    <w:rPr>
                      <w:rFonts w:hint="default" w:ascii="Times New Roman" w:hAnsi="Times New Roman" w:cs="Times New Roman"/>
                      <w:bCs/>
                      <w:color w:val="ED7D31" w:themeColor="accent2"/>
                      <w:sz w:val="21"/>
                      <w:szCs w:val="21"/>
                      <w:shd w:val="clear" w:color="auto" w:fill="auto"/>
                      <w:lang w:val="en-US" w:eastAsia="zh-CN"/>
                      <w14:textFill>
                        <w14:solidFill>
                          <w14:schemeClr w14:val="accent2"/>
                        </w14:solidFill>
                      </w14:textFill>
                    </w:rPr>
                  </w:pPr>
                  <w:r>
                    <w:rPr>
                      <w:rFonts w:hint="eastAsia" w:ascii="Times New Roman" w:hAnsi="Times New Roman" w:cs="Times New Roman"/>
                      <w:bCs/>
                      <w:color w:val="ED7D31" w:themeColor="accent2"/>
                      <w:sz w:val="21"/>
                      <w:szCs w:val="21"/>
                      <w:shd w:val="clear" w:color="auto" w:fill="auto"/>
                      <w:lang w:val="en-US" w:eastAsia="zh-CN"/>
                      <w14:textFill>
                        <w14:solidFill>
                          <w14:schemeClr w14:val="accent2"/>
                        </w14:solidFill>
                      </w14:textFill>
                    </w:rPr>
                    <w:t>挤出工序</w:t>
                  </w:r>
                </w:p>
              </w:tc>
              <w:tc>
                <w:tcPr>
                  <w:tcW w:w="807" w:type="dxa"/>
                  <w:tcBorders>
                    <w:tl2br w:val="nil"/>
                    <w:tr2bl w:val="nil"/>
                  </w:tcBorders>
                  <w:vAlign w:val="center"/>
                </w:tcPr>
                <w:p w14:paraId="084E404B">
                  <w:pPr>
                    <w:pStyle w:val="87"/>
                    <w:spacing w:line="280" w:lineRule="exact"/>
                    <w:ind w:firstLine="0" w:firstLineChars="0"/>
                    <w:jc w:val="center"/>
                    <w:rPr>
                      <w:rFonts w:hint="default" w:ascii="Times New Roman" w:hAnsi="Times New Roman" w:cs="Times New Roman"/>
                      <w:bCs/>
                      <w:color w:val="ED7D31" w:themeColor="accent2"/>
                      <w:sz w:val="21"/>
                      <w:szCs w:val="21"/>
                      <w:shd w:val="clear" w:color="auto" w:fill="auto"/>
                      <w:lang w:val="en-US" w:eastAsia="zh-CN"/>
                      <w14:textFill>
                        <w14:solidFill>
                          <w14:schemeClr w14:val="accent2"/>
                        </w14:solidFill>
                      </w14:textFill>
                    </w:rPr>
                  </w:pPr>
                  <w:r>
                    <w:rPr>
                      <w:rFonts w:hint="eastAsia" w:ascii="Times New Roman" w:hAnsi="Times New Roman" w:cs="Times New Roman"/>
                      <w:bCs/>
                      <w:color w:val="ED7D31" w:themeColor="accent2"/>
                      <w:sz w:val="21"/>
                      <w:szCs w:val="21"/>
                      <w:shd w:val="clear" w:color="auto" w:fill="auto"/>
                      <w:lang w:val="en-US" w:eastAsia="zh-CN"/>
                      <w14:textFill>
                        <w14:solidFill>
                          <w14:schemeClr w14:val="accent2"/>
                        </w14:solidFill>
                      </w14:textFill>
                    </w:rPr>
                    <w:t>废过滤网</w:t>
                  </w:r>
                </w:p>
              </w:tc>
              <w:tc>
                <w:tcPr>
                  <w:tcW w:w="510" w:type="dxa"/>
                  <w:vMerge w:val="continue"/>
                  <w:tcBorders>
                    <w:tl2br w:val="nil"/>
                    <w:tr2bl w:val="nil"/>
                  </w:tcBorders>
                  <w:vAlign w:val="center"/>
                </w:tcPr>
                <w:p w14:paraId="52F6B437">
                  <w:pPr>
                    <w:spacing w:line="240" w:lineRule="exact"/>
                    <w:ind w:left="-105" w:leftChars="-50" w:right="-105" w:rightChars="-50"/>
                    <w:jc w:val="center"/>
                    <w:rPr>
                      <w:rFonts w:hint="eastAsia" w:ascii="Times New Roman" w:hAnsi="Times New Roman" w:eastAsia="宋体" w:cs="Times New Roman"/>
                      <w:b w:val="0"/>
                      <w:bCs w:val="0"/>
                      <w:color w:val="ED7D31" w:themeColor="accent2"/>
                      <w:szCs w:val="21"/>
                      <w:lang w:val="en-US" w:eastAsia="zh-CN"/>
                      <w14:textFill>
                        <w14:solidFill>
                          <w14:schemeClr w14:val="accent2"/>
                        </w14:solidFill>
                      </w14:textFill>
                    </w:rPr>
                  </w:pPr>
                </w:p>
              </w:tc>
              <w:tc>
                <w:tcPr>
                  <w:tcW w:w="1650" w:type="dxa"/>
                  <w:tcBorders>
                    <w:tl2br w:val="nil"/>
                    <w:tr2bl w:val="nil"/>
                  </w:tcBorders>
                  <w:vAlign w:val="center"/>
                </w:tcPr>
                <w:p w14:paraId="0693A524">
                  <w:pPr>
                    <w:spacing w:line="240" w:lineRule="exact"/>
                    <w:jc w:val="center"/>
                    <w:rPr>
                      <w:rFonts w:hint="eastAsia" w:ascii="Times New Roman" w:hAnsi="Times New Roman" w:eastAsia="宋体" w:cs="Times New Roman"/>
                      <w:b w:val="0"/>
                      <w:bCs w:val="0"/>
                      <w:color w:val="ED7D31" w:themeColor="accent2"/>
                      <w:szCs w:val="21"/>
                      <w:lang w:val="en-US" w:eastAsia="zh-CN"/>
                      <w14:textFill>
                        <w14:solidFill>
                          <w14:schemeClr w14:val="accent2"/>
                        </w14:solidFill>
                      </w14:textFill>
                    </w:rPr>
                  </w:pPr>
                  <w:r>
                    <w:rPr>
                      <w:rFonts w:hint="eastAsia" w:ascii="Times New Roman" w:hAnsi="Times New Roman" w:eastAsia="宋体" w:cs="Times New Roman"/>
                      <w:b w:val="0"/>
                      <w:bCs w:val="0"/>
                      <w:color w:val="ED7D31" w:themeColor="accent2"/>
                      <w:szCs w:val="21"/>
                      <w:lang w:val="en-US" w:eastAsia="zh-CN"/>
                      <w14:textFill>
                        <w14:solidFill>
                          <w14:schemeClr w14:val="accent2"/>
                        </w14:solidFill>
                      </w14:textFill>
                    </w:rPr>
                    <w:t>SW59</w:t>
                  </w:r>
                </w:p>
                <w:p w14:paraId="6DCE2FE3">
                  <w:pPr>
                    <w:spacing w:line="240" w:lineRule="exact"/>
                    <w:jc w:val="center"/>
                    <w:rPr>
                      <w:rFonts w:hint="eastAsia" w:ascii="Times New Roman" w:hAnsi="Times New Roman" w:eastAsia="宋体" w:cs="Times New Roman"/>
                      <w:b w:val="0"/>
                      <w:bCs w:val="0"/>
                      <w:color w:val="ED7D31" w:themeColor="accent2"/>
                      <w:szCs w:val="21"/>
                      <w:lang w:val="en-US" w:eastAsia="zh-CN"/>
                      <w14:textFill>
                        <w14:solidFill>
                          <w14:schemeClr w14:val="accent2"/>
                        </w14:solidFill>
                      </w14:textFill>
                    </w:rPr>
                  </w:pPr>
                  <w:r>
                    <w:rPr>
                      <w:rFonts w:hint="eastAsia" w:ascii="Times New Roman" w:hAnsi="Times New Roman" w:eastAsia="宋体" w:cs="Times New Roman"/>
                      <w:b w:val="0"/>
                      <w:bCs w:val="0"/>
                      <w:color w:val="ED7D31" w:themeColor="accent2"/>
                      <w:szCs w:val="21"/>
                      <w:lang w:val="en-US" w:eastAsia="zh-CN"/>
                      <w14:textFill>
                        <w14:solidFill>
                          <w14:schemeClr w14:val="accent2"/>
                        </w14:solidFill>
                      </w14:textFill>
                    </w:rPr>
                    <w:t>其他工业固体</w:t>
                  </w:r>
                </w:p>
                <w:p w14:paraId="0D631335">
                  <w:pPr>
                    <w:spacing w:line="240" w:lineRule="exact"/>
                    <w:jc w:val="center"/>
                    <w:rPr>
                      <w:rFonts w:hint="eastAsia" w:ascii="Times New Roman" w:hAnsi="Times New Roman" w:eastAsia="宋体" w:cs="Times New Roman"/>
                      <w:b w:val="0"/>
                      <w:bCs w:val="0"/>
                      <w:color w:val="ED7D31" w:themeColor="accent2"/>
                      <w:szCs w:val="21"/>
                      <w:lang w:val="en-US" w:eastAsia="zh-CN"/>
                      <w14:textFill>
                        <w14:solidFill>
                          <w14:schemeClr w14:val="accent2"/>
                        </w14:solidFill>
                      </w14:textFill>
                    </w:rPr>
                  </w:pPr>
                  <w:r>
                    <w:rPr>
                      <w:rFonts w:hint="eastAsia" w:ascii="Times New Roman" w:hAnsi="Times New Roman" w:eastAsia="宋体" w:cs="Times New Roman"/>
                      <w:b w:val="0"/>
                      <w:bCs w:val="0"/>
                      <w:color w:val="ED7D31" w:themeColor="accent2"/>
                      <w:szCs w:val="21"/>
                      <w:lang w:val="en-US" w:eastAsia="zh-CN"/>
                      <w14:textFill>
                        <w14:solidFill>
                          <w14:schemeClr w14:val="accent2"/>
                        </w14:solidFill>
                      </w14:textFill>
                    </w:rPr>
                    <w:t>废物</w:t>
                  </w:r>
                  <w:r>
                    <w:rPr>
                      <w:rFonts w:hint="eastAsia" w:cs="Times New Roman"/>
                      <w:b w:val="0"/>
                      <w:bCs w:val="0"/>
                      <w:color w:val="ED7D31" w:themeColor="accent2"/>
                      <w:szCs w:val="21"/>
                      <w:lang w:val="en-US" w:eastAsia="zh-CN"/>
                      <w14:textFill>
                        <w14:solidFill>
                          <w14:schemeClr w14:val="accent2"/>
                        </w14:solidFill>
                      </w14:textFill>
                    </w:rPr>
                    <w:t>（900-009-S59）</w:t>
                  </w:r>
                </w:p>
              </w:tc>
              <w:tc>
                <w:tcPr>
                  <w:tcW w:w="675" w:type="dxa"/>
                  <w:tcBorders>
                    <w:tl2br w:val="nil"/>
                    <w:tr2bl w:val="nil"/>
                  </w:tcBorders>
                  <w:vAlign w:val="center"/>
                </w:tcPr>
                <w:p w14:paraId="7BFBE8D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cs="Times New Roman"/>
                      <w:b w:val="0"/>
                      <w:bCs w:val="0"/>
                      <w:color w:val="ED7D31" w:themeColor="accent2"/>
                      <w:szCs w:val="21"/>
                      <w:lang w:val="en-US" w:eastAsia="zh-CN"/>
                      <w14:textFill>
                        <w14:solidFill>
                          <w14:schemeClr w14:val="accent2"/>
                        </w14:solidFill>
                      </w14:textFill>
                    </w:rPr>
                  </w:pPr>
                  <w:r>
                    <w:rPr>
                      <w:rFonts w:hint="eastAsia" w:cs="Times New Roman"/>
                      <w:b w:val="0"/>
                      <w:bCs w:val="0"/>
                      <w:color w:val="ED7D31" w:themeColor="accent2"/>
                      <w:szCs w:val="21"/>
                      <w:lang w:val="en-US" w:eastAsia="zh-CN"/>
                      <w14:textFill>
                        <w14:solidFill>
                          <w14:schemeClr w14:val="accent2"/>
                        </w14:solidFill>
                      </w14:textFill>
                    </w:rPr>
                    <w:t>固态</w:t>
                  </w:r>
                </w:p>
              </w:tc>
              <w:tc>
                <w:tcPr>
                  <w:tcW w:w="750" w:type="dxa"/>
                  <w:tcBorders>
                    <w:tl2br w:val="nil"/>
                    <w:tr2bl w:val="nil"/>
                  </w:tcBorders>
                  <w:vAlign w:val="center"/>
                </w:tcPr>
                <w:p w14:paraId="671BC065">
                  <w:pPr>
                    <w:spacing w:line="240" w:lineRule="exact"/>
                    <w:jc w:val="center"/>
                    <w:rPr>
                      <w:rFonts w:hint="default" w:cs="Times New Roman"/>
                      <w:b w:val="0"/>
                      <w:bCs w:val="0"/>
                      <w:color w:val="ED7D31" w:themeColor="accent2"/>
                      <w:sz w:val="21"/>
                      <w:szCs w:val="21"/>
                      <w:lang w:val="en-US" w:eastAsia="zh-CN"/>
                      <w14:textFill>
                        <w14:solidFill>
                          <w14:schemeClr w14:val="accent2"/>
                        </w14:solidFill>
                      </w14:textFill>
                    </w:rPr>
                  </w:pPr>
                  <w:r>
                    <w:rPr>
                      <w:rFonts w:hint="eastAsia" w:cs="Times New Roman"/>
                      <w:b w:val="0"/>
                      <w:bCs w:val="0"/>
                      <w:color w:val="ED7D31" w:themeColor="accent2"/>
                      <w:sz w:val="21"/>
                      <w:szCs w:val="21"/>
                      <w:lang w:val="en-US" w:eastAsia="zh-CN"/>
                      <w14:textFill>
                        <w14:solidFill>
                          <w14:schemeClr w14:val="accent2"/>
                        </w14:solidFill>
                      </w14:textFill>
                    </w:rPr>
                    <w:t>0.3</w:t>
                  </w:r>
                </w:p>
              </w:tc>
              <w:tc>
                <w:tcPr>
                  <w:tcW w:w="900" w:type="dxa"/>
                  <w:vMerge w:val="continue"/>
                  <w:tcBorders>
                    <w:tl2br w:val="nil"/>
                    <w:tr2bl w:val="nil"/>
                  </w:tcBorders>
                  <w:vAlign w:val="center"/>
                </w:tcPr>
                <w:p w14:paraId="787D272A">
                  <w:pPr>
                    <w:spacing w:line="240" w:lineRule="exact"/>
                    <w:jc w:val="center"/>
                    <w:rPr>
                      <w:rFonts w:hint="eastAsia" w:cs="Times New Roman"/>
                      <w:b w:val="0"/>
                      <w:bCs w:val="0"/>
                      <w:color w:val="ED7D31" w:themeColor="accent2"/>
                      <w:szCs w:val="21"/>
                      <w:lang w:val="en-US" w:eastAsia="zh-CN"/>
                      <w14:textFill>
                        <w14:solidFill>
                          <w14:schemeClr w14:val="accent2"/>
                        </w14:solidFill>
                      </w14:textFill>
                    </w:rPr>
                  </w:pPr>
                </w:p>
              </w:tc>
              <w:tc>
                <w:tcPr>
                  <w:tcW w:w="930" w:type="dxa"/>
                  <w:tcBorders>
                    <w:tl2br w:val="nil"/>
                    <w:tr2bl w:val="nil"/>
                  </w:tcBorders>
                  <w:vAlign w:val="center"/>
                </w:tcPr>
                <w:p w14:paraId="07FDD227">
                  <w:pPr>
                    <w:spacing w:line="280" w:lineRule="exact"/>
                    <w:jc w:val="center"/>
                    <w:rPr>
                      <w:rFonts w:hint="eastAsia" w:cs="Times New Roman"/>
                      <w:color w:val="ED7D31" w:themeColor="accent2"/>
                      <w:szCs w:val="21"/>
                      <w:shd w:val="clear" w:color="auto" w:fill="auto"/>
                      <w:lang w:val="en-US" w:eastAsia="zh-CN"/>
                      <w14:textFill>
                        <w14:solidFill>
                          <w14:schemeClr w14:val="accent2"/>
                        </w14:solidFill>
                      </w14:textFill>
                    </w:rPr>
                  </w:pPr>
                  <w:r>
                    <w:rPr>
                      <w:rFonts w:hint="eastAsia" w:cs="Times New Roman"/>
                      <w:color w:val="ED7D31" w:themeColor="accent2"/>
                      <w:lang w:val="en-US" w:eastAsia="zh-CN"/>
                      <w14:textFill>
                        <w14:solidFill>
                          <w14:schemeClr w14:val="accent2"/>
                        </w14:solidFill>
                      </w14:textFill>
                    </w:rPr>
                    <w:t>委托专人处置后回用</w:t>
                  </w:r>
                </w:p>
              </w:tc>
              <w:tc>
                <w:tcPr>
                  <w:tcW w:w="862" w:type="dxa"/>
                  <w:tcBorders>
                    <w:tl2br w:val="nil"/>
                    <w:tr2bl w:val="nil"/>
                  </w:tcBorders>
                  <w:vAlign w:val="center"/>
                </w:tcPr>
                <w:p w14:paraId="2F41E95B">
                  <w:pPr>
                    <w:spacing w:line="240" w:lineRule="exact"/>
                    <w:jc w:val="center"/>
                    <w:rPr>
                      <w:rFonts w:hint="default" w:cs="Times New Roman"/>
                      <w:b w:val="0"/>
                      <w:bCs w:val="0"/>
                      <w:color w:val="ED7D31" w:themeColor="accent2"/>
                      <w:sz w:val="21"/>
                      <w:szCs w:val="21"/>
                      <w:lang w:val="en-US" w:eastAsia="zh-CN"/>
                      <w14:textFill>
                        <w14:solidFill>
                          <w14:schemeClr w14:val="accent2"/>
                        </w14:solidFill>
                      </w14:textFill>
                    </w:rPr>
                  </w:pPr>
                  <w:r>
                    <w:rPr>
                      <w:rFonts w:hint="eastAsia" w:cs="Times New Roman"/>
                      <w:b w:val="0"/>
                      <w:bCs w:val="0"/>
                      <w:color w:val="ED7D31" w:themeColor="accent2"/>
                      <w:sz w:val="21"/>
                      <w:szCs w:val="21"/>
                      <w:lang w:val="en-US" w:eastAsia="zh-CN"/>
                      <w14:textFill>
                        <w14:solidFill>
                          <w14:schemeClr w14:val="accent2"/>
                        </w14:solidFill>
                      </w14:textFill>
                    </w:rPr>
                    <w:t>0.3</w:t>
                  </w:r>
                </w:p>
              </w:tc>
            </w:tr>
          </w:tbl>
          <w:p w14:paraId="6C294E93">
            <w:pPr>
              <w:pStyle w:val="9"/>
              <w:keepNext w:val="0"/>
              <w:keepLines w:val="0"/>
              <w:pageBreakBefore w:val="0"/>
              <w:kinsoku/>
              <w:wordWrap/>
              <w:overflowPunct/>
              <w:topLinePunct w:val="0"/>
              <w:autoSpaceDE/>
              <w:autoSpaceDN/>
              <w:bidi w:val="0"/>
              <w:adjustRightInd/>
              <w:snapToGrid/>
              <w:spacing w:line="480" w:lineRule="exact"/>
              <w:ind w:firstLine="482"/>
              <w:jc w:val="both"/>
              <w:textAlignment w:val="auto"/>
              <w:rPr>
                <w:rFonts w:hint="default" w:ascii="Times New Roman" w:hAnsi="Times New Roman" w:cs="Times New Roman"/>
                <w:b w:val="0"/>
                <w:bCs w:val="0"/>
                <w:color w:val="auto"/>
                <w:sz w:val="24"/>
              </w:rPr>
            </w:pPr>
            <w:r>
              <w:rPr>
                <w:rFonts w:hint="eastAsia" w:cs="Times New Roman"/>
                <w:b w:val="0"/>
                <w:bCs w:val="0"/>
                <w:color w:val="auto"/>
                <w:sz w:val="24"/>
                <w:lang w:val="en-US" w:eastAsia="zh-CN"/>
              </w:rPr>
              <w:t>2</w:t>
            </w:r>
            <w:r>
              <w:rPr>
                <w:rFonts w:hint="default" w:ascii="Times New Roman" w:hAnsi="Times New Roman" w:cs="Times New Roman"/>
                <w:b w:val="0"/>
                <w:bCs w:val="0"/>
                <w:color w:val="auto"/>
                <w:sz w:val="24"/>
              </w:rPr>
              <w:t>）环境管理要求</w:t>
            </w:r>
          </w:p>
          <w:p w14:paraId="51C7D133">
            <w:pPr>
              <w:pStyle w:val="9"/>
              <w:keepNext w:val="0"/>
              <w:keepLines w:val="0"/>
              <w:pageBreakBefore w:val="0"/>
              <w:kinsoku/>
              <w:wordWrap/>
              <w:overflowPunct/>
              <w:topLinePunct w:val="0"/>
              <w:autoSpaceDE/>
              <w:autoSpaceDN/>
              <w:bidi w:val="0"/>
              <w:adjustRightInd/>
              <w:snapToGrid/>
              <w:spacing w:line="480" w:lineRule="exact"/>
              <w:ind w:firstLine="482"/>
              <w:jc w:val="both"/>
              <w:textAlignment w:val="auto"/>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本项目产生的一般</w:t>
            </w:r>
            <w:r>
              <w:rPr>
                <w:rFonts w:hint="eastAsia" w:cs="Times New Roman"/>
                <w:b w:val="0"/>
                <w:bCs w:val="0"/>
                <w:color w:val="auto"/>
                <w:sz w:val="24"/>
                <w:lang w:val="en-US" w:eastAsia="zh-CN"/>
              </w:rPr>
              <w:t>工业固体废物</w:t>
            </w:r>
            <w:r>
              <w:rPr>
                <w:rFonts w:hint="default" w:ascii="Times New Roman" w:hAnsi="Times New Roman" w:cs="Times New Roman"/>
                <w:b w:val="0"/>
                <w:bCs w:val="0"/>
                <w:color w:val="auto"/>
                <w:sz w:val="24"/>
              </w:rPr>
              <w:t>应按照《一般工业固体废物贮存和填埋污染控制标准》（GB 18599-2020）的相关规定，进行收集、管理、运输及处置：</w:t>
            </w:r>
          </w:p>
          <w:p w14:paraId="02FE528C">
            <w:pPr>
              <w:pStyle w:val="9"/>
              <w:keepNext w:val="0"/>
              <w:keepLines w:val="0"/>
              <w:pageBreakBefore w:val="0"/>
              <w:kinsoku/>
              <w:wordWrap/>
              <w:overflowPunct/>
              <w:topLinePunct w:val="0"/>
              <w:autoSpaceDE/>
              <w:autoSpaceDN/>
              <w:bidi w:val="0"/>
              <w:adjustRightInd/>
              <w:snapToGrid/>
              <w:spacing w:line="480" w:lineRule="exact"/>
              <w:ind w:left="0" w:leftChars="0" w:firstLine="480" w:firstLineChars="200"/>
              <w:jc w:val="both"/>
              <w:textAlignment w:val="auto"/>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①不相容的一般工业固体废物应设置不同的分区进行贮存。</w:t>
            </w:r>
          </w:p>
          <w:p w14:paraId="3472506D">
            <w:pPr>
              <w:pStyle w:val="9"/>
              <w:keepNext w:val="0"/>
              <w:keepLines w:val="0"/>
              <w:pageBreakBefore w:val="0"/>
              <w:kinsoku/>
              <w:wordWrap/>
              <w:overflowPunct/>
              <w:topLinePunct w:val="0"/>
              <w:autoSpaceDE/>
              <w:autoSpaceDN/>
              <w:bidi w:val="0"/>
              <w:adjustRightInd/>
              <w:snapToGrid/>
              <w:spacing w:line="480" w:lineRule="exact"/>
              <w:ind w:left="0" w:leftChars="0" w:firstLine="480" w:firstLineChars="200"/>
              <w:jc w:val="both"/>
              <w:textAlignment w:val="auto"/>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②应防止雨水径流进入贮存场内。</w:t>
            </w:r>
          </w:p>
          <w:p w14:paraId="783A7CD1">
            <w:pPr>
              <w:pStyle w:val="9"/>
              <w:keepNext w:val="0"/>
              <w:keepLines w:val="0"/>
              <w:pageBreakBefore w:val="0"/>
              <w:kinsoku/>
              <w:wordWrap/>
              <w:overflowPunct/>
              <w:topLinePunct w:val="0"/>
              <w:autoSpaceDE/>
              <w:autoSpaceDN/>
              <w:bidi w:val="0"/>
              <w:adjustRightInd/>
              <w:snapToGrid/>
              <w:spacing w:line="480" w:lineRule="exact"/>
              <w:ind w:left="0" w:leftChars="0" w:firstLine="480" w:firstLineChars="200"/>
              <w:jc w:val="both"/>
              <w:textAlignment w:val="auto"/>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③应加强监督管理，禁止危险废物和生活垃圾混入。</w:t>
            </w:r>
          </w:p>
          <w:p w14:paraId="707F703E">
            <w:pPr>
              <w:pStyle w:val="9"/>
              <w:keepNext w:val="0"/>
              <w:keepLines w:val="0"/>
              <w:pageBreakBefore w:val="0"/>
              <w:kinsoku/>
              <w:wordWrap/>
              <w:overflowPunct/>
              <w:topLinePunct w:val="0"/>
              <w:autoSpaceDE/>
              <w:autoSpaceDN/>
              <w:bidi w:val="0"/>
              <w:adjustRightInd/>
              <w:snapToGrid/>
              <w:spacing w:line="480" w:lineRule="exact"/>
              <w:ind w:left="0" w:leftChars="0" w:firstLine="480" w:firstLineChars="200"/>
              <w:jc w:val="both"/>
              <w:textAlignment w:val="auto"/>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④企业应</w:t>
            </w:r>
            <w:r>
              <w:rPr>
                <w:rFonts w:hint="eastAsia" w:cs="Times New Roman"/>
                <w:b w:val="0"/>
                <w:bCs w:val="0"/>
                <w:color w:val="auto"/>
                <w:sz w:val="24"/>
                <w:lang w:val="en-US" w:eastAsia="zh-CN"/>
              </w:rPr>
              <w:t>建立</w:t>
            </w:r>
            <w:r>
              <w:rPr>
                <w:rFonts w:hint="default" w:ascii="Times New Roman" w:hAnsi="Times New Roman" w:cs="Times New Roman"/>
                <w:b w:val="0"/>
                <w:bCs w:val="0"/>
                <w:color w:val="auto"/>
                <w:sz w:val="24"/>
              </w:rPr>
              <w:t>固体废物管理台账，如实记录产生的工业固体废物</w:t>
            </w:r>
            <w:r>
              <w:rPr>
                <w:rFonts w:hint="eastAsia" w:cs="Times New Roman"/>
                <w:b w:val="0"/>
                <w:bCs w:val="0"/>
                <w:color w:val="auto"/>
                <w:sz w:val="24"/>
                <w:lang w:val="en-US" w:eastAsia="zh-CN"/>
              </w:rPr>
              <w:t>种类</w:t>
            </w:r>
            <w:r>
              <w:rPr>
                <w:rFonts w:hint="default" w:ascii="Times New Roman" w:hAnsi="Times New Roman" w:cs="Times New Roman"/>
                <w:b w:val="0"/>
                <w:bCs w:val="0"/>
                <w:color w:val="auto"/>
                <w:sz w:val="24"/>
              </w:rPr>
              <w:t>、数量、流向、贮存、利用、处置等信息，实现工业固体废物可追溯、可查询。</w:t>
            </w:r>
          </w:p>
          <w:p w14:paraId="4136599A">
            <w:pPr>
              <w:pStyle w:val="9"/>
              <w:keepNext w:val="0"/>
              <w:keepLines w:val="0"/>
              <w:pageBreakBefore w:val="0"/>
              <w:kinsoku/>
              <w:wordWrap/>
              <w:overflowPunct/>
              <w:topLinePunct w:val="0"/>
              <w:autoSpaceDE/>
              <w:autoSpaceDN/>
              <w:bidi w:val="0"/>
              <w:adjustRightInd/>
              <w:snapToGrid/>
              <w:spacing w:line="480" w:lineRule="exact"/>
              <w:ind w:firstLine="482"/>
              <w:jc w:val="both"/>
              <w:textAlignment w:val="auto"/>
              <w:rPr>
                <w:rFonts w:hint="eastAsia" w:ascii="Times New Roman" w:hAnsi="Times New Roman" w:eastAsia="宋体" w:cs="Times New Roman"/>
                <w:b w:val="0"/>
                <w:bCs w:val="0"/>
                <w:color w:val="auto"/>
                <w:sz w:val="24"/>
                <w:lang w:eastAsia="zh-CN"/>
              </w:rPr>
            </w:pPr>
            <w:r>
              <w:rPr>
                <w:rFonts w:hint="default" w:ascii="Times New Roman" w:hAnsi="Times New Roman" w:cs="Times New Roman"/>
                <w:b w:val="0"/>
                <w:bCs w:val="0"/>
                <w:color w:val="auto"/>
                <w:sz w:val="24"/>
              </w:rPr>
              <w:t>综上所述，本项目所产生的</w:t>
            </w:r>
            <w:r>
              <w:rPr>
                <w:rFonts w:hint="eastAsia" w:cs="Times New Roman"/>
                <w:b w:val="0"/>
                <w:bCs w:val="0"/>
                <w:color w:val="auto"/>
                <w:sz w:val="24"/>
                <w:lang w:val="en-US" w:eastAsia="zh-CN"/>
              </w:rPr>
              <w:t>一般工业</w:t>
            </w:r>
            <w:r>
              <w:rPr>
                <w:rFonts w:hint="default" w:ascii="Times New Roman" w:hAnsi="Times New Roman" w:cs="Times New Roman"/>
                <w:b w:val="0"/>
                <w:bCs w:val="0"/>
                <w:color w:val="auto"/>
                <w:sz w:val="24"/>
              </w:rPr>
              <w:t>固体废物均能得到合理利用和妥善处置，不外排，处理处置方式符合《一般工业固体废物贮存和填埋污染控制标准》（GB18599-2020）</w:t>
            </w:r>
            <w:r>
              <w:rPr>
                <w:rFonts w:hint="eastAsia" w:cs="Times New Roman"/>
                <w:b w:val="0"/>
                <w:bCs w:val="0"/>
                <w:color w:val="auto"/>
                <w:sz w:val="24"/>
                <w:lang w:val="en-US" w:eastAsia="zh-CN"/>
              </w:rPr>
              <w:t>要求</w:t>
            </w:r>
            <w:r>
              <w:rPr>
                <w:rFonts w:hint="eastAsia" w:cs="Times New Roman"/>
                <w:b w:val="0"/>
                <w:bCs w:val="0"/>
                <w:color w:val="auto"/>
                <w:sz w:val="24"/>
                <w:lang w:eastAsia="zh-CN"/>
              </w:rPr>
              <w:t>。</w:t>
            </w:r>
          </w:p>
          <w:p w14:paraId="1EC5560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Times New Roman" w:hAnsi="Times New Roman" w:eastAsia="宋体" w:cs="Times New Roman"/>
                <w:b w:val="0"/>
                <w:bCs w:val="0"/>
                <w:color w:val="auto"/>
                <w:sz w:val="24"/>
                <w:szCs w:val="22"/>
                <w:lang w:val="en-US" w:eastAsia="zh-CN"/>
              </w:rPr>
            </w:pPr>
            <w:r>
              <w:rPr>
                <w:rFonts w:hint="default" w:ascii="Times New Roman" w:hAnsi="Times New Roman" w:cs="Times New Roman"/>
                <w:b w:val="0"/>
                <w:bCs w:val="0"/>
                <w:color w:val="auto"/>
                <w:sz w:val="24"/>
                <w:szCs w:val="22"/>
              </w:rPr>
              <w:t>（</w:t>
            </w:r>
            <w:r>
              <w:rPr>
                <w:rFonts w:hint="eastAsia" w:cs="Times New Roman"/>
                <w:b w:val="0"/>
                <w:bCs w:val="0"/>
                <w:color w:val="auto"/>
                <w:sz w:val="24"/>
                <w:szCs w:val="22"/>
                <w:lang w:val="en-US" w:eastAsia="zh-CN"/>
              </w:rPr>
              <w:t>3</w:t>
            </w:r>
            <w:r>
              <w:rPr>
                <w:rFonts w:hint="default" w:ascii="Times New Roman" w:hAnsi="Times New Roman" w:cs="Times New Roman"/>
                <w:b w:val="0"/>
                <w:bCs w:val="0"/>
                <w:color w:val="auto"/>
                <w:sz w:val="24"/>
                <w:szCs w:val="22"/>
              </w:rPr>
              <w:t>）</w:t>
            </w:r>
            <w:r>
              <w:rPr>
                <w:rFonts w:hint="eastAsia" w:cs="Times New Roman"/>
                <w:b w:val="0"/>
                <w:bCs w:val="0"/>
                <w:color w:val="auto"/>
                <w:sz w:val="24"/>
                <w:szCs w:val="22"/>
                <w:lang w:val="en-US" w:eastAsia="zh-CN"/>
              </w:rPr>
              <w:t>危险废物</w:t>
            </w:r>
          </w:p>
          <w:p w14:paraId="5CE50B1E">
            <w:pPr>
              <w:pStyle w:val="92"/>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default" w:ascii="Times New Roman" w:hAnsi="Times New Roman" w:cs="Times New Roman"/>
                <w:b w:val="0"/>
                <w:bCs w:val="0"/>
                <w:color w:val="auto"/>
              </w:rPr>
            </w:pPr>
            <w:r>
              <w:rPr>
                <w:rFonts w:hint="eastAsia" w:cs="Times New Roman"/>
                <w:b w:val="0"/>
                <w:bCs w:val="0"/>
                <w:color w:val="auto"/>
                <w:lang w:val="en-US" w:eastAsia="zh-CN"/>
              </w:rPr>
              <w:t>1）</w:t>
            </w:r>
            <w:r>
              <w:rPr>
                <w:rFonts w:hint="default" w:ascii="Times New Roman" w:hAnsi="Times New Roman" w:cs="Times New Roman"/>
                <w:b w:val="0"/>
                <w:bCs w:val="0"/>
                <w:color w:val="auto"/>
              </w:rPr>
              <w:t>环境影响分析</w:t>
            </w:r>
          </w:p>
          <w:p w14:paraId="0DF0798A">
            <w:pPr>
              <w:pStyle w:val="1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default" w:cs="Times New Roman"/>
                <w:b w:val="0"/>
                <w:bCs w:val="0"/>
                <w:color w:val="auto"/>
                <w:sz w:val="24"/>
                <w:szCs w:val="24"/>
                <w:lang w:val="en-US" w:eastAsia="zh-CN"/>
              </w:rPr>
            </w:pPr>
            <w:r>
              <w:rPr>
                <w:rFonts w:hint="eastAsia" w:cs="Times New Roman"/>
                <w:b w:val="0"/>
                <w:bCs w:val="0"/>
                <w:color w:val="000000" w:themeColor="text1"/>
                <w:sz w:val="24"/>
                <w:szCs w:val="24"/>
                <w:lang w:val="en-US" w:eastAsia="zh-CN"/>
                <w14:textFill>
                  <w14:solidFill>
                    <w14:schemeClr w14:val="tx1"/>
                  </w14:solidFill>
                </w14:textFill>
              </w:rPr>
              <w:t>本项目废过滤棉产生量为0.05t/a</w:t>
            </w:r>
            <w:r>
              <w:rPr>
                <w:rFonts w:hint="eastAsia" w:cs="Times New Roman"/>
                <w:b w:val="0"/>
                <w:bCs w:val="0"/>
                <w:color w:val="000000" w:themeColor="text1"/>
                <w:sz w:val="24"/>
                <w:szCs w:val="24"/>
                <w:lang w:eastAsia="zh-CN"/>
                <w14:textFill>
                  <w14:solidFill>
                    <w14:schemeClr w14:val="tx1"/>
                  </w14:solidFill>
                </w14:textFill>
              </w:rPr>
              <w:t>，</w:t>
            </w:r>
            <w:r>
              <w:rPr>
                <w:rFonts w:hint="eastAsia" w:cs="Times New Roman"/>
                <w:b w:val="0"/>
                <w:bCs w:val="0"/>
                <w:color w:val="auto"/>
                <w:sz w:val="24"/>
                <w:szCs w:val="24"/>
                <w:lang w:val="en-US" w:eastAsia="zh-CN"/>
              </w:rPr>
              <w:t>废催化剂产生量为0.2t/3a，</w:t>
            </w:r>
            <w:r>
              <w:rPr>
                <w:rFonts w:hint="eastAsia" w:cs="Times New Roman"/>
                <w:b w:val="0"/>
                <w:bCs w:val="0"/>
                <w:color w:val="000000" w:themeColor="text1"/>
                <w:sz w:val="24"/>
                <w:lang w:val="en-US" w:eastAsia="zh-CN"/>
                <w14:textFill>
                  <w14:solidFill>
                    <w14:schemeClr w14:val="tx1"/>
                  </w14:solidFill>
                </w14:textFill>
              </w:rPr>
              <w:t>废液压油</w:t>
            </w:r>
            <w:r>
              <w:rPr>
                <w:rFonts w:hint="eastAsia" w:cs="Times New Roman"/>
                <w:b w:val="0"/>
                <w:bCs w:val="0"/>
                <w:color w:val="000000" w:themeColor="text1"/>
                <w:sz w:val="24"/>
                <w:szCs w:val="24"/>
                <w:lang w:val="en-US" w:eastAsia="zh-CN"/>
                <w14:textFill>
                  <w14:solidFill>
                    <w14:schemeClr w14:val="tx1"/>
                  </w14:solidFill>
                </w14:textFill>
              </w:rPr>
              <w:t>产生量为0.004t/a</w:t>
            </w:r>
            <w:r>
              <w:rPr>
                <w:rFonts w:hint="eastAsia" w:cs="Times New Roman"/>
                <w:b w:val="0"/>
                <w:bCs w:val="0"/>
                <w:color w:val="000000" w:themeColor="text1"/>
                <w:sz w:val="24"/>
                <w:szCs w:val="24"/>
                <w:lang w:eastAsia="zh-CN"/>
                <w14:textFill>
                  <w14:solidFill>
                    <w14:schemeClr w14:val="tx1"/>
                  </w14:solidFill>
                </w14:textFill>
              </w:rPr>
              <w:t>，</w:t>
            </w:r>
            <w:r>
              <w:rPr>
                <w:rFonts w:hint="eastAsia" w:cs="Times New Roman"/>
                <w:b w:val="0"/>
                <w:bCs w:val="0"/>
                <w:color w:val="000000" w:themeColor="text1"/>
                <w:sz w:val="24"/>
                <w:szCs w:val="24"/>
                <w:lang w:val="en-US" w:eastAsia="zh-CN"/>
                <w14:textFill>
                  <w14:solidFill>
                    <w14:schemeClr w14:val="tx1"/>
                  </w14:solidFill>
                </w14:textFill>
              </w:rPr>
              <w:t>废润滑油产生量0.12t/a，</w:t>
            </w:r>
            <w:r>
              <w:rPr>
                <w:rFonts w:hint="eastAsia" w:cs="Times New Roman"/>
                <w:b w:val="0"/>
                <w:bCs w:val="0"/>
                <w:color w:val="000000" w:themeColor="text1"/>
                <w:sz w:val="24"/>
                <w:lang w:eastAsia="zh-CN"/>
                <w14:textFill>
                  <w14:solidFill>
                    <w14:schemeClr w14:val="tx1"/>
                  </w14:solidFill>
                </w14:textFill>
              </w:rPr>
              <w:t>废油桶</w:t>
            </w:r>
            <w:r>
              <w:rPr>
                <w:rFonts w:hint="eastAsia" w:cs="Times New Roman"/>
                <w:b w:val="0"/>
                <w:bCs w:val="0"/>
                <w:color w:val="000000" w:themeColor="text1"/>
                <w:sz w:val="24"/>
                <w:szCs w:val="24"/>
                <w:lang w:val="en-US" w:eastAsia="zh-CN"/>
                <w14:textFill>
                  <w14:solidFill>
                    <w14:schemeClr w14:val="tx1"/>
                  </w14:solidFill>
                </w14:textFill>
              </w:rPr>
              <w:t>产生量为0.03t/a，废含油抹布0.012t/a</w:t>
            </w:r>
            <w:r>
              <w:rPr>
                <w:rFonts w:hint="eastAsia" w:cs="Times New Roman"/>
                <w:b w:val="0"/>
                <w:bCs w:val="0"/>
                <w:color w:val="auto"/>
                <w:sz w:val="24"/>
                <w:szCs w:val="24"/>
                <w:lang w:val="en-US" w:eastAsia="zh-CN"/>
              </w:rPr>
              <w:t>。</w:t>
            </w:r>
            <w:r>
              <w:rPr>
                <w:rFonts w:hint="eastAsia" w:cs="Times New Roman"/>
                <w:b w:val="0"/>
                <w:bCs w:val="0"/>
                <w:color w:val="000000" w:themeColor="text1"/>
                <w:sz w:val="24"/>
                <w:szCs w:val="24"/>
                <w:lang w:val="en-US" w:eastAsia="zh-CN"/>
                <w14:textFill>
                  <w14:solidFill>
                    <w14:schemeClr w14:val="tx1"/>
                  </w14:solidFill>
                </w14:textFill>
              </w:rPr>
              <w:t>项目挤出工序有机废气采取“干式过滤+活性炭吸附脱附+催化燃烧”处理，设备配备的风机风量为10000m</w:t>
            </w:r>
            <w:r>
              <w:rPr>
                <w:rFonts w:hint="eastAsia" w:cs="Times New Roman"/>
                <w:b w:val="0"/>
                <w:bCs w:val="0"/>
                <w:color w:val="000000" w:themeColor="text1"/>
                <w:sz w:val="24"/>
                <w:szCs w:val="24"/>
                <w:vertAlign w:val="superscript"/>
                <w:lang w:val="en-US" w:eastAsia="zh-CN"/>
                <w14:textFill>
                  <w14:solidFill>
                    <w14:schemeClr w14:val="tx1"/>
                  </w14:solidFill>
                </w14:textFill>
              </w:rPr>
              <w:t>3</w:t>
            </w:r>
            <w:r>
              <w:rPr>
                <w:rFonts w:hint="eastAsia" w:cs="Times New Roman"/>
                <w:b w:val="0"/>
                <w:bCs w:val="0"/>
                <w:color w:val="000000" w:themeColor="text1"/>
                <w:sz w:val="24"/>
                <w:szCs w:val="24"/>
                <w:lang w:val="en-US" w:eastAsia="zh-CN"/>
                <w14:textFill>
                  <w14:solidFill>
                    <w14:schemeClr w14:val="tx1"/>
                  </w14:solidFill>
                </w14:textFill>
              </w:rPr>
              <w:t>/h，采用蜂窝状活性炭，活性炭碘值</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≥800mg/g</w:t>
            </w:r>
            <w:r>
              <w:rPr>
                <w:rFonts w:hint="eastAsia" w:cs="Times New Roman"/>
                <w:b w:val="0"/>
                <w:bCs w:val="0"/>
                <w:color w:val="000000" w:themeColor="text1"/>
                <w:sz w:val="24"/>
                <w:szCs w:val="24"/>
                <w:lang w:val="en-US" w:eastAsia="zh-CN"/>
                <w14:textFill>
                  <w14:solidFill>
                    <w14:schemeClr w14:val="tx1"/>
                  </w14:solidFill>
                </w14:textFill>
              </w:rPr>
              <w:t>，活性炭装置充装量按1：5000m</w:t>
            </w:r>
            <w:r>
              <w:rPr>
                <w:rFonts w:hint="eastAsia" w:cs="Times New Roman"/>
                <w:b w:val="0"/>
                <w:bCs w:val="0"/>
                <w:color w:val="000000" w:themeColor="text1"/>
                <w:sz w:val="24"/>
                <w:szCs w:val="24"/>
                <w:vertAlign w:val="superscript"/>
                <w:lang w:val="en-US" w:eastAsia="zh-CN"/>
                <w14:textFill>
                  <w14:solidFill>
                    <w14:schemeClr w14:val="tx1"/>
                  </w14:solidFill>
                </w14:textFill>
              </w:rPr>
              <w:t>3</w:t>
            </w:r>
            <w:r>
              <w:rPr>
                <w:rFonts w:hint="eastAsia" w:cs="Times New Roman"/>
                <w:b w:val="0"/>
                <w:bCs w:val="0"/>
                <w:color w:val="000000" w:themeColor="text1"/>
                <w:sz w:val="24"/>
                <w:szCs w:val="24"/>
                <w:lang w:val="en-US" w:eastAsia="zh-CN"/>
                <w14:textFill>
                  <w14:solidFill>
                    <w14:schemeClr w14:val="tx1"/>
                  </w14:solidFill>
                </w14:textFill>
              </w:rPr>
              <w:t>/h计算，为2m</w:t>
            </w:r>
            <w:r>
              <w:rPr>
                <w:rFonts w:hint="eastAsia" w:cs="Times New Roman"/>
                <w:b w:val="0"/>
                <w:bCs w:val="0"/>
                <w:color w:val="000000" w:themeColor="text1"/>
                <w:sz w:val="24"/>
                <w:szCs w:val="24"/>
                <w:vertAlign w:val="superscript"/>
                <w:lang w:val="en-US" w:eastAsia="zh-CN"/>
                <w14:textFill>
                  <w14:solidFill>
                    <w14:schemeClr w14:val="tx1"/>
                  </w14:solidFill>
                </w14:textFill>
              </w:rPr>
              <w:t>3</w:t>
            </w:r>
            <w:r>
              <w:rPr>
                <w:rFonts w:hint="eastAsia" w:cs="Times New Roman"/>
                <w:b w:val="0"/>
                <w:bCs w:val="0"/>
                <w:color w:val="000000" w:themeColor="text1"/>
                <w:sz w:val="24"/>
                <w:szCs w:val="24"/>
                <w:lang w:val="en-US" w:eastAsia="zh-CN"/>
                <w14:textFill>
                  <w14:solidFill>
                    <w14:schemeClr w14:val="tx1"/>
                  </w14:solidFill>
                </w14:textFill>
              </w:rPr>
              <w:t>，活性炭总填充重量按碘值800mg/g，1m</w:t>
            </w:r>
            <w:r>
              <w:rPr>
                <w:rFonts w:hint="eastAsia" w:cs="Times New Roman"/>
                <w:b w:val="0"/>
                <w:bCs w:val="0"/>
                <w:color w:val="000000" w:themeColor="text1"/>
                <w:sz w:val="24"/>
                <w:szCs w:val="24"/>
                <w:vertAlign w:val="superscript"/>
                <w:lang w:val="en-US" w:eastAsia="zh-CN"/>
                <w14:textFill>
                  <w14:solidFill>
                    <w14:schemeClr w14:val="tx1"/>
                  </w14:solidFill>
                </w14:textFill>
              </w:rPr>
              <w:t>3</w:t>
            </w:r>
            <w:r>
              <w:rPr>
                <w:rFonts w:hint="eastAsia" w:cs="Times New Roman"/>
                <w:b w:val="0"/>
                <w:bCs w:val="0"/>
                <w:color w:val="000000" w:themeColor="text1"/>
                <w:sz w:val="24"/>
                <w:szCs w:val="24"/>
                <w:lang w:val="en-US" w:eastAsia="zh-CN"/>
                <w14:textFill>
                  <w14:solidFill>
                    <w14:schemeClr w14:val="tx1"/>
                  </w14:solidFill>
                </w14:textFill>
              </w:rPr>
              <w:t>蜂窝状活性炭约重0.45t，计算充装量为0.9t，活性炭主要吸附废气非甲烷总烃。本次评价按照每年更换1次计算，则</w:t>
            </w:r>
            <w:r>
              <w:rPr>
                <w:rFonts w:hint="eastAsia" w:cs="Times New Roman"/>
                <w:b w:val="0"/>
                <w:bCs w:val="0"/>
                <w:color w:val="auto"/>
                <w:sz w:val="24"/>
                <w:szCs w:val="24"/>
                <w:lang w:eastAsia="zh-CN"/>
              </w:rPr>
              <w:t>废活性炭</w:t>
            </w:r>
            <w:r>
              <w:rPr>
                <w:rFonts w:hint="eastAsia" w:cs="Times New Roman"/>
                <w:b w:val="0"/>
                <w:bCs w:val="0"/>
                <w:color w:val="000000" w:themeColor="text1"/>
                <w:sz w:val="24"/>
                <w:szCs w:val="24"/>
                <w:lang w:val="en-US" w:eastAsia="zh-CN"/>
                <w14:textFill>
                  <w14:solidFill>
                    <w14:schemeClr w14:val="tx1"/>
                  </w14:solidFill>
                </w14:textFill>
              </w:rPr>
              <w:t>产生量为0.9t。</w:t>
            </w:r>
            <w:r>
              <w:rPr>
                <w:rFonts w:hint="eastAsia" w:cs="Times New Roman"/>
                <w:b w:val="0"/>
                <w:bCs w:val="0"/>
                <w:color w:val="auto"/>
                <w:sz w:val="24"/>
                <w:szCs w:val="24"/>
                <w:lang w:val="en-US" w:eastAsia="zh-CN"/>
              </w:rPr>
              <w:t>本项目废过滤棉、废活性炭、废催化剂、废液压油、废润滑油、废油桶、废含油抹布均</w:t>
            </w:r>
            <w:r>
              <w:rPr>
                <w:rStyle w:val="134"/>
                <w:rFonts w:hint="eastAsia"/>
                <w:color w:val="000000" w:themeColor="text1"/>
                <w:sz w:val="24"/>
                <w:szCs w:val="24"/>
                <w:lang w:val="en-US" w:eastAsia="zh-CN"/>
                <w14:textFill>
                  <w14:solidFill>
                    <w14:schemeClr w14:val="tx1"/>
                  </w14:solidFill>
                </w14:textFill>
              </w:rPr>
              <w:t>暂存于危废间，委托有资质单位处理</w:t>
            </w:r>
            <w:r>
              <w:rPr>
                <w:rFonts w:hint="eastAsia" w:cs="Times New Roman"/>
                <w:b w:val="0"/>
                <w:bCs w:val="0"/>
                <w:color w:val="auto"/>
                <w:sz w:val="24"/>
                <w:szCs w:val="24"/>
                <w:lang w:val="en-US" w:eastAsia="zh-CN"/>
              </w:rPr>
              <w:t>。</w:t>
            </w:r>
          </w:p>
          <w:p w14:paraId="29103B0B">
            <w:pPr>
              <w:pStyle w:val="12"/>
              <w:keepNext w:val="0"/>
              <w:keepLines w:val="0"/>
              <w:pageBreakBefore w:val="0"/>
              <w:widowControl w:val="0"/>
              <w:tabs>
                <w:tab w:val="left" w:pos="5300"/>
              </w:tabs>
              <w:kinsoku/>
              <w:wordWrap/>
              <w:overflowPunct/>
              <w:topLinePunct w:val="0"/>
              <w:autoSpaceDE/>
              <w:autoSpaceDN/>
              <w:bidi w:val="0"/>
              <w:adjustRightInd/>
              <w:snapToGrid/>
              <w:spacing w:after="0" w:line="500" w:lineRule="exact"/>
              <w:jc w:val="center"/>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表</w:t>
            </w:r>
            <w:r>
              <w:rPr>
                <w:rFonts w:hint="eastAsia" w:cs="Times New Roman"/>
                <w:b/>
                <w:bCs/>
                <w:color w:val="auto"/>
                <w:sz w:val="24"/>
                <w:lang w:val="en-US" w:eastAsia="zh-CN"/>
              </w:rPr>
              <w:t>29   危险废物类别及处理措施一览表</w:t>
            </w:r>
          </w:p>
          <w:tbl>
            <w:tblPr>
              <w:tblStyle w:val="29"/>
              <w:tblW w:w="8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
              <w:gridCol w:w="558"/>
              <w:gridCol w:w="667"/>
              <w:gridCol w:w="578"/>
              <w:gridCol w:w="729"/>
              <w:gridCol w:w="578"/>
              <w:gridCol w:w="724"/>
              <w:gridCol w:w="756"/>
              <w:gridCol w:w="660"/>
              <w:gridCol w:w="636"/>
              <w:gridCol w:w="696"/>
              <w:gridCol w:w="792"/>
              <w:gridCol w:w="686"/>
            </w:tblGrid>
            <w:tr w14:paraId="5F2C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254" w:type="dxa"/>
                  <w:tcBorders>
                    <w:tl2br w:val="nil"/>
                    <w:tr2bl w:val="nil"/>
                  </w:tcBorders>
                  <w:vAlign w:val="center"/>
                </w:tcPr>
                <w:p w14:paraId="714AAC67">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rPr>
                      <w:rFonts w:hint="eastAsia" w:ascii="Times New Roman" w:hAnsi="Times New Roman" w:eastAsia="宋体" w:cs="Times New Roman"/>
                      <w:b w:val="0"/>
                      <w:bCs w:val="0"/>
                      <w:color w:val="000000" w:themeColor="text1"/>
                      <w:szCs w:val="21"/>
                      <w:lang w:eastAsia="zh-CN"/>
                      <w14:textFill>
                        <w14:solidFill>
                          <w14:schemeClr w14:val="tx1"/>
                        </w14:solidFill>
                      </w14:textFill>
                    </w:rPr>
                  </w:pPr>
                  <w:r>
                    <w:rPr>
                      <w:rFonts w:hint="eastAsia" w:cs="Times New Roman"/>
                      <w:b w:val="0"/>
                      <w:bCs w:val="0"/>
                      <w:color w:val="000000" w:themeColor="text1"/>
                      <w:szCs w:val="21"/>
                      <w:lang w:val="en-US" w:eastAsia="zh-CN"/>
                      <w14:textFill>
                        <w14:solidFill>
                          <w14:schemeClr w14:val="tx1"/>
                        </w14:solidFill>
                      </w14:textFill>
                    </w:rPr>
                    <w:t>序号</w:t>
                  </w:r>
                </w:p>
              </w:tc>
              <w:tc>
                <w:tcPr>
                  <w:tcW w:w="558" w:type="dxa"/>
                  <w:tcBorders>
                    <w:tl2br w:val="nil"/>
                    <w:tr2bl w:val="nil"/>
                  </w:tcBorders>
                  <w:vAlign w:val="center"/>
                </w:tcPr>
                <w:p w14:paraId="7537489E">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rPr>
                      <w:rFonts w:hint="eastAsia" w:cs="Times New Roman"/>
                      <w:b w:val="0"/>
                      <w:bCs w:val="0"/>
                      <w:color w:val="000000" w:themeColor="text1"/>
                      <w:szCs w:val="21"/>
                      <w:lang w:val="en-US" w:eastAsia="zh-CN"/>
                      <w14:textFill>
                        <w14:solidFill>
                          <w14:schemeClr w14:val="tx1"/>
                        </w14:solidFill>
                      </w14:textFill>
                    </w:rPr>
                  </w:pPr>
                  <w:r>
                    <w:rPr>
                      <w:rFonts w:hint="eastAsia" w:cs="Times New Roman"/>
                      <w:b w:val="0"/>
                      <w:bCs w:val="0"/>
                      <w:color w:val="000000" w:themeColor="text1"/>
                      <w:szCs w:val="21"/>
                      <w:lang w:val="en-US" w:eastAsia="zh-CN"/>
                      <w14:textFill>
                        <w14:solidFill>
                          <w14:schemeClr w14:val="tx1"/>
                        </w14:solidFill>
                      </w14:textFill>
                    </w:rPr>
                    <w:t>产生</w:t>
                  </w:r>
                </w:p>
                <w:p w14:paraId="1B146F65">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环节</w:t>
                  </w:r>
                </w:p>
              </w:tc>
              <w:tc>
                <w:tcPr>
                  <w:tcW w:w="667" w:type="dxa"/>
                  <w:tcBorders>
                    <w:tl2br w:val="nil"/>
                    <w:tr2bl w:val="nil"/>
                  </w:tcBorders>
                  <w:vAlign w:val="center"/>
                </w:tcPr>
                <w:p w14:paraId="50B6005B">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名称</w:t>
                  </w:r>
                </w:p>
              </w:tc>
              <w:tc>
                <w:tcPr>
                  <w:tcW w:w="578" w:type="dxa"/>
                  <w:tcBorders>
                    <w:tl2br w:val="nil"/>
                    <w:tr2bl w:val="nil"/>
                  </w:tcBorders>
                  <w:vAlign w:val="center"/>
                </w:tcPr>
                <w:p w14:paraId="7AB691B3">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rPr>
                      <w:rFonts w:hint="eastAsia" w:ascii="Times New Roman" w:hAnsi="Times New Roman" w:eastAsia="宋体" w:cs="Times New Roman"/>
                      <w:b w:val="0"/>
                      <w:bCs w:val="0"/>
                      <w:color w:val="000000" w:themeColor="text1"/>
                      <w:szCs w:val="21"/>
                      <w:lang w:eastAsia="zh-CN"/>
                      <w14:textFill>
                        <w14:solidFill>
                          <w14:schemeClr w14:val="tx1"/>
                        </w14:solidFill>
                      </w14:textFill>
                    </w:rPr>
                  </w:pPr>
                  <w:r>
                    <w:rPr>
                      <w:rFonts w:hint="eastAsia" w:cs="Times New Roman"/>
                      <w:b w:val="0"/>
                      <w:bCs w:val="0"/>
                      <w:color w:val="000000" w:themeColor="text1"/>
                      <w:szCs w:val="21"/>
                      <w:lang w:val="en-US" w:eastAsia="zh-CN"/>
                      <w14:textFill>
                        <w14:solidFill>
                          <w14:schemeClr w14:val="tx1"/>
                        </w14:solidFill>
                      </w14:textFill>
                    </w:rPr>
                    <w:t>属性</w:t>
                  </w:r>
                </w:p>
              </w:tc>
              <w:tc>
                <w:tcPr>
                  <w:tcW w:w="729" w:type="dxa"/>
                  <w:tcBorders>
                    <w:tl2br w:val="nil"/>
                    <w:tr2bl w:val="nil"/>
                  </w:tcBorders>
                  <w:vAlign w:val="center"/>
                </w:tcPr>
                <w:p w14:paraId="71F87E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b w:val="0"/>
                      <w:bCs w:val="0"/>
                      <w:color w:val="000000" w:themeColor="text1"/>
                      <w:szCs w:val="21"/>
                      <w:lang w:val="en-US"/>
                      <w14:textFill>
                        <w14:solidFill>
                          <w14:schemeClr w14:val="tx1"/>
                        </w14:solidFill>
                      </w14:textFill>
                    </w:rPr>
                  </w:pPr>
                  <w:r>
                    <w:rPr>
                      <w:rFonts w:hint="eastAsia" w:cs="Times New Roman"/>
                      <w:b w:val="0"/>
                      <w:bCs w:val="0"/>
                      <w:color w:val="000000" w:themeColor="text1"/>
                      <w:szCs w:val="21"/>
                      <w:lang w:val="en-US" w:eastAsia="zh-CN"/>
                      <w14:textFill>
                        <w14:solidFill>
                          <w14:schemeClr w14:val="tx1"/>
                        </w14:solidFill>
                      </w14:textFill>
                    </w:rPr>
                    <w:t>主要有毒有害物质名称</w:t>
                  </w:r>
                </w:p>
              </w:tc>
              <w:tc>
                <w:tcPr>
                  <w:tcW w:w="578" w:type="dxa"/>
                  <w:tcBorders>
                    <w:tl2br w:val="nil"/>
                    <w:tr2bl w:val="nil"/>
                  </w:tcBorders>
                  <w:vAlign w:val="center"/>
                </w:tcPr>
                <w:p w14:paraId="28A5F62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b w:val="0"/>
                      <w:bCs w:val="0"/>
                      <w:color w:val="000000" w:themeColor="text1"/>
                      <w:szCs w:val="21"/>
                      <w:lang w:eastAsia="zh-CN"/>
                      <w14:textFill>
                        <w14:solidFill>
                          <w14:schemeClr w14:val="tx1"/>
                        </w14:solidFill>
                      </w14:textFill>
                    </w:rPr>
                  </w:pPr>
                  <w:r>
                    <w:rPr>
                      <w:rFonts w:hint="eastAsia" w:cs="Times New Roman"/>
                      <w:b w:val="0"/>
                      <w:bCs w:val="0"/>
                      <w:color w:val="000000" w:themeColor="text1"/>
                      <w:szCs w:val="21"/>
                      <w:lang w:val="en-US" w:eastAsia="zh-CN"/>
                      <w14:textFill>
                        <w14:solidFill>
                          <w14:schemeClr w14:val="tx1"/>
                        </w14:solidFill>
                      </w14:textFill>
                    </w:rPr>
                    <w:t>物理性状</w:t>
                  </w:r>
                </w:p>
              </w:tc>
              <w:tc>
                <w:tcPr>
                  <w:tcW w:w="724" w:type="dxa"/>
                  <w:tcBorders>
                    <w:tl2br w:val="nil"/>
                    <w:tr2bl w:val="nil"/>
                  </w:tcBorders>
                  <w:vAlign w:val="center"/>
                </w:tcPr>
                <w:p w14:paraId="57B9F71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环境危险</w:t>
                  </w:r>
                </w:p>
                <w:p w14:paraId="5AA4651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特性</w:t>
                  </w:r>
                </w:p>
              </w:tc>
              <w:tc>
                <w:tcPr>
                  <w:tcW w:w="756" w:type="dxa"/>
                  <w:tcBorders>
                    <w:tl2br w:val="nil"/>
                    <w:tr2bl w:val="nil"/>
                  </w:tcBorders>
                  <w:vAlign w:val="center"/>
                </w:tcPr>
                <w:p w14:paraId="7D51559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cs="Times New Roman"/>
                      <w:color w:val="000000" w:themeColor="text1"/>
                      <w:szCs w:val="21"/>
                      <w:lang w:val="en-US" w:eastAsia="zh-CN"/>
                      <w14:textFill>
                        <w14:solidFill>
                          <w14:schemeClr w14:val="tx1"/>
                        </w14:solidFill>
                      </w14:textFill>
                    </w:rPr>
                  </w:pPr>
                  <w:r>
                    <w:rPr>
                      <w:rFonts w:hint="default" w:cs="Times New Roman"/>
                      <w:color w:val="000000" w:themeColor="text1"/>
                      <w:szCs w:val="21"/>
                      <w:lang w:val="en-US" w:eastAsia="zh-CN"/>
                      <w14:textFill>
                        <w14:solidFill>
                          <w14:schemeClr w14:val="tx1"/>
                        </w14:solidFill>
                      </w14:textFill>
                    </w:rPr>
                    <w:t>产生量（t/a）</w:t>
                  </w:r>
                </w:p>
              </w:tc>
              <w:tc>
                <w:tcPr>
                  <w:tcW w:w="660" w:type="dxa"/>
                  <w:tcBorders>
                    <w:tl2br w:val="nil"/>
                    <w:tr2bl w:val="nil"/>
                  </w:tcBorders>
                  <w:vAlign w:val="center"/>
                </w:tcPr>
                <w:p w14:paraId="26052C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贮存</w:t>
                  </w:r>
                </w:p>
                <w:p w14:paraId="6F2DC5A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方式</w:t>
                  </w:r>
                </w:p>
              </w:tc>
              <w:tc>
                <w:tcPr>
                  <w:tcW w:w="636" w:type="dxa"/>
                  <w:tcBorders>
                    <w:tl2br w:val="nil"/>
                    <w:tr2bl w:val="nil"/>
                  </w:tcBorders>
                  <w:vAlign w:val="center"/>
                </w:tcPr>
                <w:p w14:paraId="5348739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产废周期</w:t>
                  </w:r>
                </w:p>
              </w:tc>
              <w:tc>
                <w:tcPr>
                  <w:tcW w:w="696" w:type="dxa"/>
                  <w:tcBorders>
                    <w:tl2br w:val="nil"/>
                    <w:tr2bl w:val="nil"/>
                  </w:tcBorders>
                  <w:vAlign w:val="center"/>
                </w:tcPr>
                <w:p w14:paraId="610315C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最大储存量</w:t>
                  </w:r>
                  <w:r>
                    <w:rPr>
                      <w:rFonts w:hint="default" w:cs="Times New Roman"/>
                      <w:color w:val="000000" w:themeColor="text1"/>
                      <w:szCs w:val="21"/>
                      <w:lang w:val="en-US" w:eastAsia="zh-CN"/>
                      <w14:textFill>
                        <w14:solidFill>
                          <w14:schemeClr w14:val="tx1"/>
                        </w14:solidFill>
                      </w14:textFill>
                    </w:rPr>
                    <w:t>（t）</w:t>
                  </w:r>
                </w:p>
              </w:tc>
              <w:tc>
                <w:tcPr>
                  <w:tcW w:w="792" w:type="dxa"/>
                  <w:tcBorders>
                    <w:tl2br w:val="nil"/>
                    <w:tr2bl w:val="nil"/>
                  </w:tcBorders>
                  <w:vAlign w:val="center"/>
                </w:tcPr>
                <w:p w14:paraId="305B64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利用处置方式和去向</w:t>
                  </w:r>
                </w:p>
              </w:tc>
              <w:tc>
                <w:tcPr>
                  <w:tcW w:w="686" w:type="dxa"/>
                  <w:tcBorders>
                    <w:tl2br w:val="nil"/>
                    <w:tr2bl w:val="nil"/>
                  </w:tcBorders>
                  <w:vAlign w:val="center"/>
                </w:tcPr>
                <w:p w14:paraId="786EBA0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利用或处置量（t/a）</w:t>
                  </w:r>
                </w:p>
              </w:tc>
            </w:tr>
            <w:tr w14:paraId="71B9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54" w:type="dxa"/>
                  <w:tcBorders>
                    <w:tl2br w:val="nil"/>
                    <w:tr2bl w:val="nil"/>
                  </w:tcBorders>
                  <w:vAlign w:val="center"/>
                </w:tcPr>
                <w:p w14:paraId="005E78FC">
                  <w:pPr>
                    <w:spacing w:line="240" w:lineRule="exact"/>
                    <w:ind w:left="-105" w:leftChars="-50" w:right="-105" w:rightChars="-50"/>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w:t>
                  </w:r>
                </w:p>
              </w:tc>
              <w:tc>
                <w:tcPr>
                  <w:tcW w:w="558" w:type="dxa"/>
                  <w:vMerge w:val="restart"/>
                  <w:tcBorders>
                    <w:tl2br w:val="nil"/>
                    <w:tr2bl w:val="nil"/>
                  </w:tcBorders>
                  <w:vAlign w:val="center"/>
                </w:tcPr>
                <w:p w14:paraId="30057E48">
                  <w:pPr>
                    <w:pStyle w:val="87"/>
                    <w:spacing w:line="280" w:lineRule="exact"/>
                    <w:ind w:firstLine="0" w:firstLineChars="0"/>
                    <w:jc w:val="center"/>
                    <w:rPr>
                      <w:rFonts w:hint="default" w:ascii="Times New Roman" w:hAnsi="Times New Roman" w:cs="Times New Roman"/>
                      <w:bCs/>
                      <w:color w:val="000000" w:themeColor="text1"/>
                      <w:sz w:val="21"/>
                      <w:szCs w:val="21"/>
                      <w:shd w:val="clear" w:color="auto" w:fill="auto"/>
                      <w:lang w:val="en-US" w:eastAsia="zh-CN"/>
                      <w14:textFill>
                        <w14:solidFill>
                          <w14:schemeClr w14:val="tx1"/>
                        </w14:solidFill>
                      </w14:textFill>
                    </w:rPr>
                  </w:pPr>
                  <w:r>
                    <w:rPr>
                      <w:rFonts w:hint="eastAsia" w:ascii="Times New Roman" w:hAnsi="Times New Roman" w:cs="Times New Roman"/>
                      <w:bCs/>
                      <w:color w:val="auto"/>
                      <w:sz w:val="21"/>
                      <w:szCs w:val="21"/>
                      <w:shd w:val="clear" w:color="auto" w:fill="auto"/>
                      <w:lang w:val="en-US" w:eastAsia="zh-CN"/>
                    </w:rPr>
                    <w:t>环保设备</w:t>
                  </w:r>
                </w:p>
              </w:tc>
              <w:tc>
                <w:tcPr>
                  <w:tcW w:w="667" w:type="dxa"/>
                  <w:tcBorders>
                    <w:tl2br w:val="nil"/>
                    <w:tr2bl w:val="nil"/>
                  </w:tcBorders>
                  <w:vAlign w:val="center"/>
                </w:tcPr>
                <w:p w14:paraId="44087F07">
                  <w:pPr>
                    <w:pStyle w:val="87"/>
                    <w:spacing w:line="280" w:lineRule="exact"/>
                    <w:ind w:firstLine="0" w:firstLineChars="0"/>
                    <w:jc w:val="center"/>
                    <w:rPr>
                      <w:rFonts w:hint="default" w:ascii="Times New Roman" w:hAnsi="Times New Roman" w:eastAsia="宋体" w:cs="Times New Roman"/>
                      <w:bCs/>
                      <w:color w:val="000000" w:themeColor="text1"/>
                      <w:kern w:val="2"/>
                      <w:sz w:val="21"/>
                      <w:szCs w:val="21"/>
                      <w:shd w:val="clear" w:color="auto" w:fill="auto"/>
                      <w:lang w:val="en-US" w:eastAsia="zh-CN" w:bidi="ar-SA"/>
                      <w14:textFill>
                        <w14:solidFill>
                          <w14:schemeClr w14:val="tx1"/>
                        </w14:solidFill>
                      </w14:textFill>
                    </w:rPr>
                  </w:pPr>
                  <w:r>
                    <w:rPr>
                      <w:rFonts w:hint="eastAsia" w:ascii="Times New Roman" w:hAnsi="Times New Roman" w:cs="Times New Roman"/>
                      <w:bCs/>
                      <w:color w:val="auto"/>
                      <w:sz w:val="21"/>
                      <w:szCs w:val="21"/>
                      <w:shd w:val="clear" w:color="auto" w:fill="auto"/>
                      <w:lang w:val="en-US" w:eastAsia="zh-CN"/>
                    </w:rPr>
                    <w:t>废过滤棉</w:t>
                  </w:r>
                </w:p>
              </w:tc>
              <w:tc>
                <w:tcPr>
                  <w:tcW w:w="578" w:type="dxa"/>
                  <w:tcBorders>
                    <w:tl2br w:val="nil"/>
                    <w:tr2bl w:val="nil"/>
                  </w:tcBorders>
                  <w:vAlign w:val="center"/>
                </w:tcPr>
                <w:p w14:paraId="1EDC6873">
                  <w:pPr>
                    <w:spacing w:line="240" w:lineRule="exact"/>
                    <w:ind w:left="-105" w:leftChars="-50" w:right="-105" w:rightChars="-5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危险废物</w:t>
                  </w:r>
                </w:p>
              </w:tc>
              <w:tc>
                <w:tcPr>
                  <w:tcW w:w="729" w:type="dxa"/>
                  <w:tcBorders>
                    <w:tl2br w:val="nil"/>
                    <w:tr2bl w:val="nil"/>
                  </w:tcBorders>
                  <w:vAlign w:val="center"/>
                </w:tcPr>
                <w:p w14:paraId="1058D9FF">
                  <w:pPr>
                    <w:spacing w:line="240" w:lineRule="exact"/>
                    <w:ind w:left="-105" w:leftChars="-50" w:right="-105" w:rightChars="-5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auto"/>
                      <w:sz w:val="21"/>
                      <w:szCs w:val="21"/>
                      <w:lang w:val="en-US" w:eastAsia="zh-CN"/>
                    </w:rPr>
                    <w:t>沾染的非甲烷总烃等</w:t>
                  </w:r>
                </w:p>
              </w:tc>
              <w:tc>
                <w:tcPr>
                  <w:tcW w:w="578" w:type="dxa"/>
                  <w:tcBorders>
                    <w:tl2br w:val="nil"/>
                    <w:tr2bl w:val="nil"/>
                  </w:tcBorders>
                  <w:vAlign w:val="center"/>
                </w:tcPr>
                <w:p w14:paraId="10DC085A">
                  <w:pPr>
                    <w:spacing w:line="240" w:lineRule="exact"/>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固态</w:t>
                  </w:r>
                </w:p>
              </w:tc>
              <w:tc>
                <w:tcPr>
                  <w:tcW w:w="724" w:type="dxa"/>
                  <w:tcBorders>
                    <w:tl2br w:val="nil"/>
                    <w:tr2bl w:val="nil"/>
                  </w:tcBorders>
                  <w:vAlign w:val="center"/>
                </w:tcPr>
                <w:p w14:paraId="664FB9F5">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T/In</w:t>
                  </w:r>
                </w:p>
              </w:tc>
              <w:tc>
                <w:tcPr>
                  <w:tcW w:w="756" w:type="dxa"/>
                  <w:tcBorders>
                    <w:tl2br w:val="nil"/>
                    <w:tr2bl w:val="nil"/>
                  </w:tcBorders>
                  <w:vAlign w:val="center"/>
                </w:tcPr>
                <w:p w14:paraId="233130A0">
                  <w:pPr>
                    <w:spacing w:line="240" w:lineRule="exact"/>
                    <w:jc w:val="center"/>
                    <w:rPr>
                      <w:rFonts w:hint="default"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0.05</w:t>
                  </w:r>
                </w:p>
              </w:tc>
              <w:tc>
                <w:tcPr>
                  <w:tcW w:w="660" w:type="dxa"/>
                  <w:vMerge w:val="restart"/>
                  <w:tcBorders>
                    <w:tl2br w:val="nil"/>
                    <w:tr2bl w:val="nil"/>
                  </w:tcBorders>
                  <w:vAlign w:val="center"/>
                </w:tcPr>
                <w:p w14:paraId="1EE59E29">
                  <w:pPr>
                    <w:spacing w:line="240" w:lineRule="exact"/>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暂存于危废间</w:t>
                  </w:r>
                </w:p>
              </w:tc>
              <w:tc>
                <w:tcPr>
                  <w:tcW w:w="636" w:type="dxa"/>
                  <w:tcBorders>
                    <w:tl2br w:val="nil"/>
                    <w:tr2bl w:val="nil"/>
                  </w:tcBorders>
                  <w:vAlign w:val="center"/>
                </w:tcPr>
                <w:p w14:paraId="04602DDA">
                  <w:pPr>
                    <w:spacing w:line="240" w:lineRule="exact"/>
                    <w:jc w:val="center"/>
                    <w:rPr>
                      <w:rFonts w:hint="default" w:ascii="Times New Roman" w:hAnsi="Times New Roman" w:cs="Times New Roman"/>
                      <w:bCs/>
                      <w:color w:val="000000" w:themeColor="text1"/>
                      <w:sz w:val="21"/>
                      <w:szCs w:val="21"/>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6月/次</w:t>
                  </w:r>
                </w:p>
              </w:tc>
              <w:tc>
                <w:tcPr>
                  <w:tcW w:w="696" w:type="dxa"/>
                  <w:tcBorders>
                    <w:tl2br w:val="nil"/>
                    <w:tr2bl w:val="nil"/>
                  </w:tcBorders>
                  <w:vAlign w:val="center"/>
                </w:tcPr>
                <w:p w14:paraId="5134A2DF">
                  <w:pPr>
                    <w:spacing w:line="240" w:lineRule="exact"/>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0.05</w:t>
                  </w:r>
                </w:p>
              </w:tc>
              <w:tc>
                <w:tcPr>
                  <w:tcW w:w="792" w:type="dxa"/>
                  <w:vMerge w:val="restart"/>
                  <w:tcBorders>
                    <w:tl2br w:val="nil"/>
                    <w:tr2bl w:val="nil"/>
                  </w:tcBorders>
                  <w:vAlign w:val="center"/>
                </w:tcPr>
                <w:p w14:paraId="49D3D437">
                  <w:pPr>
                    <w:spacing w:line="240" w:lineRule="exact"/>
                    <w:jc w:val="center"/>
                    <w:rPr>
                      <w:rFonts w:hint="eastAsia"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委托有资质单位处理</w:t>
                  </w:r>
                </w:p>
              </w:tc>
              <w:tc>
                <w:tcPr>
                  <w:tcW w:w="686" w:type="dxa"/>
                  <w:tcBorders>
                    <w:tl2br w:val="nil"/>
                    <w:tr2bl w:val="nil"/>
                  </w:tcBorders>
                  <w:vAlign w:val="center"/>
                </w:tcPr>
                <w:p w14:paraId="0845026F">
                  <w:pPr>
                    <w:spacing w:line="240" w:lineRule="exact"/>
                    <w:jc w:val="center"/>
                    <w:rPr>
                      <w:rFonts w:hint="default"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0.05</w:t>
                  </w:r>
                </w:p>
              </w:tc>
            </w:tr>
            <w:tr w14:paraId="31A1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54" w:type="dxa"/>
                  <w:tcBorders>
                    <w:tl2br w:val="nil"/>
                    <w:tr2bl w:val="nil"/>
                  </w:tcBorders>
                  <w:vAlign w:val="center"/>
                </w:tcPr>
                <w:p w14:paraId="1DB43570">
                  <w:pPr>
                    <w:spacing w:line="240" w:lineRule="exact"/>
                    <w:ind w:left="-105" w:leftChars="-50" w:right="-105" w:rightChars="-50"/>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w:t>
                  </w:r>
                </w:p>
              </w:tc>
              <w:tc>
                <w:tcPr>
                  <w:tcW w:w="558" w:type="dxa"/>
                  <w:vMerge w:val="continue"/>
                  <w:tcBorders>
                    <w:tl2br w:val="nil"/>
                    <w:tr2bl w:val="nil"/>
                  </w:tcBorders>
                  <w:vAlign w:val="center"/>
                </w:tcPr>
                <w:p w14:paraId="6C844441">
                  <w:pPr>
                    <w:pStyle w:val="87"/>
                    <w:spacing w:line="280" w:lineRule="exact"/>
                    <w:ind w:firstLine="0" w:firstLineChars="0"/>
                    <w:jc w:val="center"/>
                    <w:rPr>
                      <w:rFonts w:hint="default" w:ascii="Times New Roman" w:hAnsi="Times New Roman" w:cs="Times New Roman"/>
                      <w:bCs/>
                      <w:color w:val="000000" w:themeColor="text1"/>
                      <w:sz w:val="21"/>
                      <w:szCs w:val="21"/>
                      <w:shd w:val="clear" w:color="auto" w:fill="auto"/>
                      <w:lang w:val="en-US" w:eastAsia="zh-CN"/>
                      <w14:textFill>
                        <w14:solidFill>
                          <w14:schemeClr w14:val="tx1"/>
                        </w14:solidFill>
                      </w14:textFill>
                    </w:rPr>
                  </w:pPr>
                </w:p>
              </w:tc>
              <w:tc>
                <w:tcPr>
                  <w:tcW w:w="667" w:type="dxa"/>
                  <w:tcBorders>
                    <w:tl2br w:val="nil"/>
                    <w:tr2bl w:val="nil"/>
                  </w:tcBorders>
                  <w:vAlign w:val="center"/>
                </w:tcPr>
                <w:p w14:paraId="2AC79FD4">
                  <w:pPr>
                    <w:pStyle w:val="87"/>
                    <w:spacing w:line="280" w:lineRule="exact"/>
                    <w:ind w:firstLine="0" w:firstLineChars="0"/>
                    <w:jc w:val="center"/>
                    <w:rPr>
                      <w:rFonts w:hint="default" w:ascii="Times New Roman" w:hAnsi="Times New Roman" w:cs="Times New Roman"/>
                      <w:bCs/>
                      <w:color w:val="000000" w:themeColor="text1"/>
                      <w:sz w:val="21"/>
                      <w:szCs w:val="21"/>
                      <w:shd w:val="clear" w:color="auto" w:fill="auto"/>
                      <w:lang w:val="en-US" w:eastAsia="zh-CN"/>
                      <w14:textFill>
                        <w14:solidFill>
                          <w14:schemeClr w14:val="tx1"/>
                        </w14:solidFill>
                      </w14:textFill>
                    </w:rPr>
                  </w:pPr>
                  <w:r>
                    <w:rPr>
                      <w:rFonts w:hint="eastAsia" w:ascii="Times New Roman" w:hAnsi="Times New Roman" w:cs="Times New Roman"/>
                      <w:bCs/>
                      <w:color w:val="auto"/>
                      <w:sz w:val="21"/>
                      <w:szCs w:val="21"/>
                      <w:shd w:val="clear" w:color="auto" w:fill="auto"/>
                      <w:lang w:val="en-US" w:eastAsia="zh-CN"/>
                    </w:rPr>
                    <w:t>废活性炭</w:t>
                  </w:r>
                </w:p>
              </w:tc>
              <w:tc>
                <w:tcPr>
                  <w:tcW w:w="578" w:type="dxa"/>
                  <w:tcBorders>
                    <w:tl2br w:val="nil"/>
                    <w:tr2bl w:val="nil"/>
                  </w:tcBorders>
                  <w:vAlign w:val="center"/>
                </w:tcPr>
                <w:p w14:paraId="267552F4">
                  <w:pPr>
                    <w:spacing w:line="240" w:lineRule="exact"/>
                    <w:ind w:left="-105" w:leftChars="-50" w:right="-105" w:rightChars="-5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危险废物</w:t>
                  </w:r>
                </w:p>
              </w:tc>
              <w:tc>
                <w:tcPr>
                  <w:tcW w:w="729" w:type="dxa"/>
                  <w:tcBorders>
                    <w:tl2br w:val="nil"/>
                    <w:tr2bl w:val="nil"/>
                  </w:tcBorders>
                  <w:vAlign w:val="center"/>
                </w:tcPr>
                <w:p w14:paraId="1D329759">
                  <w:pPr>
                    <w:spacing w:line="240" w:lineRule="exact"/>
                    <w:ind w:left="-105" w:leftChars="-50" w:right="-105" w:rightChars="-50"/>
                    <w:jc w:val="center"/>
                    <w:rPr>
                      <w:rFonts w:hint="default" w:cs="Times New Roman"/>
                      <w:bCs/>
                      <w:color w:val="000000" w:themeColor="text1"/>
                      <w:sz w:val="21"/>
                      <w:szCs w:val="21"/>
                      <w:lang w:val="en-US" w:eastAsia="zh-CN"/>
                      <w14:textFill>
                        <w14:solidFill>
                          <w14:schemeClr w14:val="tx1"/>
                        </w14:solidFill>
                      </w14:textFill>
                    </w:rPr>
                  </w:pPr>
                  <w:r>
                    <w:rPr>
                      <w:rFonts w:hint="eastAsia" w:cs="Times New Roman"/>
                      <w:bCs/>
                      <w:color w:val="auto"/>
                      <w:sz w:val="21"/>
                      <w:szCs w:val="21"/>
                      <w:lang w:val="en-US" w:eastAsia="zh-CN"/>
                    </w:rPr>
                    <w:t>吸附的非甲烷总烃等</w:t>
                  </w:r>
                </w:p>
              </w:tc>
              <w:tc>
                <w:tcPr>
                  <w:tcW w:w="578" w:type="dxa"/>
                  <w:tcBorders>
                    <w:tl2br w:val="nil"/>
                    <w:tr2bl w:val="nil"/>
                  </w:tcBorders>
                  <w:vAlign w:val="center"/>
                </w:tcPr>
                <w:p w14:paraId="196E25C2">
                  <w:pPr>
                    <w:spacing w:line="240" w:lineRule="exact"/>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固态</w:t>
                  </w:r>
                </w:p>
              </w:tc>
              <w:tc>
                <w:tcPr>
                  <w:tcW w:w="724" w:type="dxa"/>
                  <w:tcBorders>
                    <w:tl2br w:val="nil"/>
                    <w:tr2bl w:val="nil"/>
                  </w:tcBorders>
                  <w:vAlign w:val="center"/>
                </w:tcPr>
                <w:p w14:paraId="19DF92E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T</w:t>
                  </w:r>
                </w:p>
              </w:tc>
              <w:tc>
                <w:tcPr>
                  <w:tcW w:w="756" w:type="dxa"/>
                  <w:tcBorders>
                    <w:tl2br w:val="nil"/>
                    <w:tr2bl w:val="nil"/>
                  </w:tcBorders>
                  <w:vAlign w:val="center"/>
                </w:tcPr>
                <w:p w14:paraId="63C56204">
                  <w:pPr>
                    <w:spacing w:line="240" w:lineRule="exact"/>
                    <w:jc w:val="center"/>
                    <w:rPr>
                      <w:rFonts w:hint="default"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0.9</w:t>
                  </w:r>
                </w:p>
              </w:tc>
              <w:tc>
                <w:tcPr>
                  <w:tcW w:w="660" w:type="dxa"/>
                  <w:vMerge w:val="continue"/>
                  <w:tcBorders>
                    <w:tl2br w:val="nil"/>
                    <w:tr2bl w:val="nil"/>
                  </w:tcBorders>
                  <w:vAlign w:val="center"/>
                </w:tcPr>
                <w:p w14:paraId="3C2CD159">
                  <w:pPr>
                    <w:spacing w:line="240" w:lineRule="exact"/>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p>
              </w:tc>
              <w:tc>
                <w:tcPr>
                  <w:tcW w:w="636" w:type="dxa"/>
                  <w:tcBorders>
                    <w:tl2br w:val="nil"/>
                    <w:tr2bl w:val="nil"/>
                  </w:tcBorders>
                  <w:vAlign w:val="center"/>
                </w:tcPr>
                <w:p w14:paraId="5ABD3B8D">
                  <w:pPr>
                    <w:spacing w:line="240" w:lineRule="exact"/>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1年/次</w:t>
                  </w:r>
                </w:p>
              </w:tc>
              <w:tc>
                <w:tcPr>
                  <w:tcW w:w="696" w:type="dxa"/>
                  <w:tcBorders>
                    <w:tl2br w:val="nil"/>
                    <w:tr2bl w:val="nil"/>
                  </w:tcBorders>
                  <w:vAlign w:val="center"/>
                </w:tcPr>
                <w:p w14:paraId="52F1E9C2">
                  <w:pPr>
                    <w:spacing w:line="240" w:lineRule="exact"/>
                    <w:jc w:val="center"/>
                    <w:rPr>
                      <w:rFonts w:hint="default"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0.9</w:t>
                  </w:r>
                </w:p>
              </w:tc>
              <w:tc>
                <w:tcPr>
                  <w:tcW w:w="792" w:type="dxa"/>
                  <w:vMerge w:val="continue"/>
                  <w:tcBorders>
                    <w:tl2br w:val="nil"/>
                    <w:tr2bl w:val="nil"/>
                  </w:tcBorders>
                  <w:vAlign w:val="center"/>
                </w:tcPr>
                <w:p w14:paraId="172B86F6">
                  <w:pPr>
                    <w:spacing w:line="240" w:lineRule="exact"/>
                    <w:jc w:val="center"/>
                    <w:rPr>
                      <w:rFonts w:hint="default" w:ascii="Times New Roman" w:hAnsi="Times New Roman" w:cs="Times New Roman"/>
                      <w:color w:val="000000" w:themeColor="text1"/>
                      <w:sz w:val="21"/>
                      <w:szCs w:val="21"/>
                      <w14:textFill>
                        <w14:solidFill>
                          <w14:schemeClr w14:val="tx1"/>
                        </w14:solidFill>
                      </w14:textFill>
                    </w:rPr>
                  </w:pPr>
                </w:p>
              </w:tc>
              <w:tc>
                <w:tcPr>
                  <w:tcW w:w="686" w:type="dxa"/>
                  <w:tcBorders>
                    <w:tl2br w:val="nil"/>
                    <w:tr2bl w:val="nil"/>
                  </w:tcBorders>
                  <w:vAlign w:val="center"/>
                </w:tcPr>
                <w:p w14:paraId="51B44D5B">
                  <w:pPr>
                    <w:spacing w:line="240" w:lineRule="exact"/>
                    <w:jc w:val="center"/>
                    <w:rPr>
                      <w:rFonts w:hint="eastAsia"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0.9</w:t>
                  </w:r>
                </w:p>
              </w:tc>
            </w:tr>
            <w:tr w14:paraId="3054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54" w:type="dxa"/>
                  <w:tcBorders>
                    <w:tl2br w:val="nil"/>
                    <w:tr2bl w:val="nil"/>
                  </w:tcBorders>
                  <w:vAlign w:val="center"/>
                </w:tcPr>
                <w:p w14:paraId="5EA96348">
                  <w:pPr>
                    <w:spacing w:line="240" w:lineRule="exact"/>
                    <w:ind w:left="-105" w:leftChars="-50" w:right="-105" w:rightChars="-50"/>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3</w:t>
                  </w:r>
                </w:p>
              </w:tc>
              <w:tc>
                <w:tcPr>
                  <w:tcW w:w="558" w:type="dxa"/>
                  <w:vMerge w:val="continue"/>
                  <w:tcBorders>
                    <w:tl2br w:val="nil"/>
                    <w:tr2bl w:val="nil"/>
                  </w:tcBorders>
                  <w:vAlign w:val="center"/>
                </w:tcPr>
                <w:p w14:paraId="73CACDAE">
                  <w:pPr>
                    <w:pStyle w:val="87"/>
                    <w:spacing w:line="280" w:lineRule="exact"/>
                    <w:ind w:firstLine="0" w:firstLineChars="0"/>
                    <w:jc w:val="center"/>
                    <w:rPr>
                      <w:rFonts w:hint="default" w:ascii="Times New Roman" w:hAnsi="Times New Roman" w:cs="Times New Roman"/>
                      <w:bCs/>
                      <w:color w:val="000000" w:themeColor="text1"/>
                      <w:sz w:val="21"/>
                      <w:szCs w:val="21"/>
                      <w:shd w:val="clear" w:color="auto" w:fill="auto"/>
                      <w:lang w:val="en-US" w:eastAsia="zh-CN"/>
                      <w14:textFill>
                        <w14:solidFill>
                          <w14:schemeClr w14:val="tx1"/>
                        </w14:solidFill>
                      </w14:textFill>
                    </w:rPr>
                  </w:pPr>
                </w:p>
              </w:tc>
              <w:tc>
                <w:tcPr>
                  <w:tcW w:w="667" w:type="dxa"/>
                  <w:tcBorders>
                    <w:tl2br w:val="nil"/>
                    <w:tr2bl w:val="nil"/>
                  </w:tcBorders>
                  <w:vAlign w:val="center"/>
                </w:tcPr>
                <w:p w14:paraId="465376A4">
                  <w:pPr>
                    <w:pStyle w:val="87"/>
                    <w:spacing w:line="280" w:lineRule="exact"/>
                    <w:ind w:firstLine="0" w:firstLineChars="0"/>
                    <w:jc w:val="center"/>
                    <w:rPr>
                      <w:rFonts w:hint="default" w:ascii="Times New Roman" w:hAnsi="Times New Roman" w:eastAsia="宋体" w:cs="Times New Roman"/>
                      <w:bCs/>
                      <w:color w:val="000000" w:themeColor="text1"/>
                      <w:kern w:val="2"/>
                      <w:sz w:val="21"/>
                      <w:szCs w:val="21"/>
                      <w:shd w:val="clear" w:color="auto" w:fill="auto"/>
                      <w:lang w:val="en-US" w:eastAsia="zh-CN" w:bidi="ar-SA"/>
                      <w14:textFill>
                        <w14:solidFill>
                          <w14:schemeClr w14:val="tx1"/>
                        </w14:solidFill>
                      </w14:textFill>
                    </w:rPr>
                  </w:pPr>
                  <w:r>
                    <w:rPr>
                      <w:rFonts w:hint="eastAsia" w:ascii="Times New Roman" w:hAnsi="Times New Roman" w:cs="Times New Roman"/>
                      <w:bCs/>
                      <w:color w:val="auto"/>
                      <w:sz w:val="21"/>
                      <w:szCs w:val="21"/>
                      <w:shd w:val="clear" w:color="auto" w:fill="auto"/>
                      <w:lang w:val="en-US" w:eastAsia="zh-CN"/>
                    </w:rPr>
                    <w:t>废催化剂</w:t>
                  </w:r>
                </w:p>
              </w:tc>
              <w:tc>
                <w:tcPr>
                  <w:tcW w:w="578" w:type="dxa"/>
                  <w:tcBorders>
                    <w:tl2br w:val="nil"/>
                    <w:tr2bl w:val="nil"/>
                  </w:tcBorders>
                  <w:vAlign w:val="center"/>
                </w:tcPr>
                <w:p w14:paraId="2D268E62">
                  <w:pPr>
                    <w:spacing w:line="240" w:lineRule="exact"/>
                    <w:ind w:left="-105" w:leftChars="-50" w:right="-105" w:rightChars="-5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危险废物</w:t>
                  </w:r>
                </w:p>
              </w:tc>
              <w:tc>
                <w:tcPr>
                  <w:tcW w:w="729" w:type="dxa"/>
                  <w:tcBorders>
                    <w:tl2br w:val="nil"/>
                    <w:tr2bl w:val="nil"/>
                  </w:tcBorders>
                  <w:shd w:val="clear" w:color="auto" w:fill="auto"/>
                  <w:vAlign w:val="center"/>
                </w:tcPr>
                <w:p w14:paraId="181DC711">
                  <w:pPr>
                    <w:spacing w:line="240" w:lineRule="exact"/>
                    <w:ind w:left="-105" w:leftChars="-50" w:right="-105" w:rightChars="-50"/>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bCs/>
                      <w:color w:val="auto"/>
                      <w:sz w:val="21"/>
                      <w:szCs w:val="21"/>
                      <w:lang w:val="en-US" w:eastAsia="zh-CN"/>
                    </w:rPr>
                    <w:t>沾染的非甲烷总烃等</w:t>
                  </w:r>
                </w:p>
              </w:tc>
              <w:tc>
                <w:tcPr>
                  <w:tcW w:w="578" w:type="dxa"/>
                  <w:tcBorders>
                    <w:tl2br w:val="nil"/>
                    <w:tr2bl w:val="nil"/>
                  </w:tcBorders>
                  <w:shd w:val="clear" w:color="auto" w:fill="auto"/>
                  <w:vAlign w:val="center"/>
                </w:tcPr>
                <w:p w14:paraId="347AE048">
                  <w:pPr>
                    <w:spacing w:line="240" w:lineRule="exact"/>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固态</w:t>
                  </w:r>
                </w:p>
              </w:tc>
              <w:tc>
                <w:tcPr>
                  <w:tcW w:w="724" w:type="dxa"/>
                  <w:tcBorders>
                    <w:tl2br w:val="nil"/>
                    <w:tr2bl w:val="nil"/>
                  </w:tcBorders>
                  <w:vAlign w:val="center"/>
                </w:tcPr>
                <w:p w14:paraId="44C12F6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T/In</w:t>
                  </w:r>
                </w:p>
              </w:tc>
              <w:tc>
                <w:tcPr>
                  <w:tcW w:w="756" w:type="dxa"/>
                  <w:tcBorders>
                    <w:tl2br w:val="nil"/>
                    <w:tr2bl w:val="nil"/>
                  </w:tcBorders>
                  <w:vAlign w:val="center"/>
                </w:tcPr>
                <w:p w14:paraId="6122C0B6">
                  <w:pPr>
                    <w:spacing w:line="240" w:lineRule="exact"/>
                    <w:jc w:val="center"/>
                    <w:rPr>
                      <w:rFonts w:hint="default"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0.2</w:t>
                  </w:r>
                  <w:r>
                    <w:rPr>
                      <w:rFonts w:hint="eastAsia" w:cs="Times New Roman"/>
                      <w:bCs/>
                      <w:color w:val="auto"/>
                      <w:sz w:val="21"/>
                      <w:szCs w:val="21"/>
                      <w:lang w:val="en-US" w:eastAsia="zh-CN"/>
                    </w:rPr>
                    <w:t>（3a）</w:t>
                  </w:r>
                </w:p>
              </w:tc>
              <w:tc>
                <w:tcPr>
                  <w:tcW w:w="660" w:type="dxa"/>
                  <w:vMerge w:val="continue"/>
                  <w:tcBorders>
                    <w:tl2br w:val="nil"/>
                    <w:tr2bl w:val="nil"/>
                  </w:tcBorders>
                  <w:vAlign w:val="center"/>
                </w:tcPr>
                <w:p w14:paraId="70D7E5A5">
                  <w:pPr>
                    <w:spacing w:line="240" w:lineRule="exact"/>
                    <w:jc w:val="center"/>
                    <w:rPr>
                      <w:rFonts w:hint="default" w:ascii="Times New Roman" w:hAnsi="Times New Roman" w:cs="Times New Roman"/>
                      <w:bCs/>
                      <w:color w:val="000000" w:themeColor="text1"/>
                      <w:sz w:val="21"/>
                      <w:szCs w:val="21"/>
                      <w14:textFill>
                        <w14:solidFill>
                          <w14:schemeClr w14:val="tx1"/>
                        </w14:solidFill>
                      </w14:textFill>
                    </w:rPr>
                  </w:pPr>
                </w:p>
              </w:tc>
              <w:tc>
                <w:tcPr>
                  <w:tcW w:w="636" w:type="dxa"/>
                  <w:tcBorders>
                    <w:tl2br w:val="nil"/>
                    <w:tr2bl w:val="nil"/>
                  </w:tcBorders>
                  <w:vAlign w:val="center"/>
                </w:tcPr>
                <w:p w14:paraId="48B14750">
                  <w:pPr>
                    <w:spacing w:line="240" w:lineRule="exact"/>
                    <w:jc w:val="center"/>
                    <w:rPr>
                      <w:rFonts w:hint="default" w:ascii="Times New Roman" w:hAnsi="Times New Roman" w:cs="Times New Roman"/>
                      <w:bCs/>
                      <w:color w:val="000000" w:themeColor="text1"/>
                      <w:sz w:val="21"/>
                      <w:szCs w:val="21"/>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3年/次</w:t>
                  </w:r>
                </w:p>
              </w:tc>
              <w:tc>
                <w:tcPr>
                  <w:tcW w:w="696" w:type="dxa"/>
                  <w:tcBorders>
                    <w:tl2br w:val="nil"/>
                    <w:tr2bl w:val="nil"/>
                  </w:tcBorders>
                  <w:vAlign w:val="center"/>
                </w:tcPr>
                <w:p w14:paraId="478E6B9F">
                  <w:pPr>
                    <w:spacing w:line="240" w:lineRule="exact"/>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0.2</w:t>
                  </w:r>
                  <w:r>
                    <w:rPr>
                      <w:rFonts w:hint="eastAsia" w:cs="Times New Roman"/>
                      <w:bCs/>
                      <w:color w:val="auto"/>
                      <w:sz w:val="21"/>
                      <w:szCs w:val="21"/>
                      <w:lang w:val="en-US" w:eastAsia="zh-CN"/>
                    </w:rPr>
                    <w:t>（3a）</w:t>
                  </w:r>
                </w:p>
              </w:tc>
              <w:tc>
                <w:tcPr>
                  <w:tcW w:w="792" w:type="dxa"/>
                  <w:vMerge w:val="continue"/>
                  <w:tcBorders>
                    <w:tl2br w:val="nil"/>
                    <w:tr2bl w:val="nil"/>
                  </w:tcBorders>
                  <w:vAlign w:val="center"/>
                </w:tcPr>
                <w:p w14:paraId="207BC152">
                  <w:pPr>
                    <w:spacing w:line="240" w:lineRule="exact"/>
                    <w:jc w:val="center"/>
                    <w:rPr>
                      <w:rFonts w:hint="eastAsia" w:cs="Times New Roman"/>
                      <w:color w:val="000000" w:themeColor="text1"/>
                      <w:szCs w:val="21"/>
                      <w:lang w:val="en-US" w:eastAsia="zh-CN"/>
                      <w14:textFill>
                        <w14:solidFill>
                          <w14:schemeClr w14:val="tx1"/>
                        </w14:solidFill>
                      </w14:textFill>
                    </w:rPr>
                  </w:pPr>
                </w:p>
              </w:tc>
              <w:tc>
                <w:tcPr>
                  <w:tcW w:w="686" w:type="dxa"/>
                  <w:tcBorders>
                    <w:tl2br w:val="nil"/>
                    <w:tr2bl w:val="nil"/>
                  </w:tcBorders>
                  <w:vAlign w:val="center"/>
                </w:tcPr>
                <w:p w14:paraId="79D2094E">
                  <w:pPr>
                    <w:spacing w:line="240" w:lineRule="exact"/>
                    <w:jc w:val="center"/>
                    <w:rPr>
                      <w:rFonts w:hint="eastAsia"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0.2</w:t>
                  </w:r>
                  <w:r>
                    <w:rPr>
                      <w:rFonts w:hint="eastAsia" w:cs="Times New Roman"/>
                      <w:bCs/>
                      <w:color w:val="auto"/>
                      <w:sz w:val="21"/>
                      <w:szCs w:val="21"/>
                      <w:lang w:val="en-US" w:eastAsia="zh-CN"/>
                    </w:rPr>
                    <w:t>（3a）</w:t>
                  </w:r>
                </w:p>
              </w:tc>
            </w:tr>
            <w:tr w14:paraId="7C5A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54" w:type="dxa"/>
                  <w:tcBorders>
                    <w:tl2br w:val="nil"/>
                    <w:tr2bl w:val="nil"/>
                  </w:tcBorders>
                  <w:vAlign w:val="center"/>
                </w:tcPr>
                <w:p w14:paraId="3071667D">
                  <w:pPr>
                    <w:spacing w:line="240" w:lineRule="exact"/>
                    <w:ind w:left="-105" w:leftChars="-50" w:right="-105" w:rightChars="-50"/>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4</w:t>
                  </w:r>
                </w:p>
              </w:tc>
              <w:tc>
                <w:tcPr>
                  <w:tcW w:w="558" w:type="dxa"/>
                  <w:vMerge w:val="restart"/>
                  <w:tcBorders>
                    <w:tl2br w:val="nil"/>
                    <w:tr2bl w:val="nil"/>
                  </w:tcBorders>
                  <w:vAlign w:val="center"/>
                </w:tcPr>
                <w:p w14:paraId="3358EA2B">
                  <w:pPr>
                    <w:pStyle w:val="87"/>
                    <w:spacing w:line="280" w:lineRule="exact"/>
                    <w:ind w:firstLine="0" w:firstLineChars="0"/>
                    <w:jc w:val="center"/>
                    <w:rPr>
                      <w:rFonts w:hint="default" w:ascii="Times New Roman" w:hAnsi="Times New Roman" w:cs="Times New Roman"/>
                      <w:bCs/>
                      <w:color w:val="000000" w:themeColor="text1"/>
                      <w:sz w:val="21"/>
                      <w:szCs w:val="21"/>
                      <w:shd w:val="clear" w:color="auto" w:fill="auto"/>
                      <w:lang w:val="en-US" w:eastAsia="zh-CN"/>
                      <w14:textFill>
                        <w14:solidFill>
                          <w14:schemeClr w14:val="tx1"/>
                        </w14:solidFill>
                      </w14:textFill>
                    </w:rPr>
                  </w:pPr>
                  <w:r>
                    <w:rPr>
                      <w:rFonts w:hint="default" w:ascii="Times New Roman" w:hAnsi="Times New Roman" w:cs="Times New Roman"/>
                      <w:bCs/>
                      <w:color w:val="auto"/>
                      <w:sz w:val="21"/>
                      <w:szCs w:val="21"/>
                      <w:shd w:val="clear" w:color="auto" w:fill="auto"/>
                      <w:lang w:val="en-US" w:eastAsia="zh-CN"/>
                    </w:rPr>
                    <w:t>生产过程</w:t>
                  </w:r>
                </w:p>
              </w:tc>
              <w:tc>
                <w:tcPr>
                  <w:tcW w:w="667" w:type="dxa"/>
                  <w:tcBorders>
                    <w:tl2br w:val="nil"/>
                    <w:tr2bl w:val="nil"/>
                  </w:tcBorders>
                  <w:vAlign w:val="center"/>
                </w:tcPr>
                <w:p w14:paraId="3929BD55">
                  <w:pPr>
                    <w:pStyle w:val="87"/>
                    <w:spacing w:line="280" w:lineRule="exact"/>
                    <w:ind w:firstLine="0" w:firstLineChars="0"/>
                    <w:jc w:val="center"/>
                    <w:rPr>
                      <w:rFonts w:hint="default" w:ascii="Times New Roman" w:hAnsi="Times New Roman" w:cs="Times New Roman"/>
                      <w:bCs/>
                      <w:color w:val="000000" w:themeColor="text1"/>
                      <w:sz w:val="21"/>
                      <w:szCs w:val="21"/>
                      <w:shd w:val="clear" w:color="auto" w:fill="auto"/>
                      <w:lang w:val="en-US" w:eastAsia="zh-CN"/>
                      <w14:textFill>
                        <w14:solidFill>
                          <w14:schemeClr w14:val="tx1"/>
                        </w14:solidFill>
                      </w14:textFill>
                    </w:rPr>
                  </w:pPr>
                  <w:r>
                    <w:rPr>
                      <w:rFonts w:hint="default" w:ascii="Times New Roman" w:hAnsi="Times New Roman" w:cs="Times New Roman"/>
                      <w:bCs/>
                      <w:color w:val="auto"/>
                      <w:sz w:val="21"/>
                      <w:szCs w:val="21"/>
                      <w:shd w:val="clear" w:color="auto" w:fill="auto"/>
                      <w:lang w:val="en-US" w:eastAsia="zh-CN"/>
                    </w:rPr>
                    <w:t>废液压油</w:t>
                  </w:r>
                </w:p>
              </w:tc>
              <w:tc>
                <w:tcPr>
                  <w:tcW w:w="578" w:type="dxa"/>
                  <w:tcBorders>
                    <w:tl2br w:val="nil"/>
                    <w:tr2bl w:val="nil"/>
                  </w:tcBorders>
                  <w:vAlign w:val="center"/>
                </w:tcPr>
                <w:p w14:paraId="75951564">
                  <w:pPr>
                    <w:spacing w:line="240" w:lineRule="exact"/>
                    <w:ind w:left="-105" w:leftChars="-50" w:right="-105" w:rightChars="-5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危险废物</w:t>
                  </w:r>
                </w:p>
              </w:tc>
              <w:tc>
                <w:tcPr>
                  <w:tcW w:w="729" w:type="dxa"/>
                  <w:tcBorders>
                    <w:tl2br w:val="nil"/>
                    <w:tr2bl w:val="nil"/>
                  </w:tcBorders>
                  <w:vAlign w:val="center"/>
                </w:tcPr>
                <w:p w14:paraId="1B3950B4">
                  <w:pPr>
                    <w:spacing w:line="240" w:lineRule="exact"/>
                    <w:ind w:left="-105" w:leftChars="-50" w:right="-105" w:rightChars="-50"/>
                    <w:jc w:val="center"/>
                    <w:rPr>
                      <w:rFonts w:hint="default"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液压油</w:t>
                  </w:r>
                </w:p>
              </w:tc>
              <w:tc>
                <w:tcPr>
                  <w:tcW w:w="578" w:type="dxa"/>
                  <w:tcBorders>
                    <w:tl2br w:val="nil"/>
                    <w:tr2bl w:val="nil"/>
                  </w:tcBorders>
                  <w:vAlign w:val="center"/>
                </w:tcPr>
                <w:p w14:paraId="2DB4A642">
                  <w:pPr>
                    <w:spacing w:line="240" w:lineRule="exact"/>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液态</w:t>
                  </w:r>
                </w:p>
              </w:tc>
              <w:tc>
                <w:tcPr>
                  <w:tcW w:w="724" w:type="dxa"/>
                  <w:tcBorders>
                    <w:tl2br w:val="nil"/>
                    <w:tr2bl w:val="nil"/>
                  </w:tcBorders>
                  <w:vAlign w:val="center"/>
                </w:tcPr>
                <w:p w14:paraId="08D21C1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T，I</w:t>
                  </w:r>
                </w:p>
              </w:tc>
              <w:tc>
                <w:tcPr>
                  <w:tcW w:w="756" w:type="dxa"/>
                  <w:tcBorders>
                    <w:tl2br w:val="nil"/>
                    <w:tr2bl w:val="nil"/>
                  </w:tcBorders>
                  <w:vAlign w:val="center"/>
                </w:tcPr>
                <w:p w14:paraId="4F1F79B4">
                  <w:pPr>
                    <w:spacing w:line="240" w:lineRule="exact"/>
                    <w:jc w:val="center"/>
                    <w:rPr>
                      <w:rFonts w:hint="default" w:cs="Times New Roman"/>
                      <w:bCs/>
                      <w:color w:val="000000" w:themeColor="text1"/>
                      <w:sz w:val="21"/>
                      <w:szCs w:val="21"/>
                      <w:lang w:val="en-US" w:eastAsia="zh-CN"/>
                      <w14:textFill>
                        <w14:solidFill>
                          <w14:schemeClr w14:val="tx1"/>
                        </w14:solidFill>
                      </w14:textFill>
                    </w:rPr>
                  </w:pPr>
                  <w:r>
                    <w:rPr>
                      <w:rFonts w:hint="default" w:cs="Times New Roman"/>
                      <w:bCs/>
                      <w:color w:val="000000" w:themeColor="text1"/>
                      <w:sz w:val="21"/>
                      <w:szCs w:val="21"/>
                      <w:lang w:val="en-US" w:eastAsia="zh-CN"/>
                      <w14:textFill>
                        <w14:solidFill>
                          <w14:schemeClr w14:val="tx1"/>
                        </w14:solidFill>
                      </w14:textFill>
                    </w:rPr>
                    <w:t>0.004</w:t>
                  </w:r>
                </w:p>
              </w:tc>
              <w:tc>
                <w:tcPr>
                  <w:tcW w:w="660" w:type="dxa"/>
                  <w:vMerge w:val="continue"/>
                  <w:tcBorders>
                    <w:tl2br w:val="nil"/>
                    <w:tr2bl w:val="nil"/>
                  </w:tcBorders>
                  <w:vAlign w:val="center"/>
                </w:tcPr>
                <w:p w14:paraId="15496EC9">
                  <w:pPr>
                    <w:spacing w:line="240" w:lineRule="exact"/>
                    <w:jc w:val="center"/>
                    <w:rPr>
                      <w:rFonts w:hint="default" w:ascii="Times New Roman" w:hAnsi="Times New Roman" w:cs="Times New Roman"/>
                      <w:bCs/>
                      <w:color w:val="000000" w:themeColor="text1"/>
                      <w:sz w:val="21"/>
                      <w:szCs w:val="21"/>
                      <w14:textFill>
                        <w14:solidFill>
                          <w14:schemeClr w14:val="tx1"/>
                        </w14:solidFill>
                      </w14:textFill>
                    </w:rPr>
                  </w:pPr>
                </w:p>
              </w:tc>
              <w:tc>
                <w:tcPr>
                  <w:tcW w:w="636" w:type="dxa"/>
                  <w:tcBorders>
                    <w:tl2br w:val="nil"/>
                    <w:tr2bl w:val="nil"/>
                  </w:tcBorders>
                  <w:vAlign w:val="center"/>
                </w:tcPr>
                <w:p w14:paraId="29744963">
                  <w:pPr>
                    <w:spacing w:line="240" w:lineRule="exact"/>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1年/次</w:t>
                  </w:r>
                </w:p>
              </w:tc>
              <w:tc>
                <w:tcPr>
                  <w:tcW w:w="696" w:type="dxa"/>
                  <w:tcBorders>
                    <w:tl2br w:val="nil"/>
                    <w:tr2bl w:val="nil"/>
                  </w:tcBorders>
                  <w:vAlign w:val="center"/>
                </w:tcPr>
                <w:p w14:paraId="3D511E06">
                  <w:pPr>
                    <w:spacing w:line="240" w:lineRule="exact"/>
                    <w:jc w:val="center"/>
                    <w:rPr>
                      <w:rFonts w:hint="eastAsia" w:cs="Times New Roman"/>
                      <w:bCs/>
                      <w:color w:val="000000" w:themeColor="text1"/>
                      <w:sz w:val="21"/>
                      <w:szCs w:val="21"/>
                      <w:lang w:val="en-US" w:eastAsia="zh-CN"/>
                      <w14:textFill>
                        <w14:solidFill>
                          <w14:schemeClr w14:val="tx1"/>
                        </w14:solidFill>
                      </w14:textFill>
                    </w:rPr>
                  </w:pPr>
                  <w:r>
                    <w:rPr>
                      <w:rFonts w:hint="default" w:cs="Times New Roman"/>
                      <w:bCs/>
                      <w:color w:val="000000" w:themeColor="text1"/>
                      <w:sz w:val="21"/>
                      <w:szCs w:val="21"/>
                      <w:lang w:val="en-US" w:eastAsia="zh-CN"/>
                      <w14:textFill>
                        <w14:solidFill>
                          <w14:schemeClr w14:val="tx1"/>
                        </w14:solidFill>
                      </w14:textFill>
                    </w:rPr>
                    <w:t>0.004</w:t>
                  </w:r>
                </w:p>
              </w:tc>
              <w:tc>
                <w:tcPr>
                  <w:tcW w:w="792" w:type="dxa"/>
                  <w:vMerge w:val="continue"/>
                  <w:tcBorders>
                    <w:tl2br w:val="nil"/>
                    <w:tr2bl w:val="nil"/>
                  </w:tcBorders>
                  <w:vAlign w:val="center"/>
                </w:tcPr>
                <w:p w14:paraId="1793A840">
                  <w:pPr>
                    <w:spacing w:line="240" w:lineRule="exact"/>
                    <w:jc w:val="center"/>
                    <w:rPr>
                      <w:rFonts w:hint="eastAsia" w:cs="Times New Roman"/>
                      <w:color w:val="000000" w:themeColor="text1"/>
                      <w:szCs w:val="21"/>
                      <w:lang w:val="en-US" w:eastAsia="zh-CN"/>
                      <w14:textFill>
                        <w14:solidFill>
                          <w14:schemeClr w14:val="tx1"/>
                        </w14:solidFill>
                      </w14:textFill>
                    </w:rPr>
                  </w:pPr>
                </w:p>
              </w:tc>
              <w:tc>
                <w:tcPr>
                  <w:tcW w:w="686" w:type="dxa"/>
                  <w:tcBorders>
                    <w:tl2br w:val="nil"/>
                    <w:tr2bl w:val="nil"/>
                  </w:tcBorders>
                  <w:vAlign w:val="center"/>
                </w:tcPr>
                <w:p w14:paraId="20F966A3">
                  <w:pPr>
                    <w:spacing w:line="240" w:lineRule="exact"/>
                    <w:jc w:val="center"/>
                    <w:rPr>
                      <w:rFonts w:hint="eastAsia" w:cs="Times New Roman"/>
                      <w:bCs/>
                      <w:color w:val="000000" w:themeColor="text1"/>
                      <w:sz w:val="21"/>
                      <w:szCs w:val="21"/>
                      <w:lang w:val="en-US" w:eastAsia="zh-CN"/>
                      <w14:textFill>
                        <w14:solidFill>
                          <w14:schemeClr w14:val="tx1"/>
                        </w14:solidFill>
                      </w14:textFill>
                    </w:rPr>
                  </w:pPr>
                  <w:r>
                    <w:rPr>
                      <w:rFonts w:hint="default" w:cs="Times New Roman"/>
                      <w:bCs/>
                      <w:color w:val="000000" w:themeColor="text1"/>
                      <w:sz w:val="21"/>
                      <w:szCs w:val="21"/>
                      <w:lang w:val="en-US" w:eastAsia="zh-CN"/>
                      <w14:textFill>
                        <w14:solidFill>
                          <w14:schemeClr w14:val="tx1"/>
                        </w14:solidFill>
                      </w14:textFill>
                    </w:rPr>
                    <w:t>0.004</w:t>
                  </w:r>
                </w:p>
              </w:tc>
            </w:tr>
            <w:tr w14:paraId="3272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54" w:type="dxa"/>
                  <w:tcBorders>
                    <w:tl2br w:val="nil"/>
                    <w:tr2bl w:val="nil"/>
                  </w:tcBorders>
                  <w:vAlign w:val="center"/>
                </w:tcPr>
                <w:p w14:paraId="7B281B4B">
                  <w:pPr>
                    <w:spacing w:line="240" w:lineRule="exact"/>
                    <w:ind w:left="-105" w:leftChars="-50" w:right="-105" w:rightChars="-50"/>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5</w:t>
                  </w:r>
                </w:p>
              </w:tc>
              <w:tc>
                <w:tcPr>
                  <w:tcW w:w="558" w:type="dxa"/>
                  <w:vMerge w:val="continue"/>
                  <w:tcBorders>
                    <w:tl2br w:val="nil"/>
                    <w:tr2bl w:val="nil"/>
                  </w:tcBorders>
                  <w:vAlign w:val="center"/>
                </w:tcPr>
                <w:p w14:paraId="4AC76D29">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p>
              </w:tc>
              <w:tc>
                <w:tcPr>
                  <w:tcW w:w="667" w:type="dxa"/>
                  <w:tcBorders>
                    <w:tl2br w:val="nil"/>
                    <w:tr2bl w:val="nil"/>
                  </w:tcBorders>
                  <w:vAlign w:val="center"/>
                </w:tcPr>
                <w:p w14:paraId="61DD61D3">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default" w:ascii="Times New Roman" w:hAnsi="Times New Roman" w:cs="Times New Roman"/>
                      <w:bCs/>
                      <w:color w:val="auto"/>
                      <w:sz w:val="21"/>
                      <w:szCs w:val="21"/>
                      <w:shd w:val="clear" w:color="auto" w:fill="auto"/>
                      <w:lang w:val="en-US" w:eastAsia="zh-CN"/>
                    </w:rPr>
                    <w:t>废</w:t>
                  </w:r>
                  <w:r>
                    <w:rPr>
                      <w:rFonts w:hint="eastAsia" w:ascii="Times New Roman" w:hAnsi="Times New Roman" w:cs="Times New Roman"/>
                      <w:bCs/>
                      <w:color w:val="auto"/>
                      <w:sz w:val="21"/>
                      <w:szCs w:val="21"/>
                      <w:shd w:val="clear" w:color="auto" w:fill="auto"/>
                      <w:lang w:val="en-US" w:eastAsia="zh-CN"/>
                    </w:rPr>
                    <w:t>润滑油</w:t>
                  </w:r>
                </w:p>
              </w:tc>
              <w:tc>
                <w:tcPr>
                  <w:tcW w:w="578" w:type="dxa"/>
                  <w:tcBorders>
                    <w:tl2br w:val="nil"/>
                    <w:tr2bl w:val="nil"/>
                  </w:tcBorders>
                  <w:vAlign w:val="center"/>
                </w:tcPr>
                <w:p w14:paraId="5F358197">
                  <w:pPr>
                    <w:spacing w:line="240" w:lineRule="exact"/>
                    <w:ind w:left="-105" w:leftChars="-50" w:right="-105" w:rightChars="-50"/>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危险废物</w:t>
                  </w:r>
                </w:p>
              </w:tc>
              <w:tc>
                <w:tcPr>
                  <w:tcW w:w="729" w:type="dxa"/>
                  <w:tcBorders>
                    <w:tl2br w:val="nil"/>
                    <w:tr2bl w:val="nil"/>
                  </w:tcBorders>
                  <w:vAlign w:val="center"/>
                </w:tcPr>
                <w:p w14:paraId="21885494">
                  <w:pPr>
                    <w:spacing w:line="240" w:lineRule="exact"/>
                    <w:ind w:left="-105" w:leftChars="-50" w:right="-105" w:rightChars="-50"/>
                    <w:jc w:val="center"/>
                    <w:rPr>
                      <w:rFonts w:hint="default"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润滑油</w:t>
                  </w:r>
                </w:p>
              </w:tc>
              <w:tc>
                <w:tcPr>
                  <w:tcW w:w="578" w:type="dxa"/>
                  <w:tcBorders>
                    <w:tl2br w:val="nil"/>
                    <w:tr2bl w:val="nil"/>
                  </w:tcBorders>
                  <w:vAlign w:val="center"/>
                </w:tcPr>
                <w:p w14:paraId="2087BF2D">
                  <w:pPr>
                    <w:spacing w:line="240" w:lineRule="exact"/>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液态</w:t>
                  </w:r>
                </w:p>
              </w:tc>
              <w:tc>
                <w:tcPr>
                  <w:tcW w:w="724" w:type="dxa"/>
                  <w:tcBorders>
                    <w:tl2br w:val="nil"/>
                    <w:tr2bl w:val="nil"/>
                  </w:tcBorders>
                  <w:vAlign w:val="center"/>
                </w:tcPr>
                <w:p w14:paraId="2167B72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T，I</w:t>
                  </w:r>
                </w:p>
              </w:tc>
              <w:tc>
                <w:tcPr>
                  <w:tcW w:w="756" w:type="dxa"/>
                  <w:tcBorders>
                    <w:tl2br w:val="nil"/>
                    <w:tr2bl w:val="nil"/>
                  </w:tcBorders>
                  <w:vAlign w:val="center"/>
                </w:tcPr>
                <w:p w14:paraId="6ABB16C9">
                  <w:pPr>
                    <w:spacing w:line="240" w:lineRule="exact"/>
                    <w:jc w:val="center"/>
                    <w:rPr>
                      <w:rFonts w:hint="default"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0.12</w:t>
                  </w:r>
                </w:p>
              </w:tc>
              <w:tc>
                <w:tcPr>
                  <w:tcW w:w="660" w:type="dxa"/>
                  <w:vMerge w:val="continue"/>
                  <w:tcBorders>
                    <w:tl2br w:val="nil"/>
                    <w:tr2bl w:val="nil"/>
                  </w:tcBorders>
                  <w:vAlign w:val="center"/>
                </w:tcPr>
                <w:p w14:paraId="6490E312">
                  <w:pPr>
                    <w:spacing w:line="240" w:lineRule="exact"/>
                    <w:jc w:val="center"/>
                    <w:rPr>
                      <w:rFonts w:hint="default" w:ascii="Times New Roman" w:hAnsi="Times New Roman" w:cs="Times New Roman"/>
                      <w:bCs/>
                      <w:color w:val="000000" w:themeColor="text1"/>
                      <w:sz w:val="21"/>
                      <w:szCs w:val="21"/>
                      <w14:textFill>
                        <w14:solidFill>
                          <w14:schemeClr w14:val="tx1"/>
                        </w14:solidFill>
                      </w14:textFill>
                    </w:rPr>
                  </w:pPr>
                </w:p>
              </w:tc>
              <w:tc>
                <w:tcPr>
                  <w:tcW w:w="636" w:type="dxa"/>
                  <w:tcBorders>
                    <w:tl2br w:val="nil"/>
                    <w:tr2bl w:val="nil"/>
                  </w:tcBorders>
                  <w:vAlign w:val="center"/>
                </w:tcPr>
                <w:p w14:paraId="0A1B8E1A">
                  <w:pPr>
                    <w:spacing w:line="240" w:lineRule="exact"/>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1年/次</w:t>
                  </w:r>
                </w:p>
              </w:tc>
              <w:tc>
                <w:tcPr>
                  <w:tcW w:w="696" w:type="dxa"/>
                  <w:tcBorders>
                    <w:tl2br w:val="nil"/>
                    <w:tr2bl w:val="nil"/>
                  </w:tcBorders>
                  <w:vAlign w:val="center"/>
                </w:tcPr>
                <w:p w14:paraId="7AEF617A">
                  <w:pPr>
                    <w:spacing w:line="240" w:lineRule="exact"/>
                    <w:jc w:val="center"/>
                    <w:rPr>
                      <w:rFonts w:hint="eastAsia"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0.12</w:t>
                  </w:r>
                </w:p>
              </w:tc>
              <w:tc>
                <w:tcPr>
                  <w:tcW w:w="792" w:type="dxa"/>
                  <w:vMerge w:val="continue"/>
                  <w:tcBorders>
                    <w:tl2br w:val="nil"/>
                    <w:tr2bl w:val="nil"/>
                  </w:tcBorders>
                  <w:vAlign w:val="center"/>
                </w:tcPr>
                <w:p w14:paraId="71A177EB">
                  <w:pPr>
                    <w:spacing w:line="240" w:lineRule="exact"/>
                    <w:jc w:val="center"/>
                    <w:rPr>
                      <w:rFonts w:hint="eastAsia" w:cs="Times New Roman"/>
                      <w:color w:val="000000" w:themeColor="text1"/>
                      <w:szCs w:val="21"/>
                      <w:lang w:val="en-US" w:eastAsia="zh-CN"/>
                      <w14:textFill>
                        <w14:solidFill>
                          <w14:schemeClr w14:val="tx1"/>
                        </w14:solidFill>
                      </w14:textFill>
                    </w:rPr>
                  </w:pPr>
                </w:p>
              </w:tc>
              <w:tc>
                <w:tcPr>
                  <w:tcW w:w="686" w:type="dxa"/>
                  <w:tcBorders>
                    <w:tl2br w:val="nil"/>
                    <w:tr2bl w:val="nil"/>
                  </w:tcBorders>
                  <w:vAlign w:val="center"/>
                </w:tcPr>
                <w:p w14:paraId="7FCAE7EE">
                  <w:pPr>
                    <w:spacing w:line="240" w:lineRule="exact"/>
                    <w:jc w:val="center"/>
                    <w:rPr>
                      <w:rFonts w:hint="eastAsia"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0.12</w:t>
                  </w:r>
                </w:p>
              </w:tc>
            </w:tr>
            <w:tr w14:paraId="7ED5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54" w:type="dxa"/>
                  <w:tcBorders>
                    <w:tl2br w:val="nil"/>
                    <w:tr2bl w:val="nil"/>
                  </w:tcBorders>
                  <w:vAlign w:val="center"/>
                </w:tcPr>
                <w:p w14:paraId="20B70440">
                  <w:pPr>
                    <w:spacing w:line="240" w:lineRule="exact"/>
                    <w:ind w:left="-105" w:leftChars="-50" w:right="-105" w:rightChars="-50"/>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6</w:t>
                  </w:r>
                </w:p>
              </w:tc>
              <w:tc>
                <w:tcPr>
                  <w:tcW w:w="558" w:type="dxa"/>
                  <w:vMerge w:val="continue"/>
                  <w:tcBorders>
                    <w:tl2br w:val="nil"/>
                    <w:tr2bl w:val="nil"/>
                  </w:tcBorders>
                  <w:vAlign w:val="center"/>
                </w:tcPr>
                <w:p w14:paraId="4EE6BB4B">
                  <w:pPr>
                    <w:pStyle w:val="87"/>
                    <w:spacing w:line="280" w:lineRule="exact"/>
                    <w:ind w:firstLine="0" w:firstLineChars="0"/>
                    <w:jc w:val="center"/>
                    <w:rPr>
                      <w:rFonts w:hint="default" w:ascii="Times New Roman" w:hAnsi="Times New Roman" w:cs="Times New Roman"/>
                      <w:bCs/>
                      <w:color w:val="000000" w:themeColor="text1"/>
                      <w:sz w:val="21"/>
                      <w:szCs w:val="21"/>
                      <w:shd w:val="clear" w:color="auto" w:fill="auto"/>
                      <w:lang w:val="en-US" w:eastAsia="zh-CN"/>
                      <w14:textFill>
                        <w14:solidFill>
                          <w14:schemeClr w14:val="tx1"/>
                        </w14:solidFill>
                      </w14:textFill>
                    </w:rPr>
                  </w:pPr>
                </w:p>
              </w:tc>
              <w:tc>
                <w:tcPr>
                  <w:tcW w:w="667" w:type="dxa"/>
                  <w:tcBorders>
                    <w:tl2br w:val="nil"/>
                    <w:tr2bl w:val="nil"/>
                  </w:tcBorders>
                  <w:vAlign w:val="center"/>
                </w:tcPr>
                <w:p w14:paraId="245512BE">
                  <w:pPr>
                    <w:pStyle w:val="87"/>
                    <w:spacing w:line="280" w:lineRule="exact"/>
                    <w:ind w:firstLine="0" w:firstLineChars="0"/>
                    <w:jc w:val="center"/>
                    <w:rPr>
                      <w:rFonts w:hint="default" w:ascii="Times New Roman" w:hAnsi="Times New Roman" w:cs="Times New Roman"/>
                      <w:bCs/>
                      <w:color w:val="000000" w:themeColor="text1"/>
                      <w:sz w:val="21"/>
                      <w:szCs w:val="21"/>
                      <w:shd w:val="clear" w:color="auto" w:fill="auto"/>
                      <w:lang w:val="en-US" w:eastAsia="zh-CN"/>
                      <w14:textFill>
                        <w14:solidFill>
                          <w14:schemeClr w14:val="tx1"/>
                        </w14:solidFill>
                      </w14:textFill>
                    </w:rPr>
                  </w:pPr>
                  <w:r>
                    <w:rPr>
                      <w:rFonts w:hint="default" w:ascii="Times New Roman" w:hAnsi="Times New Roman" w:cs="Times New Roman"/>
                      <w:bCs/>
                      <w:color w:val="auto"/>
                      <w:sz w:val="21"/>
                      <w:szCs w:val="21"/>
                      <w:shd w:val="clear" w:color="auto" w:fill="auto"/>
                      <w:lang w:val="en-US" w:eastAsia="zh-CN"/>
                    </w:rPr>
                    <w:t>废油桶</w:t>
                  </w:r>
                </w:p>
              </w:tc>
              <w:tc>
                <w:tcPr>
                  <w:tcW w:w="578" w:type="dxa"/>
                  <w:tcBorders>
                    <w:tl2br w:val="nil"/>
                    <w:tr2bl w:val="nil"/>
                  </w:tcBorders>
                  <w:vAlign w:val="center"/>
                </w:tcPr>
                <w:p w14:paraId="42E46EFA">
                  <w:pPr>
                    <w:spacing w:line="240" w:lineRule="exact"/>
                    <w:ind w:left="-105" w:leftChars="-50" w:right="-105" w:rightChars="-5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危险废物</w:t>
                  </w:r>
                </w:p>
              </w:tc>
              <w:tc>
                <w:tcPr>
                  <w:tcW w:w="729" w:type="dxa"/>
                  <w:tcBorders>
                    <w:tl2br w:val="nil"/>
                    <w:tr2bl w:val="nil"/>
                  </w:tcBorders>
                  <w:vAlign w:val="center"/>
                </w:tcPr>
                <w:p w14:paraId="029E3B34">
                  <w:pPr>
                    <w:spacing w:line="240" w:lineRule="exact"/>
                    <w:ind w:left="-105" w:leftChars="-50" w:right="-105" w:rightChars="-50"/>
                    <w:jc w:val="center"/>
                    <w:rPr>
                      <w:rFonts w:hint="default"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液压油、润滑油</w:t>
                  </w:r>
                </w:p>
              </w:tc>
              <w:tc>
                <w:tcPr>
                  <w:tcW w:w="578" w:type="dxa"/>
                  <w:tcBorders>
                    <w:tl2br w:val="nil"/>
                    <w:tr2bl w:val="nil"/>
                  </w:tcBorders>
                  <w:vAlign w:val="center"/>
                </w:tcPr>
                <w:p w14:paraId="3185CF93">
                  <w:pPr>
                    <w:spacing w:line="240" w:lineRule="exact"/>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固态</w:t>
                  </w:r>
                </w:p>
              </w:tc>
              <w:tc>
                <w:tcPr>
                  <w:tcW w:w="724" w:type="dxa"/>
                  <w:tcBorders>
                    <w:tl2br w:val="nil"/>
                    <w:tr2bl w:val="nil"/>
                  </w:tcBorders>
                  <w:vAlign w:val="center"/>
                </w:tcPr>
                <w:p w14:paraId="2A45E9C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T，I</w:t>
                  </w:r>
                </w:p>
              </w:tc>
              <w:tc>
                <w:tcPr>
                  <w:tcW w:w="756" w:type="dxa"/>
                  <w:tcBorders>
                    <w:tl2br w:val="nil"/>
                    <w:tr2bl w:val="nil"/>
                  </w:tcBorders>
                  <w:vAlign w:val="center"/>
                </w:tcPr>
                <w:p w14:paraId="371E6127">
                  <w:pPr>
                    <w:spacing w:line="240" w:lineRule="exact"/>
                    <w:jc w:val="center"/>
                    <w:rPr>
                      <w:rFonts w:hint="default" w:cs="Times New Roman"/>
                      <w:bCs/>
                      <w:color w:val="000000" w:themeColor="text1"/>
                      <w:sz w:val="21"/>
                      <w:szCs w:val="21"/>
                      <w:lang w:val="en-US" w:eastAsia="zh-CN"/>
                      <w14:textFill>
                        <w14:solidFill>
                          <w14:schemeClr w14:val="tx1"/>
                        </w14:solidFill>
                      </w14:textFill>
                    </w:rPr>
                  </w:pPr>
                  <w:r>
                    <w:rPr>
                      <w:rFonts w:hint="default" w:cs="Times New Roman"/>
                      <w:bCs/>
                      <w:color w:val="000000" w:themeColor="text1"/>
                      <w:sz w:val="21"/>
                      <w:szCs w:val="21"/>
                      <w:lang w:val="en-US" w:eastAsia="zh-CN"/>
                      <w14:textFill>
                        <w14:solidFill>
                          <w14:schemeClr w14:val="tx1"/>
                        </w14:solidFill>
                      </w14:textFill>
                    </w:rPr>
                    <w:t>0.0</w:t>
                  </w:r>
                  <w:r>
                    <w:rPr>
                      <w:rFonts w:hint="eastAsia" w:cs="Times New Roman"/>
                      <w:bCs/>
                      <w:color w:val="000000" w:themeColor="text1"/>
                      <w:sz w:val="21"/>
                      <w:szCs w:val="21"/>
                      <w:lang w:val="en-US" w:eastAsia="zh-CN"/>
                      <w14:textFill>
                        <w14:solidFill>
                          <w14:schemeClr w14:val="tx1"/>
                        </w14:solidFill>
                      </w14:textFill>
                    </w:rPr>
                    <w:t>3</w:t>
                  </w:r>
                </w:p>
              </w:tc>
              <w:tc>
                <w:tcPr>
                  <w:tcW w:w="660" w:type="dxa"/>
                  <w:vMerge w:val="continue"/>
                  <w:tcBorders>
                    <w:tl2br w:val="nil"/>
                    <w:tr2bl w:val="nil"/>
                  </w:tcBorders>
                  <w:vAlign w:val="center"/>
                </w:tcPr>
                <w:p w14:paraId="1250DA20">
                  <w:pPr>
                    <w:spacing w:line="240" w:lineRule="exact"/>
                    <w:jc w:val="center"/>
                    <w:rPr>
                      <w:rFonts w:hint="default" w:ascii="Times New Roman" w:hAnsi="Times New Roman" w:cs="Times New Roman"/>
                      <w:bCs/>
                      <w:color w:val="000000" w:themeColor="text1"/>
                      <w:sz w:val="21"/>
                      <w:szCs w:val="21"/>
                      <w14:textFill>
                        <w14:solidFill>
                          <w14:schemeClr w14:val="tx1"/>
                        </w14:solidFill>
                      </w14:textFill>
                    </w:rPr>
                  </w:pPr>
                </w:p>
              </w:tc>
              <w:tc>
                <w:tcPr>
                  <w:tcW w:w="636" w:type="dxa"/>
                  <w:tcBorders>
                    <w:tl2br w:val="nil"/>
                    <w:tr2bl w:val="nil"/>
                  </w:tcBorders>
                  <w:vAlign w:val="center"/>
                </w:tcPr>
                <w:p w14:paraId="61C6F201">
                  <w:pPr>
                    <w:spacing w:line="240" w:lineRule="exact"/>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1年/次</w:t>
                  </w:r>
                </w:p>
              </w:tc>
              <w:tc>
                <w:tcPr>
                  <w:tcW w:w="696" w:type="dxa"/>
                  <w:tcBorders>
                    <w:tl2br w:val="nil"/>
                    <w:tr2bl w:val="nil"/>
                  </w:tcBorders>
                  <w:vAlign w:val="center"/>
                </w:tcPr>
                <w:p w14:paraId="012B89C1">
                  <w:pPr>
                    <w:spacing w:line="240" w:lineRule="exact"/>
                    <w:jc w:val="center"/>
                    <w:rPr>
                      <w:rFonts w:hint="default" w:cs="Times New Roman"/>
                      <w:bCs/>
                      <w:color w:val="000000" w:themeColor="text1"/>
                      <w:sz w:val="21"/>
                      <w:szCs w:val="21"/>
                      <w:lang w:val="en-US" w:eastAsia="zh-CN"/>
                      <w14:textFill>
                        <w14:solidFill>
                          <w14:schemeClr w14:val="tx1"/>
                        </w14:solidFill>
                      </w14:textFill>
                    </w:rPr>
                  </w:pPr>
                  <w:r>
                    <w:rPr>
                      <w:rFonts w:hint="default" w:cs="Times New Roman"/>
                      <w:bCs/>
                      <w:color w:val="000000" w:themeColor="text1"/>
                      <w:sz w:val="21"/>
                      <w:szCs w:val="21"/>
                      <w:lang w:val="en-US" w:eastAsia="zh-CN"/>
                      <w14:textFill>
                        <w14:solidFill>
                          <w14:schemeClr w14:val="tx1"/>
                        </w14:solidFill>
                      </w14:textFill>
                    </w:rPr>
                    <w:t>0.0</w:t>
                  </w:r>
                  <w:r>
                    <w:rPr>
                      <w:rFonts w:hint="eastAsia" w:cs="Times New Roman"/>
                      <w:bCs/>
                      <w:color w:val="000000" w:themeColor="text1"/>
                      <w:sz w:val="21"/>
                      <w:szCs w:val="21"/>
                      <w:lang w:val="en-US" w:eastAsia="zh-CN"/>
                      <w14:textFill>
                        <w14:solidFill>
                          <w14:schemeClr w14:val="tx1"/>
                        </w14:solidFill>
                      </w14:textFill>
                    </w:rPr>
                    <w:t>3</w:t>
                  </w:r>
                </w:p>
              </w:tc>
              <w:tc>
                <w:tcPr>
                  <w:tcW w:w="792" w:type="dxa"/>
                  <w:vMerge w:val="continue"/>
                  <w:tcBorders>
                    <w:tl2br w:val="nil"/>
                    <w:tr2bl w:val="nil"/>
                  </w:tcBorders>
                  <w:vAlign w:val="center"/>
                </w:tcPr>
                <w:p w14:paraId="1A700C15">
                  <w:pPr>
                    <w:spacing w:line="240" w:lineRule="exact"/>
                    <w:jc w:val="center"/>
                    <w:rPr>
                      <w:rFonts w:hint="eastAsia" w:cs="Times New Roman"/>
                      <w:color w:val="000000" w:themeColor="text1"/>
                      <w:szCs w:val="21"/>
                      <w:lang w:val="en-US" w:eastAsia="zh-CN"/>
                      <w14:textFill>
                        <w14:solidFill>
                          <w14:schemeClr w14:val="tx1"/>
                        </w14:solidFill>
                      </w14:textFill>
                    </w:rPr>
                  </w:pPr>
                </w:p>
              </w:tc>
              <w:tc>
                <w:tcPr>
                  <w:tcW w:w="686" w:type="dxa"/>
                  <w:tcBorders>
                    <w:tl2br w:val="nil"/>
                    <w:tr2bl w:val="nil"/>
                  </w:tcBorders>
                  <w:vAlign w:val="center"/>
                </w:tcPr>
                <w:p w14:paraId="1E36AFBD">
                  <w:pPr>
                    <w:spacing w:line="240" w:lineRule="exact"/>
                    <w:jc w:val="center"/>
                    <w:rPr>
                      <w:rFonts w:hint="eastAsia" w:cs="Times New Roman"/>
                      <w:bCs/>
                      <w:color w:val="000000" w:themeColor="text1"/>
                      <w:sz w:val="21"/>
                      <w:szCs w:val="21"/>
                      <w:lang w:val="en-US" w:eastAsia="zh-CN"/>
                      <w14:textFill>
                        <w14:solidFill>
                          <w14:schemeClr w14:val="tx1"/>
                        </w14:solidFill>
                      </w14:textFill>
                    </w:rPr>
                  </w:pPr>
                  <w:r>
                    <w:rPr>
                      <w:rFonts w:hint="default" w:cs="Times New Roman"/>
                      <w:bCs/>
                      <w:color w:val="000000" w:themeColor="text1"/>
                      <w:sz w:val="21"/>
                      <w:szCs w:val="21"/>
                      <w:lang w:val="en-US" w:eastAsia="zh-CN"/>
                      <w14:textFill>
                        <w14:solidFill>
                          <w14:schemeClr w14:val="tx1"/>
                        </w14:solidFill>
                      </w14:textFill>
                    </w:rPr>
                    <w:t>0.0</w:t>
                  </w:r>
                  <w:r>
                    <w:rPr>
                      <w:rFonts w:hint="eastAsia" w:cs="Times New Roman"/>
                      <w:bCs/>
                      <w:color w:val="000000" w:themeColor="text1"/>
                      <w:sz w:val="21"/>
                      <w:szCs w:val="21"/>
                      <w:lang w:val="en-US" w:eastAsia="zh-CN"/>
                      <w14:textFill>
                        <w14:solidFill>
                          <w14:schemeClr w14:val="tx1"/>
                        </w14:solidFill>
                      </w14:textFill>
                    </w:rPr>
                    <w:t>3</w:t>
                  </w:r>
                </w:p>
              </w:tc>
            </w:tr>
            <w:tr w14:paraId="6DEF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54" w:type="dxa"/>
                  <w:tcBorders>
                    <w:tl2br w:val="nil"/>
                    <w:tr2bl w:val="nil"/>
                  </w:tcBorders>
                  <w:vAlign w:val="center"/>
                </w:tcPr>
                <w:p w14:paraId="0920D612">
                  <w:pPr>
                    <w:spacing w:line="240" w:lineRule="exact"/>
                    <w:ind w:left="-105" w:leftChars="-50" w:right="-105" w:rightChars="-50"/>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7</w:t>
                  </w:r>
                </w:p>
              </w:tc>
              <w:tc>
                <w:tcPr>
                  <w:tcW w:w="558" w:type="dxa"/>
                  <w:vMerge w:val="continue"/>
                  <w:tcBorders>
                    <w:tl2br w:val="nil"/>
                    <w:tr2bl w:val="nil"/>
                  </w:tcBorders>
                  <w:vAlign w:val="center"/>
                </w:tcPr>
                <w:p w14:paraId="143AEB28">
                  <w:pPr>
                    <w:pStyle w:val="87"/>
                    <w:spacing w:line="280" w:lineRule="exact"/>
                    <w:ind w:firstLine="0" w:firstLineChars="0"/>
                    <w:jc w:val="center"/>
                    <w:rPr>
                      <w:rFonts w:hint="default" w:ascii="Times New Roman" w:hAnsi="Times New Roman" w:cs="Times New Roman"/>
                      <w:bCs/>
                      <w:color w:val="000000" w:themeColor="text1"/>
                      <w:sz w:val="21"/>
                      <w:szCs w:val="21"/>
                      <w:shd w:val="clear" w:color="auto" w:fill="auto"/>
                      <w:lang w:val="en-US" w:eastAsia="zh-CN"/>
                      <w14:textFill>
                        <w14:solidFill>
                          <w14:schemeClr w14:val="tx1"/>
                        </w14:solidFill>
                      </w14:textFill>
                    </w:rPr>
                  </w:pPr>
                </w:p>
              </w:tc>
              <w:tc>
                <w:tcPr>
                  <w:tcW w:w="667" w:type="dxa"/>
                  <w:tcBorders>
                    <w:tl2br w:val="nil"/>
                    <w:tr2bl w:val="nil"/>
                  </w:tcBorders>
                  <w:vAlign w:val="center"/>
                </w:tcPr>
                <w:p w14:paraId="52FDF0A2">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废含油抹布</w:t>
                  </w:r>
                </w:p>
              </w:tc>
              <w:tc>
                <w:tcPr>
                  <w:tcW w:w="578" w:type="dxa"/>
                  <w:tcBorders>
                    <w:tl2br w:val="nil"/>
                    <w:tr2bl w:val="nil"/>
                  </w:tcBorders>
                  <w:vAlign w:val="center"/>
                </w:tcPr>
                <w:p w14:paraId="7144FF98">
                  <w:pPr>
                    <w:spacing w:line="240" w:lineRule="exact"/>
                    <w:ind w:left="-105" w:leftChars="-50" w:right="-105" w:rightChars="-5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危险废物</w:t>
                  </w:r>
                </w:p>
              </w:tc>
              <w:tc>
                <w:tcPr>
                  <w:tcW w:w="729" w:type="dxa"/>
                  <w:tcBorders>
                    <w:tl2br w:val="nil"/>
                    <w:tr2bl w:val="nil"/>
                  </w:tcBorders>
                  <w:vAlign w:val="center"/>
                </w:tcPr>
                <w:p w14:paraId="13E331FA">
                  <w:pPr>
                    <w:spacing w:line="240" w:lineRule="exact"/>
                    <w:ind w:left="-105" w:leftChars="-50" w:right="-105" w:rightChars="-50"/>
                    <w:jc w:val="center"/>
                    <w:rPr>
                      <w:rFonts w:hint="default"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沾染的液压油、润滑油</w:t>
                  </w:r>
                </w:p>
              </w:tc>
              <w:tc>
                <w:tcPr>
                  <w:tcW w:w="578" w:type="dxa"/>
                  <w:tcBorders>
                    <w:tl2br w:val="nil"/>
                    <w:tr2bl w:val="nil"/>
                  </w:tcBorders>
                  <w:vAlign w:val="center"/>
                </w:tcPr>
                <w:p w14:paraId="38914D72">
                  <w:pPr>
                    <w:spacing w:line="240" w:lineRule="exact"/>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固态</w:t>
                  </w:r>
                </w:p>
              </w:tc>
              <w:tc>
                <w:tcPr>
                  <w:tcW w:w="724" w:type="dxa"/>
                  <w:tcBorders>
                    <w:tl2br w:val="nil"/>
                    <w:tr2bl w:val="nil"/>
                  </w:tcBorders>
                  <w:vAlign w:val="center"/>
                </w:tcPr>
                <w:p w14:paraId="1C019E5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T/In</w:t>
                  </w:r>
                </w:p>
              </w:tc>
              <w:tc>
                <w:tcPr>
                  <w:tcW w:w="756" w:type="dxa"/>
                  <w:tcBorders>
                    <w:tl2br w:val="nil"/>
                    <w:tr2bl w:val="nil"/>
                  </w:tcBorders>
                  <w:vAlign w:val="center"/>
                </w:tcPr>
                <w:p w14:paraId="6C6B37FB">
                  <w:pPr>
                    <w:spacing w:line="240" w:lineRule="exact"/>
                    <w:jc w:val="center"/>
                    <w:rPr>
                      <w:rFonts w:hint="default"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0.012</w:t>
                  </w:r>
                </w:p>
              </w:tc>
              <w:tc>
                <w:tcPr>
                  <w:tcW w:w="660" w:type="dxa"/>
                  <w:vMerge w:val="continue"/>
                  <w:tcBorders>
                    <w:tl2br w:val="nil"/>
                    <w:tr2bl w:val="nil"/>
                  </w:tcBorders>
                  <w:vAlign w:val="center"/>
                </w:tcPr>
                <w:p w14:paraId="6FFC4131">
                  <w:pPr>
                    <w:spacing w:line="240" w:lineRule="exact"/>
                    <w:jc w:val="center"/>
                    <w:rPr>
                      <w:rFonts w:hint="default" w:ascii="Times New Roman" w:hAnsi="Times New Roman" w:cs="Times New Roman"/>
                      <w:bCs/>
                      <w:color w:val="000000" w:themeColor="text1"/>
                      <w:sz w:val="21"/>
                      <w:szCs w:val="21"/>
                      <w14:textFill>
                        <w14:solidFill>
                          <w14:schemeClr w14:val="tx1"/>
                        </w14:solidFill>
                      </w14:textFill>
                    </w:rPr>
                  </w:pPr>
                </w:p>
              </w:tc>
              <w:tc>
                <w:tcPr>
                  <w:tcW w:w="636" w:type="dxa"/>
                  <w:tcBorders>
                    <w:tl2br w:val="nil"/>
                    <w:tr2bl w:val="nil"/>
                  </w:tcBorders>
                  <w:vAlign w:val="center"/>
                </w:tcPr>
                <w:p w14:paraId="15E87467">
                  <w:pPr>
                    <w:spacing w:line="240" w:lineRule="exact"/>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1年/次</w:t>
                  </w:r>
                </w:p>
              </w:tc>
              <w:tc>
                <w:tcPr>
                  <w:tcW w:w="696" w:type="dxa"/>
                  <w:tcBorders>
                    <w:tl2br w:val="nil"/>
                    <w:tr2bl w:val="nil"/>
                  </w:tcBorders>
                  <w:vAlign w:val="center"/>
                </w:tcPr>
                <w:p w14:paraId="5AFAADC5">
                  <w:pPr>
                    <w:spacing w:line="240" w:lineRule="exact"/>
                    <w:jc w:val="center"/>
                    <w:rPr>
                      <w:rFonts w:hint="default"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0.012</w:t>
                  </w:r>
                </w:p>
              </w:tc>
              <w:tc>
                <w:tcPr>
                  <w:tcW w:w="792" w:type="dxa"/>
                  <w:vMerge w:val="continue"/>
                  <w:tcBorders>
                    <w:tl2br w:val="nil"/>
                    <w:tr2bl w:val="nil"/>
                  </w:tcBorders>
                  <w:vAlign w:val="center"/>
                </w:tcPr>
                <w:p w14:paraId="329BCB42">
                  <w:pPr>
                    <w:spacing w:line="240" w:lineRule="exact"/>
                    <w:jc w:val="center"/>
                    <w:rPr>
                      <w:rFonts w:hint="eastAsia" w:cs="Times New Roman"/>
                      <w:color w:val="000000" w:themeColor="text1"/>
                      <w:szCs w:val="21"/>
                      <w:lang w:val="en-US" w:eastAsia="zh-CN"/>
                      <w14:textFill>
                        <w14:solidFill>
                          <w14:schemeClr w14:val="tx1"/>
                        </w14:solidFill>
                      </w14:textFill>
                    </w:rPr>
                  </w:pPr>
                </w:p>
              </w:tc>
              <w:tc>
                <w:tcPr>
                  <w:tcW w:w="686" w:type="dxa"/>
                  <w:tcBorders>
                    <w:tl2br w:val="nil"/>
                    <w:tr2bl w:val="nil"/>
                  </w:tcBorders>
                  <w:vAlign w:val="center"/>
                </w:tcPr>
                <w:p w14:paraId="59727542">
                  <w:pPr>
                    <w:spacing w:line="240" w:lineRule="exact"/>
                    <w:jc w:val="center"/>
                    <w:rPr>
                      <w:rFonts w:hint="default"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0.012</w:t>
                  </w:r>
                </w:p>
              </w:tc>
            </w:tr>
          </w:tbl>
          <w:p w14:paraId="133CEC46">
            <w:pPr>
              <w:pStyle w:val="9"/>
              <w:pageBreakBefore w:val="0"/>
              <w:widowControl w:val="0"/>
              <w:tabs>
                <w:tab w:val="center" w:pos="4157"/>
              </w:tabs>
              <w:kinsoku/>
              <w:wordWrap/>
              <w:overflowPunct/>
              <w:topLinePunct w:val="0"/>
              <w:autoSpaceDE/>
              <w:autoSpaceDN/>
              <w:bidi w:val="0"/>
              <w:adjustRightInd/>
              <w:snapToGrid/>
              <w:spacing w:line="500" w:lineRule="exact"/>
              <w:rPr>
                <w:rFonts w:hint="eastAsia" w:cs="Times New Roman"/>
                <w:b w:val="0"/>
                <w:bCs w:val="0"/>
                <w:color w:val="auto"/>
                <w:sz w:val="24"/>
                <w:lang w:val="en-US" w:eastAsia="zh-CN"/>
              </w:rPr>
            </w:pPr>
            <w:r>
              <w:rPr>
                <w:rFonts w:hint="eastAsia" w:cs="Times New Roman"/>
                <w:b w:val="0"/>
                <w:bCs w:val="0"/>
                <w:color w:val="auto"/>
                <w:sz w:val="24"/>
                <w:lang w:val="en-US" w:eastAsia="zh-CN"/>
              </w:rPr>
              <w:t>①危险废物贮存场所环境影响分析</w:t>
            </w:r>
            <w:r>
              <w:rPr>
                <w:rFonts w:hint="eastAsia" w:cs="Times New Roman"/>
                <w:b w:val="0"/>
                <w:bCs w:val="0"/>
                <w:color w:val="auto"/>
                <w:sz w:val="24"/>
                <w:lang w:val="en-US" w:eastAsia="zh-CN"/>
              </w:rPr>
              <w:tab/>
            </w:r>
          </w:p>
          <w:p w14:paraId="21D5D582">
            <w:pPr>
              <w:pStyle w:val="9"/>
              <w:pageBreakBefore w:val="0"/>
              <w:widowControl w:val="0"/>
              <w:tabs>
                <w:tab w:val="center" w:pos="4157"/>
              </w:tabs>
              <w:kinsoku/>
              <w:wordWrap/>
              <w:overflowPunct/>
              <w:topLinePunct w:val="0"/>
              <w:autoSpaceDE/>
              <w:autoSpaceDN/>
              <w:bidi w:val="0"/>
              <w:adjustRightInd/>
              <w:snapToGrid/>
              <w:spacing w:line="500" w:lineRule="exact"/>
              <w:rPr>
                <w:rFonts w:hint="default" w:ascii="Times New Roman" w:hAnsi="Times New Roman" w:eastAsia="宋体" w:cs="Times New Roman"/>
                <w:snapToGrid w:val="0"/>
                <w:color w:val="auto"/>
                <w:sz w:val="24"/>
                <w:szCs w:val="24"/>
              </w:rPr>
            </w:pPr>
            <w:r>
              <w:rPr>
                <w:rFonts w:hint="eastAsia" w:cs="Times New Roman"/>
                <w:b w:val="0"/>
                <w:bCs w:val="0"/>
                <w:color w:val="auto"/>
                <w:sz w:val="24"/>
                <w:lang w:val="en-US" w:eastAsia="zh-CN"/>
              </w:rPr>
              <w:t>项目建设危废暂存间1座，位于厂区东北角，面积为10m</w:t>
            </w:r>
            <w:r>
              <w:rPr>
                <w:rFonts w:hint="eastAsia" w:cs="Times New Roman"/>
                <w:b w:val="0"/>
                <w:bCs w:val="0"/>
                <w:color w:val="auto"/>
                <w:sz w:val="24"/>
                <w:vertAlign w:val="superscript"/>
                <w:lang w:val="en-US" w:eastAsia="zh-CN"/>
              </w:rPr>
              <w:t>2</w:t>
            </w:r>
            <w:r>
              <w:rPr>
                <w:rFonts w:hint="eastAsia" w:cs="Times New Roman"/>
                <w:b w:val="0"/>
                <w:bCs w:val="0"/>
                <w:color w:val="auto"/>
                <w:sz w:val="24"/>
                <w:lang w:val="en-US" w:eastAsia="zh-CN"/>
              </w:rPr>
              <w:t>，设计贮存能力8t。本</w:t>
            </w:r>
            <w:r>
              <w:rPr>
                <w:rFonts w:hint="default" w:ascii="Times New Roman" w:hAnsi="Times New Roman" w:cs="Times New Roman"/>
                <w:b w:val="0"/>
                <w:bCs w:val="0"/>
                <w:color w:val="auto"/>
                <w:sz w:val="24"/>
                <w:szCs w:val="24"/>
                <w:lang w:val="en-US" w:eastAsia="zh-CN"/>
              </w:rPr>
              <w:t>项目各类</w:t>
            </w:r>
            <w:r>
              <w:rPr>
                <w:rFonts w:hint="eastAsia" w:ascii="Times New Roman" w:hAnsi="Times New Roman" w:cs="Times New Roman"/>
                <w:b w:val="0"/>
                <w:bCs w:val="0"/>
                <w:color w:val="auto"/>
                <w:sz w:val="24"/>
                <w:szCs w:val="24"/>
                <w:lang w:val="en-US" w:eastAsia="zh-CN"/>
              </w:rPr>
              <w:t>危险废物</w:t>
            </w:r>
            <w:r>
              <w:rPr>
                <w:rFonts w:hint="default" w:ascii="Times New Roman" w:hAnsi="Times New Roman" w:eastAsia="宋体" w:cs="Times New Roman"/>
                <w:snapToGrid w:val="0"/>
                <w:color w:val="auto"/>
                <w:sz w:val="24"/>
                <w:szCs w:val="24"/>
              </w:rPr>
              <w:t>以在厂区暂存</w:t>
            </w:r>
            <w:r>
              <w:rPr>
                <w:rFonts w:hint="eastAsia" w:cs="Times New Roman"/>
                <w:snapToGrid w:val="0"/>
                <w:color w:val="auto"/>
                <w:sz w:val="24"/>
                <w:szCs w:val="24"/>
                <w:lang w:val="en-US" w:eastAsia="zh-CN"/>
              </w:rPr>
              <w:t>12</w:t>
            </w:r>
            <w:r>
              <w:rPr>
                <w:rFonts w:hint="default" w:ascii="Times New Roman" w:hAnsi="Times New Roman" w:eastAsia="宋体" w:cs="Times New Roman"/>
                <w:snapToGrid w:val="0"/>
                <w:color w:val="auto"/>
                <w:sz w:val="24"/>
                <w:szCs w:val="24"/>
                <w:lang w:val="en-US" w:eastAsia="zh-CN"/>
              </w:rPr>
              <w:t>个月</w:t>
            </w:r>
            <w:r>
              <w:rPr>
                <w:rFonts w:hint="default" w:ascii="Times New Roman" w:hAnsi="Times New Roman" w:eastAsia="宋体" w:cs="Times New Roman"/>
                <w:snapToGrid w:val="0"/>
                <w:color w:val="auto"/>
                <w:sz w:val="24"/>
                <w:szCs w:val="24"/>
              </w:rPr>
              <w:t>考虑</w:t>
            </w:r>
            <w:r>
              <w:rPr>
                <w:rFonts w:hint="default" w:ascii="Times New Roman" w:hAnsi="Times New Roman" w:eastAsia="宋体" w:cs="Times New Roman"/>
                <w:snapToGrid w:val="0"/>
                <w:color w:val="auto"/>
                <w:sz w:val="24"/>
                <w:szCs w:val="24"/>
                <w:lang w:eastAsia="zh-CN"/>
              </w:rPr>
              <w:t>，</w:t>
            </w:r>
            <w:r>
              <w:rPr>
                <w:rFonts w:hint="eastAsia" w:cs="Times New Roman"/>
                <w:b w:val="0"/>
                <w:bCs w:val="0"/>
                <w:color w:val="auto"/>
                <w:sz w:val="24"/>
                <w:szCs w:val="24"/>
                <w:lang w:val="en-US" w:eastAsia="zh-CN"/>
              </w:rPr>
              <w:t>最大储存</w:t>
            </w:r>
            <w:r>
              <w:rPr>
                <w:rFonts w:hint="default" w:ascii="Times New Roman" w:hAnsi="Times New Roman" w:cs="Times New Roman"/>
                <w:b w:val="0"/>
                <w:bCs w:val="0"/>
                <w:color w:val="auto"/>
                <w:sz w:val="24"/>
                <w:szCs w:val="24"/>
                <w:lang w:val="en-US" w:eastAsia="zh-CN"/>
              </w:rPr>
              <w:t>量为</w:t>
            </w:r>
            <w:r>
              <w:rPr>
                <w:rFonts w:hint="eastAsia" w:cs="Times New Roman"/>
                <w:b w:val="0"/>
                <w:bCs w:val="0"/>
                <w:color w:val="auto"/>
                <w:sz w:val="24"/>
                <w:szCs w:val="24"/>
                <w:lang w:val="en-US" w:eastAsia="zh-CN"/>
              </w:rPr>
              <w:t>1.316t</w:t>
            </w:r>
            <w:r>
              <w:rPr>
                <w:rFonts w:hint="default" w:ascii="Times New Roman" w:hAnsi="Times New Roman" w:cs="Times New Roman"/>
                <w:b w:val="0"/>
                <w:bCs w:val="0"/>
                <w:color w:val="auto"/>
                <w:sz w:val="24"/>
                <w:szCs w:val="24"/>
                <w:lang w:val="en-US" w:eastAsia="zh-CN"/>
              </w:rPr>
              <w:t>，</w:t>
            </w:r>
            <w:r>
              <w:rPr>
                <w:rFonts w:hint="eastAsia" w:cs="Times New Roman"/>
                <w:snapToGrid w:val="0"/>
                <w:color w:val="auto"/>
                <w:sz w:val="24"/>
                <w:szCs w:val="24"/>
                <w:lang w:val="en-US" w:eastAsia="zh-CN"/>
              </w:rPr>
              <w:t>同时</w:t>
            </w:r>
            <w:r>
              <w:rPr>
                <w:rFonts w:hint="default" w:ascii="Times New Roman" w:hAnsi="Times New Roman" w:eastAsia="宋体" w:cs="Times New Roman"/>
                <w:snapToGrid w:val="0"/>
                <w:color w:val="auto"/>
                <w:sz w:val="24"/>
                <w:szCs w:val="24"/>
                <w:lang w:eastAsia="zh-CN"/>
              </w:rPr>
              <w:t>项目</w:t>
            </w:r>
            <w:r>
              <w:rPr>
                <w:rFonts w:hint="eastAsia" w:ascii="Times New Roman" w:hAnsi="Times New Roman" w:eastAsia="宋体" w:cs="Times New Roman"/>
                <w:snapToGrid w:val="0"/>
                <w:color w:val="auto"/>
                <w:sz w:val="24"/>
                <w:szCs w:val="24"/>
                <w:lang w:val="en-US" w:eastAsia="zh-CN"/>
              </w:rPr>
              <w:t>危废间</w:t>
            </w:r>
            <w:r>
              <w:rPr>
                <w:rFonts w:hint="default" w:ascii="Times New Roman" w:hAnsi="Times New Roman" w:cs="Times New Roman"/>
                <w:b w:val="0"/>
                <w:bCs w:val="0"/>
                <w:color w:val="auto"/>
                <w:sz w:val="24"/>
                <w:szCs w:val="24"/>
                <w:lang w:val="en-US" w:eastAsia="zh-CN"/>
              </w:rPr>
              <w:t>地面采取防腐、防渗、泄漏收集等措施，</w:t>
            </w:r>
            <w:r>
              <w:rPr>
                <w:rFonts w:hint="default" w:ascii="Times New Roman" w:hAnsi="Times New Roman" w:eastAsia="宋体" w:cs="Times New Roman"/>
                <w:snapToGrid w:val="0"/>
                <w:color w:val="auto"/>
                <w:sz w:val="24"/>
                <w:szCs w:val="24"/>
              </w:rPr>
              <w:t>可满足本项目需要。</w:t>
            </w:r>
          </w:p>
          <w:p w14:paraId="242571F0">
            <w:pPr>
              <w:pStyle w:val="9"/>
              <w:pageBreakBefore w:val="0"/>
              <w:widowControl w:val="0"/>
              <w:tabs>
                <w:tab w:val="center" w:pos="4157"/>
              </w:tabs>
              <w:kinsoku/>
              <w:wordWrap/>
              <w:overflowPunct/>
              <w:topLinePunct w:val="0"/>
              <w:autoSpaceDE/>
              <w:autoSpaceDN/>
              <w:bidi w:val="0"/>
              <w:adjustRightInd/>
              <w:snapToGrid/>
              <w:spacing w:line="500" w:lineRule="exact"/>
              <w:ind w:left="0" w:leftChars="0" w:firstLine="0" w:firstLineChars="0"/>
              <w:jc w:val="center"/>
              <w:rPr>
                <w:rFonts w:hint="eastAsia" w:cs="Times New Roman"/>
                <w:b/>
                <w:bCs/>
                <w:color w:val="auto"/>
                <w:sz w:val="24"/>
                <w:lang w:val="en-US" w:eastAsia="zh-CN"/>
              </w:rPr>
            </w:pPr>
            <w:r>
              <w:rPr>
                <w:rFonts w:hint="default" w:ascii="Times New Roman" w:hAnsi="Times New Roman" w:cs="Times New Roman"/>
                <w:b/>
                <w:bCs/>
                <w:color w:val="auto"/>
                <w:sz w:val="24"/>
              </w:rPr>
              <w:t>表</w:t>
            </w:r>
            <w:r>
              <w:rPr>
                <w:rFonts w:hint="eastAsia" w:cs="Times New Roman"/>
                <w:b/>
                <w:bCs/>
                <w:color w:val="auto"/>
                <w:sz w:val="24"/>
                <w:lang w:val="en-US" w:eastAsia="zh-CN"/>
              </w:rPr>
              <w:t>30   危险废物贮存情况一览表</w:t>
            </w:r>
          </w:p>
          <w:tbl>
            <w:tblPr>
              <w:tblStyle w:val="29"/>
              <w:tblW w:w="8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335"/>
              <w:gridCol w:w="1530"/>
              <w:gridCol w:w="1530"/>
              <w:gridCol w:w="1305"/>
              <w:gridCol w:w="1118"/>
              <w:gridCol w:w="798"/>
            </w:tblGrid>
            <w:tr w14:paraId="601C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4280B59">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left="0" w:leftChars="0"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序号</w:t>
                  </w:r>
                </w:p>
              </w:tc>
              <w:tc>
                <w:tcPr>
                  <w:tcW w:w="1335" w:type="dxa"/>
                  <w:vAlign w:val="center"/>
                </w:tcPr>
                <w:p w14:paraId="00CA16C6">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left="0" w:leftChars="0" w:firstLine="0" w:firstLineChars="0"/>
                    <w:jc w:val="center"/>
                    <w:textAlignment w:val="auto"/>
                    <w:rPr>
                      <w:rFonts w:hint="default"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名称</w:t>
                  </w:r>
                </w:p>
              </w:tc>
              <w:tc>
                <w:tcPr>
                  <w:tcW w:w="1530" w:type="dxa"/>
                  <w:vAlign w:val="center"/>
                </w:tcPr>
                <w:p w14:paraId="2560095C">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危险废物类别</w:t>
                  </w:r>
                </w:p>
              </w:tc>
              <w:tc>
                <w:tcPr>
                  <w:tcW w:w="1530" w:type="dxa"/>
                  <w:vAlign w:val="center"/>
                </w:tcPr>
                <w:p w14:paraId="4FBF0BF9">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危险废物代码</w:t>
                  </w:r>
                </w:p>
              </w:tc>
              <w:tc>
                <w:tcPr>
                  <w:tcW w:w="1305" w:type="dxa"/>
                  <w:vAlign w:val="center"/>
                </w:tcPr>
                <w:p w14:paraId="523CC209">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default" w:cs="Times New Roman"/>
                      <w:color w:val="000000" w:themeColor="text1"/>
                      <w:szCs w:val="21"/>
                      <w:lang w:val="en-US" w:eastAsia="zh-CN"/>
                      <w14:textFill>
                        <w14:solidFill>
                          <w14:schemeClr w14:val="tx1"/>
                        </w14:solidFill>
                      </w14:textFill>
                    </w:rPr>
                    <w:t>产生量（t/a）</w:t>
                  </w:r>
                </w:p>
              </w:tc>
              <w:tc>
                <w:tcPr>
                  <w:tcW w:w="1118" w:type="dxa"/>
                  <w:vAlign w:val="center"/>
                </w:tcPr>
                <w:p w14:paraId="0DFD02C6">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default"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危险特性</w:t>
                  </w:r>
                </w:p>
              </w:tc>
              <w:tc>
                <w:tcPr>
                  <w:tcW w:w="798" w:type="dxa"/>
                  <w:vAlign w:val="center"/>
                </w:tcPr>
                <w:p w14:paraId="2A94EC35">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default"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储存周期</w:t>
                  </w:r>
                </w:p>
              </w:tc>
            </w:tr>
            <w:tr w14:paraId="04EE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2FE826C">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default"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1</w:t>
                  </w:r>
                </w:p>
              </w:tc>
              <w:tc>
                <w:tcPr>
                  <w:tcW w:w="1335" w:type="dxa"/>
                  <w:vAlign w:val="center"/>
                </w:tcPr>
                <w:p w14:paraId="0859C397">
                  <w:pPr>
                    <w:pStyle w:val="87"/>
                    <w:spacing w:line="280" w:lineRule="exact"/>
                    <w:ind w:firstLine="0" w:firstLineChars="0"/>
                    <w:jc w:val="center"/>
                    <w:rPr>
                      <w:rFonts w:hint="eastAsia" w:ascii="宋体" w:hAnsi="宋体" w:eastAsia="宋体" w:cs="Times New Roman"/>
                      <w:color w:val="000000" w:themeColor="text1"/>
                      <w:kern w:val="2"/>
                      <w:sz w:val="28"/>
                      <w:szCs w:val="21"/>
                      <w:lang w:val="en-US" w:eastAsia="zh-CN" w:bidi="ar-SA"/>
                      <w14:textFill>
                        <w14:solidFill>
                          <w14:schemeClr w14:val="tx1"/>
                        </w14:solidFill>
                      </w14:textFill>
                    </w:rPr>
                  </w:pPr>
                  <w:r>
                    <w:rPr>
                      <w:rFonts w:hint="eastAsia" w:ascii="Times New Roman" w:hAnsi="Times New Roman" w:cs="Times New Roman"/>
                      <w:bCs/>
                      <w:color w:val="auto"/>
                      <w:sz w:val="21"/>
                      <w:szCs w:val="21"/>
                      <w:shd w:val="clear" w:color="auto" w:fill="auto"/>
                      <w:lang w:val="en-US" w:eastAsia="zh-CN"/>
                    </w:rPr>
                    <w:t>废过滤棉</w:t>
                  </w:r>
                </w:p>
              </w:tc>
              <w:tc>
                <w:tcPr>
                  <w:tcW w:w="1530" w:type="dxa"/>
                  <w:vAlign w:val="center"/>
                </w:tcPr>
                <w:p w14:paraId="3DFD4A19">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 xml:space="preserve">HW49 </w:t>
                  </w:r>
                </w:p>
              </w:tc>
              <w:tc>
                <w:tcPr>
                  <w:tcW w:w="1530" w:type="dxa"/>
                  <w:vAlign w:val="center"/>
                </w:tcPr>
                <w:p w14:paraId="3EBB4EEE">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900-041-49</w:t>
                  </w:r>
                </w:p>
              </w:tc>
              <w:tc>
                <w:tcPr>
                  <w:tcW w:w="1305" w:type="dxa"/>
                  <w:vAlign w:val="center"/>
                </w:tcPr>
                <w:p w14:paraId="0A0581E5">
                  <w:pPr>
                    <w:spacing w:line="240" w:lineRule="exact"/>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0.05</w:t>
                  </w:r>
                </w:p>
              </w:tc>
              <w:tc>
                <w:tcPr>
                  <w:tcW w:w="1118" w:type="dxa"/>
                  <w:vAlign w:val="center"/>
                </w:tcPr>
                <w:p w14:paraId="32D01274">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T/In</w:t>
                  </w:r>
                </w:p>
              </w:tc>
              <w:tc>
                <w:tcPr>
                  <w:tcW w:w="798" w:type="dxa"/>
                  <w:vMerge w:val="restart"/>
                  <w:vAlign w:val="center"/>
                </w:tcPr>
                <w:p w14:paraId="5C242C9A">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12个月</w:t>
                  </w:r>
                </w:p>
              </w:tc>
            </w:tr>
            <w:tr w14:paraId="5BFE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4F1C3F6">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default"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2</w:t>
                  </w:r>
                </w:p>
              </w:tc>
              <w:tc>
                <w:tcPr>
                  <w:tcW w:w="1335" w:type="dxa"/>
                  <w:vAlign w:val="center"/>
                </w:tcPr>
                <w:p w14:paraId="2DBDDFB4">
                  <w:pPr>
                    <w:pStyle w:val="87"/>
                    <w:spacing w:line="280" w:lineRule="exact"/>
                    <w:ind w:firstLine="0" w:firstLineChars="0"/>
                    <w:jc w:val="center"/>
                    <w:rPr>
                      <w:rFonts w:hint="default" w:ascii="Times New Roman" w:hAnsi="Times New Roman" w:cs="Times New Roman"/>
                      <w:bCs/>
                      <w:color w:val="000000" w:themeColor="text1"/>
                      <w:sz w:val="21"/>
                      <w:szCs w:val="21"/>
                      <w:shd w:val="clear" w:color="auto" w:fill="auto"/>
                      <w:lang w:val="en-US" w:eastAsia="zh-CN"/>
                      <w14:textFill>
                        <w14:solidFill>
                          <w14:schemeClr w14:val="tx1"/>
                        </w14:solidFill>
                      </w14:textFill>
                    </w:rPr>
                  </w:pPr>
                  <w:r>
                    <w:rPr>
                      <w:rFonts w:hint="eastAsia" w:ascii="Times New Roman" w:hAnsi="Times New Roman" w:cs="Times New Roman"/>
                      <w:bCs/>
                      <w:color w:val="auto"/>
                      <w:sz w:val="21"/>
                      <w:szCs w:val="21"/>
                      <w:shd w:val="clear" w:color="auto" w:fill="auto"/>
                      <w:lang w:val="en-US" w:eastAsia="zh-CN"/>
                    </w:rPr>
                    <w:t>废活性炭</w:t>
                  </w:r>
                </w:p>
              </w:tc>
              <w:tc>
                <w:tcPr>
                  <w:tcW w:w="1530" w:type="dxa"/>
                  <w:vAlign w:val="center"/>
                </w:tcPr>
                <w:p w14:paraId="2ED9044D">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 xml:space="preserve">HW49 </w:t>
                  </w:r>
                </w:p>
              </w:tc>
              <w:tc>
                <w:tcPr>
                  <w:tcW w:w="1530" w:type="dxa"/>
                  <w:vAlign w:val="center"/>
                </w:tcPr>
                <w:p w14:paraId="534C6B79">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900-039-49</w:t>
                  </w:r>
                </w:p>
              </w:tc>
              <w:tc>
                <w:tcPr>
                  <w:tcW w:w="1305" w:type="dxa"/>
                  <w:vAlign w:val="center"/>
                </w:tcPr>
                <w:p w14:paraId="60CE1DA9">
                  <w:pPr>
                    <w:spacing w:line="240" w:lineRule="exact"/>
                    <w:jc w:val="center"/>
                    <w:rPr>
                      <w:rFonts w:hint="eastAsia"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0.9</w:t>
                  </w:r>
                </w:p>
              </w:tc>
              <w:tc>
                <w:tcPr>
                  <w:tcW w:w="1118" w:type="dxa"/>
                  <w:vAlign w:val="center"/>
                </w:tcPr>
                <w:p w14:paraId="0A2460E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T</w:t>
                  </w:r>
                </w:p>
              </w:tc>
              <w:tc>
                <w:tcPr>
                  <w:tcW w:w="798" w:type="dxa"/>
                  <w:vMerge w:val="continue"/>
                  <w:vAlign w:val="center"/>
                </w:tcPr>
                <w:p w14:paraId="512DA4D2">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p>
              </w:tc>
            </w:tr>
            <w:tr w14:paraId="5903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2ED54BA">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default"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3</w:t>
                  </w:r>
                </w:p>
              </w:tc>
              <w:tc>
                <w:tcPr>
                  <w:tcW w:w="1335" w:type="dxa"/>
                  <w:vAlign w:val="center"/>
                </w:tcPr>
                <w:p w14:paraId="352E822A">
                  <w:pPr>
                    <w:pStyle w:val="87"/>
                    <w:spacing w:line="280" w:lineRule="exact"/>
                    <w:ind w:firstLine="0" w:firstLineChars="0"/>
                    <w:jc w:val="center"/>
                    <w:rPr>
                      <w:rFonts w:hint="default" w:ascii="Times New Roman" w:hAnsi="Times New Roman" w:cs="Times New Roman"/>
                      <w:bCs/>
                      <w:color w:val="000000" w:themeColor="text1"/>
                      <w:sz w:val="21"/>
                      <w:szCs w:val="21"/>
                      <w:shd w:val="clear" w:color="auto" w:fill="auto"/>
                      <w:lang w:val="en-US" w:eastAsia="zh-CN"/>
                      <w14:textFill>
                        <w14:solidFill>
                          <w14:schemeClr w14:val="tx1"/>
                        </w14:solidFill>
                      </w14:textFill>
                    </w:rPr>
                  </w:pPr>
                  <w:r>
                    <w:rPr>
                      <w:rFonts w:hint="eastAsia" w:ascii="Times New Roman" w:hAnsi="Times New Roman" w:cs="Times New Roman"/>
                      <w:bCs/>
                      <w:color w:val="auto"/>
                      <w:sz w:val="21"/>
                      <w:szCs w:val="21"/>
                      <w:shd w:val="clear" w:color="auto" w:fill="auto"/>
                      <w:lang w:val="en-US" w:eastAsia="zh-CN"/>
                    </w:rPr>
                    <w:t>废催化剂</w:t>
                  </w:r>
                </w:p>
              </w:tc>
              <w:tc>
                <w:tcPr>
                  <w:tcW w:w="1530" w:type="dxa"/>
                  <w:vAlign w:val="center"/>
                </w:tcPr>
                <w:p w14:paraId="6ED5CD2A">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default"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auto"/>
                      <w:sz w:val="21"/>
                      <w:szCs w:val="21"/>
                      <w:vertAlign w:val="baseline"/>
                      <w:lang w:val="en-US" w:eastAsia="zh-CN"/>
                    </w:rPr>
                    <w:t>HW49</w:t>
                  </w:r>
                </w:p>
              </w:tc>
              <w:tc>
                <w:tcPr>
                  <w:tcW w:w="1530" w:type="dxa"/>
                  <w:vAlign w:val="center"/>
                </w:tcPr>
                <w:p w14:paraId="63D9BE3D">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auto"/>
                      <w:sz w:val="21"/>
                      <w:szCs w:val="21"/>
                      <w:vertAlign w:val="baseline"/>
                      <w:lang w:val="en-US" w:eastAsia="zh-CN"/>
                    </w:rPr>
                    <w:t>900-041-49</w:t>
                  </w:r>
                </w:p>
              </w:tc>
              <w:tc>
                <w:tcPr>
                  <w:tcW w:w="1305" w:type="dxa"/>
                  <w:vAlign w:val="center"/>
                </w:tcPr>
                <w:p w14:paraId="2BDAE6E3">
                  <w:pPr>
                    <w:spacing w:line="240" w:lineRule="exact"/>
                    <w:jc w:val="center"/>
                    <w:rPr>
                      <w:rFonts w:hint="eastAsia"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0.2</w:t>
                  </w:r>
                  <w:r>
                    <w:rPr>
                      <w:rFonts w:hint="eastAsia" w:cs="Times New Roman"/>
                      <w:bCs/>
                      <w:color w:val="auto"/>
                      <w:sz w:val="21"/>
                      <w:szCs w:val="21"/>
                      <w:lang w:val="en-US" w:eastAsia="zh-CN"/>
                    </w:rPr>
                    <w:t>（3a）</w:t>
                  </w:r>
                </w:p>
              </w:tc>
              <w:tc>
                <w:tcPr>
                  <w:tcW w:w="1118" w:type="dxa"/>
                  <w:vAlign w:val="center"/>
                </w:tcPr>
                <w:p w14:paraId="7AB67B9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T/In</w:t>
                  </w:r>
                </w:p>
              </w:tc>
              <w:tc>
                <w:tcPr>
                  <w:tcW w:w="798" w:type="dxa"/>
                  <w:vMerge w:val="continue"/>
                  <w:vAlign w:val="center"/>
                </w:tcPr>
                <w:p w14:paraId="1E760FE0">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p>
              </w:tc>
            </w:tr>
            <w:tr w14:paraId="538B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23FB36C">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default"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4</w:t>
                  </w:r>
                </w:p>
              </w:tc>
              <w:tc>
                <w:tcPr>
                  <w:tcW w:w="1335" w:type="dxa"/>
                  <w:vAlign w:val="center"/>
                </w:tcPr>
                <w:p w14:paraId="785B2823">
                  <w:pPr>
                    <w:pStyle w:val="87"/>
                    <w:spacing w:line="280" w:lineRule="exact"/>
                    <w:ind w:firstLine="0" w:firstLineChars="0"/>
                    <w:jc w:val="center"/>
                    <w:rPr>
                      <w:rFonts w:hint="eastAsia" w:ascii="Times New Roman" w:hAnsi="Times New Roman" w:cs="Times New Roman"/>
                      <w:bCs/>
                      <w:color w:val="000000" w:themeColor="text1"/>
                      <w:sz w:val="21"/>
                      <w:szCs w:val="21"/>
                      <w:shd w:val="clear" w:color="auto" w:fill="auto"/>
                      <w:lang w:val="en-US" w:eastAsia="zh-CN"/>
                      <w14:textFill>
                        <w14:solidFill>
                          <w14:schemeClr w14:val="tx1"/>
                        </w14:solidFill>
                      </w14:textFill>
                    </w:rPr>
                  </w:pPr>
                  <w:r>
                    <w:rPr>
                      <w:rFonts w:hint="default" w:ascii="Times New Roman" w:hAnsi="Times New Roman" w:cs="Times New Roman"/>
                      <w:bCs/>
                      <w:color w:val="auto"/>
                      <w:sz w:val="21"/>
                      <w:szCs w:val="21"/>
                      <w:shd w:val="clear" w:color="auto" w:fill="auto"/>
                      <w:lang w:val="en-US" w:eastAsia="zh-CN"/>
                    </w:rPr>
                    <w:t>废液压油</w:t>
                  </w:r>
                </w:p>
              </w:tc>
              <w:tc>
                <w:tcPr>
                  <w:tcW w:w="1530" w:type="dxa"/>
                  <w:vAlign w:val="center"/>
                </w:tcPr>
                <w:p w14:paraId="0FC0F4F4">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 xml:space="preserve">HW08 </w:t>
                  </w:r>
                </w:p>
              </w:tc>
              <w:tc>
                <w:tcPr>
                  <w:tcW w:w="1530" w:type="dxa"/>
                  <w:vAlign w:val="center"/>
                </w:tcPr>
                <w:p w14:paraId="61245215">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900-218-08</w:t>
                  </w:r>
                </w:p>
              </w:tc>
              <w:tc>
                <w:tcPr>
                  <w:tcW w:w="1305" w:type="dxa"/>
                  <w:vAlign w:val="center"/>
                </w:tcPr>
                <w:p w14:paraId="0B79B8A7">
                  <w:pPr>
                    <w:spacing w:line="240" w:lineRule="exact"/>
                    <w:jc w:val="center"/>
                    <w:rPr>
                      <w:rFonts w:hint="eastAsia" w:cs="Times New Roman"/>
                      <w:bCs/>
                      <w:color w:val="000000" w:themeColor="text1"/>
                      <w:sz w:val="21"/>
                      <w:szCs w:val="21"/>
                      <w:lang w:val="en-US" w:eastAsia="zh-CN"/>
                      <w14:textFill>
                        <w14:solidFill>
                          <w14:schemeClr w14:val="tx1"/>
                        </w14:solidFill>
                      </w14:textFill>
                    </w:rPr>
                  </w:pPr>
                  <w:r>
                    <w:rPr>
                      <w:rFonts w:hint="default" w:cs="Times New Roman"/>
                      <w:bCs/>
                      <w:color w:val="000000" w:themeColor="text1"/>
                      <w:sz w:val="21"/>
                      <w:szCs w:val="21"/>
                      <w:lang w:val="en-US" w:eastAsia="zh-CN"/>
                      <w14:textFill>
                        <w14:solidFill>
                          <w14:schemeClr w14:val="tx1"/>
                        </w14:solidFill>
                      </w14:textFill>
                    </w:rPr>
                    <w:t>0.004</w:t>
                  </w:r>
                </w:p>
              </w:tc>
              <w:tc>
                <w:tcPr>
                  <w:tcW w:w="1118" w:type="dxa"/>
                  <w:vAlign w:val="center"/>
                </w:tcPr>
                <w:p w14:paraId="4550E38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T，I</w:t>
                  </w:r>
                </w:p>
              </w:tc>
              <w:tc>
                <w:tcPr>
                  <w:tcW w:w="798" w:type="dxa"/>
                  <w:vMerge w:val="continue"/>
                  <w:vAlign w:val="center"/>
                </w:tcPr>
                <w:p w14:paraId="67CC7E0C">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p>
              </w:tc>
            </w:tr>
            <w:tr w14:paraId="3092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227B9F7">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default"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5</w:t>
                  </w:r>
                </w:p>
              </w:tc>
              <w:tc>
                <w:tcPr>
                  <w:tcW w:w="1335" w:type="dxa"/>
                  <w:vAlign w:val="center"/>
                </w:tcPr>
                <w:p w14:paraId="55E40A52">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default" w:ascii="Times New Roman" w:hAnsi="Times New Roman" w:cs="Times New Roman"/>
                      <w:bCs/>
                      <w:color w:val="auto"/>
                      <w:sz w:val="21"/>
                      <w:szCs w:val="21"/>
                      <w:shd w:val="clear" w:color="auto" w:fill="auto"/>
                      <w:lang w:val="en-US" w:eastAsia="zh-CN"/>
                    </w:rPr>
                    <w:t>废润滑油</w:t>
                  </w:r>
                </w:p>
              </w:tc>
              <w:tc>
                <w:tcPr>
                  <w:tcW w:w="1530" w:type="dxa"/>
                  <w:vAlign w:val="center"/>
                </w:tcPr>
                <w:p w14:paraId="79619C2D">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 xml:space="preserve">HW08 </w:t>
                  </w:r>
                </w:p>
              </w:tc>
              <w:tc>
                <w:tcPr>
                  <w:tcW w:w="1530" w:type="dxa"/>
                  <w:vAlign w:val="center"/>
                </w:tcPr>
                <w:p w14:paraId="0273BF2A">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900-217-08</w:t>
                  </w:r>
                </w:p>
              </w:tc>
              <w:tc>
                <w:tcPr>
                  <w:tcW w:w="1305" w:type="dxa"/>
                  <w:vAlign w:val="center"/>
                </w:tcPr>
                <w:p w14:paraId="0670AE37">
                  <w:pPr>
                    <w:spacing w:line="240" w:lineRule="exact"/>
                    <w:jc w:val="center"/>
                    <w:rPr>
                      <w:rFonts w:hint="eastAsia"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0.12</w:t>
                  </w:r>
                </w:p>
              </w:tc>
              <w:tc>
                <w:tcPr>
                  <w:tcW w:w="1118" w:type="dxa"/>
                  <w:vAlign w:val="center"/>
                </w:tcPr>
                <w:p w14:paraId="60D21D3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T，I</w:t>
                  </w:r>
                </w:p>
              </w:tc>
              <w:tc>
                <w:tcPr>
                  <w:tcW w:w="798" w:type="dxa"/>
                  <w:vMerge w:val="continue"/>
                  <w:vAlign w:val="center"/>
                </w:tcPr>
                <w:p w14:paraId="48767E44">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p>
              </w:tc>
            </w:tr>
            <w:tr w14:paraId="2CEC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5269FAA">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default"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6</w:t>
                  </w:r>
                </w:p>
              </w:tc>
              <w:tc>
                <w:tcPr>
                  <w:tcW w:w="1335" w:type="dxa"/>
                  <w:vAlign w:val="center"/>
                </w:tcPr>
                <w:p w14:paraId="0D5A5DA9">
                  <w:pPr>
                    <w:pStyle w:val="87"/>
                    <w:spacing w:line="280" w:lineRule="exact"/>
                    <w:ind w:firstLine="0" w:firstLineChars="0"/>
                    <w:jc w:val="center"/>
                    <w:rPr>
                      <w:rFonts w:hint="eastAsia" w:ascii="Times New Roman" w:hAnsi="Times New Roman" w:cs="Times New Roman"/>
                      <w:bCs/>
                      <w:color w:val="000000" w:themeColor="text1"/>
                      <w:sz w:val="21"/>
                      <w:szCs w:val="21"/>
                      <w:shd w:val="clear" w:color="auto" w:fill="auto"/>
                      <w:lang w:val="en-US" w:eastAsia="zh-CN"/>
                      <w14:textFill>
                        <w14:solidFill>
                          <w14:schemeClr w14:val="tx1"/>
                        </w14:solidFill>
                      </w14:textFill>
                    </w:rPr>
                  </w:pPr>
                  <w:r>
                    <w:rPr>
                      <w:rFonts w:hint="default" w:ascii="Times New Roman" w:hAnsi="Times New Roman" w:cs="Times New Roman"/>
                      <w:bCs/>
                      <w:color w:val="auto"/>
                      <w:sz w:val="21"/>
                      <w:szCs w:val="21"/>
                      <w:shd w:val="clear" w:color="auto" w:fill="auto"/>
                      <w:lang w:val="en-US" w:eastAsia="zh-CN"/>
                    </w:rPr>
                    <w:t>废油桶</w:t>
                  </w:r>
                </w:p>
              </w:tc>
              <w:tc>
                <w:tcPr>
                  <w:tcW w:w="1530" w:type="dxa"/>
                  <w:vAlign w:val="center"/>
                </w:tcPr>
                <w:p w14:paraId="2901BECB">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 xml:space="preserve">HW08 </w:t>
                  </w:r>
                </w:p>
              </w:tc>
              <w:tc>
                <w:tcPr>
                  <w:tcW w:w="1530" w:type="dxa"/>
                  <w:vAlign w:val="center"/>
                </w:tcPr>
                <w:p w14:paraId="77E6D563">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900-249-08</w:t>
                  </w:r>
                </w:p>
              </w:tc>
              <w:tc>
                <w:tcPr>
                  <w:tcW w:w="1305" w:type="dxa"/>
                  <w:vAlign w:val="center"/>
                </w:tcPr>
                <w:p w14:paraId="335B2E0D">
                  <w:pPr>
                    <w:spacing w:line="240" w:lineRule="exact"/>
                    <w:jc w:val="center"/>
                    <w:rPr>
                      <w:rFonts w:hint="eastAsia" w:cs="Times New Roman"/>
                      <w:bCs/>
                      <w:color w:val="000000" w:themeColor="text1"/>
                      <w:sz w:val="21"/>
                      <w:szCs w:val="21"/>
                      <w:lang w:val="en-US" w:eastAsia="zh-CN"/>
                      <w14:textFill>
                        <w14:solidFill>
                          <w14:schemeClr w14:val="tx1"/>
                        </w14:solidFill>
                      </w14:textFill>
                    </w:rPr>
                  </w:pPr>
                  <w:r>
                    <w:rPr>
                      <w:rFonts w:hint="default" w:cs="Times New Roman"/>
                      <w:bCs/>
                      <w:color w:val="000000" w:themeColor="text1"/>
                      <w:sz w:val="21"/>
                      <w:szCs w:val="21"/>
                      <w:lang w:val="en-US" w:eastAsia="zh-CN"/>
                      <w14:textFill>
                        <w14:solidFill>
                          <w14:schemeClr w14:val="tx1"/>
                        </w14:solidFill>
                      </w14:textFill>
                    </w:rPr>
                    <w:t>0.0</w:t>
                  </w:r>
                  <w:r>
                    <w:rPr>
                      <w:rFonts w:hint="eastAsia" w:cs="Times New Roman"/>
                      <w:bCs/>
                      <w:color w:val="000000" w:themeColor="text1"/>
                      <w:sz w:val="21"/>
                      <w:szCs w:val="21"/>
                      <w:lang w:val="en-US" w:eastAsia="zh-CN"/>
                      <w14:textFill>
                        <w14:solidFill>
                          <w14:schemeClr w14:val="tx1"/>
                        </w14:solidFill>
                      </w14:textFill>
                    </w:rPr>
                    <w:t>3</w:t>
                  </w:r>
                </w:p>
              </w:tc>
              <w:tc>
                <w:tcPr>
                  <w:tcW w:w="1118" w:type="dxa"/>
                  <w:vAlign w:val="center"/>
                </w:tcPr>
                <w:p w14:paraId="72403A5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T，I</w:t>
                  </w:r>
                </w:p>
              </w:tc>
              <w:tc>
                <w:tcPr>
                  <w:tcW w:w="798" w:type="dxa"/>
                  <w:vMerge w:val="continue"/>
                  <w:vAlign w:val="center"/>
                </w:tcPr>
                <w:p w14:paraId="517FE77D">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p>
              </w:tc>
            </w:tr>
            <w:tr w14:paraId="2FB1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4F027E1">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default"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7</w:t>
                  </w:r>
                </w:p>
              </w:tc>
              <w:tc>
                <w:tcPr>
                  <w:tcW w:w="1335" w:type="dxa"/>
                  <w:vAlign w:val="center"/>
                </w:tcPr>
                <w:p w14:paraId="52BB0EEE">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default" w:ascii="Times New Roman" w:hAnsi="Times New Roman" w:cs="Times New Roman"/>
                      <w:bCs/>
                      <w:color w:val="auto"/>
                      <w:sz w:val="21"/>
                      <w:szCs w:val="21"/>
                      <w:shd w:val="clear" w:color="auto" w:fill="auto"/>
                      <w:lang w:val="en-US" w:eastAsia="zh-CN"/>
                    </w:rPr>
                    <w:t>废含油抹布</w:t>
                  </w:r>
                </w:p>
              </w:tc>
              <w:tc>
                <w:tcPr>
                  <w:tcW w:w="1530" w:type="dxa"/>
                  <w:vAlign w:val="center"/>
                </w:tcPr>
                <w:p w14:paraId="314F41CD">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HW49</w:t>
                  </w:r>
                </w:p>
              </w:tc>
              <w:tc>
                <w:tcPr>
                  <w:tcW w:w="1530" w:type="dxa"/>
                  <w:vAlign w:val="center"/>
                </w:tcPr>
                <w:p w14:paraId="6D7DA8B1">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900-041-49</w:t>
                  </w:r>
                </w:p>
              </w:tc>
              <w:tc>
                <w:tcPr>
                  <w:tcW w:w="1305" w:type="dxa"/>
                  <w:vAlign w:val="center"/>
                </w:tcPr>
                <w:p w14:paraId="574A748E">
                  <w:pPr>
                    <w:spacing w:line="240" w:lineRule="exact"/>
                    <w:jc w:val="center"/>
                    <w:rPr>
                      <w:rFonts w:hint="eastAsia"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0.012</w:t>
                  </w:r>
                </w:p>
              </w:tc>
              <w:tc>
                <w:tcPr>
                  <w:tcW w:w="1118" w:type="dxa"/>
                  <w:vAlign w:val="center"/>
                </w:tcPr>
                <w:p w14:paraId="3228D07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T/In</w:t>
                  </w:r>
                </w:p>
              </w:tc>
              <w:tc>
                <w:tcPr>
                  <w:tcW w:w="798" w:type="dxa"/>
                  <w:vMerge w:val="continue"/>
                  <w:vAlign w:val="center"/>
                </w:tcPr>
                <w:p w14:paraId="5AD8FF33">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p>
              </w:tc>
            </w:tr>
          </w:tbl>
          <w:p w14:paraId="5F46FB27">
            <w:pPr>
              <w:pStyle w:val="9"/>
              <w:keepNext w:val="0"/>
              <w:keepLines w:val="0"/>
              <w:pageBreakBefore w:val="0"/>
              <w:widowControl w:val="0"/>
              <w:tabs>
                <w:tab w:val="left" w:pos="309"/>
              </w:tabs>
              <w:kinsoku/>
              <w:wordWrap/>
              <w:overflowPunct/>
              <w:topLinePunct w:val="0"/>
              <w:autoSpaceDE/>
              <w:autoSpaceDN/>
              <w:bidi w:val="0"/>
              <w:adjustRightInd/>
              <w:snapToGrid/>
              <w:spacing w:line="320" w:lineRule="exact"/>
              <w:textAlignment w:val="auto"/>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注：毒性（Toxicity, T）、易燃性（Ignitability, I）和感染性（Infectivity, In）。</w:t>
            </w:r>
          </w:p>
          <w:p w14:paraId="4784D3DA">
            <w:pPr>
              <w:pStyle w:val="9"/>
              <w:pageBreakBefore w:val="0"/>
              <w:widowControl w:val="0"/>
              <w:tabs>
                <w:tab w:val="left" w:pos="309"/>
              </w:tabs>
              <w:kinsoku/>
              <w:wordWrap/>
              <w:overflowPunct/>
              <w:topLinePunct w:val="0"/>
              <w:autoSpaceDE/>
              <w:autoSpaceDN/>
              <w:bidi w:val="0"/>
              <w:adjustRightInd/>
              <w:snapToGrid/>
              <w:spacing w:line="500" w:lineRule="exact"/>
              <w:rPr>
                <w:rFonts w:hint="eastAsia" w:cs="Times New Roman"/>
                <w:b w:val="0"/>
                <w:bCs w:val="0"/>
                <w:color w:val="auto"/>
                <w:sz w:val="24"/>
                <w:lang w:val="en-US" w:eastAsia="zh-CN"/>
              </w:rPr>
            </w:pPr>
            <w:r>
              <w:rPr>
                <w:rFonts w:hint="eastAsia" w:cs="Times New Roman"/>
                <w:b w:val="0"/>
                <w:bCs w:val="0"/>
                <w:color w:val="auto"/>
                <w:sz w:val="24"/>
                <w:lang w:val="en-US" w:eastAsia="zh-CN"/>
              </w:rPr>
              <w:t>②厂内运输过程中环境影响分析</w:t>
            </w:r>
          </w:p>
          <w:p w14:paraId="5580FB9C">
            <w:pPr>
              <w:pStyle w:val="9"/>
              <w:pageBreakBefore w:val="0"/>
              <w:widowControl w:val="0"/>
              <w:tabs>
                <w:tab w:val="center" w:pos="4157"/>
              </w:tabs>
              <w:kinsoku/>
              <w:wordWrap/>
              <w:overflowPunct/>
              <w:topLinePunct w:val="0"/>
              <w:autoSpaceDE/>
              <w:autoSpaceDN/>
              <w:bidi w:val="0"/>
              <w:adjustRightInd/>
              <w:snapToGrid/>
              <w:spacing w:line="500" w:lineRule="exact"/>
              <w:rPr>
                <w:rFonts w:hint="eastAsia" w:cs="Times New Roman"/>
                <w:b w:val="0"/>
                <w:bCs w:val="0"/>
                <w:color w:val="auto"/>
                <w:sz w:val="24"/>
                <w:lang w:val="en-US" w:eastAsia="zh-CN"/>
              </w:rPr>
            </w:pPr>
            <w:r>
              <w:rPr>
                <w:rFonts w:hint="eastAsia" w:cs="Times New Roman"/>
                <w:b w:val="0"/>
                <w:bCs w:val="0"/>
                <w:color w:val="auto"/>
                <w:sz w:val="24"/>
                <w:lang w:val="en-US" w:eastAsia="zh-CN"/>
              </w:rPr>
              <w:t>项目实施后按照《危险废物收集 贮存 运输技术规范》（HJ2025-2012）的要求进行危险废物的厂内运输，产生的危险废物经专用容器收集后运至厂区危废暂存间。危险废物运输过程中全部采用密闭容器储存，运输道路较短，且路线不经过办公区等人员密集区，转运结束后及时对转运路线进行检查和清理，确保无危险废物散落或泄漏在转运路线上。危险废物运输过程中全部采用密闭容器储存，正常情况下不会发生散落或泄漏，同时项目生产车间、厂区道路均进行硬化，可有效阻止泄漏后危险废物的下渗，因此危险废物在运输过程中发生散落或泄漏时，及时清理，不会对周边环境产生明显影响。</w:t>
            </w:r>
          </w:p>
          <w:p w14:paraId="5132D067">
            <w:pPr>
              <w:pStyle w:val="9"/>
              <w:pageBreakBefore w:val="0"/>
              <w:widowControl w:val="0"/>
              <w:tabs>
                <w:tab w:val="center" w:pos="4157"/>
              </w:tabs>
              <w:kinsoku/>
              <w:wordWrap/>
              <w:overflowPunct/>
              <w:topLinePunct w:val="0"/>
              <w:autoSpaceDE/>
              <w:autoSpaceDN/>
              <w:bidi w:val="0"/>
              <w:adjustRightInd/>
              <w:snapToGrid/>
              <w:spacing w:line="500" w:lineRule="exact"/>
              <w:rPr>
                <w:rFonts w:hint="default" w:ascii="Times New Roman" w:hAnsi="Times New Roman" w:eastAsia="宋体" w:cs="Times New Roman"/>
                <w:b w:val="0"/>
                <w:bCs w:val="0"/>
                <w:color w:val="auto"/>
                <w:sz w:val="24"/>
                <w:lang w:val="en-US" w:eastAsia="zh-CN"/>
              </w:rPr>
            </w:pPr>
            <w:r>
              <w:rPr>
                <w:rFonts w:hint="eastAsia" w:cs="Times New Roman"/>
                <w:b w:val="0"/>
                <w:bCs w:val="0"/>
                <w:color w:val="auto"/>
                <w:sz w:val="24"/>
                <w:lang w:val="en-US" w:eastAsia="zh-CN"/>
              </w:rPr>
              <w:t>③委托处置环境影响分析</w:t>
            </w:r>
          </w:p>
          <w:p w14:paraId="6B0EE926">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jc w:val="both"/>
              <w:textAlignment w:val="baseline"/>
              <w:outlineLvl w:val="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本项目环评阶段危险废物暂未委托利用或者处置单位，建议项目投入运行后选择项目周边有资质、有处置能力的危险废物处置单位就近处置，减少危险废物转移、运输过程的环境风险和运输沿线环境敏感保护目标的影响。本评价对后续危险废物的意向处置单位提出处置能力、资质类别等要求如下：</w:t>
            </w:r>
          </w:p>
          <w:p w14:paraId="39B9F3DC">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jc w:val="both"/>
              <w:textAlignment w:val="baseline"/>
              <w:outlineLvl w:val="0"/>
              <w:rPr>
                <w:rFonts w:hint="default" w:ascii="Times New Roman" w:hAnsi="Times New Roman" w:eastAsia="宋体" w:cs="Times New Roman"/>
                <w:b w:val="0"/>
                <w:bCs w:val="0"/>
                <w:color w:val="auto"/>
                <w:sz w:val="24"/>
                <w:szCs w:val="24"/>
              </w:rPr>
            </w:pPr>
            <w:r>
              <w:rPr>
                <w:rFonts w:hint="eastAsia" w:ascii="Times New Roman" w:hAnsi="Times New Roman" w:eastAsia="宋体" w:cs="Times New Roman"/>
                <w:snapToGrid w:val="0"/>
                <w:color w:val="auto"/>
                <w:kern w:val="24"/>
                <w:sz w:val="24"/>
                <w:szCs w:val="24"/>
                <w:lang w:val="en-US" w:eastAsia="zh-CN"/>
              </w:rPr>
              <w:t>a</w:t>
            </w:r>
            <w:r>
              <w:rPr>
                <w:rFonts w:hint="default" w:ascii="Times New Roman" w:hAnsi="Times New Roman" w:eastAsia="宋体" w:cs="Times New Roman"/>
                <w:b w:val="0"/>
                <w:bCs w:val="0"/>
                <w:color w:val="auto"/>
                <w:sz w:val="24"/>
                <w:szCs w:val="24"/>
              </w:rPr>
              <w:t>委托处置单位应取得危险废物经营许可证，其经营方式应包括危险废物收集、贮存、处置综合经营许可证。</w:t>
            </w:r>
          </w:p>
          <w:p w14:paraId="3FD64A6A">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jc w:val="both"/>
              <w:textAlignment w:val="baseline"/>
              <w:outlineLvl w:val="0"/>
              <w:rPr>
                <w:rFonts w:hint="default" w:ascii="Times New Roman" w:hAnsi="Times New Roman" w:eastAsia="宋体" w:cs="Times New Roman"/>
                <w:b w:val="0"/>
                <w:bCs w:val="0"/>
                <w:color w:val="auto"/>
                <w:sz w:val="24"/>
                <w:szCs w:val="24"/>
              </w:rPr>
            </w:pPr>
            <w:r>
              <w:rPr>
                <w:rFonts w:hint="eastAsia" w:ascii="Times New Roman" w:hAnsi="Times New Roman" w:eastAsia="宋体" w:cs="Times New Roman"/>
                <w:snapToGrid w:val="0"/>
                <w:color w:val="auto"/>
                <w:kern w:val="24"/>
                <w:sz w:val="24"/>
                <w:szCs w:val="24"/>
                <w:lang w:val="en-US" w:eastAsia="zh-CN"/>
              </w:rPr>
              <w:t>b</w:t>
            </w:r>
            <w:r>
              <w:rPr>
                <w:rFonts w:hint="default" w:ascii="Times New Roman" w:hAnsi="Times New Roman" w:eastAsia="宋体" w:cs="Times New Roman"/>
                <w:b w:val="0"/>
                <w:bCs w:val="0"/>
                <w:color w:val="auto"/>
                <w:sz w:val="24"/>
                <w:szCs w:val="24"/>
              </w:rPr>
              <w:t>经营的危险废物类别应包括：HW08废矿物油与含矿物油废物，HW49其他废物，与所经营的危险废物类别相适应的处置技术和工艺。</w:t>
            </w:r>
          </w:p>
          <w:p w14:paraId="0F4178E9">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jc w:val="both"/>
              <w:textAlignment w:val="baseline"/>
              <w:outlineLvl w:val="0"/>
              <w:rPr>
                <w:rFonts w:hint="default" w:ascii="Times New Roman" w:hAnsi="Times New Roman" w:eastAsia="宋体" w:cs="Times New Roman"/>
                <w:b w:val="0"/>
                <w:bCs w:val="0"/>
                <w:color w:val="auto"/>
                <w:sz w:val="24"/>
                <w:szCs w:val="24"/>
              </w:rPr>
            </w:pPr>
            <w:r>
              <w:rPr>
                <w:rFonts w:hint="eastAsia" w:ascii="Times New Roman" w:hAnsi="Times New Roman" w:eastAsia="宋体" w:cs="Times New Roman"/>
                <w:snapToGrid w:val="0"/>
                <w:color w:val="auto"/>
                <w:kern w:val="24"/>
                <w:sz w:val="24"/>
                <w:szCs w:val="24"/>
                <w:lang w:val="en-US" w:eastAsia="zh-CN"/>
              </w:rPr>
              <w:t>c</w:t>
            </w:r>
            <w:r>
              <w:rPr>
                <w:rFonts w:hint="default" w:ascii="Times New Roman" w:hAnsi="Times New Roman" w:eastAsia="宋体" w:cs="Times New Roman"/>
                <w:b w:val="0"/>
                <w:bCs w:val="0"/>
                <w:color w:val="auto"/>
                <w:sz w:val="24"/>
                <w:szCs w:val="24"/>
              </w:rPr>
              <w:t>经营规模有余量处置本项目产生的危险废物。</w:t>
            </w:r>
          </w:p>
          <w:p w14:paraId="24D39B0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cs="Times New Roman"/>
                <w:b w:val="0"/>
                <w:bCs w:val="0"/>
                <w:color w:val="auto"/>
                <w:sz w:val="24"/>
              </w:rPr>
            </w:pPr>
            <w:r>
              <w:rPr>
                <w:rFonts w:hint="eastAsia" w:cs="Times New Roman"/>
                <w:b w:val="0"/>
                <w:bCs w:val="0"/>
                <w:color w:val="auto"/>
                <w:sz w:val="24"/>
                <w:lang w:val="en-US" w:eastAsia="zh-CN"/>
              </w:rPr>
              <w:t>2</w:t>
            </w:r>
            <w:r>
              <w:rPr>
                <w:rFonts w:hint="default" w:ascii="Times New Roman" w:hAnsi="Times New Roman" w:cs="Times New Roman"/>
                <w:b w:val="0"/>
                <w:bCs w:val="0"/>
                <w:color w:val="auto"/>
                <w:sz w:val="24"/>
              </w:rPr>
              <w:t>）环境管理要求</w:t>
            </w:r>
          </w:p>
          <w:p w14:paraId="21EEBA1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Times New Roman" w:hAnsi="Times New Roman" w:eastAsia="宋体" w:cs="Times New Roman"/>
                <w:b w:val="0"/>
                <w:bCs w:val="0"/>
                <w:color w:val="auto"/>
                <w:sz w:val="24"/>
                <w:lang w:val="en-US" w:eastAsia="zh-CN"/>
              </w:rPr>
            </w:pPr>
            <w:r>
              <w:rPr>
                <w:rFonts w:hint="eastAsia" w:cs="Times New Roman"/>
                <w:b w:val="0"/>
                <w:bCs w:val="0"/>
                <w:color w:val="auto"/>
                <w:sz w:val="24"/>
                <w:lang w:val="en-US" w:eastAsia="zh-CN"/>
              </w:rPr>
              <w:t>贮存管理要求：</w:t>
            </w:r>
          </w:p>
          <w:p w14:paraId="1F9A801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cs="Times New Roman"/>
                <w:b w:val="0"/>
                <w:bCs w:val="0"/>
                <w:color w:val="auto"/>
                <w:sz w:val="24"/>
              </w:rPr>
            </w:pPr>
            <w:r>
              <w:rPr>
                <w:rFonts w:hint="eastAsia" w:cs="Times New Roman"/>
                <w:b w:val="0"/>
                <w:bCs w:val="0"/>
                <w:color w:val="auto"/>
                <w:sz w:val="24"/>
                <w:lang w:val="en-US" w:eastAsia="zh-CN"/>
              </w:rPr>
              <w:t>a</w:t>
            </w:r>
            <w:r>
              <w:rPr>
                <w:rFonts w:hint="default" w:ascii="Times New Roman" w:hAnsi="Times New Roman" w:cs="Times New Roman"/>
                <w:b w:val="0"/>
                <w:bCs w:val="0"/>
                <w:color w:val="auto"/>
                <w:sz w:val="24"/>
              </w:rPr>
              <w:t xml:space="preserve">贮存设施应根据危险废物的形态、物理化学性质、包装形式和污染物迁移途径，采取必要的防风、防晒、防雨、防漏、防渗、防腐以及其他环境污染防治措施，不应露天堆放危险废物。 </w:t>
            </w:r>
          </w:p>
          <w:p w14:paraId="6D89352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cs="Times New Roman"/>
                <w:b w:val="0"/>
                <w:bCs w:val="0"/>
                <w:color w:val="auto"/>
                <w:sz w:val="24"/>
              </w:rPr>
            </w:pPr>
            <w:r>
              <w:rPr>
                <w:rFonts w:hint="eastAsia" w:cs="Times New Roman"/>
                <w:b w:val="0"/>
                <w:bCs w:val="0"/>
                <w:color w:val="auto"/>
                <w:sz w:val="24"/>
                <w:lang w:val="en-US" w:eastAsia="zh-CN"/>
              </w:rPr>
              <w:t>b</w:t>
            </w:r>
            <w:r>
              <w:rPr>
                <w:rFonts w:hint="default" w:ascii="Times New Roman" w:hAnsi="Times New Roman" w:cs="Times New Roman"/>
                <w:b w:val="0"/>
                <w:bCs w:val="0"/>
                <w:color w:val="auto"/>
                <w:sz w:val="24"/>
              </w:rPr>
              <w:t xml:space="preserve">贮存设施应根据危险废物的类别、数量、形态、物理化学性质和污染防治等要求设置必要的贮存分区，避免不相容的危险废物接触、混合。 </w:t>
            </w:r>
          </w:p>
          <w:p w14:paraId="2AF772F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cs="Times New Roman"/>
                <w:b w:val="0"/>
                <w:bCs w:val="0"/>
                <w:color w:val="auto"/>
                <w:sz w:val="24"/>
              </w:rPr>
            </w:pPr>
            <w:r>
              <w:rPr>
                <w:rFonts w:hint="eastAsia" w:cs="Times New Roman"/>
                <w:b w:val="0"/>
                <w:bCs w:val="0"/>
                <w:color w:val="auto"/>
                <w:sz w:val="24"/>
                <w:lang w:val="en-US" w:eastAsia="zh-CN"/>
              </w:rPr>
              <w:t>c</w:t>
            </w:r>
            <w:r>
              <w:rPr>
                <w:rFonts w:hint="default" w:ascii="Times New Roman" w:hAnsi="Times New Roman" w:cs="Times New Roman"/>
                <w:b w:val="0"/>
                <w:bCs w:val="0"/>
                <w:color w:val="auto"/>
                <w:sz w:val="24"/>
              </w:rPr>
              <w:t xml:space="preserve">贮存设施或贮存分区内地面、墙面裙脚、堵截泄漏的围堰、接触危险废物的隔板和墙体等应采用坚固的材料建造，表面无裂缝。 </w:t>
            </w:r>
          </w:p>
          <w:p w14:paraId="5BDFE0B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cs="Times New Roman"/>
                <w:b w:val="0"/>
                <w:bCs w:val="0"/>
                <w:color w:val="auto"/>
                <w:sz w:val="24"/>
              </w:rPr>
            </w:pPr>
            <w:r>
              <w:rPr>
                <w:rFonts w:hint="eastAsia" w:cs="Times New Roman"/>
                <w:b w:val="0"/>
                <w:bCs w:val="0"/>
                <w:color w:val="auto"/>
                <w:sz w:val="24"/>
                <w:lang w:val="en-US" w:eastAsia="zh-CN"/>
              </w:rPr>
              <w:t>d</w:t>
            </w:r>
            <w:r>
              <w:rPr>
                <w:rFonts w:hint="default" w:ascii="Times New Roman" w:hAnsi="Times New Roman" w:cs="Times New Roman"/>
                <w:b w:val="0"/>
                <w:bCs w:val="0"/>
                <w:color w:val="auto"/>
                <w:sz w:val="24"/>
              </w:rPr>
              <w:t>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m厚黏土层（渗透系数不大于10</w:t>
            </w:r>
            <w:r>
              <w:rPr>
                <w:rFonts w:hint="default" w:ascii="Times New Roman" w:hAnsi="Times New Roman" w:cs="Times New Roman"/>
                <w:b w:val="0"/>
                <w:bCs w:val="0"/>
                <w:color w:val="auto"/>
                <w:sz w:val="24"/>
                <w:vertAlign w:val="superscript"/>
              </w:rPr>
              <w:t>-7</w:t>
            </w:r>
            <w:r>
              <w:rPr>
                <w:rFonts w:hint="default" w:ascii="Times New Roman" w:hAnsi="Times New Roman" w:cs="Times New Roman"/>
                <w:b w:val="0"/>
                <w:bCs w:val="0"/>
                <w:color w:val="auto"/>
                <w:sz w:val="24"/>
              </w:rPr>
              <w:t>cm/s），或至少2mm厚高密度聚乙烯膜等人工防渗材料（渗透系数不大于10</w:t>
            </w:r>
            <w:r>
              <w:rPr>
                <w:rFonts w:hint="default" w:ascii="Times New Roman" w:hAnsi="Times New Roman" w:cs="Times New Roman"/>
                <w:b w:val="0"/>
                <w:bCs w:val="0"/>
                <w:color w:val="auto"/>
                <w:sz w:val="24"/>
                <w:vertAlign w:val="superscript"/>
              </w:rPr>
              <w:t>-10</w:t>
            </w:r>
            <w:r>
              <w:rPr>
                <w:rFonts w:hint="default" w:ascii="Times New Roman" w:hAnsi="Times New Roman" w:cs="Times New Roman"/>
                <w:b w:val="0"/>
                <w:bCs w:val="0"/>
                <w:color w:val="auto"/>
                <w:sz w:val="24"/>
              </w:rPr>
              <w:t xml:space="preserve">cm/s），或其他防渗性能等效的材料。 </w:t>
            </w:r>
          </w:p>
          <w:p w14:paraId="5D1811D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cs="Times New Roman"/>
                <w:b w:val="0"/>
                <w:bCs w:val="0"/>
                <w:color w:val="auto"/>
                <w:sz w:val="24"/>
              </w:rPr>
            </w:pPr>
            <w:r>
              <w:rPr>
                <w:rFonts w:hint="eastAsia" w:cs="Times New Roman"/>
                <w:b w:val="0"/>
                <w:bCs w:val="0"/>
                <w:color w:val="auto"/>
                <w:sz w:val="24"/>
                <w:lang w:val="en-US" w:eastAsia="zh-CN"/>
              </w:rPr>
              <w:t>e</w:t>
            </w:r>
            <w:r>
              <w:rPr>
                <w:rFonts w:hint="default" w:ascii="Times New Roman" w:hAnsi="Times New Roman" w:cs="Times New Roman"/>
                <w:b w:val="0"/>
                <w:bCs w:val="0"/>
                <w:color w:val="auto"/>
                <w:sz w:val="24"/>
              </w:rPr>
              <w:t xml:space="preserve">同一贮存设施宜采用相同的防渗、防腐工艺（包括防渗、防腐结构或材料），防渗、防腐材料 应覆盖所有可能与废物及其渗滤液、渗漏液等接触的构筑物表面；采用不同防渗、防腐工艺应分别建设贮存分区。 </w:t>
            </w:r>
          </w:p>
          <w:p w14:paraId="537A081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Times New Roman" w:hAnsi="Times New Roman" w:eastAsia="宋体" w:cs="Times New Roman"/>
                <w:b w:val="0"/>
                <w:bCs w:val="0"/>
                <w:color w:val="auto"/>
                <w:sz w:val="24"/>
                <w:lang w:val="en-US" w:eastAsia="zh-CN"/>
              </w:rPr>
            </w:pPr>
            <w:r>
              <w:rPr>
                <w:rFonts w:hint="eastAsia" w:cs="Times New Roman"/>
                <w:b w:val="0"/>
                <w:bCs w:val="0"/>
                <w:color w:val="auto"/>
                <w:sz w:val="24"/>
                <w:lang w:val="en-US" w:eastAsia="zh-CN"/>
              </w:rPr>
              <w:t>f</w:t>
            </w:r>
            <w:r>
              <w:rPr>
                <w:rFonts w:hint="default" w:ascii="Times New Roman" w:hAnsi="Times New Roman" w:cs="Times New Roman"/>
                <w:b w:val="0"/>
                <w:bCs w:val="0"/>
                <w:color w:val="auto"/>
                <w:sz w:val="24"/>
              </w:rPr>
              <w:t>贮存设施应采取技术和管理措施防止无关人员进入</w:t>
            </w:r>
            <w:r>
              <w:rPr>
                <w:rFonts w:hint="eastAsia" w:cs="Times New Roman"/>
                <w:b w:val="0"/>
                <w:bCs w:val="0"/>
                <w:color w:val="auto"/>
                <w:sz w:val="24"/>
                <w:lang w:eastAsia="zh-CN"/>
              </w:rPr>
              <w:t>。</w:t>
            </w:r>
          </w:p>
          <w:p w14:paraId="4E0A96E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Times New Roman" w:hAnsi="Times New Roman" w:eastAsia="宋体" w:cs="Times New Roman"/>
                <w:b w:val="0"/>
                <w:bCs w:val="0"/>
                <w:color w:val="auto"/>
                <w:sz w:val="24"/>
                <w:lang w:val="en-US" w:eastAsia="zh-CN"/>
              </w:rPr>
            </w:pPr>
            <w:r>
              <w:rPr>
                <w:rFonts w:hint="eastAsia" w:cs="Times New Roman"/>
                <w:b w:val="0"/>
                <w:bCs w:val="0"/>
                <w:color w:val="auto"/>
                <w:sz w:val="24"/>
                <w:lang w:val="en-US" w:eastAsia="zh-CN"/>
              </w:rPr>
              <w:t>g贮存分区应设置具有液体泄漏堵截设施。</w:t>
            </w:r>
          </w:p>
          <w:p w14:paraId="1B0A849B">
            <w:pPr>
              <w:pStyle w:val="7"/>
              <w:keepNext/>
              <w:keepLines/>
              <w:pageBreakBefore w:val="0"/>
              <w:widowControl w:val="0"/>
              <w:kinsoku/>
              <w:wordWrap/>
              <w:overflowPunct/>
              <w:topLinePunct w:val="0"/>
              <w:autoSpaceDE/>
              <w:autoSpaceDN/>
              <w:bidi w:val="0"/>
              <w:adjustRightInd/>
              <w:snapToGrid/>
              <w:spacing w:before="0" w:after="0" w:line="500" w:lineRule="exact"/>
              <w:ind w:firstLine="480" w:firstLineChars="200"/>
              <w:textAlignment w:val="baseline"/>
              <w:rPr>
                <w:rFonts w:hint="default" w:ascii="Times New Roman" w:hAnsi="Times New Roman" w:eastAsia="宋体" w:cs="Times New Roman"/>
                <w:snapToGrid w:val="0"/>
                <w:color w:val="auto"/>
                <w:kern w:val="24"/>
                <w:sz w:val="24"/>
                <w:szCs w:val="24"/>
                <w:lang w:val="en-US" w:eastAsia="zh-CN"/>
              </w:rPr>
            </w:pPr>
            <w:r>
              <w:rPr>
                <w:rFonts w:hint="eastAsia" w:ascii="Times New Roman" w:hAnsi="Times New Roman" w:eastAsia="宋体" w:cs="Times New Roman"/>
                <w:snapToGrid w:val="0"/>
                <w:color w:val="auto"/>
                <w:kern w:val="24"/>
                <w:sz w:val="24"/>
                <w:szCs w:val="24"/>
                <w:lang w:val="en-US" w:eastAsia="zh-CN"/>
              </w:rPr>
              <w:t>运输过程管理要求：</w:t>
            </w:r>
          </w:p>
          <w:p w14:paraId="1FCD7311">
            <w:pPr>
              <w:pStyle w:val="7"/>
              <w:keepNext/>
              <w:keepLines/>
              <w:pageBreakBefore w:val="0"/>
              <w:widowControl w:val="0"/>
              <w:kinsoku/>
              <w:wordWrap/>
              <w:overflowPunct/>
              <w:topLinePunct w:val="0"/>
              <w:autoSpaceDE/>
              <w:autoSpaceDN/>
              <w:bidi w:val="0"/>
              <w:adjustRightInd/>
              <w:snapToGrid/>
              <w:spacing w:before="0" w:after="0" w:line="500" w:lineRule="exact"/>
              <w:ind w:firstLine="480" w:firstLineChars="200"/>
              <w:textAlignment w:val="baseline"/>
              <w:rPr>
                <w:rFonts w:hint="eastAsia" w:ascii="Times New Roman" w:hAnsi="Times New Roman" w:eastAsia="宋体" w:cs="Times New Roman"/>
                <w:snapToGrid w:val="0"/>
                <w:color w:val="auto"/>
                <w:kern w:val="24"/>
                <w:sz w:val="24"/>
                <w:szCs w:val="24"/>
                <w:lang w:val="en-US" w:eastAsia="zh-CN"/>
              </w:rPr>
            </w:pPr>
            <w:r>
              <w:rPr>
                <w:rFonts w:hint="eastAsia" w:ascii="Times New Roman" w:hAnsi="Times New Roman" w:eastAsia="宋体" w:cs="Times New Roman"/>
                <w:snapToGrid w:val="0"/>
                <w:color w:val="000000" w:themeColor="text1"/>
                <w:kern w:val="24"/>
                <w:sz w:val="24"/>
                <w:szCs w:val="24"/>
                <w:lang w:val="en-US" w:eastAsia="zh-CN"/>
                <w14:textFill>
                  <w14:solidFill>
                    <w14:schemeClr w14:val="tx1"/>
                  </w14:solidFill>
                </w14:textFill>
              </w:rPr>
              <w:t>在转移危险废物前，报批危险废物转移计划，申请领取联单。在转移前三日内报告当地生态环境局，并同时将预期到达时间报告接收地生态环境局。每转移一次同类危险废物，填写一份联单。每次有多类危险废物时，分别填写联单，并加盖公章。交付运输单位核实验收签字后，将联单第一联副联自留存档，将联单第二联交当地生态环境局</w:t>
            </w:r>
            <w:r>
              <w:rPr>
                <w:rFonts w:hint="eastAsia" w:ascii="Times New Roman" w:hAnsi="Times New Roman" w:eastAsia="宋体" w:cs="Times New Roman"/>
                <w:snapToGrid w:val="0"/>
                <w:color w:val="auto"/>
                <w:kern w:val="24"/>
                <w:sz w:val="24"/>
                <w:szCs w:val="24"/>
                <w:lang w:val="en-US" w:eastAsia="zh-CN"/>
              </w:rPr>
              <w:t>。</w:t>
            </w:r>
          </w:p>
          <w:p w14:paraId="19349265">
            <w:pPr>
              <w:pStyle w:val="7"/>
              <w:keepNext/>
              <w:keepLines/>
              <w:pageBreakBefore w:val="0"/>
              <w:widowControl w:val="0"/>
              <w:kinsoku/>
              <w:wordWrap/>
              <w:overflowPunct/>
              <w:topLinePunct w:val="0"/>
              <w:autoSpaceDE/>
              <w:autoSpaceDN/>
              <w:bidi w:val="0"/>
              <w:adjustRightInd/>
              <w:snapToGrid/>
              <w:spacing w:before="0" w:after="0" w:line="500" w:lineRule="exact"/>
              <w:ind w:firstLine="480" w:firstLineChars="200"/>
              <w:textAlignment w:val="baseline"/>
              <w:rPr>
                <w:rFonts w:hint="eastAsia" w:ascii="Times New Roman" w:hAnsi="Times New Roman" w:eastAsia="宋体" w:cs="Times New Roman"/>
                <w:snapToGrid w:val="0"/>
                <w:color w:val="auto"/>
                <w:kern w:val="24"/>
                <w:sz w:val="24"/>
                <w:szCs w:val="24"/>
                <w:lang w:val="en-US" w:eastAsia="zh-CN"/>
              </w:rPr>
            </w:pPr>
            <w:r>
              <w:rPr>
                <w:rFonts w:hint="eastAsia" w:ascii="Times New Roman" w:hAnsi="Times New Roman" w:eastAsia="宋体" w:cs="Times New Roman"/>
                <w:snapToGrid w:val="0"/>
                <w:color w:val="auto"/>
                <w:kern w:val="24"/>
                <w:sz w:val="24"/>
                <w:szCs w:val="24"/>
                <w:lang w:val="en-US" w:eastAsia="zh-CN"/>
              </w:rPr>
              <w:t>危废外运时，公司应当向当地生态环境局提交下列材料：</w:t>
            </w:r>
          </w:p>
          <w:p w14:paraId="0B3B98E4">
            <w:pPr>
              <w:pStyle w:val="7"/>
              <w:keepNext/>
              <w:keepLines/>
              <w:pageBreakBefore w:val="0"/>
              <w:widowControl w:val="0"/>
              <w:kinsoku/>
              <w:wordWrap/>
              <w:overflowPunct/>
              <w:topLinePunct w:val="0"/>
              <w:autoSpaceDE/>
              <w:autoSpaceDN/>
              <w:bidi w:val="0"/>
              <w:adjustRightInd/>
              <w:snapToGrid/>
              <w:spacing w:before="0" w:after="0" w:line="500" w:lineRule="exact"/>
              <w:ind w:firstLine="480" w:firstLineChars="200"/>
              <w:textAlignment w:val="baseline"/>
              <w:rPr>
                <w:rFonts w:hint="default" w:ascii="Times New Roman" w:hAnsi="Times New Roman" w:eastAsia="宋体" w:cs="Times New Roman"/>
                <w:snapToGrid w:val="0"/>
                <w:color w:val="auto"/>
                <w:kern w:val="24"/>
                <w:sz w:val="24"/>
                <w:szCs w:val="24"/>
                <w:lang w:val="en-US" w:eastAsia="zh-CN"/>
              </w:rPr>
            </w:pPr>
            <w:r>
              <w:rPr>
                <w:rFonts w:hint="eastAsia" w:ascii="Times New Roman" w:hAnsi="Times New Roman" w:eastAsia="宋体" w:cs="Times New Roman"/>
                <w:snapToGrid w:val="0"/>
                <w:color w:val="auto"/>
                <w:kern w:val="24"/>
                <w:sz w:val="24"/>
                <w:szCs w:val="24"/>
                <w:lang w:val="en-US" w:eastAsia="zh-CN"/>
              </w:rPr>
              <w:t>a</w:t>
            </w:r>
            <w:r>
              <w:rPr>
                <w:rFonts w:hint="default" w:ascii="Times New Roman" w:hAnsi="Times New Roman" w:eastAsia="宋体" w:cs="Times New Roman"/>
                <w:snapToGrid w:val="0"/>
                <w:color w:val="auto"/>
                <w:kern w:val="24"/>
                <w:sz w:val="24"/>
                <w:szCs w:val="24"/>
                <w:lang w:val="en-US" w:eastAsia="zh-CN"/>
              </w:rPr>
              <w:t>拟转移危险废物的名称、种类、特性、形态、包装方式、数量、转移时间、主要危险废物成分等基本情况；</w:t>
            </w:r>
          </w:p>
          <w:p w14:paraId="05FDB58C">
            <w:pPr>
              <w:pStyle w:val="7"/>
              <w:keepNext/>
              <w:keepLines/>
              <w:pageBreakBefore w:val="0"/>
              <w:widowControl w:val="0"/>
              <w:kinsoku/>
              <w:wordWrap/>
              <w:overflowPunct/>
              <w:topLinePunct w:val="0"/>
              <w:autoSpaceDE/>
              <w:autoSpaceDN/>
              <w:bidi w:val="0"/>
              <w:adjustRightInd/>
              <w:snapToGrid/>
              <w:spacing w:before="0" w:after="0" w:line="500" w:lineRule="exact"/>
              <w:ind w:firstLine="480" w:firstLineChars="200"/>
              <w:textAlignment w:val="baseline"/>
              <w:rPr>
                <w:rFonts w:hint="default" w:ascii="Times New Roman" w:hAnsi="Times New Roman" w:eastAsia="宋体" w:cs="Times New Roman"/>
                <w:snapToGrid w:val="0"/>
                <w:color w:val="auto"/>
                <w:kern w:val="24"/>
                <w:sz w:val="24"/>
                <w:szCs w:val="24"/>
                <w:lang w:val="en-US" w:eastAsia="zh-CN"/>
              </w:rPr>
            </w:pPr>
            <w:r>
              <w:rPr>
                <w:rFonts w:hint="eastAsia" w:ascii="Times New Roman" w:hAnsi="Times New Roman" w:eastAsia="宋体" w:cs="Times New Roman"/>
                <w:snapToGrid w:val="0"/>
                <w:color w:val="auto"/>
                <w:kern w:val="24"/>
                <w:sz w:val="24"/>
                <w:szCs w:val="24"/>
                <w:lang w:val="en-US" w:eastAsia="zh-CN"/>
              </w:rPr>
              <w:t>b</w:t>
            </w:r>
            <w:r>
              <w:rPr>
                <w:rFonts w:hint="default" w:ascii="Times New Roman" w:hAnsi="Times New Roman" w:eastAsia="宋体" w:cs="Times New Roman"/>
                <w:snapToGrid w:val="0"/>
                <w:color w:val="auto"/>
                <w:kern w:val="24"/>
                <w:sz w:val="24"/>
                <w:szCs w:val="24"/>
                <w:lang w:val="en-US" w:eastAsia="zh-CN"/>
              </w:rPr>
              <w:t>运输单位具有运输危险货物资格的证明材料；</w:t>
            </w:r>
          </w:p>
          <w:p w14:paraId="52854BF3">
            <w:pPr>
              <w:pStyle w:val="7"/>
              <w:keepNext/>
              <w:keepLines/>
              <w:pageBreakBefore w:val="0"/>
              <w:widowControl w:val="0"/>
              <w:kinsoku/>
              <w:wordWrap/>
              <w:overflowPunct/>
              <w:topLinePunct w:val="0"/>
              <w:autoSpaceDE/>
              <w:autoSpaceDN/>
              <w:bidi w:val="0"/>
              <w:adjustRightInd/>
              <w:snapToGrid/>
              <w:spacing w:before="0" w:after="0" w:line="500" w:lineRule="exact"/>
              <w:ind w:firstLine="480" w:firstLineChars="200"/>
              <w:textAlignment w:val="baseline"/>
              <w:rPr>
                <w:rFonts w:hint="eastAsia" w:ascii="Times New Roman" w:hAnsi="Times New Roman" w:eastAsia="宋体" w:cs="Times New Roman"/>
                <w:snapToGrid w:val="0"/>
                <w:color w:val="auto"/>
                <w:kern w:val="24"/>
                <w:sz w:val="24"/>
                <w:szCs w:val="24"/>
                <w:lang w:val="en-US" w:eastAsia="zh-CN"/>
              </w:rPr>
            </w:pPr>
            <w:r>
              <w:rPr>
                <w:rFonts w:hint="eastAsia" w:ascii="Times New Roman" w:hAnsi="Times New Roman" w:eastAsia="宋体" w:cs="Times New Roman"/>
                <w:snapToGrid w:val="0"/>
                <w:color w:val="auto"/>
                <w:kern w:val="24"/>
                <w:sz w:val="24"/>
                <w:szCs w:val="24"/>
                <w:lang w:val="en-US" w:eastAsia="zh-CN"/>
              </w:rPr>
              <w:t>c</w:t>
            </w:r>
            <w:r>
              <w:rPr>
                <w:rFonts w:hint="default" w:ascii="Times New Roman" w:hAnsi="Times New Roman" w:eastAsia="宋体" w:cs="Times New Roman"/>
                <w:snapToGrid w:val="0"/>
                <w:color w:val="auto"/>
                <w:kern w:val="24"/>
                <w:sz w:val="24"/>
                <w:szCs w:val="24"/>
                <w:lang w:val="en-US" w:eastAsia="zh-CN"/>
              </w:rPr>
              <w:t>接</w:t>
            </w:r>
            <w:r>
              <w:rPr>
                <w:rFonts w:hint="eastAsia" w:ascii="Times New Roman" w:hAnsi="Times New Roman" w:eastAsia="宋体" w:cs="Times New Roman"/>
                <w:snapToGrid w:val="0"/>
                <w:color w:val="auto"/>
                <w:kern w:val="24"/>
                <w:sz w:val="24"/>
                <w:szCs w:val="24"/>
                <w:lang w:val="en-US" w:eastAsia="zh-CN"/>
              </w:rPr>
              <w:t>收单位具有利用和处置危险废物资格及同意接收的证明材料。</w:t>
            </w:r>
          </w:p>
          <w:p w14:paraId="2DB3C8F1">
            <w:pPr>
              <w:pStyle w:val="7"/>
              <w:keepNext/>
              <w:keepLines/>
              <w:pageBreakBefore w:val="0"/>
              <w:widowControl w:val="0"/>
              <w:kinsoku/>
              <w:wordWrap/>
              <w:overflowPunct/>
              <w:topLinePunct w:val="0"/>
              <w:autoSpaceDE/>
              <w:autoSpaceDN/>
              <w:bidi w:val="0"/>
              <w:adjustRightInd/>
              <w:snapToGrid/>
              <w:spacing w:before="0" w:after="0" w:line="500" w:lineRule="exact"/>
              <w:ind w:firstLine="480" w:firstLineChars="200"/>
              <w:textAlignment w:val="baseline"/>
              <w:rPr>
                <w:rFonts w:hint="eastAsia" w:ascii="Times New Roman" w:hAnsi="Times New Roman" w:eastAsia="宋体" w:cs="Times New Roman"/>
                <w:snapToGrid w:val="0"/>
                <w:color w:val="auto"/>
                <w:kern w:val="24"/>
                <w:sz w:val="24"/>
                <w:szCs w:val="24"/>
                <w:lang w:val="en-US" w:eastAsia="zh-CN"/>
              </w:rPr>
            </w:pPr>
            <w:r>
              <w:rPr>
                <w:rFonts w:hint="eastAsia" w:ascii="Times New Roman" w:hAnsi="Times New Roman" w:eastAsia="宋体" w:cs="Times New Roman"/>
                <w:snapToGrid w:val="0"/>
                <w:color w:val="auto"/>
                <w:kern w:val="24"/>
                <w:sz w:val="24"/>
                <w:szCs w:val="24"/>
                <w:lang w:val="en-US" w:eastAsia="zh-CN"/>
              </w:rPr>
              <w:t>危废处置管理要求：</w:t>
            </w:r>
          </w:p>
          <w:p w14:paraId="4D4CBD2C">
            <w:pPr>
              <w:pStyle w:val="7"/>
              <w:keepNext/>
              <w:keepLines/>
              <w:pageBreakBefore w:val="0"/>
              <w:widowControl w:val="0"/>
              <w:kinsoku/>
              <w:wordWrap/>
              <w:overflowPunct/>
              <w:topLinePunct w:val="0"/>
              <w:autoSpaceDE/>
              <w:autoSpaceDN/>
              <w:bidi w:val="0"/>
              <w:adjustRightInd/>
              <w:snapToGrid/>
              <w:spacing w:before="0" w:after="0" w:line="500" w:lineRule="exact"/>
              <w:ind w:firstLine="480" w:firstLineChars="200"/>
              <w:textAlignment w:val="baseline"/>
              <w:rPr>
                <w:rFonts w:hint="eastAsia" w:ascii="Times New Roman" w:hAnsi="Times New Roman" w:eastAsia="宋体" w:cs="Times New Roman"/>
                <w:snapToGrid w:val="0"/>
                <w:color w:val="auto"/>
                <w:kern w:val="24"/>
                <w:sz w:val="24"/>
                <w:szCs w:val="24"/>
                <w:lang w:val="en-US" w:eastAsia="zh-CN"/>
              </w:rPr>
            </w:pPr>
            <w:r>
              <w:rPr>
                <w:rFonts w:hint="eastAsia" w:ascii="Times New Roman" w:hAnsi="Times New Roman" w:eastAsia="宋体" w:cs="Times New Roman"/>
                <w:snapToGrid w:val="0"/>
                <w:color w:val="auto"/>
                <w:kern w:val="24"/>
                <w:sz w:val="24"/>
                <w:szCs w:val="24"/>
                <w:lang w:val="en-US" w:eastAsia="zh-CN"/>
              </w:rPr>
              <w:t>①设置明显的危险废物标识，采用专用密封桶对收集后的危险废物进行密封包装，外包装标明“请勿倒置”的字样。分类堆存，按危废种类分别设置危废贮存分区，桶装废物后必须盖严，并保证容器不得破漏，整齐摆放在室内，防日晒、雨淋；对装有危废的容器进行定期检查，容器泄漏损坏时必须立即处理，并装入完好容器内。</w:t>
            </w:r>
          </w:p>
          <w:p w14:paraId="53CB2EA2">
            <w:pPr>
              <w:pStyle w:val="7"/>
              <w:keepNext/>
              <w:keepLines/>
              <w:pageBreakBefore w:val="0"/>
              <w:widowControl w:val="0"/>
              <w:kinsoku/>
              <w:wordWrap/>
              <w:overflowPunct/>
              <w:topLinePunct w:val="0"/>
              <w:autoSpaceDE/>
              <w:autoSpaceDN/>
              <w:bidi w:val="0"/>
              <w:adjustRightInd/>
              <w:snapToGrid/>
              <w:spacing w:before="0" w:after="0" w:line="500" w:lineRule="exact"/>
              <w:ind w:firstLine="480" w:firstLineChars="200"/>
              <w:textAlignment w:val="baseline"/>
              <w:rPr>
                <w:rFonts w:hint="eastAsia" w:ascii="Times New Roman" w:hAnsi="Times New Roman" w:eastAsia="宋体" w:cs="Times New Roman"/>
                <w:snapToGrid w:val="0"/>
                <w:color w:val="auto"/>
                <w:kern w:val="24"/>
                <w:sz w:val="24"/>
                <w:szCs w:val="24"/>
                <w:lang w:val="en-US" w:eastAsia="zh-CN"/>
              </w:rPr>
            </w:pPr>
            <w:r>
              <w:rPr>
                <w:rFonts w:hint="eastAsia" w:ascii="Times New Roman" w:hAnsi="Times New Roman" w:eastAsia="宋体" w:cs="Times New Roman"/>
                <w:snapToGrid w:val="0"/>
                <w:color w:val="auto"/>
                <w:kern w:val="24"/>
                <w:sz w:val="24"/>
                <w:szCs w:val="24"/>
                <w:lang w:val="en-US" w:eastAsia="zh-CN"/>
              </w:rPr>
              <w:t>②危险固体废物容器入临时储存区内贮存，采取防雨、防风、防晒、防渗要求，以防污染物泄漏污染环境。</w:t>
            </w:r>
          </w:p>
          <w:p w14:paraId="459EB376">
            <w:pPr>
              <w:pStyle w:val="7"/>
              <w:keepNext/>
              <w:keepLines/>
              <w:pageBreakBefore w:val="0"/>
              <w:widowControl w:val="0"/>
              <w:kinsoku/>
              <w:wordWrap/>
              <w:overflowPunct/>
              <w:topLinePunct w:val="0"/>
              <w:autoSpaceDE/>
              <w:autoSpaceDN/>
              <w:bidi w:val="0"/>
              <w:adjustRightInd/>
              <w:snapToGrid/>
              <w:spacing w:before="0" w:after="0" w:line="500" w:lineRule="exact"/>
              <w:ind w:firstLine="480" w:firstLineChars="200"/>
              <w:textAlignment w:val="baseline"/>
              <w:rPr>
                <w:rFonts w:hint="eastAsia" w:ascii="Times New Roman" w:hAnsi="Times New Roman" w:eastAsia="宋体" w:cs="Times New Roman"/>
                <w:snapToGrid w:val="0"/>
                <w:color w:val="auto"/>
                <w:kern w:val="24"/>
                <w:sz w:val="24"/>
                <w:szCs w:val="24"/>
                <w:lang w:val="en-US" w:eastAsia="zh-CN"/>
              </w:rPr>
            </w:pPr>
            <w:r>
              <w:rPr>
                <w:rFonts w:hint="eastAsia" w:ascii="Times New Roman" w:hAnsi="Times New Roman" w:eastAsia="宋体" w:cs="Times New Roman"/>
                <w:snapToGrid w:val="0"/>
                <w:color w:val="auto"/>
                <w:kern w:val="24"/>
                <w:sz w:val="24"/>
                <w:szCs w:val="24"/>
                <w:lang w:val="en-US" w:eastAsia="zh-CN"/>
              </w:rPr>
              <w:t>③根据危废类别，设置明显危废警示标志，危废间内外均需设置危险废物标识。</w:t>
            </w:r>
          </w:p>
          <w:p w14:paraId="3083E130">
            <w:pPr>
              <w:pStyle w:val="7"/>
              <w:keepNext/>
              <w:keepLines/>
              <w:pageBreakBefore w:val="0"/>
              <w:widowControl w:val="0"/>
              <w:kinsoku/>
              <w:wordWrap/>
              <w:overflowPunct/>
              <w:topLinePunct w:val="0"/>
              <w:autoSpaceDE/>
              <w:autoSpaceDN/>
              <w:bidi w:val="0"/>
              <w:adjustRightInd/>
              <w:snapToGrid/>
              <w:spacing w:before="0" w:after="0" w:line="500" w:lineRule="exact"/>
              <w:ind w:firstLine="480" w:firstLineChars="200"/>
              <w:textAlignment w:val="baseline"/>
              <w:rPr>
                <w:rFonts w:hint="eastAsia" w:ascii="Times New Roman" w:hAnsi="Times New Roman" w:eastAsia="宋体" w:cs="Times New Roman"/>
                <w:snapToGrid w:val="0"/>
                <w:color w:val="auto"/>
                <w:kern w:val="24"/>
                <w:sz w:val="24"/>
                <w:szCs w:val="24"/>
                <w:lang w:val="en-US" w:eastAsia="zh-CN"/>
              </w:rPr>
            </w:pPr>
            <w:r>
              <w:rPr>
                <w:rFonts w:hint="eastAsia" w:ascii="Times New Roman" w:hAnsi="Times New Roman" w:eastAsia="宋体" w:cs="Times New Roman"/>
                <w:snapToGrid w:val="0"/>
                <w:color w:val="auto"/>
                <w:kern w:val="24"/>
                <w:sz w:val="24"/>
                <w:szCs w:val="24"/>
                <w:lang w:val="en-US" w:eastAsia="zh-CN"/>
              </w:rPr>
              <w:t>④</w:t>
            </w:r>
            <w:r>
              <w:rPr>
                <w:rFonts w:hint="eastAsia" w:ascii="Times New Roman" w:hAnsi="Times New Roman" w:eastAsia="宋体" w:cs="Times New Roman"/>
                <w:snapToGrid w:val="0"/>
                <w:color w:val="000000" w:themeColor="text1"/>
                <w:kern w:val="24"/>
                <w:sz w:val="24"/>
                <w:szCs w:val="24"/>
                <w:lang w:val="en-US" w:eastAsia="zh-CN"/>
                <w14:textFill>
                  <w14:solidFill>
                    <w14:schemeClr w14:val="tx1"/>
                  </w14:solidFill>
                </w14:textFill>
              </w:rPr>
              <w:t>建设单位应制定严格的管理制度对危险固废在产生、分类、管理和运输等环节进行严格的监控，设立危废管理人员及管理台账，要保证危险废物及时外运，避免过量暂存，避免可能造成二次污染。项目处置危险固废的措施应符合《中华人民共和国固体废物污染环境防治法》，应执行《危险废物转移管理办法》规定的各项程序。</w:t>
            </w:r>
          </w:p>
          <w:p w14:paraId="3F8390B5">
            <w:pPr>
              <w:pStyle w:val="7"/>
              <w:keepNext/>
              <w:keepLines/>
              <w:pageBreakBefore w:val="0"/>
              <w:widowControl w:val="0"/>
              <w:kinsoku/>
              <w:wordWrap/>
              <w:overflowPunct/>
              <w:topLinePunct w:val="0"/>
              <w:autoSpaceDE/>
              <w:autoSpaceDN/>
              <w:bidi w:val="0"/>
              <w:adjustRightInd/>
              <w:snapToGrid/>
              <w:spacing w:before="0" w:after="0" w:line="500" w:lineRule="exact"/>
              <w:ind w:firstLine="480" w:firstLineChars="200"/>
              <w:textAlignment w:val="baseline"/>
              <w:rPr>
                <w:rFonts w:hint="default" w:ascii="Times New Roman" w:hAnsi="Times New Roman" w:eastAsia="宋体" w:cs="Times New Roman"/>
                <w:b w:val="0"/>
                <w:bCs w:val="0"/>
                <w:color w:val="auto"/>
                <w:sz w:val="24"/>
              </w:rPr>
            </w:pPr>
            <w:r>
              <w:rPr>
                <w:rFonts w:hint="eastAsia" w:ascii="Times New Roman" w:hAnsi="Times New Roman" w:eastAsia="宋体" w:cs="Times New Roman"/>
                <w:snapToGrid w:val="0"/>
                <w:color w:val="auto"/>
                <w:kern w:val="24"/>
                <w:sz w:val="24"/>
                <w:szCs w:val="24"/>
                <w:lang w:val="en-US" w:eastAsia="zh-CN"/>
              </w:rPr>
              <w:t>综上所述，</w:t>
            </w:r>
            <w:r>
              <w:rPr>
                <w:rFonts w:hint="default" w:ascii="Times New Roman" w:hAnsi="Times New Roman" w:eastAsia="宋体" w:cs="Times New Roman"/>
                <w:snapToGrid w:val="0"/>
                <w:color w:val="auto"/>
                <w:kern w:val="24"/>
                <w:sz w:val="24"/>
                <w:szCs w:val="24"/>
              </w:rPr>
              <w:t>企业只要认真落实上述污染防治措施，则本项目产生的固体废物不会对周边环境产生不利影响。</w:t>
            </w:r>
          </w:p>
          <w:p w14:paraId="1B27D219">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default" w:ascii="Times New Roman" w:hAnsi="Times New Roman" w:cs="Times New Roman"/>
                <w:b/>
                <w:bCs/>
                <w:color w:val="auto"/>
                <w:sz w:val="24"/>
                <w:szCs w:val="22"/>
              </w:rPr>
            </w:pPr>
            <w:r>
              <w:rPr>
                <w:rFonts w:hint="default" w:ascii="Times New Roman" w:hAnsi="Times New Roman" w:cs="Times New Roman"/>
                <w:b/>
                <w:bCs/>
                <w:color w:val="auto"/>
                <w:sz w:val="24"/>
                <w:szCs w:val="22"/>
              </w:rPr>
              <w:t>5、地下水、土壤影响分析</w:t>
            </w:r>
          </w:p>
          <w:p w14:paraId="7BF7EDCF">
            <w:pPr>
              <w:pStyle w:val="83"/>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eastAsiaTheme="minorEastAsia"/>
                <w:b w:val="0"/>
                <w:bCs w:val="0"/>
                <w:color w:val="auto"/>
                <w:sz w:val="24"/>
                <w:szCs w:val="24"/>
              </w:rPr>
            </w:pPr>
            <w:r>
              <w:rPr>
                <w:rFonts w:hint="default" w:ascii="Times New Roman" w:hAnsi="Times New Roman" w:cs="Times New Roman" w:eastAsiaTheme="minorEastAsia"/>
                <w:b w:val="0"/>
                <w:bCs w:val="0"/>
                <w:color w:val="auto"/>
                <w:sz w:val="24"/>
                <w:szCs w:val="24"/>
              </w:rPr>
              <w:t>（1）污染源</w:t>
            </w:r>
            <w:r>
              <w:rPr>
                <w:rFonts w:hint="default" w:ascii="Times New Roman" w:hAnsi="Times New Roman" w:cs="Times New Roman" w:eastAsiaTheme="minorEastAsia"/>
                <w:b w:val="0"/>
                <w:bCs w:val="0"/>
                <w:color w:val="auto"/>
                <w:sz w:val="24"/>
                <w:szCs w:val="24"/>
                <w:lang w:val="en-US" w:eastAsia="zh-CN"/>
              </w:rPr>
              <w:t>及</w:t>
            </w:r>
            <w:r>
              <w:rPr>
                <w:rFonts w:hint="default" w:ascii="Times New Roman" w:hAnsi="Times New Roman" w:cs="Times New Roman" w:eastAsiaTheme="minorEastAsia"/>
                <w:b w:val="0"/>
                <w:bCs w:val="0"/>
                <w:color w:val="auto"/>
                <w:sz w:val="24"/>
                <w:szCs w:val="24"/>
              </w:rPr>
              <w:t>污染途径分析</w:t>
            </w:r>
          </w:p>
          <w:p w14:paraId="50186BA3">
            <w:pPr>
              <w:pStyle w:val="83"/>
              <w:spacing w:line="480" w:lineRule="exact"/>
              <w:ind w:firstLine="480" w:firstLineChars="200"/>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本项目建成后非正常工况下</w:t>
            </w:r>
            <w:r>
              <w:rPr>
                <w:rFonts w:hint="eastAsia" w:cs="Times New Roman" w:eastAsiaTheme="minorEastAsia"/>
                <w:color w:val="auto"/>
                <w:sz w:val="24"/>
                <w:szCs w:val="24"/>
                <w:lang w:val="en-US" w:eastAsia="zh-CN"/>
              </w:rPr>
              <w:t>润滑油、</w:t>
            </w:r>
            <w:r>
              <w:rPr>
                <w:rFonts w:hint="eastAsia" w:ascii="Times New Roman" w:hAnsi="Times New Roman" w:cs="Times New Roman" w:eastAsiaTheme="minorEastAsia"/>
                <w:color w:val="auto"/>
                <w:sz w:val="24"/>
                <w:szCs w:val="24"/>
                <w:lang w:val="en-US" w:eastAsia="zh-CN"/>
              </w:rPr>
              <w:t>危废间危险废物包装容器</w:t>
            </w:r>
            <w:r>
              <w:rPr>
                <w:rFonts w:hint="eastAsia" w:cs="Times New Roman" w:eastAsiaTheme="minorEastAsia"/>
                <w:color w:val="auto"/>
                <w:sz w:val="24"/>
                <w:szCs w:val="24"/>
                <w:lang w:val="en-US" w:eastAsia="zh-CN"/>
              </w:rPr>
              <w:t>破损</w:t>
            </w:r>
            <w:r>
              <w:rPr>
                <w:rFonts w:hint="eastAsia" w:ascii="Times New Roman" w:hAnsi="Times New Roman" w:cs="Times New Roman" w:eastAsiaTheme="minorEastAsia"/>
                <w:color w:val="auto"/>
                <w:sz w:val="24"/>
                <w:szCs w:val="24"/>
                <w:lang w:val="en-US" w:eastAsia="zh-CN"/>
              </w:rPr>
              <w:t>，造成</w:t>
            </w:r>
            <w:r>
              <w:rPr>
                <w:rFonts w:hint="eastAsia" w:cs="Times New Roman" w:eastAsiaTheme="minorEastAsia"/>
                <w:color w:val="auto"/>
                <w:sz w:val="24"/>
                <w:szCs w:val="24"/>
                <w:lang w:val="en-US" w:eastAsia="zh-CN"/>
              </w:rPr>
              <w:t>润滑油、废液压油等</w:t>
            </w:r>
            <w:r>
              <w:rPr>
                <w:rFonts w:hint="eastAsia" w:ascii="Times New Roman" w:hAnsi="Times New Roman" w:cs="Times New Roman" w:eastAsiaTheme="minorEastAsia"/>
                <w:color w:val="auto"/>
                <w:sz w:val="24"/>
                <w:szCs w:val="24"/>
                <w:lang w:val="en-US" w:eastAsia="zh-CN"/>
              </w:rPr>
              <w:t>泄漏渗入土壤及地下水环境，引起土壤及地下水环境污染</w:t>
            </w:r>
            <w:r>
              <w:rPr>
                <w:rFonts w:hint="eastAsia" w:cs="Times New Roman" w:eastAsiaTheme="minorEastAsia"/>
                <w:color w:val="auto"/>
                <w:sz w:val="24"/>
                <w:szCs w:val="24"/>
                <w:lang w:val="en-US" w:eastAsia="zh-CN"/>
              </w:rPr>
              <w:t>。</w:t>
            </w:r>
          </w:p>
          <w:p w14:paraId="7712FDD9">
            <w:pPr>
              <w:pStyle w:val="83"/>
              <w:spacing w:line="480" w:lineRule="exact"/>
              <w:ind w:firstLine="480" w:firstLineChars="200"/>
              <w:rPr>
                <w:rFonts w:hint="default" w:ascii="Times New Roman" w:hAnsi="Times New Roman" w:cs="Times New Roman" w:eastAsiaTheme="minorEastAsia"/>
                <w:b w:val="0"/>
                <w:bCs w:val="0"/>
                <w:color w:val="auto"/>
                <w:sz w:val="24"/>
                <w:szCs w:val="24"/>
              </w:rPr>
            </w:pPr>
            <w:r>
              <w:rPr>
                <w:rFonts w:hint="eastAsia" w:cs="Times New Roman" w:eastAsiaTheme="minorEastAsia"/>
                <w:b w:val="0"/>
                <w:bCs w:val="0"/>
                <w:color w:val="auto"/>
                <w:sz w:val="24"/>
                <w:szCs w:val="24"/>
                <w:lang w:val="en-US" w:eastAsia="zh-CN"/>
              </w:rPr>
              <w:t>（2</w:t>
            </w:r>
            <w:r>
              <w:rPr>
                <w:rFonts w:hint="default" w:ascii="Times New Roman" w:hAnsi="Times New Roman" w:cs="Times New Roman" w:eastAsiaTheme="minorEastAsia"/>
                <w:b w:val="0"/>
                <w:bCs w:val="0"/>
                <w:color w:val="auto"/>
                <w:sz w:val="24"/>
                <w:szCs w:val="24"/>
              </w:rPr>
              <w:t>）污染防控措施</w:t>
            </w:r>
          </w:p>
          <w:p w14:paraId="42ED8F42">
            <w:pPr>
              <w:keepNext w:val="0"/>
              <w:keepLines w:val="0"/>
              <w:pageBreakBefore w:val="0"/>
              <w:widowControl/>
              <w:kinsoku/>
              <w:wordWrap/>
              <w:overflowPunct/>
              <w:topLinePunct w:val="0"/>
              <w:autoSpaceDE/>
              <w:autoSpaceDN/>
              <w:bidi w:val="0"/>
              <w:adjustRightInd/>
              <w:snapToGrid/>
              <w:spacing w:line="500" w:lineRule="exact"/>
              <w:ind w:right="0" w:rightChars="0" w:firstLine="480" w:firstLineChars="200"/>
              <w:jc w:val="both"/>
              <w:textAlignment w:val="baseline"/>
              <w:rPr>
                <w:rFonts w:hint="default" w:ascii="Times New Roman" w:hAnsi="Times New Roman" w:cs="Times New Roman" w:eastAsiaTheme="minorEastAsia"/>
                <w:bCs/>
                <w:color w:val="auto"/>
              </w:rPr>
            </w:pPr>
            <w:r>
              <w:rPr>
                <w:rFonts w:hint="eastAsia"/>
                <w:bCs/>
                <w:color w:val="auto"/>
                <w:sz w:val="24"/>
                <w:lang w:val="en-US" w:eastAsia="zh-CN"/>
              </w:rPr>
              <w:t>项目生产过程不涉及重金属污染物。项目</w:t>
            </w:r>
            <w:r>
              <w:rPr>
                <w:rFonts w:hint="eastAsia"/>
                <w:bCs/>
                <w:color w:val="auto"/>
                <w:sz w:val="24"/>
              </w:rPr>
              <w:t>重点防渗区</w:t>
            </w:r>
            <w:r>
              <w:rPr>
                <w:rFonts w:hint="eastAsia"/>
                <w:bCs/>
                <w:color w:val="auto"/>
                <w:sz w:val="24"/>
                <w:lang w:eastAsia="zh-CN"/>
              </w:rPr>
              <w:t>为</w:t>
            </w:r>
            <w:r>
              <w:rPr>
                <w:rFonts w:hint="eastAsia"/>
                <w:bCs/>
                <w:color w:val="auto"/>
                <w:sz w:val="24"/>
              </w:rPr>
              <w:t>危废间</w:t>
            </w:r>
            <w:r>
              <w:rPr>
                <w:rFonts w:hint="eastAsia"/>
                <w:bCs/>
                <w:color w:val="auto"/>
                <w:sz w:val="24"/>
                <w:lang w:eastAsia="zh-CN"/>
              </w:rPr>
              <w:t>、</w:t>
            </w:r>
            <w:r>
              <w:rPr>
                <w:rFonts w:hint="eastAsia" w:cs="Times New Roman" w:eastAsiaTheme="minorEastAsia"/>
                <w:color w:val="auto"/>
                <w:sz w:val="24"/>
                <w:szCs w:val="24"/>
                <w:lang w:val="en-US" w:eastAsia="zh-CN"/>
              </w:rPr>
              <w:t>清洗池</w:t>
            </w:r>
            <w:r>
              <w:rPr>
                <w:rFonts w:hint="eastAsia"/>
                <w:bCs/>
                <w:color w:val="auto"/>
                <w:sz w:val="24"/>
                <w:lang w:val="en-US" w:eastAsia="zh-CN"/>
              </w:rPr>
              <w:t>、沉淀池</w:t>
            </w:r>
            <w:r>
              <w:rPr>
                <w:rFonts w:hint="eastAsia" w:cs="Times New Roman"/>
                <w:color w:val="auto"/>
                <w:sz w:val="24"/>
                <w:szCs w:val="24"/>
                <w:lang w:eastAsia="zh-CN"/>
              </w:rPr>
              <w:t>，</w:t>
            </w:r>
            <w:r>
              <w:rPr>
                <w:rFonts w:hint="eastAsia" w:cs="Times New Roman"/>
                <w:color w:val="auto"/>
                <w:sz w:val="24"/>
                <w:szCs w:val="24"/>
                <w:lang w:val="en-US" w:eastAsia="zh-CN"/>
              </w:rPr>
              <w:t>危废间</w:t>
            </w:r>
            <w:r>
              <w:rPr>
                <w:rFonts w:hint="eastAsia"/>
                <w:bCs/>
                <w:color w:val="auto"/>
                <w:sz w:val="24"/>
              </w:rPr>
              <w:t>按照</w:t>
            </w:r>
            <w:r>
              <w:rPr>
                <w:rFonts w:hint="eastAsia" w:cs="Times New Roman"/>
                <w:bCs/>
                <w:color w:val="auto"/>
                <w:sz w:val="24"/>
                <w:lang w:eastAsia="zh-CN"/>
              </w:rPr>
              <w:t>《危险废物贮存污染控制标准》（GB18597-20</w:t>
            </w:r>
            <w:r>
              <w:rPr>
                <w:rFonts w:hint="eastAsia" w:cs="Times New Roman"/>
                <w:bCs/>
                <w:color w:val="auto"/>
                <w:sz w:val="24"/>
                <w:lang w:val="en-US" w:eastAsia="zh-CN"/>
              </w:rPr>
              <w:t>23</w:t>
            </w:r>
            <w:r>
              <w:rPr>
                <w:rFonts w:hint="eastAsia" w:cs="Times New Roman"/>
                <w:bCs/>
                <w:color w:val="auto"/>
                <w:sz w:val="24"/>
                <w:lang w:eastAsia="zh-CN"/>
              </w:rPr>
              <w:t>）</w:t>
            </w:r>
            <w:r>
              <w:rPr>
                <w:rFonts w:hint="eastAsia"/>
                <w:bCs/>
                <w:color w:val="auto"/>
                <w:sz w:val="24"/>
              </w:rPr>
              <w:t>要求进行防渗</w:t>
            </w:r>
            <w:r>
              <w:rPr>
                <w:rFonts w:hint="eastAsia"/>
                <w:bCs/>
                <w:color w:val="auto"/>
                <w:sz w:val="24"/>
                <w:lang w:eastAsia="zh-CN"/>
              </w:rPr>
              <w:t>；</w:t>
            </w:r>
            <w:r>
              <w:rPr>
                <w:rFonts w:hint="eastAsia"/>
                <w:color w:val="auto"/>
                <w:sz w:val="24"/>
                <w:lang w:val="en-US" w:eastAsia="zh-CN"/>
              </w:rPr>
              <w:t>清洗池等</w:t>
            </w:r>
            <w:r>
              <w:rPr>
                <w:rFonts w:hint="eastAsia"/>
                <w:color w:val="auto"/>
                <w:sz w:val="24"/>
              </w:rPr>
              <w:t>建设配筋混凝土池，混凝土采用耐酸混凝土，水池内壁采用环氧煤沥青涂层进行处理，外壁采用沥青防水材料进行防水处理</w:t>
            </w:r>
            <w:r>
              <w:rPr>
                <w:rFonts w:hint="eastAsia"/>
                <w:color w:val="auto"/>
                <w:sz w:val="24"/>
                <w:lang w:eastAsia="zh-CN"/>
              </w:rPr>
              <w:t>，</w:t>
            </w:r>
            <w:r>
              <w:rPr>
                <w:rFonts w:hint="default" w:ascii="Times New Roman" w:hAnsi="Times New Roman" w:cs="Times New Roman"/>
                <w:bCs/>
                <w:color w:val="auto"/>
                <w:sz w:val="24"/>
                <w:lang w:val="en-US" w:eastAsia="zh-CN"/>
              </w:rPr>
              <w:t>满足</w:t>
            </w:r>
            <w:r>
              <w:rPr>
                <w:rFonts w:hint="default" w:ascii="Times New Roman" w:hAnsi="Times New Roman" w:cs="Times New Roman" w:eastAsiaTheme="minorEastAsia"/>
                <w:color w:val="auto"/>
                <w:sz w:val="24"/>
                <w:szCs w:val="24"/>
              </w:rPr>
              <w:t>等效黏土防渗层Mb≥</w:t>
            </w:r>
            <w:r>
              <w:rPr>
                <w:rFonts w:hint="eastAsia" w:ascii="Times New Roman" w:hAnsi="Times New Roman" w:cs="Times New Roman" w:eastAsiaTheme="minorEastAsia"/>
                <w:color w:val="auto"/>
                <w:sz w:val="24"/>
                <w:szCs w:val="24"/>
                <w:lang w:val="en-US" w:eastAsia="zh-CN"/>
              </w:rPr>
              <w:t>6</w:t>
            </w:r>
            <w:r>
              <w:rPr>
                <w:rFonts w:hint="default" w:ascii="Times New Roman" w:hAnsi="Times New Roman" w:cs="Times New Roman" w:eastAsiaTheme="minorEastAsia"/>
                <w:color w:val="auto"/>
                <w:sz w:val="24"/>
                <w:szCs w:val="24"/>
              </w:rPr>
              <w:t>m</w:t>
            </w:r>
            <w:r>
              <w:rPr>
                <w:rFonts w:hint="default" w:ascii="Times New Roman" w:hAnsi="Times New Roman" w:cs="Times New Roman" w:eastAsiaTheme="minorEastAsia"/>
                <w:color w:val="auto"/>
                <w:sz w:val="24"/>
                <w:szCs w:val="24"/>
                <w:lang w:eastAsia="zh-CN"/>
              </w:rPr>
              <w:t>、</w:t>
            </w:r>
            <w:r>
              <w:rPr>
                <w:rFonts w:hint="default" w:ascii="Times New Roman" w:hAnsi="Times New Roman" w:cs="Times New Roman" w:eastAsiaTheme="minorEastAsia"/>
                <w:color w:val="auto"/>
                <w:sz w:val="24"/>
                <w:szCs w:val="24"/>
              </w:rPr>
              <w:t>K≤1×10</w:t>
            </w:r>
            <w:r>
              <w:rPr>
                <w:rFonts w:hint="default" w:ascii="Times New Roman" w:hAnsi="Times New Roman" w:cs="Times New Roman" w:eastAsiaTheme="minorEastAsia"/>
                <w:color w:val="auto"/>
                <w:sz w:val="24"/>
                <w:szCs w:val="24"/>
                <w:vertAlign w:val="superscript"/>
              </w:rPr>
              <w:t>-7</w:t>
            </w:r>
            <w:r>
              <w:rPr>
                <w:rFonts w:hint="default" w:ascii="Times New Roman" w:hAnsi="Times New Roman" w:cs="Times New Roman" w:eastAsiaTheme="minorEastAsia"/>
                <w:color w:val="auto"/>
                <w:sz w:val="24"/>
                <w:szCs w:val="24"/>
              </w:rPr>
              <w:t>cm/s</w:t>
            </w:r>
            <w:r>
              <w:rPr>
                <w:rFonts w:hint="default" w:ascii="Times New Roman" w:hAnsi="Times New Roman" w:cs="Times New Roman" w:eastAsiaTheme="minorEastAsia"/>
                <w:color w:val="auto"/>
                <w:sz w:val="24"/>
                <w:szCs w:val="24"/>
                <w:lang w:val="en-US" w:eastAsia="zh-CN"/>
              </w:rPr>
              <w:t>的要求</w:t>
            </w:r>
            <w:r>
              <w:rPr>
                <w:rFonts w:hint="eastAsia"/>
                <w:bCs/>
                <w:color w:val="auto"/>
                <w:sz w:val="24"/>
                <w:lang w:eastAsia="zh-CN"/>
              </w:rPr>
              <w:t>。</w:t>
            </w:r>
            <w:r>
              <w:rPr>
                <w:rFonts w:hint="default" w:ascii="Times New Roman" w:hAnsi="Times New Roman" w:cs="Times New Roman"/>
                <w:bCs/>
                <w:color w:val="auto"/>
                <w:sz w:val="24"/>
                <w:lang w:eastAsia="zh-CN"/>
              </w:rPr>
              <w:t>一般</w:t>
            </w:r>
            <w:r>
              <w:rPr>
                <w:rFonts w:hint="default" w:ascii="Times New Roman" w:hAnsi="Times New Roman" w:cs="Times New Roman"/>
                <w:bCs/>
                <w:color w:val="auto"/>
                <w:sz w:val="24"/>
              </w:rPr>
              <w:t>防渗区包括</w:t>
            </w:r>
            <w:r>
              <w:rPr>
                <w:rFonts w:hint="eastAsia" w:ascii="Times New Roman" w:hAnsi="Times New Roman" w:cs="Times New Roman"/>
                <w:bCs/>
                <w:color w:val="auto"/>
                <w:sz w:val="24"/>
                <w:lang w:val="en-US" w:eastAsia="zh-CN"/>
              </w:rPr>
              <w:t>生产</w:t>
            </w:r>
            <w:r>
              <w:rPr>
                <w:rFonts w:hint="default" w:ascii="Times New Roman" w:hAnsi="Times New Roman" w:cs="Times New Roman"/>
                <w:bCs/>
                <w:color w:val="auto"/>
                <w:sz w:val="24"/>
              </w:rPr>
              <w:t>车间</w:t>
            </w:r>
            <w:r>
              <w:rPr>
                <w:rFonts w:hint="eastAsia" w:cs="Times New Roman"/>
                <w:bCs/>
                <w:color w:val="auto"/>
                <w:sz w:val="24"/>
                <w:lang w:val="en-US" w:eastAsia="zh-CN"/>
              </w:rPr>
              <w:t>其他区域（即清洗池、沉淀池以外的区域）、一般固废间</w:t>
            </w:r>
            <w:r>
              <w:rPr>
                <w:rFonts w:hint="eastAsia" w:ascii="Times New Roman" w:hAnsi="Times New Roman" w:cs="Times New Roman"/>
                <w:bCs/>
                <w:color w:val="auto"/>
                <w:sz w:val="24"/>
                <w:lang w:val="en-US" w:eastAsia="zh-CN"/>
              </w:rPr>
              <w:t>，</w:t>
            </w:r>
            <w:r>
              <w:rPr>
                <w:rFonts w:hint="eastAsia" w:cs="Times New Roman"/>
                <w:bCs/>
                <w:color w:val="auto"/>
                <w:sz w:val="24"/>
                <w:lang w:val="en-US" w:eastAsia="zh-CN"/>
              </w:rPr>
              <w:t>生产车间、一般固废间</w:t>
            </w:r>
            <w:r>
              <w:rPr>
                <w:rFonts w:hint="eastAsia" w:ascii="Times New Roman" w:hAnsi="Times New Roman" w:cs="Times New Roman"/>
                <w:bCs/>
                <w:color w:val="auto"/>
                <w:sz w:val="24"/>
                <w:lang w:val="en-US" w:eastAsia="zh-CN"/>
              </w:rPr>
              <w:t>地面采取三合土铺底，在上层铺</w:t>
            </w:r>
            <w:r>
              <w:rPr>
                <w:rFonts w:hint="default" w:ascii="Times New Roman" w:hAnsi="Times New Roman" w:cs="Times New Roman"/>
                <w:bCs/>
                <w:color w:val="auto"/>
                <w:sz w:val="24"/>
              </w:rPr>
              <w:t>水泥混凝土进行硬化</w:t>
            </w:r>
            <w:r>
              <w:rPr>
                <w:rFonts w:hint="default" w:ascii="Times New Roman" w:hAnsi="Times New Roman" w:cs="Times New Roman"/>
                <w:bCs/>
                <w:color w:val="auto"/>
                <w:sz w:val="24"/>
                <w:lang w:eastAsia="zh-CN"/>
              </w:rPr>
              <w:t>，</w:t>
            </w:r>
            <w:r>
              <w:rPr>
                <w:rFonts w:hint="default" w:ascii="Times New Roman" w:hAnsi="Times New Roman" w:cs="Times New Roman"/>
                <w:bCs/>
                <w:color w:val="auto"/>
                <w:sz w:val="24"/>
                <w:lang w:val="en-US" w:eastAsia="zh-CN"/>
              </w:rPr>
              <w:t>满足</w:t>
            </w:r>
            <w:r>
              <w:rPr>
                <w:rFonts w:hint="default" w:ascii="Times New Roman" w:hAnsi="Times New Roman" w:cs="Times New Roman" w:eastAsiaTheme="minorEastAsia"/>
                <w:color w:val="auto"/>
                <w:sz w:val="24"/>
                <w:szCs w:val="24"/>
              </w:rPr>
              <w:t>等效黏土防渗层Mb≥1.5m</w:t>
            </w:r>
            <w:r>
              <w:rPr>
                <w:rFonts w:hint="default" w:ascii="Times New Roman" w:hAnsi="Times New Roman" w:cs="Times New Roman" w:eastAsiaTheme="minorEastAsia"/>
                <w:color w:val="auto"/>
                <w:sz w:val="24"/>
                <w:szCs w:val="24"/>
                <w:lang w:eastAsia="zh-CN"/>
              </w:rPr>
              <w:t>、</w:t>
            </w:r>
            <w:r>
              <w:rPr>
                <w:rFonts w:hint="default" w:ascii="Times New Roman" w:hAnsi="Times New Roman" w:cs="Times New Roman" w:eastAsiaTheme="minorEastAsia"/>
                <w:color w:val="auto"/>
                <w:sz w:val="24"/>
                <w:szCs w:val="24"/>
              </w:rPr>
              <w:t>K≤1×10</w:t>
            </w:r>
            <w:r>
              <w:rPr>
                <w:rFonts w:hint="default" w:ascii="Times New Roman" w:hAnsi="Times New Roman" w:cs="Times New Roman" w:eastAsiaTheme="minorEastAsia"/>
                <w:color w:val="auto"/>
                <w:sz w:val="24"/>
                <w:szCs w:val="24"/>
                <w:vertAlign w:val="superscript"/>
              </w:rPr>
              <w:t>-7</w:t>
            </w:r>
            <w:r>
              <w:rPr>
                <w:rFonts w:hint="default" w:ascii="Times New Roman" w:hAnsi="Times New Roman" w:cs="Times New Roman" w:eastAsiaTheme="minorEastAsia"/>
                <w:color w:val="auto"/>
                <w:sz w:val="24"/>
                <w:szCs w:val="24"/>
              </w:rPr>
              <w:t>cm/s</w:t>
            </w:r>
            <w:r>
              <w:rPr>
                <w:rFonts w:hint="default" w:ascii="Times New Roman" w:hAnsi="Times New Roman" w:cs="Times New Roman" w:eastAsiaTheme="minorEastAsia"/>
                <w:color w:val="auto"/>
                <w:sz w:val="24"/>
                <w:szCs w:val="24"/>
                <w:lang w:val="en-US" w:eastAsia="zh-CN"/>
              </w:rPr>
              <w:t>的要求</w:t>
            </w:r>
            <w:r>
              <w:rPr>
                <w:rFonts w:hint="eastAsia" w:cs="Times New Roman"/>
                <w:color w:val="auto"/>
                <w:sz w:val="24"/>
                <w:lang w:val="en-US" w:eastAsia="zh-CN"/>
              </w:rPr>
              <w:t>。</w:t>
            </w:r>
            <w:r>
              <w:rPr>
                <w:rFonts w:hint="default" w:ascii="Times New Roman" w:hAnsi="Times New Roman" w:eastAsia="宋体" w:cs="Times New Roman"/>
                <w:color w:val="auto"/>
                <w:sz w:val="24"/>
                <w:lang w:val="en-US" w:eastAsia="zh-CN"/>
              </w:rPr>
              <w:t>简单防渗区</w:t>
            </w:r>
            <w:r>
              <w:rPr>
                <w:rFonts w:hint="eastAsia" w:cs="Times New Roman"/>
                <w:color w:val="auto"/>
                <w:sz w:val="24"/>
                <w:lang w:val="en-US" w:eastAsia="zh-CN"/>
              </w:rPr>
              <w:t>为办公区及车间周围</w:t>
            </w:r>
            <w:r>
              <w:rPr>
                <w:rFonts w:hint="default" w:ascii="Times New Roman" w:hAnsi="Times New Roman" w:eastAsia="宋体" w:cs="Times New Roman"/>
                <w:color w:val="auto"/>
                <w:sz w:val="24"/>
              </w:rPr>
              <w:t>道路</w:t>
            </w:r>
            <w:r>
              <w:rPr>
                <w:rFonts w:hint="eastAsia" w:cs="Times New Roman"/>
                <w:color w:val="auto"/>
                <w:sz w:val="24"/>
                <w:lang w:eastAsia="zh-CN"/>
              </w:rPr>
              <w:t>，</w:t>
            </w:r>
            <w:r>
              <w:rPr>
                <w:rFonts w:hint="eastAsia" w:cs="Times New Roman"/>
                <w:color w:val="auto"/>
                <w:sz w:val="24"/>
                <w:lang w:val="en-US" w:eastAsia="zh-CN"/>
              </w:rPr>
              <w:t>已</w:t>
            </w:r>
            <w:r>
              <w:rPr>
                <w:rFonts w:hint="default" w:ascii="Times New Roman" w:hAnsi="Times New Roman" w:eastAsia="宋体" w:cs="Times New Roman"/>
                <w:color w:val="auto"/>
                <w:sz w:val="24"/>
              </w:rPr>
              <w:t>全部做水泥硬化处理。</w:t>
            </w:r>
            <w:r>
              <w:rPr>
                <w:rFonts w:hint="default" w:ascii="Times New Roman" w:hAnsi="Times New Roman" w:eastAsia="宋体" w:cs="Times New Roman"/>
                <w:color w:val="auto"/>
                <w:sz w:val="24"/>
                <w:szCs w:val="24"/>
              </w:rPr>
              <w:t>项目分区防渗图见附图</w:t>
            </w:r>
            <w:r>
              <w:rPr>
                <w:rFonts w:hint="eastAsia" w:cs="Times New Roman"/>
                <w:color w:val="auto"/>
                <w:sz w:val="24"/>
                <w:szCs w:val="24"/>
                <w:lang w:val="en-US" w:eastAsia="zh-CN"/>
              </w:rPr>
              <w:t>6</w:t>
            </w:r>
            <w:r>
              <w:rPr>
                <w:rFonts w:hint="default" w:ascii="Times New Roman" w:hAnsi="Times New Roman" w:eastAsia="宋体" w:cs="Times New Roman"/>
                <w:color w:val="auto"/>
                <w:sz w:val="24"/>
                <w:szCs w:val="24"/>
              </w:rPr>
              <w:t>。</w:t>
            </w:r>
          </w:p>
          <w:p w14:paraId="79408F19">
            <w:pPr>
              <w:pStyle w:val="63"/>
              <w:spacing w:line="480" w:lineRule="exact"/>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bCs/>
                <w:color w:val="auto"/>
              </w:rPr>
              <w:t>综上所述，在严格落实分区防渗</w:t>
            </w:r>
            <w:r>
              <w:rPr>
                <w:rFonts w:hint="eastAsia" w:cs="Times New Roman" w:eastAsiaTheme="minorEastAsia"/>
                <w:bCs/>
                <w:color w:val="auto"/>
                <w:lang w:val="en-US" w:eastAsia="zh-CN"/>
              </w:rPr>
              <w:t>等</w:t>
            </w:r>
            <w:r>
              <w:rPr>
                <w:rFonts w:hint="default" w:ascii="Times New Roman" w:hAnsi="Times New Roman" w:cs="Times New Roman" w:eastAsiaTheme="minorEastAsia"/>
                <w:bCs/>
                <w:color w:val="auto"/>
              </w:rPr>
              <w:t>措施</w:t>
            </w:r>
            <w:r>
              <w:rPr>
                <w:rFonts w:hint="eastAsia" w:cs="Times New Roman" w:eastAsiaTheme="minorEastAsia"/>
                <w:bCs/>
                <w:color w:val="auto"/>
                <w:lang w:val="en-US" w:eastAsia="zh-CN"/>
              </w:rPr>
              <w:t>的前提下</w:t>
            </w:r>
            <w:r>
              <w:rPr>
                <w:rFonts w:hint="default" w:ascii="Times New Roman" w:hAnsi="Times New Roman" w:cs="Times New Roman" w:eastAsiaTheme="minorEastAsia"/>
                <w:bCs/>
                <w:color w:val="auto"/>
              </w:rPr>
              <w:t>，</w:t>
            </w:r>
            <w:r>
              <w:rPr>
                <w:rFonts w:hint="eastAsia" w:cs="Times New Roman" w:eastAsiaTheme="minorEastAsia"/>
                <w:bCs/>
                <w:color w:val="auto"/>
                <w:lang w:val="en-US" w:eastAsia="zh-CN"/>
              </w:rPr>
              <w:t>本项目</w:t>
            </w:r>
            <w:r>
              <w:rPr>
                <w:rFonts w:hint="default" w:ascii="Times New Roman" w:hAnsi="Times New Roman" w:cs="Times New Roman" w:eastAsiaTheme="minorEastAsia"/>
                <w:bCs/>
                <w:color w:val="auto"/>
              </w:rPr>
              <w:t>不会对厂区地下水、土壤环境造成影响。</w:t>
            </w:r>
          </w:p>
          <w:p w14:paraId="52809C73">
            <w:pPr>
              <w:spacing w:line="480" w:lineRule="exact"/>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lang w:val="en-US" w:eastAsia="zh-CN"/>
              </w:rPr>
              <w:t>6</w:t>
            </w:r>
            <w:r>
              <w:rPr>
                <w:rFonts w:hint="default" w:ascii="Times New Roman" w:hAnsi="Times New Roman" w:cs="Times New Roman"/>
                <w:b/>
                <w:color w:val="auto"/>
                <w:sz w:val="24"/>
              </w:rPr>
              <w:t>、生态环境影响分析</w:t>
            </w:r>
          </w:p>
          <w:p w14:paraId="54A7D22D">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ascii="Times New Roman" w:hAnsi="Times New Roman" w:cs="Times New Roman" w:eastAsiaTheme="minorEastAsia"/>
                <w:snapToGrid w:val="0"/>
                <w:color w:val="auto"/>
                <w:sz w:val="24"/>
                <w:lang w:eastAsia="zh-CN"/>
              </w:rPr>
            </w:pPr>
            <w:r>
              <w:rPr>
                <w:rFonts w:hint="default" w:ascii="Times New Roman" w:hAnsi="Times New Roman" w:cs="Times New Roman"/>
                <w:color w:val="auto"/>
                <w:kern w:val="0"/>
                <w:sz w:val="24"/>
                <w:szCs w:val="22"/>
              </w:rPr>
              <w:t>项目位于</w:t>
            </w:r>
            <w:r>
              <w:rPr>
                <w:rFonts w:hint="eastAsia" w:ascii="Times New Roman" w:hAnsi="Times New Roman" w:cs="Times New Roman"/>
                <w:color w:val="auto"/>
                <w:kern w:val="0"/>
                <w:sz w:val="24"/>
                <w:szCs w:val="22"/>
                <w:lang w:eastAsia="zh-CN"/>
              </w:rPr>
              <w:t>河北省邯郸市魏县绿环循环经济产业园1栋-4号</w:t>
            </w:r>
            <w:r>
              <w:rPr>
                <w:rFonts w:hint="default" w:ascii="Times New Roman" w:hAnsi="Times New Roman" w:cs="Times New Roman"/>
                <w:color w:val="auto"/>
                <w:kern w:val="0"/>
                <w:sz w:val="24"/>
                <w:szCs w:val="22"/>
              </w:rPr>
              <w:t>，魏县经济开发区-再生资源循环利用产业园</w:t>
            </w:r>
            <w:r>
              <w:rPr>
                <w:rFonts w:hint="default" w:ascii="Times New Roman" w:hAnsi="Times New Roman" w:cs="Times New Roman"/>
                <w:color w:val="auto"/>
                <w:sz w:val="24"/>
                <w:lang w:eastAsia="zh-CN"/>
              </w:rPr>
              <w:t>，</w:t>
            </w:r>
            <w:r>
              <w:rPr>
                <w:rFonts w:hint="default" w:ascii="Times New Roman" w:hAnsi="Times New Roman" w:cs="Times New Roman"/>
                <w:color w:val="auto"/>
                <w:kern w:val="0"/>
                <w:sz w:val="24"/>
                <w:szCs w:val="22"/>
              </w:rPr>
              <w:t>现状占地为工业用地</w:t>
            </w:r>
            <w:r>
              <w:rPr>
                <w:rFonts w:hint="eastAsia" w:ascii="Times New Roman" w:hAnsi="Times New Roman" w:cs="Times New Roman"/>
                <w:color w:val="auto"/>
                <w:kern w:val="0"/>
                <w:sz w:val="24"/>
                <w:szCs w:val="22"/>
                <w:lang w:eastAsia="zh-CN"/>
              </w:rPr>
              <w:t>，</w:t>
            </w:r>
            <w:r>
              <w:rPr>
                <w:rFonts w:hint="eastAsia" w:ascii="Times New Roman" w:hAnsi="Times New Roman" w:cs="Times New Roman" w:eastAsiaTheme="minorEastAsia"/>
                <w:snapToGrid w:val="0"/>
                <w:color w:val="000000" w:themeColor="text1"/>
                <w:sz w:val="24"/>
                <w:lang w:val="en-US" w:eastAsia="zh-CN"/>
                <w14:textFill>
                  <w14:solidFill>
                    <w14:schemeClr w14:val="tx1"/>
                  </w14:solidFill>
                </w14:textFill>
              </w:rPr>
              <w:t>不涉及</w:t>
            </w:r>
            <w:r>
              <w:rPr>
                <w:rFonts w:hint="default" w:ascii="Times New Roman" w:hAnsi="Times New Roman" w:cs="Times New Roman" w:eastAsiaTheme="minorEastAsia"/>
                <w:snapToGrid w:val="0"/>
                <w:color w:val="000000" w:themeColor="text1"/>
                <w:sz w:val="24"/>
                <w14:textFill>
                  <w14:solidFill>
                    <w14:schemeClr w14:val="tx1"/>
                  </w14:solidFill>
                </w14:textFill>
              </w:rPr>
              <w:t>生态环境保护目标</w:t>
            </w:r>
            <w:r>
              <w:rPr>
                <w:rFonts w:hint="eastAsia" w:ascii="Times New Roman" w:hAnsi="Times New Roman" w:cs="Times New Roman" w:eastAsiaTheme="minorEastAsia"/>
                <w:snapToGrid w:val="0"/>
                <w:color w:val="000000" w:themeColor="text1"/>
                <w:sz w:val="24"/>
                <w:lang w:eastAsia="zh-CN"/>
                <w14:textFill>
                  <w14:solidFill>
                    <w14:schemeClr w14:val="tx1"/>
                  </w14:solidFill>
                </w14:textFill>
              </w:rPr>
              <w:t>，</w:t>
            </w:r>
            <w:r>
              <w:rPr>
                <w:rFonts w:hint="default" w:ascii="Times New Roman" w:hAnsi="Times New Roman" w:cs="Times New Roman" w:eastAsiaTheme="minorEastAsia"/>
                <w:snapToGrid w:val="0"/>
                <w:color w:val="auto"/>
                <w:sz w:val="24"/>
              </w:rPr>
              <w:t>因此本项目不会对周边生态环境产生影响</w:t>
            </w:r>
            <w:r>
              <w:rPr>
                <w:rFonts w:hint="eastAsia" w:ascii="Times New Roman" w:hAnsi="Times New Roman" w:cs="Times New Roman" w:eastAsiaTheme="minorEastAsia"/>
                <w:snapToGrid w:val="0"/>
                <w:color w:val="auto"/>
                <w:sz w:val="24"/>
                <w:lang w:eastAsia="zh-CN"/>
              </w:rPr>
              <w:t>。</w:t>
            </w:r>
          </w:p>
          <w:p w14:paraId="4C934BD5">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cs="Times New Roman"/>
                <w:b/>
                <w:color w:val="auto"/>
                <w:sz w:val="24"/>
              </w:rPr>
            </w:pPr>
            <w:r>
              <w:rPr>
                <w:rFonts w:hint="eastAsia" w:cs="Times New Roman"/>
                <w:b/>
                <w:color w:val="auto"/>
                <w:sz w:val="24"/>
                <w:lang w:val="en-US" w:eastAsia="zh-CN"/>
              </w:rPr>
              <w:t>7</w:t>
            </w:r>
            <w:r>
              <w:rPr>
                <w:rFonts w:hint="default" w:ascii="Times New Roman" w:hAnsi="Times New Roman" w:cs="Times New Roman"/>
                <w:b/>
                <w:color w:val="auto"/>
                <w:sz w:val="24"/>
              </w:rPr>
              <w:t>、环境</w:t>
            </w:r>
            <w:r>
              <w:rPr>
                <w:rFonts w:hint="eastAsia" w:cs="Times New Roman"/>
                <w:b/>
                <w:color w:val="auto"/>
                <w:sz w:val="24"/>
                <w:lang w:val="en-US" w:eastAsia="zh-CN"/>
              </w:rPr>
              <w:t>风险</w:t>
            </w:r>
            <w:r>
              <w:rPr>
                <w:rFonts w:hint="default" w:ascii="Times New Roman" w:hAnsi="Times New Roman" w:eastAsia="宋体" w:cs="Times New Roman"/>
                <w:b/>
                <w:bCs/>
                <w:color w:val="auto"/>
                <w:sz w:val="24"/>
                <w:szCs w:val="24"/>
              </w:rPr>
              <w:t>评价</w:t>
            </w:r>
          </w:p>
          <w:p w14:paraId="4B9966E6">
            <w:pPr>
              <w:pStyle w:val="83"/>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b w:val="0"/>
                <w:bCs w:val="0"/>
                <w:color w:val="auto"/>
                <w:sz w:val="24"/>
                <w:szCs w:val="24"/>
              </w:rPr>
            </w:pPr>
            <w:r>
              <w:rPr>
                <w:rFonts w:hint="default" w:ascii="Times New Roman" w:hAnsi="Times New Roman" w:cs="Times New Roman" w:eastAsiaTheme="minorEastAsia"/>
                <w:b w:val="0"/>
                <w:bCs w:val="0"/>
                <w:color w:val="auto"/>
                <w:sz w:val="24"/>
                <w:szCs w:val="24"/>
              </w:rPr>
              <w:t>（1）物质危险性识别</w:t>
            </w:r>
          </w:p>
          <w:p w14:paraId="242AF576">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1）风险调查</w:t>
            </w:r>
          </w:p>
          <w:p w14:paraId="47891AB4">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default" w:ascii="Times New Roman" w:hAnsi="Times New Roman" w:cs="Times New Roman" w:eastAsiaTheme="minorEastAsia"/>
                <w:b/>
                <w:bCs/>
                <w:snapToGrid w:val="0"/>
                <w:color w:val="auto"/>
                <w:sz w:val="24"/>
                <w:lang w:val="en-US" w:eastAsia="zh-CN"/>
              </w:rPr>
            </w:pP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根据《建设项目环境风险评价技术导则》（HJ169-2018）附录B，对原辅材料、燃料、中间产品、副产品、最终产品、污染物、火灾和爆炸性伴生/次生物等进行危险性识别，筛选风险评价因子，本项目涉及的危险物质主要为润滑油、废过滤棉、废活性炭、废催化剂、废液压油、废润滑油、废油桶、废含油抹布</w:t>
            </w:r>
            <w:r>
              <w:rPr>
                <w:rFonts w:hint="eastAsia" w:ascii="Times New Roman" w:hAnsi="Times New Roman" w:cs="Times New Roman" w:eastAsiaTheme="minorEastAsia"/>
                <w:color w:val="auto"/>
                <w:sz w:val="24"/>
                <w:szCs w:val="24"/>
                <w:lang w:val="en-US" w:eastAsia="zh-CN"/>
              </w:rPr>
              <w:t>。</w:t>
            </w:r>
          </w:p>
          <w:p w14:paraId="2031AC20">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ascii="Times New Roman" w:hAnsi="Times New Roman" w:cs="Times New Roman" w:eastAsiaTheme="minorEastAsia"/>
                <w:b w:val="0"/>
                <w:bCs w:val="0"/>
                <w:snapToGrid w:val="0"/>
                <w:color w:val="auto"/>
                <w:sz w:val="24"/>
                <w:lang w:eastAsia="zh-CN"/>
              </w:rPr>
            </w:pPr>
            <w:r>
              <w:rPr>
                <w:rFonts w:hint="eastAsia" w:ascii="Times New Roman" w:hAnsi="Times New Roman" w:cs="Times New Roman" w:eastAsiaTheme="minorEastAsia"/>
                <w:b w:val="0"/>
                <w:bCs w:val="0"/>
                <w:snapToGrid w:val="0"/>
                <w:color w:val="auto"/>
                <w:sz w:val="24"/>
                <w:lang w:eastAsia="zh-CN"/>
              </w:rPr>
              <w:t>本项目涉及的危险物质的数量和分布情况见下表。</w:t>
            </w:r>
          </w:p>
          <w:p w14:paraId="51322E5C">
            <w:pPr>
              <w:pStyle w:val="43"/>
              <w:keepNext w:val="0"/>
              <w:keepLines w:val="0"/>
              <w:pageBreakBefore w:val="0"/>
              <w:kinsoku/>
              <w:wordWrap/>
              <w:overflowPunct/>
              <w:topLinePunct w:val="0"/>
              <w:autoSpaceDE/>
              <w:autoSpaceDN/>
              <w:bidi w:val="0"/>
              <w:adjustRightInd/>
              <w:snapToGrid/>
              <w:spacing w:after="0" w:afterLines="0" w:line="500" w:lineRule="exact"/>
              <w:ind w:left="0" w:leftChars="0" w:firstLine="0" w:firstLineChars="0"/>
              <w:jc w:val="center"/>
              <w:textAlignment w:val="auto"/>
              <w:rPr>
                <w:rFonts w:hint="eastAsia" w:ascii="Times New Roman" w:hAnsi="Times New Roman" w:cs="Times New Roman" w:eastAsiaTheme="minorEastAsia"/>
                <w:b/>
                <w:bCs/>
                <w:snapToGrid w:val="0"/>
                <w:color w:val="auto"/>
                <w:sz w:val="24"/>
                <w:lang w:eastAsia="zh-CN"/>
              </w:rPr>
            </w:pPr>
            <w:r>
              <w:rPr>
                <w:rFonts w:hint="eastAsia" w:ascii="Times New Roman" w:hAnsi="Times New Roman" w:cs="Times New Roman" w:eastAsiaTheme="minorEastAsia"/>
                <w:b/>
                <w:bCs/>
                <w:snapToGrid w:val="0"/>
                <w:color w:val="auto"/>
                <w:sz w:val="24"/>
                <w:lang w:eastAsia="zh-CN"/>
              </w:rPr>
              <w:t>表</w:t>
            </w:r>
            <w:r>
              <w:rPr>
                <w:rFonts w:hint="eastAsia" w:ascii="Times New Roman" w:hAnsi="Times New Roman" w:cs="Times New Roman" w:eastAsiaTheme="minorEastAsia"/>
                <w:b/>
                <w:bCs/>
                <w:snapToGrid w:val="0"/>
                <w:color w:val="auto"/>
                <w:sz w:val="24"/>
                <w:lang w:val="en-US" w:eastAsia="zh-CN"/>
              </w:rPr>
              <w:t>31</w:t>
            </w:r>
            <w:r>
              <w:rPr>
                <w:rFonts w:hint="eastAsia" w:ascii="Times New Roman" w:hAnsi="Times New Roman" w:cs="Times New Roman" w:eastAsiaTheme="minorEastAsia"/>
                <w:b/>
                <w:bCs/>
                <w:snapToGrid w:val="0"/>
                <w:color w:val="auto"/>
                <w:sz w:val="24"/>
                <w:lang w:eastAsia="zh-CN"/>
              </w:rPr>
              <w:t xml:space="preserve">   危险物质及临界量一览表</w:t>
            </w:r>
          </w:p>
          <w:tbl>
            <w:tblPr>
              <w:tblStyle w:val="29"/>
              <w:tblW w:w="7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1"/>
              <w:gridCol w:w="4041"/>
              <w:gridCol w:w="985"/>
            </w:tblGrid>
            <w:tr w14:paraId="39BB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201" w:type="dxa"/>
                  <w:vAlign w:val="center"/>
                </w:tcPr>
                <w:p w14:paraId="2D96BF0D">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bidi="ar-SA"/>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t>物质名称</w:t>
                  </w:r>
                </w:p>
              </w:tc>
              <w:tc>
                <w:tcPr>
                  <w:tcW w:w="4041" w:type="dxa"/>
                  <w:vAlign w:val="center"/>
                </w:tcPr>
                <w:p w14:paraId="1EE5BE01">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危险</w:t>
                  </w:r>
                  <w:r>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t>物质</w:t>
                  </w:r>
                </w:p>
              </w:tc>
              <w:tc>
                <w:tcPr>
                  <w:tcW w:w="985" w:type="dxa"/>
                  <w:vAlign w:val="center"/>
                </w:tcPr>
                <w:p w14:paraId="3DCB20D2">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t>临界量/t</w:t>
                  </w:r>
                </w:p>
              </w:tc>
            </w:tr>
            <w:tr w14:paraId="315E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201" w:type="dxa"/>
                  <w:vAlign w:val="center"/>
                </w:tcPr>
                <w:p w14:paraId="51B970C0">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val="en-US" w:eastAsia="zh-CN"/>
                    </w:rPr>
                  </w:pPr>
                  <w:r>
                    <w:rPr>
                      <w:rFonts w:hint="eastAsia" w:ascii="Times New Roman" w:hAnsi="Times New Roman" w:cs="Times New Roman" w:eastAsiaTheme="minorEastAsia"/>
                      <w:b w:val="0"/>
                      <w:bCs w:val="0"/>
                      <w:snapToGrid w:val="0"/>
                      <w:color w:val="auto"/>
                      <w:sz w:val="21"/>
                      <w:szCs w:val="21"/>
                      <w:vertAlign w:val="baseline"/>
                      <w:lang w:val="en-US" w:eastAsia="zh-CN"/>
                    </w:rPr>
                    <w:t>润滑油</w:t>
                  </w:r>
                </w:p>
              </w:tc>
              <w:tc>
                <w:tcPr>
                  <w:tcW w:w="4041" w:type="dxa"/>
                  <w:vAlign w:val="center"/>
                </w:tcPr>
                <w:p w14:paraId="09E61E52">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eastAsia="zh-CN"/>
                    </w:rPr>
                  </w:pPr>
                  <w:r>
                    <w:rPr>
                      <w:rFonts w:hint="eastAsia" w:ascii="Times New Roman" w:hAnsi="Times New Roman" w:cs="Times New Roman" w:eastAsiaTheme="minorEastAsia"/>
                      <w:b w:val="0"/>
                      <w:bCs w:val="0"/>
                      <w:snapToGrid w:val="0"/>
                      <w:color w:val="auto"/>
                      <w:sz w:val="21"/>
                      <w:szCs w:val="21"/>
                      <w:vertAlign w:val="baseline"/>
                      <w:lang w:eastAsia="zh-CN"/>
                    </w:rPr>
                    <w:t>矿物油类</w:t>
                  </w:r>
                </w:p>
              </w:tc>
              <w:tc>
                <w:tcPr>
                  <w:tcW w:w="985" w:type="dxa"/>
                  <w:vAlign w:val="center"/>
                </w:tcPr>
                <w:p w14:paraId="55CEBA57">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auto"/>
                      <w:sz w:val="21"/>
                      <w:szCs w:val="21"/>
                      <w:vertAlign w:val="baseline"/>
                      <w:lang w:val="en-US" w:eastAsia="zh-CN"/>
                    </w:rPr>
                  </w:pPr>
                  <w:r>
                    <w:rPr>
                      <w:rFonts w:hint="eastAsia" w:ascii="Times New Roman" w:hAnsi="Times New Roman" w:cs="Times New Roman" w:eastAsiaTheme="minorEastAsia"/>
                      <w:b w:val="0"/>
                      <w:bCs w:val="0"/>
                      <w:snapToGrid w:val="0"/>
                      <w:color w:val="auto"/>
                      <w:sz w:val="21"/>
                      <w:szCs w:val="21"/>
                      <w:vertAlign w:val="baseline"/>
                      <w:lang w:val="en-US" w:eastAsia="zh-CN"/>
                    </w:rPr>
                    <w:t>2500</w:t>
                  </w:r>
                </w:p>
              </w:tc>
            </w:tr>
            <w:tr w14:paraId="2D2A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201" w:type="dxa"/>
                  <w:vAlign w:val="center"/>
                </w:tcPr>
                <w:p w14:paraId="19C8F125">
                  <w:pPr>
                    <w:pStyle w:val="87"/>
                    <w:spacing w:line="280" w:lineRule="exact"/>
                    <w:ind w:firstLine="0" w:firstLineChars="0"/>
                    <w:jc w:val="center"/>
                    <w:rPr>
                      <w:rFonts w:hint="eastAsia" w:ascii="Times New Roman" w:hAnsi="Times New Roman" w:cs="Times New Roman" w:eastAsiaTheme="minorEastAsia"/>
                      <w:b w:val="0"/>
                      <w:bCs w:val="0"/>
                      <w:snapToGrid w:val="0"/>
                      <w:color w:val="auto"/>
                      <w:sz w:val="21"/>
                      <w:szCs w:val="21"/>
                      <w:vertAlign w:val="baseline"/>
                      <w:lang w:val="en-US" w:eastAsia="zh-CN"/>
                    </w:rPr>
                  </w:pPr>
                  <w:r>
                    <w:rPr>
                      <w:rFonts w:hint="eastAsia" w:ascii="Times New Roman" w:hAnsi="Times New Roman" w:cs="Times New Roman"/>
                      <w:bCs/>
                      <w:color w:val="auto"/>
                      <w:sz w:val="21"/>
                      <w:szCs w:val="21"/>
                      <w:shd w:val="clear" w:color="auto" w:fill="auto"/>
                      <w:lang w:val="en-US" w:eastAsia="zh-CN"/>
                    </w:rPr>
                    <w:t>废过滤棉</w:t>
                  </w:r>
                </w:p>
              </w:tc>
              <w:tc>
                <w:tcPr>
                  <w:tcW w:w="4041" w:type="dxa"/>
                  <w:vMerge w:val="restart"/>
                  <w:vAlign w:val="center"/>
                </w:tcPr>
                <w:p w14:paraId="775E3291">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eastAsia="zh-CN"/>
                    </w:rPr>
                  </w:pPr>
                  <w:r>
                    <w:rPr>
                      <w:rFonts w:hint="eastAsia" w:ascii="Times New Roman" w:hAnsi="Times New Roman" w:cs="Times New Roman" w:eastAsiaTheme="minorEastAsia"/>
                      <w:b w:val="0"/>
                      <w:bCs w:val="0"/>
                      <w:snapToGrid w:val="0"/>
                      <w:color w:val="auto"/>
                      <w:sz w:val="21"/>
                      <w:szCs w:val="21"/>
                      <w:vertAlign w:val="baseline"/>
                      <w:lang w:eastAsia="zh-CN"/>
                    </w:rPr>
                    <w:t>健康危险急性毒性物质（类别2，类别3）</w:t>
                  </w:r>
                </w:p>
              </w:tc>
              <w:tc>
                <w:tcPr>
                  <w:tcW w:w="985" w:type="dxa"/>
                  <w:vAlign w:val="center"/>
                </w:tcPr>
                <w:p w14:paraId="0111185D">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val="en-US" w:eastAsia="zh-CN"/>
                    </w:rPr>
                  </w:pPr>
                  <w:r>
                    <w:rPr>
                      <w:rFonts w:hint="eastAsia" w:ascii="Times New Roman" w:hAnsi="Times New Roman" w:cs="Times New Roman" w:eastAsiaTheme="minorEastAsia"/>
                      <w:b w:val="0"/>
                      <w:bCs w:val="0"/>
                      <w:snapToGrid w:val="0"/>
                      <w:color w:val="auto"/>
                      <w:sz w:val="21"/>
                      <w:szCs w:val="21"/>
                      <w:vertAlign w:val="baseline"/>
                      <w:lang w:val="en-US" w:eastAsia="zh-CN"/>
                    </w:rPr>
                    <w:t>50</w:t>
                  </w:r>
                </w:p>
              </w:tc>
            </w:tr>
            <w:tr w14:paraId="4684F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201" w:type="dxa"/>
                  <w:vAlign w:val="center"/>
                </w:tcPr>
                <w:p w14:paraId="3CFA2171">
                  <w:pPr>
                    <w:pStyle w:val="87"/>
                    <w:spacing w:line="280" w:lineRule="exact"/>
                    <w:ind w:firstLine="0" w:firstLineChars="0"/>
                    <w:jc w:val="center"/>
                    <w:rPr>
                      <w:rFonts w:hint="eastAsia" w:ascii="Times New Roman" w:hAnsi="Times New Roman" w:cs="Times New Roman" w:eastAsiaTheme="minorEastAsia"/>
                      <w:b w:val="0"/>
                      <w:bCs w:val="0"/>
                      <w:snapToGrid w:val="0"/>
                      <w:color w:val="auto"/>
                      <w:sz w:val="21"/>
                      <w:szCs w:val="21"/>
                      <w:vertAlign w:val="baseline"/>
                      <w:lang w:val="en-US" w:eastAsia="zh-CN"/>
                    </w:rPr>
                  </w:pPr>
                  <w:r>
                    <w:rPr>
                      <w:rFonts w:hint="eastAsia" w:ascii="Times New Roman" w:hAnsi="Times New Roman" w:cs="Times New Roman"/>
                      <w:bCs/>
                      <w:color w:val="auto"/>
                      <w:sz w:val="21"/>
                      <w:szCs w:val="21"/>
                      <w:shd w:val="clear" w:color="auto" w:fill="auto"/>
                      <w:lang w:val="en-US" w:eastAsia="zh-CN"/>
                    </w:rPr>
                    <w:t>废活性炭</w:t>
                  </w:r>
                </w:p>
              </w:tc>
              <w:tc>
                <w:tcPr>
                  <w:tcW w:w="4041" w:type="dxa"/>
                  <w:vMerge w:val="continue"/>
                  <w:vAlign w:val="center"/>
                </w:tcPr>
                <w:p w14:paraId="0C40B4A5">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eastAsia="zh-CN"/>
                    </w:rPr>
                  </w:pPr>
                </w:p>
              </w:tc>
              <w:tc>
                <w:tcPr>
                  <w:tcW w:w="985" w:type="dxa"/>
                  <w:vAlign w:val="center"/>
                </w:tcPr>
                <w:p w14:paraId="66791F92">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val="en-US" w:eastAsia="zh-CN"/>
                    </w:rPr>
                  </w:pPr>
                  <w:r>
                    <w:rPr>
                      <w:rFonts w:hint="eastAsia" w:ascii="Times New Roman" w:hAnsi="Times New Roman" w:cs="Times New Roman" w:eastAsiaTheme="minorEastAsia"/>
                      <w:b w:val="0"/>
                      <w:bCs w:val="0"/>
                      <w:snapToGrid w:val="0"/>
                      <w:color w:val="auto"/>
                      <w:sz w:val="21"/>
                      <w:szCs w:val="21"/>
                      <w:vertAlign w:val="baseline"/>
                      <w:lang w:val="en-US" w:eastAsia="zh-CN"/>
                    </w:rPr>
                    <w:t>50</w:t>
                  </w:r>
                </w:p>
              </w:tc>
            </w:tr>
            <w:tr w14:paraId="2F35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201" w:type="dxa"/>
                  <w:vAlign w:val="center"/>
                </w:tcPr>
                <w:p w14:paraId="0631D63A">
                  <w:pPr>
                    <w:pStyle w:val="87"/>
                    <w:spacing w:line="280" w:lineRule="exact"/>
                    <w:ind w:firstLine="0" w:firstLineChars="0"/>
                    <w:jc w:val="center"/>
                    <w:rPr>
                      <w:rFonts w:hint="default" w:ascii="Times New Roman" w:hAnsi="Times New Roman" w:cs="Times New Roman" w:eastAsiaTheme="minorEastAsia"/>
                      <w:b w:val="0"/>
                      <w:bCs w:val="0"/>
                      <w:snapToGrid w:val="0"/>
                      <w:color w:val="auto"/>
                      <w:sz w:val="21"/>
                      <w:szCs w:val="21"/>
                      <w:vertAlign w:val="baseline"/>
                      <w:lang w:val="en-US" w:eastAsia="zh-CN"/>
                    </w:rPr>
                  </w:pPr>
                  <w:r>
                    <w:rPr>
                      <w:rFonts w:hint="eastAsia" w:ascii="Times New Roman" w:hAnsi="Times New Roman" w:cs="Times New Roman"/>
                      <w:bCs/>
                      <w:color w:val="auto"/>
                      <w:sz w:val="21"/>
                      <w:szCs w:val="21"/>
                      <w:shd w:val="clear" w:color="auto" w:fill="auto"/>
                      <w:lang w:val="en-US" w:eastAsia="zh-CN"/>
                    </w:rPr>
                    <w:t>废催化剂</w:t>
                  </w:r>
                </w:p>
              </w:tc>
              <w:tc>
                <w:tcPr>
                  <w:tcW w:w="4041" w:type="dxa"/>
                  <w:vMerge w:val="continue"/>
                  <w:vAlign w:val="center"/>
                </w:tcPr>
                <w:p w14:paraId="3BC661AB">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val="en-US" w:eastAsia="zh-CN"/>
                    </w:rPr>
                  </w:pPr>
                </w:p>
              </w:tc>
              <w:tc>
                <w:tcPr>
                  <w:tcW w:w="985" w:type="dxa"/>
                  <w:vAlign w:val="center"/>
                </w:tcPr>
                <w:p w14:paraId="794CA810">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val="en-US" w:eastAsia="zh-CN"/>
                    </w:rPr>
                  </w:pPr>
                  <w:r>
                    <w:rPr>
                      <w:rFonts w:hint="eastAsia" w:ascii="Times New Roman" w:hAnsi="Times New Roman" w:cs="Times New Roman" w:eastAsiaTheme="minorEastAsia"/>
                      <w:b w:val="0"/>
                      <w:bCs w:val="0"/>
                      <w:snapToGrid w:val="0"/>
                      <w:color w:val="auto"/>
                      <w:sz w:val="21"/>
                      <w:szCs w:val="21"/>
                      <w:vertAlign w:val="baseline"/>
                      <w:lang w:val="en-US" w:eastAsia="zh-CN"/>
                    </w:rPr>
                    <w:t>50</w:t>
                  </w:r>
                </w:p>
              </w:tc>
            </w:tr>
            <w:tr w14:paraId="1121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1" w:type="dxa"/>
                  <w:vAlign w:val="center"/>
                </w:tcPr>
                <w:p w14:paraId="7F8A8EF0">
                  <w:pPr>
                    <w:pStyle w:val="87"/>
                    <w:spacing w:line="280" w:lineRule="exact"/>
                    <w:ind w:firstLine="0" w:firstLineChars="0"/>
                    <w:jc w:val="center"/>
                    <w:rPr>
                      <w:rFonts w:hint="default" w:ascii="Times New Roman" w:hAnsi="Times New Roman" w:cs="Times New Roman" w:eastAsiaTheme="minorEastAsia"/>
                      <w:b w:val="0"/>
                      <w:bCs w:val="0"/>
                      <w:snapToGrid w:val="0"/>
                      <w:color w:val="auto"/>
                      <w:sz w:val="21"/>
                      <w:szCs w:val="21"/>
                      <w:vertAlign w:val="baseline"/>
                      <w:lang w:val="en-US" w:eastAsia="zh-CN"/>
                    </w:rPr>
                  </w:pPr>
                  <w:r>
                    <w:rPr>
                      <w:rFonts w:hint="default" w:ascii="Times New Roman" w:hAnsi="Times New Roman" w:cs="Times New Roman"/>
                      <w:bCs/>
                      <w:color w:val="auto"/>
                      <w:sz w:val="21"/>
                      <w:szCs w:val="21"/>
                      <w:shd w:val="clear" w:color="auto" w:fill="auto"/>
                      <w:lang w:val="en-US" w:eastAsia="zh-CN"/>
                    </w:rPr>
                    <w:t>废液压油</w:t>
                  </w:r>
                </w:p>
              </w:tc>
              <w:tc>
                <w:tcPr>
                  <w:tcW w:w="4041" w:type="dxa"/>
                  <w:vAlign w:val="center"/>
                </w:tcPr>
                <w:p w14:paraId="3CDFC1FF">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val="en-US" w:eastAsia="zh-CN"/>
                    </w:rPr>
                  </w:pPr>
                  <w:r>
                    <w:rPr>
                      <w:rFonts w:hint="eastAsia" w:ascii="Times New Roman" w:hAnsi="Times New Roman" w:cs="Times New Roman" w:eastAsiaTheme="minorEastAsia"/>
                      <w:b w:val="0"/>
                      <w:bCs w:val="0"/>
                      <w:snapToGrid w:val="0"/>
                      <w:color w:val="auto"/>
                      <w:sz w:val="21"/>
                      <w:szCs w:val="21"/>
                      <w:vertAlign w:val="baseline"/>
                      <w:lang w:eastAsia="zh-CN"/>
                    </w:rPr>
                    <w:t>矿物油类</w:t>
                  </w:r>
                </w:p>
              </w:tc>
              <w:tc>
                <w:tcPr>
                  <w:tcW w:w="985" w:type="dxa"/>
                  <w:vAlign w:val="center"/>
                </w:tcPr>
                <w:p w14:paraId="3D6C8B4D">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auto"/>
                      <w:sz w:val="21"/>
                      <w:szCs w:val="21"/>
                      <w:vertAlign w:val="baseline"/>
                      <w:lang w:val="en-US" w:eastAsia="zh-CN"/>
                    </w:rPr>
                  </w:pPr>
                  <w:r>
                    <w:rPr>
                      <w:rFonts w:hint="eastAsia" w:ascii="Times New Roman" w:hAnsi="Times New Roman" w:cs="Times New Roman" w:eastAsiaTheme="minorEastAsia"/>
                      <w:b w:val="0"/>
                      <w:bCs w:val="0"/>
                      <w:snapToGrid w:val="0"/>
                      <w:color w:val="auto"/>
                      <w:sz w:val="21"/>
                      <w:szCs w:val="21"/>
                      <w:vertAlign w:val="baseline"/>
                      <w:lang w:val="en-US" w:eastAsia="zh-CN"/>
                    </w:rPr>
                    <w:t>2500</w:t>
                  </w:r>
                </w:p>
              </w:tc>
            </w:tr>
            <w:tr w14:paraId="08EC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1" w:type="dxa"/>
                  <w:vAlign w:val="center"/>
                </w:tcPr>
                <w:p w14:paraId="308FE58D">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default" w:ascii="Times New Roman" w:hAnsi="Times New Roman" w:cs="Times New Roman"/>
                      <w:bCs/>
                      <w:color w:val="auto"/>
                      <w:sz w:val="21"/>
                      <w:szCs w:val="21"/>
                      <w:shd w:val="clear" w:color="auto" w:fill="auto"/>
                      <w:lang w:val="en-US" w:eastAsia="zh-CN"/>
                    </w:rPr>
                    <w:t>废润滑油</w:t>
                  </w:r>
                </w:p>
              </w:tc>
              <w:tc>
                <w:tcPr>
                  <w:tcW w:w="4041" w:type="dxa"/>
                  <w:vAlign w:val="center"/>
                </w:tcPr>
                <w:p w14:paraId="233433EE">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eastAsia="zh-CN"/>
                    </w:rPr>
                  </w:pPr>
                  <w:r>
                    <w:rPr>
                      <w:rFonts w:hint="eastAsia" w:ascii="Times New Roman" w:hAnsi="Times New Roman" w:cs="Times New Roman" w:eastAsiaTheme="minorEastAsia"/>
                      <w:b w:val="0"/>
                      <w:bCs w:val="0"/>
                      <w:snapToGrid w:val="0"/>
                      <w:color w:val="auto"/>
                      <w:sz w:val="21"/>
                      <w:szCs w:val="21"/>
                      <w:vertAlign w:val="baseline"/>
                      <w:lang w:eastAsia="zh-CN"/>
                    </w:rPr>
                    <w:t>矿物油类</w:t>
                  </w:r>
                </w:p>
              </w:tc>
              <w:tc>
                <w:tcPr>
                  <w:tcW w:w="985" w:type="dxa"/>
                  <w:vAlign w:val="center"/>
                </w:tcPr>
                <w:p w14:paraId="72398810">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auto"/>
                      <w:sz w:val="21"/>
                      <w:szCs w:val="21"/>
                      <w:vertAlign w:val="baseline"/>
                      <w:lang w:val="en-US" w:eastAsia="zh-CN"/>
                    </w:rPr>
                  </w:pPr>
                  <w:r>
                    <w:rPr>
                      <w:rFonts w:hint="eastAsia" w:ascii="Times New Roman" w:hAnsi="Times New Roman" w:cs="Times New Roman" w:eastAsiaTheme="minorEastAsia"/>
                      <w:b w:val="0"/>
                      <w:bCs w:val="0"/>
                      <w:snapToGrid w:val="0"/>
                      <w:color w:val="auto"/>
                      <w:sz w:val="21"/>
                      <w:szCs w:val="21"/>
                      <w:vertAlign w:val="baseline"/>
                      <w:lang w:val="en-US" w:eastAsia="zh-CN"/>
                    </w:rPr>
                    <w:t>2500</w:t>
                  </w:r>
                </w:p>
              </w:tc>
            </w:tr>
            <w:tr w14:paraId="209E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1" w:type="dxa"/>
                  <w:vAlign w:val="center"/>
                </w:tcPr>
                <w:p w14:paraId="51A1A435">
                  <w:pPr>
                    <w:pStyle w:val="87"/>
                    <w:spacing w:line="280" w:lineRule="exact"/>
                    <w:ind w:firstLine="0" w:firstLineChars="0"/>
                    <w:jc w:val="center"/>
                    <w:rPr>
                      <w:rFonts w:hint="eastAsia" w:ascii="Times New Roman" w:hAnsi="Times New Roman" w:cs="Times New Roman" w:eastAsiaTheme="minorEastAsia"/>
                      <w:b w:val="0"/>
                      <w:bCs w:val="0"/>
                      <w:snapToGrid w:val="0"/>
                      <w:color w:val="auto"/>
                      <w:sz w:val="21"/>
                      <w:szCs w:val="21"/>
                      <w:vertAlign w:val="baseline"/>
                      <w:lang w:eastAsia="zh-CN"/>
                    </w:rPr>
                  </w:pPr>
                  <w:r>
                    <w:rPr>
                      <w:rFonts w:hint="default" w:ascii="Times New Roman" w:hAnsi="Times New Roman" w:cs="Times New Roman"/>
                      <w:bCs/>
                      <w:color w:val="auto"/>
                      <w:sz w:val="21"/>
                      <w:szCs w:val="21"/>
                      <w:shd w:val="clear" w:color="auto" w:fill="auto"/>
                      <w:lang w:val="en-US" w:eastAsia="zh-CN"/>
                    </w:rPr>
                    <w:t>废油桶</w:t>
                  </w:r>
                </w:p>
              </w:tc>
              <w:tc>
                <w:tcPr>
                  <w:tcW w:w="4041" w:type="dxa"/>
                  <w:vMerge w:val="restart"/>
                  <w:vAlign w:val="center"/>
                </w:tcPr>
                <w:p w14:paraId="73A8D82A">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val="en-US" w:eastAsia="zh-CN"/>
                    </w:rPr>
                  </w:pPr>
                  <w:r>
                    <w:rPr>
                      <w:rFonts w:hint="eastAsia" w:ascii="Times New Roman" w:hAnsi="Times New Roman" w:cs="Times New Roman" w:eastAsiaTheme="minorEastAsia"/>
                      <w:b w:val="0"/>
                      <w:bCs w:val="0"/>
                      <w:snapToGrid w:val="0"/>
                      <w:color w:val="auto"/>
                      <w:sz w:val="21"/>
                      <w:szCs w:val="21"/>
                      <w:vertAlign w:val="baseline"/>
                      <w:lang w:eastAsia="zh-CN"/>
                    </w:rPr>
                    <w:t>健康危险急性毒性物质（类别2，类别3）</w:t>
                  </w:r>
                </w:p>
              </w:tc>
              <w:tc>
                <w:tcPr>
                  <w:tcW w:w="985" w:type="dxa"/>
                  <w:vAlign w:val="center"/>
                </w:tcPr>
                <w:p w14:paraId="1E8EA89B">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auto"/>
                      <w:sz w:val="21"/>
                      <w:szCs w:val="21"/>
                      <w:vertAlign w:val="baseline"/>
                      <w:lang w:val="en-US" w:eastAsia="zh-CN"/>
                    </w:rPr>
                  </w:pPr>
                  <w:r>
                    <w:rPr>
                      <w:rFonts w:hint="eastAsia" w:ascii="Times New Roman" w:hAnsi="Times New Roman" w:cs="Times New Roman" w:eastAsiaTheme="minorEastAsia"/>
                      <w:b w:val="0"/>
                      <w:bCs w:val="0"/>
                      <w:snapToGrid w:val="0"/>
                      <w:color w:val="auto"/>
                      <w:sz w:val="21"/>
                      <w:szCs w:val="21"/>
                      <w:vertAlign w:val="baseline"/>
                      <w:lang w:val="en-US" w:eastAsia="zh-CN"/>
                    </w:rPr>
                    <w:t>50</w:t>
                  </w:r>
                </w:p>
              </w:tc>
            </w:tr>
            <w:tr w14:paraId="618C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1" w:type="dxa"/>
                  <w:vAlign w:val="center"/>
                </w:tcPr>
                <w:p w14:paraId="18AD16D5">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default" w:ascii="Times New Roman" w:hAnsi="Times New Roman" w:cs="Times New Roman"/>
                      <w:bCs/>
                      <w:color w:val="auto"/>
                      <w:sz w:val="21"/>
                      <w:szCs w:val="21"/>
                      <w:shd w:val="clear" w:color="auto" w:fill="auto"/>
                      <w:lang w:val="en-US" w:eastAsia="zh-CN"/>
                    </w:rPr>
                    <w:t>废含油抹布</w:t>
                  </w:r>
                </w:p>
              </w:tc>
              <w:tc>
                <w:tcPr>
                  <w:tcW w:w="4041" w:type="dxa"/>
                  <w:vMerge w:val="continue"/>
                  <w:vAlign w:val="center"/>
                </w:tcPr>
                <w:p w14:paraId="6FA1FDA5">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eastAsia="zh-CN"/>
                    </w:rPr>
                  </w:pPr>
                </w:p>
              </w:tc>
              <w:tc>
                <w:tcPr>
                  <w:tcW w:w="985" w:type="dxa"/>
                  <w:vAlign w:val="center"/>
                </w:tcPr>
                <w:p w14:paraId="42662DE3">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auto"/>
                      <w:sz w:val="21"/>
                      <w:szCs w:val="21"/>
                      <w:vertAlign w:val="baseline"/>
                      <w:lang w:val="en-US" w:eastAsia="zh-CN"/>
                    </w:rPr>
                  </w:pPr>
                  <w:r>
                    <w:rPr>
                      <w:rFonts w:hint="eastAsia" w:ascii="Times New Roman" w:hAnsi="Times New Roman" w:cs="Times New Roman" w:eastAsiaTheme="minorEastAsia"/>
                      <w:b w:val="0"/>
                      <w:bCs w:val="0"/>
                      <w:snapToGrid w:val="0"/>
                      <w:color w:val="auto"/>
                      <w:sz w:val="21"/>
                      <w:szCs w:val="21"/>
                      <w:vertAlign w:val="baseline"/>
                      <w:lang w:val="en-US" w:eastAsia="zh-CN"/>
                    </w:rPr>
                    <w:t>50</w:t>
                  </w:r>
                </w:p>
              </w:tc>
            </w:tr>
          </w:tbl>
          <w:p w14:paraId="71E37B62">
            <w:pPr>
              <w:pStyle w:val="27"/>
              <w:spacing w:after="0" w:line="440" w:lineRule="exact"/>
              <w:ind w:firstLine="420" w:firstLineChars="200"/>
              <w:jc w:val="both"/>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注：项目液压油用量较小，即买即用，不在厂区储存。</w:t>
            </w:r>
          </w:p>
          <w:p w14:paraId="2B7B9DDA">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ascii="Times New Roman" w:hAnsi="Times New Roman" w:cs="Times New Roman" w:eastAsiaTheme="minorEastAsia"/>
                <w:b w:val="0"/>
                <w:bCs w:val="0"/>
                <w:snapToGrid w:val="0"/>
                <w:color w:val="auto"/>
                <w:sz w:val="24"/>
                <w:lang w:eastAsia="zh-CN"/>
              </w:rPr>
            </w:pPr>
            <w:r>
              <w:rPr>
                <w:rFonts w:hint="eastAsia" w:ascii="Times New Roman" w:hAnsi="Times New Roman" w:cs="Times New Roman" w:eastAsiaTheme="minorEastAsia"/>
                <w:b w:val="0"/>
                <w:bCs w:val="0"/>
                <w:snapToGrid w:val="0"/>
                <w:color w:val="auto"/>
                <w:sz w:val="24"/>
                <w:lang w:eastAsia="zh-CN"/>
              </w:rPr>
              <w:t>2）风险潜势初判</w:t>
            </w:r>
          </w:p>
          <w:p w14:paraId="17EC9900">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ascii="Times New Roman" w:hAnsi="Times New Roman" w:cs="Times New Roman" w:eastAsiaTheme="minorEastAsia"/>
                <w:b w:val="0"/>
                <w:bCs w:val="0"/>
                <w:snapToGrid w:val="0"/>
                <w:color w:val="auto"/>
                <w:sz w:val="24"/>
                <w:lang w:eastAsia="zh-CN"/>
              </w:rPr>
            </w:pPr>
            <w:r>
              <w:rPr>
                <w:rFonts w:hint="eastAsia" w:ascii="Times New Roman" w:hAnsi="Times New Roman" w:cs="Times New Roman" w:eastAsiaTheme="minorEastAsia"/>
                <w:b w:val="0"/>
                <w:bCs w:val="0"/>
                <w:snapToGrid w:val="0"/>
                <w:color w:val="auto"/>
                <w:sz w:val="24"/>
                <w:lang w:eastAsia="zh-CN"/>
              </w:rPr>
              <w:t>当存在多种危险物质时，按下式计算物质总量与其临界量的比值（Q）。</w:t>
            </w:r>
          </w:p>
          <w:p w14:paraId="1D6DB3BB">
            <w:pPr>
              <w:pStyle w:val="43"/>
              <w:keepNext w:val="0"/>
              <w:keepLines w:val="0"/>
              <w:pageBreakBefore w:val="0"/>
              <w:kinsoku/>
              <w:wordWrap/>
              <w:overflowPunct/>
              <w:topLinePunct w:val="0"/>
              <w:autoSpaceDE/>
              <w:autoSpaceDN/>
              <w:bidi w:val="0"/>
              <w:adjustRightInd/>
              <w:snapToGrid/>
              <w:spacing w:after="0" w:afterLines="0" w:line="500" w:lineRule="exact"/>
              <w:ind w:left="0" w:leftChars="0" w:firstLine="480" w:firstLineChars="200"/>
              <w:textAlignment w:val="auto"/>
              <w:rPr>
                <w:rFonts w:hint="eastAsia" w:ascii="Times New Roman" w:hAnsi="Times New Roman" w:cs="Times New Roman" w:eastAsiaTheme="minorEastAsia"/>
                <w:b w:val="0"/>
                <w:bCs w:val="0"/>
                <w:snapToGrid w:val="0"/>
                <w:color w:val="auto"/>
                <w:sz w:val="24"/>
                <w:lang w:eastAsia="zh-CN"/>
              </w:rPr>
            </w:pPr>
            <w:r>
              <w:rPr>
                <w:rFonts w:hint="eastAsia" w:ascii="Times New Roman" w:hAnsi="Times New Roman" w:cs="Times New Roman" w:eastAsiaTheme="minorEastAsia"/>
                <w:b w:val="0"/>
                <w:bCs w:val="0"/>
                <w:snapToGrid w:val="0"/>
                <w:color w:val="auto"/>
                <w:sz w:val="24"/>
                <w:lang w:eastAsia="zh-CN"/>
              </w:rPr>
              <w:t>Q=q</w:t>
            </w:r>
            <w:r>
              <w:rPr>
                <w:rFonts w:hint="eastAsia" w:ascii="Times New Roman" w:hAnsi="Times New Roman" w:cs="Times New Roman" w:eastAsiaTheme="minorEastAsia"/>
                <w:b w:val="0"/>
                <w:bCs w:val="0"/>
                <w:snapToGrid w:val="0"/>
                <w:color w:val="auto"/>
                <w:sz w:val="24"/>
                <w:vertAlign w:val="subscript"/>
                <w:lang w:eastAsia="zh-CN"/>
              </w:rPr>
              <w:t>1</w:t>
            </w:r>
            <w:r>
              <w:rPr>
                <w:rFonts w:hint="eastAsia" w:ascii="Times New Roman" w:hAnsi="Times New Roman" w:cs="Times New Roman" w:eastAsiaTheme="minorEastAsia"/>
                <w:b w:val="0"/>
                <w:bCs w:val="0"/>
                <w:snapToGrid w:val="0"/>
                <w:color w:val="auto"/>
                <w:sz w:val="24"/>
                <w:lang w:eastAsia="zh-CN"/>
              </w:rPr>
              <w:t>/Q</w:t>
            </w:r>
            <w:r>
              <w:rPr>
                <w:rFonts w:hint="eastAsia" w:ascii="Times New Roman" w:hAnsi="Times New Roman" w:cs="Times New Roman" w:eastAsiaTheme="minorEastAsia"/>
                <w:b w:val="0"/>
                <w:bCs w:val="0"/>
                <w:snapToGrid w:val="0"/>
                <w:color w:val="auto"/>
                <w:sz w:val="24"/>
                <w:vertAlign w:val="subscript"/>
                <w:lang w:eastAsia="zh-CN"/>
              </w:rPr>
              <w:t>1</w:t>
            </w:r>
            <w:r>
              <w:rPr>
                <w:rFonts w:hint="eastAsia" w:ascii="Times New Roman" w:hAnsi="Times New Roman" w:cs="Times New Roman" w:eastAsiaTheme="minorEastAsia"/>
                <w:b w:val="0"/>
                <w:bCs w:val="0"/>
                <w:snapToGrid w:val="0"/>
                <w:color w:val="auto"/>
                <w:sz w:val="24"/>
                <w:lang w:eastAsia="zh-CN"/>
              </w:rPr>
              <w:t>+ q</w:t>
            </w:r>
            <w:r>
              <w:rPr>
                <w:rFonts w:hint="eastAsia" w:ascii="Times New Roman" w:hAnsi="Times New Roman" w:cs="Times New Roman" w:eastAsiaTheme="minorEastAsia"/>
                <w:b w:val="0"/>
                <w:bCs w:val="0"/>
                <w:snapToGrid w:val="0"/>
                <w:color w:val="auto"/>
                <w:sz w:val="24"/>
                <w:vertAlign w:val="subscript"/>
                <w:lang w:eastAsia="zh-CN"/>
              </w:rPr>
              <w:t>2</w:t>
            </w:r>
            <w:r>
              <w:rPr>
                <w:rFonts w:hint="eastAsia" w:ascii="Times New Roman" w:hAnsi="Times New Roman" w:cs="Times New Roman" w:eastAsiaTheme="minorEastAsia"/>
                <w:b w:val="0"/>
                <w:bCs w:val="0"/>
                <w:snapToGrid w:val="0"/>
                <w:color w:val="auto"/>
                <w:sz w:val="24"/>
                <w:lang w:eastAsia="zh-CN"/>
              </w:rPr>
              <w:t>/Q</w:t>
            </w:r>
            <w:r>
              <w:rPr>
                <w:rFonts w:hint="eastAsia" w:ascii="Times New Roman" w:hAnsi="Times New Roman" w:cs="Times New Roman" w:eastAsiaTheme="minorEastAsia"/>
                <w:b w:val="0"/>
                <w:bCs w:val="0"/>
                <w:snapToGrid w:val="0"/>
                <w:color w:val="auto"/>
                <w:sz w:val="24"/>
                <w:vertAlign w:val="subscript"/>
                <w:lang w:eastAsia="zh-CN"/>
              </w:rPr>
              <w:t>2</w:t>
            </w:r>
            <w:r>
              <w:rPr>
                <w:rFonts w:hint="eastAsia" w:ascii="Times New Roman" w:hAnsi="Times New Roman" w:cs="Times New Roman" w:eastAsiaTheme="minorEastAsia"/>
                <w:b w:val="0"/>
                <w:bCs w:val="0"/>
                <w:snapToGrid w:val="0"/>
                <w:color w:val="auto"/>
                <w:sz w:val="24"/>
                <w:lang w:eastAsia="zh-CN"/>
              </w:rPr>
              <w:t>+ q</w:t>
            </w:r>
            <w:r>
              <w:rPr>
                <w:rFonts w:hint="eastAsia" w:ascii="Times New Roman" w:hAnsi="Times New Roman" w:cs="Times New Roman" w:eastAsiaTheme="minorEastAsia"/>
                <w:b w:val="0"/>
                <w:bCs w:val="0"/>
                <w:snapToGrid w:val="0"/>
                <w:color w:val="auto"/>
                <w:sz w:val="24"/>
                <w:vertAlign w:val="subscript"/>
                <w:lang w:eastAsia="zh-CN"/>
              </w:rPr>
              <w:t>3</w:t>
            </w:r>
            <w:r>
              <w:rPr>
                <w:rFonts w:hint="eastAsia" w:ascii="Times New Roman" w:hAnsi="Times New Roman" w:cs="Times New Roman" w:eastAsiaTheme="minorEastAsia"/>
                <w:b w:val="0"/>
                <w:bCs w:val="0"/>
                <w:snapToGrid w:val="0"/>
                <w:color w:val="auto"/>
                <w:sz w:val="24"/>
                <w:lang w:eastAsia="zh-CN"/>
              </w:rPr>
              <w:t>/Q</w:t>
            </w:r>
            <w:r>
              <w:rPr>
                <w:rFonts w:hint="eastAsia" w:ascii="Times New Roman" w:hAnsi="Times New Roman" w:cs="Times New Roman" w:eastAsiaTheme="minorEastAsia"/>
                <w:b w:val="0"/>
                <w:bCs w:val="0"/>
                <w:snapToGrid w:val="0"/>
                <w:color w:val="auto"/>
                <w:sz w:val="24"/>
                <w:vertAlign w:val="subscript"/>
                <w:lang w:eastAsia="zh-CN"/>
              </w:rPr>
              <w:t>3</w:t>
            </w:r>
            <w:r>
              <w:rPr>
                <w:rFonts w:hint="eastAsia" w:ascii="Times New Roman" w:hAnsi="Times New Roman" w:cs="Times New Roman" w:eastAsiaTheme="minorEastAsia"/>
                <w:b w:val="0"/>
                <w:bCs w:val="0"/>
                <w:snapToGrid w:val="0"/>
                <w:color w:val="auto"/>
                <w:sz w:val="24"/>
                <w:lang w:eastAsia="zh-CN"/>
              </w:rPr>
              <w:t>…q</w:t>
            </w:r>
            <w:r>
              <w:rPr>
                <w:rFonts w:hint="eastAsia" w:ascii="Times New Roman" w:hAnsi="Times New Roman" w:cs="Times New Roman" w:eastAsiaTheme="minorEastAsia"/>
                <w:b w:val="0"/>
                <w:bCs w:val="0"/>
                <w:snapToGrid w:val="0"/>
                <w:color w:val="auto"/>
                <w:sz w:val="24"/>
                <w:vertAlign w:val="subscript"/>
                <w:lang w:eastAsia="zh-CN"/>
              </w:rPr>
              <w:t>n</w:t>
            </w:r>
            <w:r>
              <w:rPr>
                <w:rFonts w:hint="eastAsia" w:ascii="Times New Roman" w:hAnsi="Times New Roman" w:cs="Times New Roman" w:eastAsiaTheme="minorEastAsia"/>
                <w:b w:val="0"/>
                <w:bCs w:val="0"/>
                <w:snapToGrid w:val="0"/>
                <w:color w:val="auto"/>
                <w:sz w:val="24"/>
                <w:lang w:eastAsia="zh-CN"/>
              </w:rPr>
              <w:t>/Q</w:t>
            </w:r>
            <w:r>
              <w:rPr>
                <w:rFonts w:hint="eastAsia" w:ascii="Times New Roman" w:hAnsi="Times New Roman" w:cs="Times New Roman" w:eastAsiaTheme="minorEastAsia"/>
                <w:b w:val="0"/>
                <w:bCs w:val="0"/>
                <w:snapToGrid w:val="0"/>
                <w:color w:val="auto"/>
                <w:sz w:val="24"/>
                <w:vertAlign w:val="subscript"/>
                <w:lang w:eastAsia="zh-CN"/>
              </w:rPr>
              <w:t>n</w:t>
            </w:r>
            <w:r>
              <w:rPr>
                <w:rFonts w:hint="eastAsia" w:ascii="Times New Roman" w:hAnsi="Times New Roman" w:cs="Times New Roman" w:eastAsiaTheme="minorEastAsia"/>
                <w:b w:val="0"/>
                <w:bCs w:val="0"/>
                <w:snapToGrid w:val="0"/>
                <w:color w:val="auto"/>
                <w:sz w:val="24"/>
                <w:lang w:eastAsia="zh-CN"/>
              </w:rPr>
              <w:t xml:space="preserve"> </w:t>
            </w:r>
          </w:p>
          <w:p w14:paraId="3626A540">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ascii="Times New Roman" w:hAnsi="Times New Roman" w:cs="Times New Roman" w:eastAsiaTheme="minorEastAsia"/>
                <w:b w:val="0"/>
                <w:bCs w:val="0"/>
                <w:snapToGrid w:val="0"/>
                <w:color w:val="auto"/>
                <w:sz w:val="24"/>
                <w:lang w:eastAsia="zh-CN"/>
              </w:rPr>
            </w:pPr>
            <w:r>
              <w:rPr>
                <w:rFonts w:hint="eastAsia" w:ascii="Times New Roman" w:hAnsi="Times New Roman" w:cs="Times New Roman" w:eastAsiaTheme="minorEastAsia"/>
                <w:b w:val="0"/>
                <w:bCs w:val="0"/>
                <w:snapToGrid w:val="0"/>
                <w:color w:val="auto"/>
                <w:sz w:val="24"/>
                <w:lang w:eastAsia="zh-CN"/>
              </w:rPr>
              <w:t>式中：q</w:t>
            </w:r>
            <w:r>
              <w:rPr>
                <w:rFonts w:hint="eastAsia" w:ascii="Times New Roman" w:hAnsi="Times New Roman" w:cs="Times New Roman" w:eastAsiaTheme="minorEastAsia"/>
                <w:b w:val="0"/>
                <w:bCs w:val="0"/>
                <w:snapToGrid w:val="0"/>
                <w:color w:val="auto"/>
                <w:sz w:val="24"/>
                <w:vertAlign w:val="subscript"/>
                <w:lang w:eastAsia="zh-CN"/>
              </w:rPr>
              <w:t>1</w:t>
            </w:r>
            <w:r>
              <w:rPr>
                <w:rFonts w:hint="eastAsia" w:ascii="Times New Roman" w:hAnsi="Times New Roman" w:cs="Times New Roman" w:eastAsiaTheme="minorEastAsia"/>
                <w:b w:val="0"/>
                <w:bCs w:val="0"/>
                <w:snapToGrid w:val="0"/>
                <w:color w:val="auto"/>
                <w:sz w:val="24"/>
                <w:lang w:eastAsia="zh-CN"/>
              </w:rPr>
              <w:t>，q</w:t>
            </w:r>
            <w:r>
              <w:rPr>
                <w:rFonts w:hint="eastAsia" w:ascii="Times New Roman" w:hAnsi="Times New Roman" w:cs="Times New Roman" w:eastAsiaTheme="minorEastAsia"/>
                <w:b w:val="0"/>
                <w:bCs w:val="0"/>
                <w:snapToGrid w:val="0"/>
                <w:color w:val="auto"/>
                <w:sz w:val="24"/>
                <w:vertAlign w:val="subscript"/>
                <w:lang w:eastAsia="zh-CN"/>
              </w:rPr>
              <w:t>2</w:t>
            </w:r>
            <w:r>
              <w:rPr>
                <w:rFonts w:hint="eastAsia" w:ascii="Times New Roman" w:hAnsi="Times New Roman" w:cs="Times New Roman" w:eastAsiaTheme="minorEastAsia"/>
                <w:b w:val="0"/>
                <w:bCs w:val="0"/>
                <w:snapToGrid w:val="0"/>
                <w:color w:val="auto"/>
                <w:sz w:val="24"/>
                <w:lang w:eastAsia="zh-CN"/>
              </w:rPr>
              <w:t>，……q</w:t>
            </w:r>
            <w:r>
              <w:rPr>
                <w:rFonts w:hint="eastAsia" w:ascii="Times New Roman" w:hAnsi="Times New Roman" w:cs="Times New Roman" w:eastAsiaTheme="minorEastAsia"/>
                <w:b w:val="0"/>
                <w:bCs w:val="0"/>
                <w:snapToGrid w:val="0"/>
                <w:color w:val="auto"/>
                <w:sz w:val="24"/>
                <w:vertAlign w:val="subscript"/>
                <w:lang w:eastAsia="zh-CN"/>
              </w:rPr>
              <w:t>n</w:t>
            </w:r>
            <w:r>
              <w:rPr>
                <w:rFonts w:hint="eastAsia" w:ascii="Times New Roman" w:hAnsi="Times New Roman" w:cs="Times New Roman" w:eastAsiaTheme="minorEastAsia"/>
                <w:b w:val="0"/>
                <w:bCs w:val="0"/>
                <w:snapToGrid w:val="0"/>
                <w:color w:val="auto"/>
                <w:sz w:val="24"/>
                <w:vertAlign w:val="baseline"/>
                <w:lang w:val="en-US" w:eastAsia="zh-CN"/>
              </w:rPr>
              <w:t>—</w:t>
            </w:r>
            <w:r>
              <w:rPr>
                <w:rFonts w:hint="eastAsia" w:ascii="Times New Roman" w:hAnsi="Times New Roman" w:cs="Times New Roman" w:eastAsiaTheme="minorEastAsia"/>
                <w:b w:val="0"/>
                <w:bCs w:val="0"/>
                <w:snapToGrid w:val="0"/>
                <w:color w:val="auto"/>
                <w:sz w:val="24"/>
                <w:lang w:eastAsia="zh-CN"/>
              </w:rPr>
              <w:t>每种危险物质实际存在量，单位为t；</w:t>
            </w:r>
          </w:p>
          <w:p w14:paraId="5EADB6A4">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ascii="Times New Roman" w:hAnsi="Times New Roman" w:cs="Times New Roman" w:eastAsiaTheme="minorEastAsia"/>
                <w:b w:val="0"/>
                <w:bCs w:val="0"/>
                <w:snapToGrid w:val="0"/>
                <w:color w:val="auto"/>
                <w:sz w:val="24"/>
                <w:lang w:eastAsia="zh-CN"/>
              </w:rPr>
            </w:pPr>
            <w:r>
              <w:rPr>
                <w:rFonts w:hint="eastAsia" w:ascii="Times New Roman" w:hAnsi="Times New Roman" w:cs="Times New Roman" w:eastAsiaTheme="minorEastAsia"/>
                <w:b w:val="0"/>
                <w:bCs w:val="0"/>
                <w:snapToGrid w:val="0"/>
                <w:color w:val="auto"/>
                <w:sz w:val="24"/>
                <w:lang w:eastAsia="zh-CN"/>
              </w:rPr>
              <w:t>Q</w:t>
            </w:r>
            <w:r>
              <w:rPr>
                <w:rFonts w:hint="eastAsia" w:ascii="Times New Roman" w:hAnsi="Times New Roman" w:cs="Times New Roman" w:eastAsiaTheme="minorEastAsia"/>
                <w:b w:val="0"/>
                <w:bCs w:val="0"/>
                <w:snapToGrid w:val="0"/>
                <w:color w:val="auto"/>
                <w:sz w:val="24"/>
                <w:vertAlign w:val="subscript"/>
                <w:lang w:eastAsia="zh-CN"/>
              </w:rPr>
              <w:t>1</w:t>
            </w:r>
            <w:r>
              <w:rPr>
                <w:rFonts w:hint="eastAsia" w:ascii="Times New Roman" w:hAnsi="Times New Roman" w:cs="Times New Roman" w:eastAsiaTheme="minorEastAsia"/>
                <w:b w:val="0"/>
                <w:bCs w:val="0"/>
                <w:snapToGrid w:val="0"/>
                <w:color w:val="auto"/>
                <w:sz w:val="24"/>
                <w:lang w:eastAsia="zh-CN"/>
              </w:rPr>
              <w:t>，Q</w:t>
            </w:r>
            <w:r>
              <w:rPr>
                <w:rFonts w:hint="eastAsia" w:ascii="Times New Roman" w:hAnsi="Times New Roman" w:cs="Times New Roman" w:eastAsiaTheme="minorEastAsia"/>
                <w:b w:val="0"/>
                <w:bCs w:val="0"/>
                <w:snapToGrid w:val="0"/>
                <w:color w:val="auto"/>
                <w:sz w:val="24"/>
                <w:vertAlign w:val="subscript"/>
                <w:lang w:eastAsia="zh-CN"/>
              </w:rPr>
              <w:t>2</w:t>
            </w:r>
            <w:r>
              <w:rPr>
                <w:rFonts w:hint="eastAsia" w:ascii="Times New Roman" w:hAnsi="Times New Roman" w:cs="Times New Roman" w:eastAsiaTheme="minorEastAsia"/>
                <w:b w:val="0"/>
                <w:bCs w:val="0"/>
                <w:snapToGrid w:val="0"/>
                <w:color w:val="auto"/>
                <w:sz w:val="24"/>
                <w:lang w:eastAsia="zh-CN"/>
              </w:rPr>
              <w:t>，……Q</w:t>
            </w:r>
            <w:r>
              <w:rPr>
                <w:rFonts w:hint="eastAsia" w:ascii="Times New Roman" w:hAnsi="Times New Roman" w:cs="Times New Roman" w:eastAsiaTheme="minorEastAsia"/>
                <w:b w:val="0"/>
                <w:bCs w:val="0"/>
                <w:snapToGrid w:val="0"/>
                <w:color w:val="auto"/>
                <w:sz w:val="24"/>
                <w:vertAlign w:val="subscript"/>
                <w:lang w:eastAsia="zh-CN"/>
              </w:rPr>
              <w:t>n</w:t>
            </w:r>
            <w:r>
              <w:rPr>
                <w:rFonts w:hint="eastAsia" w:ascii="Times New Roman" w:hAnsi="Times New Roman" w:cs="Times New Roman" w:eastAsiaTheme="minorEastAsia"/>
                <w:b w:val="0"/>
                <w:bCs w:val="0"/>
                <w:snapToGrid w:val="0"/>
                <w:color w:val="auto"/>
                <w:sz w:val="24"/>
                <w:lang w:eastAsia="zh-CN"/>
              </w:rPr>
              <w:t>—与各种危险物质相对应的临界量，单位为t。</w:t>
            </w:r>
          </w:p>
          <w:p w14:paraId="1D77A02E">
            <w:pPr>
              <w:pStyle w:val="43"/>
              <w:keepNext w:val="0"/>
              <w:keepLines w:val="0"/>
              <w:pageBreakBefore w:val="0"/>
              <w:kinsoku/>
              <w:wordWrap/>
              <w:overflowPunct/>
              <w:topLinePunct w:val="0"/>
              <w:autoSpaceDE/>
              <w:autoSpaceDN/>
              <w:bidi w:val="0"/>
              <w:adjustRightInd/>
              <w:snapToGrid/>
              <w:spacing w:after="0" w:afterLines="0" w:line="500" w:lineRule="exact"/>
              <w:ind w:left="0" w:leftChars="0" w:firstLine="0" w:firstLineChars="0"/>
              <w:jc w:val="center"/>
              <w:textAlignment w:val="auto"/>
              <w:rPr>
                <w:rFonts w:hint="eastAsia" w:ascii="Times New Roman" w:hAnsi="Times New Roman" w:cs="Times New Roman" w:eastAsiaTheme="minorEastAsia"/>
                <w:b/>
                <w:bCs/>
                <w:snapToGrid w:val="0"/>
                <w:color w:val="auto"/>
                <w:sz w:val="24"/>
                <w:lang w:eastAsia="zh-CN"/>
              </w:rPr>
            </w:pPr>
            <w:r>
              <w:rPr>
                <w:rFonts w:hint="eastAsia" w:ascii="Times New Roman" w:hAnsi="Times New Roman" w:cs="Times New Roman" w:eastAsiaTheme="minorEastAsia"/>
                <w:b/>
                <w:bCs/>
                <w:snapToGrid w:val="0"/>
                <w:color w:val="auto"/>
                <w:sz w:val="24"/>
                <w:lang w:eastAsia="zh-CN"/>
              </w:rPr>
              <w:t>表</w:t>
            </w:r>
            <w:r>
              <w:rPr>
                <w:rFonts w:hint="eastAsia" w:ascii="Times New Roman" w:hAnsi="Times New Roman" w:cs="Times New Roman" w:eastAsiaTheme="minorEastAsia"/>
                <w:b/>
                <w:bCs/>
                <w:snapToGrid w:val="0"/>
                <w:color w:val="auto"/>
                <w:sz w:val="24"/>
                <w:lang w:val="en-US" w:eastAsia="zh-CN"/>
              </w:rPr>
              <w:t>32</w:t>
            </w:r>
            <w:r>
              <w:rPr>
                <w:rFonts w:hint="eastAsia" w:ascii="Times New Roman" w:hAnsi="Times New Roman" w:cs="Times New Roman" w:eastAsiaTheme="minorEastAsia"/>
                <w:b/>
                <w:bCs/>
                <w:snapToGrid w:val="0"/>
                <w:color w:val="auto"/>
                <w:sz w:val="24"/>
                <w:lang w:eastAsia="zh-CN"/>
              </w:rPr>
              <w:t xml:space="preserve">   危险物质数量与临界量比值一览表</w:t>
            </w:r>
          </w:p>
          <w:tbl>
            <w:tblPr>
              <w:tblStyle w:val="29"/>
              <w:tblW w:w="8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2160"/>
              <w:gridCol w:w="1875"/>
              <w:gridCol w:w="1590"/>
              <w:gridCol w:w="1271"/>
            </w:tblGrid>
            <w:tr w14:paraId="204C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8" w:type="dxa"/>
                  <w:vAlign w:val="center"/>
                </w:tcPr>
                <w:p w14:paraId="0D350E4D">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t>物质名称</w:t>
                  </w:r>
                </w:p>
              </w:tc>
              <w:tc>
                <w:tcPr>
                  <w:tcW w:w="4035" w:type="dxa"/>
                  <w:gridSpan w:val="2"/>
                  <w:vAlign w:val="center"/>
                </w:tcPr>
                <w:p w14:paraId="67A6E8B3">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t>物料暂存最大量 q</w:t>
                  </w:r>
                  <w:r>
                    <w:rPr>
                      <w:rFonts w:hint="eastAsia" w:ascii="Times New Roman" w:hAnsi="Times New Roman" w:cs="Times New Roman" w:eastAsiaTheme="minorEastAsia"/>
                      <w:b w:val="0"/>
                      <w:bCs w:val="0"/>
                      <w:snapToGrid w:val="0"/>
                      <w:color w:val="000000" w:themeColor="text1"/>
                      <w:sz w:val="21"/>
                      <w:szCs w:val="21"/>
                      <w:vertAlign w:val="subscript"/>
                      <w:lang w:eastAsia="zh-CN"/>
                      <w14:textFill>
                        <w14:solidFill>
                          <w14:schemeClr w14:val="tx1"/>
                        </w14:solidFill>
                      </w14:textFill>
                    </w:rPr>
                    <w:t>i</w:t>
                  </w:r>
                  <w:r>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t>（t）</w:t>
                  </w:r>
                </w:p>
              </w:tc>
              <w:tc>
                <w:tcPr>
                  <w:tcW w:w="1590" w:type="dxa"/>
                  <w:vAlign w:val="center"/>
                </w:tcPr>
                <w:p w14:paraId="1BDAEC9F">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t>临界量 Q</w:t>
                  </w:r>
                  <w:r>
                    <w:rPr>
                      <w:rFonts w:hint="eastAsia" w:ascii="Times New Roman" w:hAnsi="Times New Roman" w:cs="Times New Roman" w:eastAsiaTheme="minorEastAsia"/>
                      <w:b w:val="0"/>
                      <w:bCs w:val="0"/>
                      <w:snapToGrid w:val="0"/>
                      <w:color w:val="000000" w:themeColor="text1"/>
                      <w:sz w:val="21"/>
                      <w:szCs w:val="21"/>
                      <w:vertAlign w:val="subscript"/>
                      <w:lang w:eastAsia="zh-CN"/>
                      <w14:textFill>
                        <w14:solidFill>
                          <w14:schemeClr w14:val="tx1"/>
                        </w14:solidFill>
                      </w14:textFill>
                    </w:rPr>
                    <w:t>i</w:t>
                  </w:r>
                  <w:r>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t>（t）</w:t>
                  </w:r>
                </w:p>
              </w:tc>
              <w:tc>
                <w:tcPr>
                  <w:tcW w:w="1271" w:type="dxa"/>
                  <w:vAlign w:val="center"/>
                </w:tcPr>
                <w:p w14:paraId="539F18B1">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t>q</w:t>
                  </w:r>
                  <w:r>
                    <w:rPr>
                      <w:rFonts w:hint="eastAsia" w:ascii="Times New Roman" w:hAnsi="Times New Roman" w:cs="Times New Roman" w:eastAsiaTheme="minorEastAsia"/>
                      <w:b w:val="0"/>
                      <w:bCs w:val="0"/>
                      <w:snapToGrid w:val="0"/>
                      <w:color w:val="000000" w:themeColor="text1"/>
                      <w:sz w:val="21"/>
                      <w:szCs w:val="21"/>
                      <w:vertAlign w:val="subscript"/>
                      <w:lang w:eastAsia="zh-CN"/>
                      <w14:textFill>
                        <w14:solidFill>
                          <w14:schemeClr w14:val="tx1"/>
                        </w14:solidFill>
                      </w14:textFill>
                    </w:rPr>
                    <w:t>i</w:t>
                  </w:r>
                  <w:r>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t>/Q</w:t>
                  </w:r>
                  <w:r>
                    <w:rPr>
                      <w:rFonts w:hint="eastAsia" w:ascii="Times New Roman" w:hAnsi="Times New Roman" w:cs="Times New Roman" w:eastAsiaTheme="minorEastAsia"/>
                      <w:b w:val="0"/>
                      <w:bCs w:val="0"/>
                      <w:snapToGrid w:val="0"/>
                      <w:color w:val="000000" w:themeColor="text1"/>
                      <w:sz w:val="21"/>
                      <w:szCs w:val="21"/>
                      <w:vertAlign w:val="subscript"/>
                      <w:lang w:eastAsia="zh-CN"/>
                      <w14:textFill>
                        <w14:solidFill>
                          <w14:schemeClr w14:val="tx1"/>
                        </w14:solidFill>
                      </w14:textFill>
                    </w:rPr>
                    <w:t>i</w:t>
                  </w:r>
                </w:p>
              </w:tc>
            </w:tr>
            <w:tr w14:paraId="183B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8" w:type="dxa"/>
                  <w:vAlign w:val="center"/>
                </w:tcPr>
                <w:p w14:paraId="6554BC65">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eastAsiaTheme="minorEastAsia"/>
                      <w:b w:val="0"/>
                      <w:bCs w:val="0"/>
                      <w:snapToGrid w:val="0"/>
                      <w:color w:val="auto"/>
                      <w:sz w:val="21"/>
                      <w:szCs w:val="21"/>
                      <w:vertAlign w:val="baseline"/>
                      <w:lang w:val="en-US" w:eastAsia="zh-CN"/>
                    </w:rPr>
                    <w:t>润滑油</w:t>
                  </w:r>
                </w:p>
              </w:tc>
              <w:tc>
                <w:tcPr>
                  <w:tcW w:w="2160" w:type="dxa"/>
                  <w:vAlign w:val="center"/>
                </w:tcPr>
                <w:p w14:paraId="0B51C08F">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eastAsiaTheme="minorEastAsia"/>
                      <w:b w:val="0"/>
                      <w:bCs w:val="0"/>
                      <w:snapToGrid w:val="0"/>
                      <w:color w:val="auto"/>
                      <w:sz w:val="21"/>
                      <w:szCs w:val="21"/>
                      <w:vertAlign w:val="baseline"/>
                      <w:lang w:eastAsia="zh-CN"/>
                    </w:rPr>
                    <w:t>矿物油类</w:t>
                  </w:r>
                </w:p>
              </w:tc>
              <w:tc>
                <w:tcPr>
                  <w:tcW w:w="1875" w:type="dxa"/>
                  <w:vAlign w:val="center"/>
                </w:tcPr>
                <w:p w14:paraId="098DD63E">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0.005</w:t>
                  </w:r>
                </w:p>
              </w:tc>
              <w:tc>
                <w:tcPr>
                  <w:tcW w:w="1590" w:type="dxa"/>
                  <w:vAlign w:val="center"/>
                </w:tcPr>
                <w:p w14:paraId="5E6C0CDE">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2500</w:t>
                  </w:r>
                </w:p>
              </w:tc>
              <w:tc>
                <w:tcPr>
                  <w:tcW w:w="1271" w:type="dxa"/>
                  <w:vAlign w:val="center"/>
                </w:tcPr>
                <w:p w14:paraId="1E51B0E4">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0.000006</w:t>
                  </w:r>
                </w:p>
              </w:tc>
            </w:tr>
            <w:tr w14:paraId="56E8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8" w:type="dxa"/>
                  <w:vAlign w:val="center"/>
                </w:tcPr>
                <w:p w14:paraId="7A015B32">
                  <w:pPr>
                    <w:pStyle w:val="87"/>
                    <w:spacing w:line="280" w:lineRule="exact"/>
                    <w:ind w:firstLine="0" w:firstLineChars="0"/>
                    <w:jc w:val="center"/>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Cs/>
                      <w:color w:val="auto"/>
                      <w:sz w:val="21"/>
                      <w:szCs w:val="21"/>
                      <w:shd w:val="clear" w:color="auto" w:fill="auto"/>
                      <w:lang w:val="en-US" w:eastAsia="zh-CN"/>
                    </w:rPr>
                    <w:t>废过滤棉</w:t>
                  </w:r>
                </w:p>
              </w:tc>
              <w:tc>
                <w:tcPr>
                  <w:tcW w:w="2160" w:type="dxa"/>
                  <w:vMerge w:val="restart"/>
                  <w:vAlign w:val="center"/>
                </w:tcPr>
                <w:p w14:paraId="3D7ECEF2">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t>健康危险急性毒性物质（类别2，类别3）</w:t>
                  </w:r>
                </w:p>
              </w:tc>
              <w:tc>
                <w:tcPr>
                  <w:tcW w:w="1875" w:type="dxa"/>
                  <w:vAlign w:val="center"/>
                </w:tcPr>
                <w:p w14:paraId="4ADB3BE1">
                  <w:pPr>
                    <w:spacing w:line="240" w:lineRule="exact"/>
                    <w:jc w:val="center"/>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0.05</w:t>
                  </w:r>
                </w:p>
              </w:tc>
              <w:tc>
                <w:tcPr>
                  <w:tcW w:w="1590" w:type="dxa"/>
                  <w:vAlign w:val="center"/>
                </w:tcPr>
                <w:p w14:paraId="1B20A930">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50</w:t>
                  </w:r>
                </w:p>
              </w:tc>
              <w:tc>
                <w:tcPr>
                  <w:tcW w:w="1271" w:type="dxa"/>
                  <w:vAlign w:val="center"/>
                </w:tcPr>
                <w:p w14:paraId="6FD7E5F5">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0.001</w:t>
                  </w:r>
                </w:p>
              </w:tc>
            </w:tr>
            <w:tr w14:paraId="67C6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08" w:type="dxa"/>
                  <w:vAlign w:val="center"/>
                </w:tcPr>
                <w:p w14:paraId="31F2FD22">
                  <w:pPr>
                    <w:pStyle w:val="87"/>
                    <w:spacing w:line="280" w:lineRule="exact"/>
                    <w:ind w:firstLine="0" w:firstLineChars="0"/>
                    <w:jc w:val="center"/>
                    <w:rPr>
                      <w:rFonts w:hint="default" w:ascii="Times New Roman" w:hAnsi="Times New Roman" w:cs="Times New Roman" w:eastAsiaTheme="minorEastAsia"/>
                      <w:b w:val="0"/>
                      <w:bCs w:val="0"/>
                      <w:snapToGrid w:val="0"/>
                      <w:color w:val="auto"/>
                      <w:sz w:val="21"/>
                      <w:szCs w:val="21"/>
                      <w:vertAlign w:val="baseline"/>
                      <w:lang w:val="en-US" w:eastAsia="zh-CN"/>
                    </w:rPr>
                  </w:pPr>
                  <w:r>
                    <w:rPr>
                      <w:rFonts w:hint="eastAsia" w:ascii="Times New Roman" w:hAnsi="Times New Roman" w:cs="Times New Roman"/>
                      <w:bCs/>
                      <w:color w:val="auto"/>
                      <w:sz w:val="21"/>
                      <w:szCs w:val="21"/>
                      <w:shd w:val="clear" w:color="auto" w:fill="auto"/>
                      <w:lang w:val="en-US" w:eastAsia="zh-CN"/>
                    </w:rPr>
                    <w:t>废活性炭</w:t>
                  </w:r>
                </w:p>
              </w:tc>
              <w:tc>
                <w:tcPr>
                  <w:tcW w:w="2160" w:type="dxa"/>
                  <w:vMerge w:val="continue"/>
                  <w:vAlign w:val="center"/>
                </w:tcPr>
                <w:p w14:paraId="6C34F0ED">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val="en-US" w:eastAsia="zh-CN"/>
                    </w:rPr>
                  </w:pPr>
                </w:p>
              </w:tc>
              <w:tc>
                <w:tcPr>
                  <w:tcW w:w="1875" w:type="dxa"/>
                  <w:vAlign w:val="center"/>
                </w:tcPr>
                <w:p w14:paraId="2AFB2F31">
                  <w:pPr>
                    <w:spacing w:line="240" w:lineRule="exact"/>
                    <w:jc w:val="center"/>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0.9</w:t>
                  </w:r>
                </w:p>
              </w:tc>
              <w:tc>
                <w:tcPr>
                  <w:tcW w:w="1590" w:type="dxa"/>
                  <w:vAlign w:val="center"/>
                </w:tcPr>
                <w:p w14:paraId="5ADA1144">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50</w:t>
                  </w:r>
                </w:p>
              </w:tc>
              <w:tc>
                <w:tcPr>
                  <w:tcW w:w="1271" w:type="dxa"/>
                  <w:vAlign w:val="center"/>
                </w:tcPr>
                <w:p w14:paraId="3FD5EBF7">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0.018</w:t>
                  </w:r>
                </w:p>
              </w:tc>
            </w:tr>
            <w:tr w14:paraId="55746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08" w:type="dxa"/>
                  <w:vAlign w:val="center"/>
                </w:tcPr>
                <w:p w14:paraId="6445EF38">
                  <w:pPr>
                    <w:pStyle w:val="87"/>
                    <w:spacing w:line="280" w:lineRule="exact"/>
                    <w:ind w:firstLine="0" w:firstLineChars="0"/>
                    <w:jc w:val="center"/>
                    <w:rPr>
                      <w:rFonts w:hint="eastAsia" w:ascii="Times New Roman" w:hAnsi="Times New Roman" w:cs="Times New Roman" w:eastAsiaTheme="minorEastAsia"/>
                      <w:b w:val="0"/>
                      <w:bCs w:val="0"/>
                      <w:snapToGrid w:val="0"/>
                      <w:color w:val="auto"/>
                      <w:sz w:val="21"/>
                      <w:szCs w:val="21"/>
                      <w:vertAlign w:val="baseline"/>
                      <w:lang w:eastAsia="zh-CN"/>
                    </w:rPr>
                  </w:pPr>
                  <w:r>
                    <w:rPr>
                      <w:rFonts w:hint="eastAsia" w:ascii="Times New Roman" w:hAnsi="Times New Roman" w:cs="Times New Roman"/>
                      <w:bCs/>
                      <w:color w:val="auto"/>
                      <w:sz w:val="21"/>
                      <w:szCs w:val="21"/>
                      <w:shd w:val="clear" w:color="auto" w:fill="auto"/>
                      <w:lang w:val="en-US" w:eastAsia="zh-CN"/>
                    </w:rPr>
                    <w:t>废催化剂</w:t>
                  </w:r>
                </w:p>
              </w:tc>
              <w:tc>
                <w:tcPr>
                  <w:tcW w:w="2160" w:type="dxa"/>
                  <w:vMerge w:val="continue"/>
                  <w:vAlign w:val="center"/>
                </w:tcPr>
                <w:p w14:paraId="451F1201">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val="en-US" w:eastAsia="zh-CN"/>
                    </w:rPr>
                  </w:pPr>
                </w:p>
              </w:tc>
              <w:tc>
                <w:tcPr>
                  <w:tcW w:w="1875" w:type="dxa"/>
                  <w:vAlign w:val="center"/>
                </w:tcPr>
                <w:p w14:paraId="0AA500D9">
                  <w:pPr>
                    <w:spacing w:line="240" w:lineRule="exact"/>
                    <w:jc w:val="center"/>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0.2</w:t>
                  </w:r>
                  <w:r>
                    <w:rPr>
                      <w:rFonts w:hint="eastAsia" w:cs="Times New Roman"/>
                      <w:bCs/>
                      <w:color w:val="auto"/>
                      <w:sz w:val="21"/>
                      <w:szCs w:val="21"/>
                      <w:lang w:val="en-US" w:eastAsia="zh-CN"/>
                    </w:rPr>
                    <w:t>（3a）</w:t>
                  </w:r>
                </w:p>
              </w:tc>
              <w:tc>
                <w:tcPr>
                  <w:tcW w:w="1590" w:type="dxa"/>
                  <w:vAlign w:val="center"/>
                </w:tcPr>
                <w:p w14:paraId="0B4FD019">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50</w:t>
                  </w:r>
                </w:p>
              </w:tc>
              <w:tc>
                <w:tcPr>
                  <w:tcW w:w="1271" w:type="dxa"/>
                  <w:vAlign w:val="center"/>
                </w:tcPr>
                <w:p w14:paraId="0D333E94">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0.004</w:t>
                  </w:r>
                </w:p>
              </w:tc>
            </w:tr>
            <w:tr w14:paraId="5301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08" w:type="dxa"/>
                  <w:vAlign w:val="center"/>
                </w:tcPr>
                <w:p w14:paraId="3134601F">
                  <w:pPr>
                    <w:pStyle w:val="87"/>
                    <w:spacing w:line="280" w:lineRule="exact"/>
                    <w:ind w:firstLine="0" w:firstLineChars="0"/>
                    <w:jc w:val="center"/>
                    <w:rPr>
                      <w:rFonts w:hint="eastAsia" w:ascii="Times New Roman" w:hAnsi="Times New Roman" w:cs="Times New Roman" w:eastAsiaTheme="minorEastAsia"/>
                      <w:b w:val="0"/>
                      <w:bCs w:val="0"/>
                      <w:snapToGrid w:val="0"/>
                      <w:color w:val="auto"/>
                      <w:sz w:val="21"/>
                      <w:szCs w:val="21"/>
                      <w:vertAlign w:val="baseline"/>
                      <w:lang w:eastAsia="zh-CN"/>
                    </w:rPr>
                  </w:pPr>
                  <w:r>
                    <w:rPr>
                      <w:rFonts w:hint="default" w:ascii="Times New Roman" w:hAnsi="Times New Roman" w:cs="Times New Roman"/>
                      <w:bCs/>
                      <w:color w:val="auto"/>
                      <w:sz w:val="21"/>
                      <w:szCs w:val="21"/>
                      <w:shd w:val="clear" w:color="auto" w:fill="auto"/>
                      <w:lang w:val="en-US" w:eastAsia="zh-CN"/>
                    </w:rPr>
                    <w:t>废液压油</w:t>
                  </w:r>
                </w:p>
              </w:tc>
              <w:tc>
                <w:tcPr>
                  <w:tcW w:w="2160" w:type="dxa"/>
                  <w:vAlign w:val="center"/>
                </w:tcPr>
                <w:p w14:paraId="322B09AD">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t>矿物油类</w:t>
                  </w:r>
                </w:p>
              </w:tc>
              <w:tc>
                <w:tcPr>
                  <w:tcW w:w="1875" w:type="dxa"/>
                  <w:vAlign w:val="center"/>
                </w:tcPr>
                <w:p w14:paraId="174E244C">
                  <w:pPr>
                    <w:spacing w:line="240" w:lineRule="exact"/>
                    <w:jc w:val="cente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default" w:cs="Times New Roman"/>
                      <w:bCs/>
                      <w:color w:val="000000" w:themeColor="text1"/>
                      <w:sz w:val="21"/>
                      <w:szCs w:val="21"/>
                      <w:lang w:val="en-US" w:eastAsia="zh-CN"/>
                      <w14:textFill>
                        <w14:solidFill>
                          <w14:schemeClr w14:val="tx1"/>
                        </w14:solidFill>
                      </w14:textFill>
                    </w:rPr>
                    <w:t>0.004</w:t>
                  </w:r>
                </w:p>
              </w:tc>
              <w:tc>
                <w:tcPr>
                  <w:tcW w:w="1590" w:type="dxa"/>
                  <w:vAlign w:val="center"/>
                </w:tcPr>
                <w:p w14:paraId="2B911F41">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val="en-US" w:eastAsia="zh-CN"/>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2500</w:t>
                  </w:r>
                </w:p>
              </w:tc>
              <w:tc>
                <w:tcPr>
                  <w:tcW w:w="1271" w:type="dxa"/>
                  <w:vAlign w:val="center"/>
                </w:tcPr>
                <w:p w14:paraId="331CDDFC">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0.0000016</w:t>
                  </w:r>
                </w:p>
              </w:tc>
            </w:tr>
            <w:tr w14:paraId="0224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08" w:type="dxa"/>
                  <w:vAlign w:val="center"/>
                </w:tcPr>
                <w:p w14:paraId="2EE54FDC">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default" w:ascii="Times New Roman" w:hAnsi="Times New Roman" w:cs="Times New Roman"/>
                      <w:bCs/>
                      <w:color w:val="auto"/>
                      <w:sz w:val="21"/>
                      <w:szCs w:val="21"/>
                      <w:shd w:val="clear" w:color="auto" w:fill="auto"/>
                      <w:lang w:val="en-US" w:eastAsia="zh-CN"/>
                    </w:rPr>
                    <w:t>废润滑油</w:t>
                  </w:r>
                </w:p>
              </w:tc>
              <w:tc>
                <w:tcPr>
                  <w:tcW w:w="2160" w:type="dxa"/>
                  <w:vAlign w:val="center"/>
                </w:tcPr>
                <w:p w14:paraId="5F6C5B3D">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eastAsiaTheme="minorEastAsia"/>
                      <w:b w:val="0"/>
                      <w:bCs w:val="0"/>
                      <w:snapToGrid w:val="0"/>
                      <w:color w:val="auto"/>
                      <w:sz w:val="21"/>
                      <w:szCs w:val="21"/>
                      <w:vertAlign w:val="baseline"/>
                      <w:lang w:eastAsia="zh-CN"/>
                    </w:rPr>
                    <w:t>矿物油类</w:t>
                  </w:r>
                </w:p>
              </w:tc>
              <w:tc>
                <w:tcPr>
                  <w:tcW w:w="1875" w:type="dxa"/>
                  <w:vAlign w:val="center"/>
                </w:tcPr>
                <w:p w14:paraId="01304EDF">
                  <w:pPr>
                    <w:spacing w:line="240" w:lineRule="exact"/>
                    <w:jc w:val="center"/>
                    <w:rPr>
                      <w:rFonts w:hint="eastAsia"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0.12</w:t>
                  </w:r>
                </w:p>
              </w:tc>
              <w:tc>
                <w:tcPr>
                  <w:tcW w:w="1590" w:type="dxa"/>
                  <w:vAlign w:val="center"/>
                </w:tcPr>
                <w:p w14:paraId="18609112">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2500</w:t>
                  </w:r>
                </w:p>
              </w:tc>
              <w:tc>
                <w:tcPr>
                  <w:tcW w:w="1271" w:type="dxa"/>
                  <w:vAlign w:val="center"/>
                </w:tcPr>
                <w:p w14:paraId="1E83D677">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0.000048</w:t>
                  </w:r>
                </w:p>
              </w:tc>
            </w:tr>
            <w:tr w14:paraId="64BA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08" w:type="dxa"/>
                  <w:vAlign w:val="center"/>
                </w:tcPr>
                <w:p w14:paraId="614408B9">
                  <w:pPr>
                    <w:pStyle w:val="87"/>
                    <w:spacing w:line="280" w:lineRule="exact"/>
                    <w:ind w:firstLine="0" w:firstLineChars="0"/>
                    <w:jc w:val="center"/>
                    <w:rPr>
                      <w:rFonts w:hint="eastAsia" w:ascii="Times New Roman" w:hAnsi="Times New Roman" w:cs="Times New Roman" w:eastAsiaTheme="minorEastAsia"/>
                      <w:b w:val="0"/>
                      <w:bCs w:val="0"/>
                      <w:snapToGrid w:val="0"/>
                      <w:color w:val="auto"/>
                      <w:sz w:val="21"/>
                      <w:szCs w:val="21"/>
                      <w:vertAlign w:val="baseline"/>
                      <w:lang w:eastAsia="zh-CN"/>
                    </w:rPr>
                  </w:pPr>
                  <w:r>
                    <w:rPr>
                      <w:rFonts w:hint="default" w:ascii="Times New Roman" w:hAnsi="Times New Roman" w:cs="Times New Roman"/>
                      <w:bCs/>
                      <w:color w:val="auto"/>
                      <w:sz w:val="21"/>
                      <w:szCs w:val="21"/>
                      <w:shd w:val="clear" w:color="auto" w:fill="auto"/>
                      <w:lang w:val="en-US" w:eastAsia="zh-CN"/>
                    </w:rPr>
                    <w:t>废油桶</w:t>
                  </w:r>
                </w:p>
              </w:tc>
              <w:tc>
                <w:tcPr>
                  <w:tcW w:w="2160" w:type="dxa"/>
                  <w:vMerge w:val="restart"/>
                  <w:vAlign w:val="center"/>
                </w:tcPr>
                <w:p w14:paraId="083750BA">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t>健康危险急性毒性物质（类别2，类别3）</w:t>
                  </w:r>
                </w:p>
              </w:tc>
              <w:tc>
                <w:tcPr>
                  <w:tcW w:w="1875" w:type="dxa"/>
                  <w:vAlign w:val="center"/>
                </w:tcPr>
                <w:p w14:paraId="10497C82">
                  <w:pPr>
                    <w:spacing w:line="240" w:lineRule="exact"/>
                    <w:jc w:val="cente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default" w:cs="Times New Roman"/>
                      <w:bCs/>
                      <w:color w:val="000000" w:themeColor="text1"/>
                      <w:sz w:val="21"/>
                      <w:szCs w:val="21"/>
                      <w:lang w:val="en-US" w:eastAsia="zh-CN"/>
                      <w14:textFill>
                        <w14:solidFill>
                          <w14:schemeClr w14:val="tx1"/>
                        </w14:solidFill>
                      </w14:textFill>
                    </w:rPr>
                    <w:t>0.0</w:t>
                  </w:r>
                  <w:r>
                    <w:rPr>
                      <w:rFonts w:hint="eastAsia" w:cs="Times New Roman"/>
                      <w:bCs/>
                      <w:color w:val="000000" w:themeColor="text1"/>
                      <w:sz w:val="21"/>
                      <w:szCs w:val="21"/>
                      <w:lang w:val="en-US" w:eastAsia="zh-CN"/>
                      <w14:textFill>
                        <w14:solidFill>
                          <w14:schemeClr w14:val="tx1"/>
                        </w14:solidFill>
                      </w14:textFill>
                    </w:rPr>
                    <w:t>3</w:t>
                  </w:r>
                </w:p>
              </w:tc>
              <w:tc>
                <w:tcPr>
                  <w:tcW w:w="1590" w:type="dxa"/>
                  <w:vAlign w:val="center"/>
                </w:tcPr>
                <w:p w14:paraId="2F23A6C7">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val="en-US" w:eastAsia="zh-CN"/>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50</w:t>
                  </w:r>
                </w:p>
              </w:tc>
              <w:tc>
                <w:tcPr>
                  <w:tcW w:w="1271" w:type="dxa"/>
                  <w:vAlign w:val="center"/>
                </w:tcPr>
                <w:p w14:paraId="60B62D21">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0.0006</w:t>
                  </w:r>
                </w:p>
              </w:tc>
            </w:tr>
            <w:tr w14:paraId="0CCD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08" w:type="dxa"/>
                  <w:vAlign w:val="center"/>
                </w:tcPr>
                <w:p w14:paraId="2C9256BB">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default" w:ascii="Times New Roman" w:hAnsi="Times New Roman" w:cs="Times New Roman"/>
                      <w:bCs/>
                      <w:color w:val="auto"/>
                      <w:sz w:val="21"/>
                      <w:szCs w:val="21"/>
                      <w:shd w:val="clear" w:color="auto" w:fill="auto"/>
                      <w:lang w:val="en-US" w:eastAsia="zh-CN"/>
                    </w:rPr>
                    <w:t>废含油抹布</w:t>
                  </w:r>
                </w:p>
              </w:tc>
              <w:tc>
                <w:tcPr>
                  <w:tcW w:w="2160" w:type="dxa"/>
                  <w:vMerge w:val="continue"/>
                  <w:vAlign w:val="center"/>
                </w:tcPr>
                <w:p w14:paraId="7B67D878">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pPr>
                </w:p>
              </w:tc>
              <w:tc>
                <w:tcPr>
                  <w:tcW w:w="1875" w:type="dxa"/>
                  <w:vAlign w:val="center"/>
                </w:tcPr>
                <w:p w14:paraId="0B4F8E4F">
                  <w:pPr>
                    <w:spacing w:line="240" w:lineRule="exact"/>
                    <w:jc w:val="center"/>
                    <w:rPr>
                      <w:rFonts w:hint="default"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0.012</w:t>
                  </w:r>
                </w:p>
              </w:tc>
              <w:tc>
                <w:tcPr>
                  <w:tcW w:w="1590" w:type="dxa"/>
                  <w:vAlign w:val="center"/>
                </w:tcPr>
                <w:p w14:paraId="3C000DBB">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50</w:t>
                  </w:r>
                </w:p>
              </w:tc>
              <w:tc>
                <w:tcPr>
                  <w:tcW w:w="1271" w:type="dxa"/>
                  <w:vAlign w:val="center"/>
                </w:tcPr>
                <w:p w14:paraId="6CD24494">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0.00024</w:t>
                  </w:r>
                </w:p>
              </w:tc>
            </w:tr>
            <w:tr w14:paraId="4BE5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933" w:type="dxa"/>
                  <w:gridSpan w:val="4"/>
                  <w:vAlign w:val="center"/>
                </w:tcPr>
                <w:p w14:paraId="284060BC">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Q</w:t>
                  </w:r>
                </w:p>
              </w:tc>
              <w:tc>
                <w:tcPr>
                  <w:tcW w:w="1271" w:type="dxa"/>
                  <w:vAlign w:val="center"/>
                </w:tcPr>
                <w:p w14:paraId="621C87E8">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fldChar w:fldCharType="begin"/>
                  </w: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instrText xml:space="preserve"> = sum(E2:E10) \* MERGEFORMAT </w:instrText>
                  </w: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fldChar w:fldCharType="separate"/>
                  </w: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0.0238956</w:t>
                  </w: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fldChar w:fldCharType="end"/>
                  </w:r>
                </w:p>
              </w:tc>
            </w:tr>
          </w:tbl>
          <w:p w14:paraId="19D2DC76">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ascii="Times New Roman" w:hAnsi="Times New Roman" w:cs="Times New Roman" w:eastAsiaTheme="minorEastAsia"/>
                <w:b w:val="0"/>
                <w:bCs w:val="0"/>
                <w:snapToGrid w:val="0"/>
                <w:color w:val="auto"/>
                <w:sz w:val="24"/>
                <w:lang w:eastAsia="zh-CN"/>
              </w:rPr>
            </w:pPr>
            <w:r>
              <w:rPr>
                <w:rFonts w:hint="eastAsia" w:ascii="Times New Roman" w:hAnsi="Times New Roman" w:cs="Times New Roman" w:eastAsiaTheme="minorEastAsia"/>
                <w:b w:val="0"/>
                <w:bCs w:val="0"/>
                <w:snapToGrid w:val="0"/>
                <w:color w:val="auto"/>
                <w:sz w:val="24"/>
                <w:lang w:eastAsia="zh-CN"/>
              </w:rPr>
              <w:t>根据计算结果，本项目 Q=0.02</w:t>
            </w:r>
            <w:r>
              <w:rPr>
                <w:rFonts w:hint="eastAsia" w:ascii="Times New Roman" w:hAnsi="Times New Roman" w:cs="Times New Roman" w:eastAsiaTheme="minorEastAsia"/>
                <w:b w:val="0"/>
                <w:bCs w:val="0"/>
                <w:snapToGrid w:val="0"/>
                <w:color w:val="auto"/>
                <w:sz w:val="24"/>
                <w:lang w:val="en-US" w:eastAsia="zh-CN"/>
              </w:rPr>
              <w:t>3</w:t>
            </w:r>
            <w:r>
              <w:rPr>
                <w:rFonts w:hint="eastAsia" w:ascii="Times New Roman" w:hAnsi="Times New Roman" w:cs="Times New Roman" w:eastAsiaTheme="minorEastAsia"/>
                <w:b w:val="0"/>
                <w:bCs w:val="0"/>
                <w:snapToGrid w:val="0"/>
                <w:color w:val="auto"/>
                <w:sz w:val="24"/>
                <w:lang w:eastAsia="zh-CN"/>
              </w:rPr>
              <w:t>8956＜1。</w:t>
            </w:r>
          </w:p>
          <w:p w14:paraId="21615C42">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ascii="Times New Roman" w:hAnsi="Times New Roman" w:cs="Times New Roman" w:eastAsiaTheme="minorEastAsia"/>
                <w:b w:val="0"/>
                <w:bCs w:val="0"/>
                <w:snapToGrid w:val="0"/>
                <w:color w:val="auto"/>
                <w:sz w:val="24"/>
                <w:lang w:eastAsia="zh-CN"/>
              </w:rPr>
            </w:pPr>
            <w:r>
              <w:rPr>
                <w:rFonts w:hint="default" w:ascii="Times New Roman" w:hAnsi="Times New Roman" w:cs="Times New Roman" w:eastAsiaTheme="minorEastAsia"/>
                <w:b w:val="0"/>
                <w:bCs w:val="0"/>
                <w:color w:val="auto"/>
                <w:sz w:val="24"/>
                <w:szCs w:val="24"/>
              </w:rPr>
              <w:t>（</w:t>
            </w:r>
            <w:r>
              <w:rPr>
                <w:rFonts w:hint="eastAsia" w:ascii="Times New Roman" w:hAnsi="Times New Roman" w:cs="Times New Roman" w:eastAsiaTheme="minorEastAsia"/>
                <w:b w:val="0"/>
                <w:bCs w:val="0"/>
                <w:color w:val="auto"/>
                <w:sz w:val="24"/>
                <w:szCs w:val="24"/>
                <w:lang w:val="en-US" w:eastAsia="zh-CN"/>
              </w:rPr>
              <w:t>2</w:t>
            </w:r>
            <w:r>
              <w:rPr>
                <w:rFonts w:hint="default" w:ascii="Times New Roman" w:hAnsi="Times New Roman" w:cs="Times New Roman" w:eastAsiaTheme="minorEastAsia"/>
                <w:b w:val="0"/>
                <w:bCs w:val="0"/>
                <w:color w:val="auto"/>
                <w:sz w:val="24"/>
                <w:szCs w:val="24"/>
              </w:rPr>
              <w:t>）</w:t>
            </w:r>
            <w:r>
              <w:rPr>
                <w:rFonts w:hint="eastAsia" w:ascii="Times New Roman" w:hAnsi="Times New Roman" w:cs="Times New Roman" w:eastAsiaTheme="minorEastAsia"/>
                <w:b w:val="0"/>
                <w:bCs w:val="0"/>
                <w:snapToGrid w:val="0"/>
                <w:color w:val="auto"/>
                <w:sz w:val="24"/>
                <w:lang w:eastAsia="zh-CN"/>
              </w:rPr>
              <w:t>环境风险识别</w:t>
            </w:r>
          </w:p>
          <w:p w14:paraId="5B6151E5">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ascii="Times New Roman" w:hAnsi="Times New Roman" w:cs="Times New Roman" w:eastAsiaTheme="minorEastAsia"/>
                <w:b/>
                <w:bCs/>
                <w:snapToGrid w:val="0"/>
                <w:color w:val="auto"/>
                <w:sz w:val="24"/>
                <w:lang w:eastAsia="zh-CN"/>
              </w:rPr>
            </w:pPr>
            <w:r>
              <w:rPr>
                <w:rFonts w:hint="eastAsia" w:ascii="Times New Roman" w:hAnsi="Times New Roman" w:cs="Times New Roman" w:eastAsiaTheme="minorEastAsia"/>
                <w:b w:val="0"/>
                <w:bCs w:val="0"/>
                <w:snapToGrid w:val="0"/>
                <w:color w:val="auto"/>
                <w:sz w:val="24"/>
                <w:lang w:eastAsia="zh-CN"/>
              </w:rPr>
              <w:t>1）物质风险性识别</w:t>
            </w:r>
          </w:p>
          <w:p w14:paraId="6BCC327E">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ascii="Times New Roman" w:hAnsi="Times New Roman" w:cs="Times New Roman" w:eastAsiaTheme="minorEastAsia"/>
                <w:b w:val="0"/>
                <w:bCs w:val="0"/>
                <w:snapToGrid w:val="0"/>
                <w:color w:val="auto"/>
                <w:sz w:val="24"/>
                <w:lang w:eastAsia="zh-CN"/>
              </w:rPr>
            </w:pPr>
            <w:r>
              <w:rPr>
                <w:rFonts w:hint="eastAsia" w:ascii="Times New Roman" w:hAnsi="Times New Roman" w:cs="Times New Roman" w:eastAsiaTheme="minorEastAsia"/>
                <w:b w:val="0"/>
                <w:bCs w:val="0"/>
                <w:snapToGrid w:val="0"/>
                <w:color w:val="auto"/>
                <w:sz w:val="24"/>
                <w:lang w:eastAsia="zh-CN"/>
              </w:rPr>
              <w:t>本项目危险物质及分布情况，见下表。</w:t>
            </w:r>
          </w:p>
          <w:p w14:paraId="067ACB86">
            <w:pPr>
              <w:pStyle w:val="43"/>
              <w:keepNext w:val="0"/>
              <w:keepLines w:val="0"/>
              <w:pageBreakBefore w:val="0"/>
              <w:kinsoku/>
              <w:wordWrap/>
              <w:overflowPunct/>
              <w:topLinePunct w:val="0"/>
              <w:autoSpaceDE/>
              <w:autoSpaceDN/>
              <w:bidi w:val="0"/>
              <w:adjustRightInd/>
              <w:snapToGrid/>
              <w:spacing w:after="0" w:afterLines="0" w:line="500" w:lineRule="exact"/>
              <w:ind w:left="0" w:leftChars="0" w:firstLine="0" w:firstLineChars="0"/>
              <w:jc w:val="center"/>
              <w:textAlignment w:val="auto"/>
              <w:rPr>
                <w:rFonts w:hint="eastAsia" w:ascii="Times New Roman" w:hAnsi="Times New Roman" w:cs="Times New Roman" w:eastAsiaTheme="minorEastAsia"/>
                <w:b/>
                <w:bCs/>
                <w:snapToGrid w:val="0"/>
                <w:color w:val="000000" w:themeColor="text1"/>
                <w:sz w:val="24"/>
                <w:lang w:eastAsia="zh-CN"/>
                <w14:textFill>
                  <w14:solidFill>
                    <w14:schemeClr w14:val="tx1"/>
                  </w14:solidFill>
                </w14:textFill>
              </w:rPr>
            </w:pPr>
          </w:p>
          <w:p w14:paraId="45E70D04">
            <w:pPr>
              <w:pStyle w:val="43"/>
              <w:keepNext w:val="0"/>
              <w:keepLines w:val="0"/>
              <w:pageBreakBefore w:val="0"/>
              <w:kinsoku/>
              <w:wordWrap/>
              <w:overflowPunct/>
              <w:topLinePunct w:val="0"/>
              <w:autoSpaceDE/>
              <w:autoSpaceDN/>
              <w:bidi w:val="0"/>
              <w:adjustRightInd/>
              <w:snapToGrid/>
              <w:spacing w:after="0" w:afterLines="0" w:line="500" w:lineRule="exact"/>
              <w:ind w:left="0" w:leftChars="0" w:firstLine="0" w:firstLineChars="0"/>
              <w:jc w:val="center"/>
              <w:textAlignment w:val="auto"/>
              <w:rPr>
                <w:rFonts w:hint="eastAsia" w:ascii="Times New Roman" w:hAnsi="Times New Roman" w:cs="Times New Roman" w:eastAsiaTheme="minorEastAsia"/>
                <w:b/>
                <w:bCs/>
                <w:snapToGrid w:val="0"/>
                <w:color w:val="000000" w:themeColor="text1"/>
                <w:sz w:val="24"/>
                <w:lang w:eastAsia="zh-CN"/>
                <w14:textFill>
                  <w14:solidFill>
                    <w14:schemeClr w14:val="tx1"/>
                  </w14:solidFill>
                </w14:textFill>
              </w:rPr>
            </w:pPr>
          </w:p>
          <w:p w14:paraId="1C1AD434">
            <w:pPr>
              <w:pStyle w:val="43"/>
              <w:keepNext w:val="0"/>
              <w:keepLines w:val="0"/>
              <w:pageBreakBefore w:val="0"/>
              <w:kinsoku/>
              <w:wordWrap/>
              <w:overflowPunct/>
              <w:topLinePunct w:val="0"/>
              <w:autoSpaceDE/>
              <w:autoSpaceDN/>
              <w:bidi w:val="0"/>
              <w:adjustRightInd/>
              <w:snapToGrid/>
              <w:spacing w:after="0" w:afterLines="0" w:line="500" w:lineRule="exact"/>
              <w:ind w:left="0" w:leftChars="0" w:firstLine="0" w:firstLineChars="0"/>
              <w:jc w:val="center"/>
              <w:textAlignment w:val="auto"/>
              <w:rPr>
                <w:rFonts w:hint="eastAsia" w:ascii="Times New Roman" w:hAnsi="Times New Roman" w:cs="Times New Roman" w:eastAsiaTheme="minorEastAsia"/>
                <w:b/>
                <w:bCs/>
                <w:snapToGrid w:val="0"/>
                <w:color w:val="000000" w:themeColor="text1"/>
                <w:sz w:val="24"/>
                <w:lang w:eastAsia="zh-CN"/>
                <w14:textFill>
                  <w14:solidFill>
                    <w14:schemeClr w14:val="tx1"/>
                  </w14:solidFill>
                </w14:textFill>
              </w:rPr>
            </w:pPr>
            <w:r>
              <w:rPr>
                <w:rFonts w:hint="eastAsia" w:ascii="Times New Roman" w:hAnsi="Times New Roman" w:cs="Times New Roman" w:eastAsiaTheme="minorEastAsia"/>
                <w:b/>
                <w:bCs/>
                <w:snapToGrid w:val="0"/>
                <w:color w:val="000000" w:themeColor="text1"/>
                <w:sz w:val="24"/>
                <w:lang w:eastAsia="zh-CN"/>
                <w14:textFill>
                  <w14:solidFill>
                    <w14:schemeClr w14:val="tx1"/>
                  </w14:solidFill>
                </w14:textFill>
              </w:rPr>
              <w:t>表</w:t>
            </w:r>
            <w:r>
              <w:rPr>
                <w:rFonts w:hint="eastAsia" w:ascii="Times New Roman" w:hAnsi="Times New Roman" w:cs="Times New Roman" w:eastAsiaTheme="minorEastAsia"/>
                <w:b/>
                <w:bCs/>
                <w:snapToGrid w:val="0"/>
                <w:color w:val="000000" w:themeColor="text1"/>
                <w:sz w:val="24"/>
                <w:lang w:val="en-US" w:eastAsia="zh-CN"/>
                <w14:textFill>
                  <w14:solidFill>
                    <w14:schemeClr w14:val="tx1"/>
                  </w14:solidFill>
                </w14:textFill>
              </w:rPr>
              <w:t>33</w:t>
            </w:r>
            <w:r>
              <w:rPr>
                <w:rFonts w:hint="eastAsia" w:ascii="Times New Roman" w:hAnsi="Times New Roman" w:cs="Times New Roman" w:eastAsiaTheme="minorEastAsia"/>
                <w:b/>
                <w:bCs/>
                <w:snapToGrid w:val="0"/>
                <w:color w:val="000000" w:themeColor="text1"/>
                <w:sz w:val="24"/>
                <w:lang w:eastAsia="zh-CN"/>
                <w14:textFill>
                  <w14:solidFill>
                    <w14:schemeClr w14:val="tx1"/>
                  </w14:solidFill>
                </w14:textFill>
              </w:rPr>
              <w:t xml:space="preserve">   本项目</w:t>
            </w:r>
            <w:r>
              <w:rPr>
                <w:rFonts w:hint="eastAsia" w:ascii="Times New Roman" w:hAnsi="Times New Roman" w:cs="Times New Roman" w:eastAsiaTheme="minorEastAsia"/>
                <w:b/>
                <w:bCs/>
                <w:snapToGrid w:val="0"/>
                <w:color w:val="000000" w:themeColor="text1"/>
                <w:sz w:val="24"/>
                <w:lang w:val="en-US" w:eastAsia="zh-CN"/>
                <w14:textFill>
                  <w14:solidFill>
                    <w14:schemeClr w14:val="tx1"/>
                  </w14:solidFill>
                </w14:textFill>
              </w:rPr>
              <w:t>危险</w:t>
            </w:r>
            <w:r>
              <w:rPr>
                <w:rFonts w:hint="eastAsia" w:ascii="Times New Roman" w:hAnsi="Times New Roman" w:cs="Times New Roman" w:eastAsiaTheme="minorEastAsia"/>
                <w:b/>
                <w:bCs/>
                <w:snapToGrid w:val="0"/>
                <w:color w:val="000000" w:themeColor="text1"/>
                <w:sz w:val="24"/>
                <w:lang w:eastAsia="zh-CN"/>
                <w14:textFill>
                  <w14:solidFill>
                    <w14:schemeClr w14:val="tx1"/>
                  </w14:solidFill>
                </w14:textFill>
              </w:rPr>
              <w:t>物质一览表</w:t>
            </w:r>
          </w:p>
          <w:tbl>
            <w:tblPr>
              <w:tblStyle w:val="29"/>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615"/>
              <w:gridCol w:w="1293"/>
              <w:gridCol w:w="1337"/>
              <w:gridCol w:w="3324"/>
            </w:tblGrid>
            <w:tr w14:paraId="6A88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jc w:val="center"/>
              </w:trPr>
              <w:tc>
                <w:tcPr>
                  <w:tcW w:w="770" w:type="dxa"/>
                  <w:vAlign w:val="center"/>
                </w:tcPr>
                <w:p w14:paraId="5C806F75">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序号</w:t>
                  </w:r>
                </w:p>
              </w:tc>
              <w:tc>
                <w:tcPr>
                  <w:tcW w:w="1615" w:type="dxa"/>
                  <w:vAlign w:val="center"/>
                </w:tcPr>
                <w:p w14:paraId="4829C002">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t>物质名称</w:t>
                  </w:r>
                </w:p>
              </w:tc>
              <w:tc>
                <w:tcPr>
                  <w:tcW w:w="1293" w:type="dxa"/>
                  <w:vAlign w:val="center"/>
                </w:tcPr>
                <w:p w14:paraId="71999140">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t>储存位置</w:t>
                  </w:r>
                </w:p>
              </w:tc>
              <w:tc>
                <w:tcPr>
                  <w:tcW w:w="1337" w:type="dxa"/>
                  <w:vAlign w:val="center"/>
                </w:tcPr>
                <w:p w14:paraId="078D3C43">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t>易燃易爆性</w:t>
                  </w:r>
                </w:p>
              </w:tc>
              <w:tc>
                <w:tcPr>
                  <w:tcW w:w="3324" w:type="dxa"/>
                  <w:vAlign w:val="center"/>
                </w:tcPr>
                <w:p w14:paraId="5D9A50FD">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t>有毒有害性</w:t>
                  </w:r>
                </w:p>
              </w:tc>
            </w:tr>
            <w:tr w14:paraId="7EC6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70" w:type="dxa"/>
                  <w:vAlign w:val="center"/>
                </w:tcPr>
                <w:p w14:paraId="463CEB20">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1</w:t>
                  </w:r>
                </w:p>
              </w:tc>
              <w:tc>
                <w:tcPr>
                  <w:tcW w:w="1615" w:type="dxa"/>
                  <w:vAlign w:val="center"/>
                </w:tcPr>
                <w:p w14:paraId="0DDFF058">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auto"/>
                      <w:sz w:val="21"/>
                      <w:szCs w:val="21"/>
                      <w:vertAlign w:val="baseline"/>
                      <w:lang w:val="en-US" w:eastAsia="zh-CN"/>
                    </w:rPr>
                    <w:t>润滑油</w:t>
                  </w:r>
                </w:p>
              </w:tc>
              <w:tc>
                <w:tcPr>
                  <w:tcW w:w="1293" w:type="dxa"/>
                  <w:vAlign w:val="center"/>
                </w:tcPr>
                <w:p w14:paraId="02F310E2">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生产车间</w:t>
                  </w:r>
                </w:p>
                <w:p w14:paraId="4998D1D2">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原料区</w:t>
                  </w:r>
                </w:p>
              </w:tc>
              <w:tc>
                <w:tcPr>
                  <w:tcW w:w="1337" w:type="dxa"/>
                  <w:vAlign w:val="center"/>
                </w:tcPr>
                <w:p w14:paraId="22F3C26C">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cs="Times New Roman" w:eastAsiaTheme="minorEastAsia"/>
                      <w:b w:val="0"/>
                      <w:bCs w:val="0"/>
                      <w:snapToGrid w:val="0"/>
                      <w:color w:val="000000" w:themeColor="text1"/>
                      <w:sz w:val="21"/>
                      <w:szCs w:val="21"/>
                      <w:vertAlign w:val="baseline"/>
                      <w:lang w:val="en-US" w:eastAsia="zh-CN"/>
                      <w14:textFill>
                        <w14:solidFill>
                          <w14:schemeClr w14:val="tx1"/>
                        </w14:solidFill>
                      </w14:textFill>
                    </w:rPr>
                    <w:t>可燃</w:t>
                  </w:r>
                </w:p>
              </w:tc>
              <w:tc>
                <w:tcPr>
                  <w:tcW w:w="3324" w:type="dxa"/>
                  <w:vAlign w:val="center"/>
                </w:tcPr>
                <w:p w14:paraId="1F7C4D2B">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cs="Times New Roman" w:eastAsiaTheme="minorEastAsia"/>
                      <w:b w:val="0"/>
                      <w:bCs w:val="0"/>
                      <w:snapToGrid w:val="0"/>
                      <w:color w:val="000000" w:themeColor="text1"/>
                      <w:sz w:val="21"/>
                      <w:szCs w:val="21"/>
                      <w:vertAlign w:val="baseline"/>
                      <w:lang w:val="en-US" w:eastAsia="zh-CN"/>
                      <w14:textFill>
                        <w14:solidFill>
                          <w14:schemeClr w14:val="tx1"/>
                        </w14:solidFill>
                      </w14:textFill>
                    </w:rPr>
                    <w:t>低毒</w:t>
                  </w:r>
                </w:p>
              </w:tc>
            </w:tr>
            <w:tr w14:paraId="7247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70" w:type="dxa"/>
                  <w:vAlign w:val="center"/>
                </w:tcPr>
                <w:p w14:paraId="7E26BBB2">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2</w:t>
                  </w:r>
                </w:p>
              </w:tc>
              <w:tc>
                <w:tcPr>
                  <w:tcW w:w="1615" w:type="dxa"/>
                  <w:vAlign w:val="center"/>
                </w:tcPr>
                <w:p w14:paraId="34C80C2A">
                  <w:pPr>
                    <w:pStyle w:val="87"/>
                    <w:spacing w:line="280" w:lineRule="exact"/>
                    <w:ind w:firstLine="0" w:firstLineChars="0"/>
                    <w:jc w:val="cente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Cs/>
                      <w:color w:val="auto"/>
                      <w:sz w:val="21"/>
                      <w:szCs w:val="21"/>
                      <w:shd w:val="clear" w:color="auto" w:fill="auto"/>
                      <w:lang w:val="en-US" w:eastAsia="zh-CN"/>
                    </w:rPr>
                    <w:t>废过滤棉</w:t>
                  </w:r>
                </w:p>
              </w:tc>
              <w:tc>
                <w:tcPr>
                  <w:tcW w:w="1293" w:type="dxa"/>
                  <w:vAlign w:val="center"/>
                </w:tcPr>
                <w:p w14:paraId="5DE5BCE7">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危废间</w:t>
                  </w:r>
                </w:p>
              </w:tc>
              <w:tc>
                <w:tcPr>
                  <w:tcW w:w="1337" w:type="dxa"/>
                  <w:vAlign w:val="center"/>
                </w:tcPr>
                <w:p w14:paraId="12628C71">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w:t>
                  </w:r>
                </w:p>
              </w:tc>
              <w:tc>
                <w:tcPr>
                  <w:tcW w:w="3324" w:type="dxa"/>
                  <w:vAlign w:val="center"/>
                </w:tcPr>
                <w:p w14:paraId="5912BD9A">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低毒</w:t>
                  </w:r>
                </w:p>
              </w:tc>
            </w:tr>
            <w:tr w14:paraId="1551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70" w:type="dxa"/>
                  <w:vAlign w:val="center"/>
                </w:tcPr>
                <w:p w14:paraId="6F09B1A1">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3</w:t>
                  </w:r>
                </w:p>
              </w:tc>
              <w:tc>
                <w:tcPr>
                  <w:tcW w:w="1615" w:type="dxa"/>
                  <w:vAlign w:val="center"/>
                </w:tcPr>
                <w:p w14:paraId="21D0D9AB">
                  <w:pPr>
                    <w:pStyle w:val="87"/>
                    <w:spacing w:line="280" w:lineRule="exact"/>
                    <w:ind w:firstLine="0" w:firstLineChars="0"/>
                    <w:jc w:val="center"/>
                    <w:rPr>
                      <w:rFonts w:hint="eastAsia" w:ascii="Times New Roman" w:hAnsi="Times New Roman" w:cs="Times New Roman" w:eastAsiaTheme="minorEastAsia"/>
                      <w:b w:val="0"/>
                      <w:bCs w:val="0"/>
                      <w:snapToGrid w:val="0"/>
                      <w:color w:val="auto"/>
                      <w:sz w:val="21"/>
                      <w:szCs w:val="21"/>
                      <w:vertAlign w:val="baseline"/>
                      <w:lang w:val="en-US" w:eastAsia="zh-CN"/>
                    </w:rPr>
                  </w:pPr>
                  <w:r>
                    <w:rPr>
                      <w:rFonts w:hint="eastAsia" w:ascii="Times New Roman" w:hAnsi="Times New Roman" w:cs="Times New Roman"/>
                      <w:bCs/>
                      <w:color w:val="auto"/>
                      <w:sz w:val="21"/>
                      <w:szCs w:val="21"/>
                      <w:shd w:val="clear" w:color="auto" w:fill="auto"/>
                      <w:lang w:val="en-US" w:eastAsia="zh-CN"/>
                    </w:rPr>
                    <w:t>废活性炭</w:t>
                  </w:r>
                </w:p>
              </w:tc>
              <w:tc>
                <w:tcPr>
                  <w:tcW w:w="1293" w:type="dxa"/>
                  <w:vAlign w:val="center"/>
                </w:tcPr>
                <w:p w14:paraId="282D048F">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p>
              </w:tc>
              <w:tc>
                <w:tcPr>
                  <w:tcW w:w="1337" w:type="dxa"/>
                  <w:vAlign w:val="center"/>
                </w:tcPr>
                <w:p w14:paraId="6897C9AC">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w:t>
                  </w:r>
                </w:p>
              </w:tc>
              <w:tc>
                <w:tcPr>
                  <w:tcW w:w="3324" w:type="dxa"/>
                  <w:vAlign w:val="center"/>
                </w:tcPr>
                <w:p w14:paraId="45DD911B">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低毒</w:t>
                  </w:r>
                </w:p>
              </w:tc>
            </w:tr>
            <w:tr w14:paraId="4165F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70" w:type="dxa"/>
                  <w:vAlign w:val="center"/>
                </w:tcPr>
                <w:p w14:paraId="2E932E1B">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4</w:t>
                  </w:r>
                </w:p>
              </w:tc>
              <w:tc>
                <w:tcPr>
                  <w:tcW w:w="1615" w:type="dxa"/>
                  <w:vAlign w:val="center"/>
                </w:tcPr>
                <w:p w14:paraId="01D0A07F">
                  <w:pPr>
                    <w:pStyle w:val="87"/>
                    <w:spacing w:line="280" w:lineRule="exact"/>
                    <w:ind w:firstLine="0" w:firstLineChars="0"/>
                    <w:jc w:val="center"/>
                    <w:rPr>
                      <w:rFonts w:hint="eastAsia" w:ascii="Times New Roman" w:hAnsi="Times New Roman" w:cs="Times New Roman" w:eastAsiaTheme="minorEastAsia"/>
                      <w:b w:val="0"/>
                      <w:bCs w:val="0"/>
                      <w:snapToGrid w:val="0"/>
                      <w:color w:val="auto"/>
                      <w:sz w:val="21"/>
                      <w:szCs w:val="21"/>
                      <w:vertAlign w:val="baseline"/>
                      <w:lang w:val="en-US" w:eastAsia="zh-CN"/>
                    </w:rPr>
                  </w:pPr>
                  <w:r>
                    <w:rPr>
                      <w:rFonts w:hint="eastAsia" w:ascii="Times New Roman" w:hAnsi="Times New Roman" w:cs="Times New Roman"/>
                      <w:bCs/>
                      <w:color w:val="auto"/>
                      <w:sz w:val="21"/>
                      <w:szCs w:val="21"/>
                      <w:shd w:val="clear" w:color="auto" w:fill="auto"/>
                      <w:lang w:val="en-US" w:eastAsia="zh-CN"/>
                    </w:rPr>
                    <w:t>废催化剂</w:t>
                  </w:r>
                </w:p>
              </w:tc>
              <w:tc>
                <w:tcPr>
                  <w:tcW w:w="1293" w:type="dxa"/>
                  <w:vAlign w:val="center"/>
                </w:tcPr>
                <w:p w14:paraId="0524D145">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p>
              </w:tc>
              <w:tc>
                <w:tcPr>
                  <w:tcW w:w="1337" w:type="dxa"/>
                  <w:vAlign w:val="center"/>
                </w:tcPr>
                <w:p w14:paraId="32290AB2">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w:t>
                  </w:r>
                </w:p>
              </w:tc>
              <w:tc>
                <w:tcPr>
                  <w:tcW w:w="3324" w:type="dxa"/>
                  <w:vAlign w:val="center"/>
                </w:tcPr>
                <w:p w14:paraId="5B61E6BE">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低毒</w:t>
                  </w:r>
                </w:p>
              </w:tc>
            </w:tr>
            <w:tr w14:paraId="0C98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70" w:type="dxa"/>
                  <w:vAlign w:val="center"/>
                </w:tcPr>
                <w:p w14:paraId="073BDD95">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5</w:t>
                  </w:r>
                </w:p>
              </w:tc>
              <w:tc>
                <w:tcPr>
                  <w:tcW w:w="1615" w:type="dxa"/>
                  <w:vAlign w:val="center"/>
                </w:tcPr>
                <w:p w14:paraId="1A4A2A2E">
                  <w:pPr>
                    <w:pStyle w:val="87"/>
                    <w:spacing w:line="280" w:lineRule="exact"/>
                    <w:ind w:firstLine="0" w:firstLineChars="0"/>
                    <w:jc w:val="center"/>
                    <w:rPr>
                      <w:rFonts w:hint="eastAsia" w:ascii="Times New Roman" w:hAnsi="Times New Roman" w:cs="Times New Roman" w:eastAsiaTheme="minorEastAsia"/>
                      <w:b w:val="0"/>
                      <w:bCs w:val="0"/>
                      <w:snapToGrid w:val="0"/>
                      <w:color w:val="auto"/>
                      <w:sz w:val="21"/>
                      <w:szCs w:val="21"/>
                      <w:vertAlign w:val="baseline"/>
                      <w:lang w:val="en-US" w:eastAsia="zh-CN"/>
                    </w:rPr>
                  </w:pPr>
                  <w:r>
                    <w:rPr>
                      <w:rFonts w:hint="default" w:ascii="Times New Roman" w:hAnsi="Times New Roman" w:cs="Times New Roman"/>
                      <w:bCs/>
                      <w:color w:val="auto"/>
                      <w:sz w:val="21"/>
                      <w:szCs w:val="21"/>
                      <w:shd w:val="clear" w:color="auto" w:fill="auto"/>
                      <w:lang w:val="en-US" w:eastAsia="zh-CN"/>
                    </w:rPr>
                    <w:t>废液压油</w:t>
                  </w:r>
                </w:p>
              </w:tc>
              <w:tc>
                <w:tcPr>
                  <w:tcW w:w="1293" w:type="dxa"/>
                  <w:vAlign w:val="center"/>
                </w:tcPr>
                <w:p w14:paraId="09AF1702">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p>
              </w:tc>
              <w:tc>
                <w:tcPr>
                  <w:tcW w:w="1337" w:type="dxa"/>
                  <w:vAlign w:val="center"/>
                </w:tcPr>
                <w:p w14:paraId="10C10F73">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cs="Times New Roman" w:eastAsiaTheme="minorEastAsia"/>
                      <w:b w:val="0"/>
                      <w:bCs w:val="0"/>
                      <w:snapToGrid w:val="0"/>
                      <w:color w:val="000000" w:themeColor="text1"/>
                      <w:sz w:val="21"/>
                      <w:szCs w:val="21"/>
                      <w:vertAlign w:val="baseline"/>
                      <w:lang w:val="en-US" w:eastAsia="zh-CN"/>
                      <w14:textFill>
                        <w14:solidFill>
                          <w14:schemeClr w14:val="tx1"/>
                        </w14:solidFill>
                      </w14:textFill>
                    </w:rPr>
                    <w:t>可燃</w:t>
                  </w:r>
                </w:p>
              </w:tc>
              <w:tc>
                <w:tcPr>
                  <w:tcW w:w="3324" w:type="dxa"/>
                  <w:vAlign w:val="center"/>
                </w:tcPr>
                <w:p w14:paraId="2696539F">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cs="Times New Roman" w:eastAsiaTheme="minorEastAsia"/>
                      <w:b w:val="0"/>
                      <w:bCs w:val="0"/>
                      <w:snapToGrid w:val="0"/>
                      <w:color w:val="000000" w:themeColor="text1"/>
                      <w:sz w:val="21"/>
                      <w:szCs w:val="21"/>
                      <w:vertAlign w:val="baseline"/>
                      <w:lang w:val="en-US" w:eastAsia="zh-CN"/>
                      <w14:textFill>
                        <w14:solidFill>
                          <w14:schemeClr w14:val="tx1"/>
                        </w14:solidFill>
                      </w14:textFill>
                    </w:rPr>
                    <w:t>低毒</w:t>
                  </w:r>
                </w:p>
              </w:tc>
            </w:tr>
            <w:tr w14:paraId="2B68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70" w:type="dxa"/>
                  <w:vAlign w:val="center"/>
                </w:tcPr>
                <w:p w14:paraId="6A841347">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6</w:t>
                  </w:r>
                </w:p>
              </w:tc>
              <w:tc>
                <w:tcPr>
                  <w:tcW w:w="1615" w:type="dxa"/>
                  <w:vAlign w:val="center"/>
                </w:tcPr>
                <w:p w14:paraId="395F3DEC">
                  <w:pPr>
                    <w:pStyle w:val="87"/>
                    <w:spacing w:line="280" w:lineRule="exact"/>
                    <w:ind w:firstLine="0" w:firstLineChars="0"/>
                    <w:jc w:val="center"/>
                    <w:rPr>
                      <w:rFonts w:hint="eastAsia"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Cs/>
                      <w:color w:val="auto"/>
                      <w:sz w:val="21"/>
                      <w:szCs w:val="21"/>
                      <w:shd w:val="clear" w:color="auto" w:fill="auto"/>
                      <w:lang w:val="en-US" w:eastAsia="zh-CN"/>
                    </w:rPr>
                    <w:t>废润滑油</w:t>
                  </w:r>
                </w:p>
              </w:tc>
              <w:tc>
                <w:tcPr>
                  <w:tcW w:w="1293" w:type="dxa"/>
                  <w:vAlign w:val="center"/>
                </w:tcPr>
                <w:p w14:paraId="25C76893">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p>
              </w:tc>
              <w:tc>
                <w:tcPr>
                  <w:tcW w:w="1337" w:type="dxa"/>
                  <w:vAlign w:val="center"/>
                </w:tcPr>
                <w:p w14:paraId="0F18591B">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cs="Times New Roman" w:eastAsiaTheme="minorEastAsia"/>
                      <w:b w:val="0"/>
                      <w:bCs w:val="0"/>
                      <w:snapToGrid w:val="0"/>
                      <w:color w:val="000000" w:themeColor="text1"/>
                      <w:sz w:val="21"/>
                      <w:szCs w:val="21"/>
                      <w:vertAlign w:val="baseline"/>
                      <w:lang w:val="en-US" w:eastAsia="zh-CN"/>
                      <w14:textFill>
                        <w14:solidFill>
                          <w14:schemeClr w14:val="tx1"/>
                        </w14:solidFill>
                      </w14:textFill>
                    </w:rPr>
                    <w:t>可燃</w:t>
                  </w:r>
                </w:p>
              </w:tc>
              <w:tc>
                <w:tcPr>
                  <w:tcW w:w="3324" w:type="dxa"/>
                  <w:vAlign w:val="center"/>
                </w:tcPr>
                <w:p w14:paraId="5FED58E5">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pPr>
                  <w:r>
                    <w:rPr>
                      <w:rFonts w:hint="eastAsia" w:cs="Times New Roman" w:eastAsiaTheme="minorEastAsia"/>
                      <w:b w:val="0"/>
                      <w:bCs w:val="0"/>
                      <w:snapToGrid w:val="0"/>
                      <w:color w:val="000000" w:themeColor="text1"/>
                      <w:sz w:val="21"/>
                      <w:szCs w:val="21"/>
                      <w:vertAlign w:val="baseline"/>
                      <w:lang w:val="en-US" w:eastAsia="zh-CN"/>
                      <w14:textFill>
                        <w14:solidFill>
                          <w14:schemeClr w14:val="tx1"/>
                        </w14:solidFill>
                      </w14:textFill>
                    </w:rPr>
                    <w:t>低毒</w:t>
                  </w:r>
                </w:p>
              </w:tc>
            </w:tr>
            <w:tr w14:paraId="4813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70" w:type="dxa"/>
                  <w:vAlign w:val="center"/>
                </w:tcPr>
                <w:p w14:paraId="2673DBB4">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7</w:t>
                  </w:r>
                </w:p>
              </w:tc>
              <w:tc>
                <w:tcPr>
                  <w:tcW w:w="1615" w:type="dxa"/>
                  <w:vAlign w:val="center"/>
                </w:tcPr>
                <w:p w14:paraId="080211BF">
                  <w:pPr>
                    <w:pStyle w:val="87"/>
                    <w:spacing w:line="280" w:lineRule="exact"/>
                    <w:ind w:firstLine="0" w:firstLineChars="0"/>
                    <w:jc w:val="center"/>
                    <w:rPr>
                      <w:rFonts w:hint="eastAsia"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Cs/>
                      <w:color w:val="auto"/>
                      <w:sz w:val="21"/>
                      <w:szCs w:val="21"/>
                      <w:shd w:val="clear" w:color="auto" w:fill="auto"/>
                      <w:lang w:val="en-US" w:eastAsia="zh-CN"/>
                    </w:rPr>
                    <w:t>废油桶</w:t>
                  </w:r>
                </w:p>
              </w:tc>
              <w:tc>
                <w:tcPr>
                  <w:tcW w:w="1293" w:type="dxa"/>
                  <w:vAlign w:val="center"/>
                </w:tcPr>
                <w:p w14:paraId="0C683CEB">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p>
              </w:tc>
              <w:tc>
                <w:tcPr>
                  <w:tcW w:w="1337" w:type="dxa"/>
                  <w:vAlign w:val="center"/>
                </w:tcPr>
                <w:p w14:paraId="096FB3EA">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cs="Times New Roman" w:eastAsiaTheme="minorEastAsia"/>
                      <w:b w:val="0"/>
                      <w:bCs w:val="0"/>
                      <w:snapToGrid w:val="0"/>
                      <w:color w:val="000000" w:themeColor="text1"/>
                      <w:sz w:val="21"/>
                      <w:szCs w:val="21"/>
                      <w:vertAlign w:val="baseline"/>
                      <w:lang w:val="en-US" w:eastAsia="zh-CN"/>
                      <w14:textFill>
                        <w14:solidFill>
                          <w14:schemeClr w14:val="tx1"/>
                        </w14:solidFill>
                      </w14:textFill>
                    </w:rPr>
                    <w:t>可燃</w:t>
                  </w:r>
                </w:p>
              </w:tc>
              <w:tc>
                <w:tcPr>
                  <w:tcW w:w="3324" w:type="dxa"/>
                  <w:vAlign w:val="center"/>
                </w:tcPr>
                <w:p w14:paraId="1FB24CE3">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pPr>
                  <w:r>
                    <w:rPr>
                      <w:rFonts w:hint="eastAsia" w:cs="Times New Roman" w:eastAsiaTheme="minorEastAsia"/>
                      <w:b w:val="0"/>
                      <w:bCs w:val="0"/>
                      <w:snapToGrid w:val="0"/>
                      <w:color w:val="000000" w:themeColor="text1"/>
                      <w:sz w:val="21"/>
                      <w:szCs w:val="21"/>
                      <w:vertAlign w:val="baseline"/>
                      <w:lang w:val="en-US" w:eastAsia="zh-CN"/>
                      <w14:textFill>
                        <w14:solidFill>
                          <w14:schemeClr w14:val="tx1"/>
                        </w14:solidFill>
                      </w14:textFill>
                    </w:rPr>
                    <w:t>低毒</w:t>
                  </w:r>
                </w:p>
              </w:tc>
            </w:tr>
            <w:tr w14:paraId="6242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70" w:type="dxa"/>
                  <w:vAlign w:val="center"/>
                </w:tcPr>
                <w:p w14:paraId="07C8F3AC">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8</w:t>
                  </w:r>
                </w:p>
              </w:tc>
              <w:tc>
                <w:tcPr>
                  <w:tcW w:w="1615" w:type="dxa"/>
                  <w:vAlign w:val="center"/>
                </w:tcPr>
                <w:p w14:paraId="19532CF5">
                  <w:pPr>
                    <w:pStyle w:val="87"/>
                    <w:spacing w:line="280" w:lineRule="exact"/>
                    <w:ind w:firstLine="0" w:firstLineChars="0"/>
                    <w:jc w:val="center"/>
                    <w:rPr>
                      <w:rFonts w:hint="eastAsia" w:ascii="Times New Roman" w:hAnsi="Times New Roman" w:cs="Times New Roman" w:eastAsiaTheme="minorEastAsia"/>
                      <w:b w:val="0"/>
                      <w:bCs w:val="0"/>
                      <w:snapToGrid w:val="0"/>
                      <w:color w:val="auto"/>
                      <w:sz w:val="21"/>
                      <w:szCs w:val="21"/>
                      <w:vertAlign w:val="baseline"/>
                      <w:lang w:eastAsia="zh-CN"/>
                    </w:rPr>
                  </w:pPr>
                  <w:r>
                    <w:rPr>
                      <w:rFonts w:hint="default" w:ascii="Times New Roman" w:hAnsi="Times New Roman" w:cs="Times New Roman"/>
                      <w:bCs/>
                      <w:color w:val="auto"/>
                      <w:sz w:val="21"/>
                      <w:szCs w:val="21"/>
                      <w:shd w:val="clear" w:color="auto" w:fill="auto"/>
                      <w:lang w:val="en-US" w:eastAsia="zh-CN"/>
                    </w:rPr>
                    <w:t>废含油抹布</w:t>
                  </w:r>
                </w:p>
              </w:tc>
              <w:tc>
                <w:tcPr>
                  <w:tcW w:w="1293" w:type="dxa"/>
                  <w:vAlign w:val="center"/>
                </w:tcPr>
                <w:p w14:paraId="47BCE424">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p>
              </w:tc>
              <w:tc>
                <w:tcPr>
                  <w:tcW w:w="1337" w:type="dxa"/>
                  <w:vAlign w:val="center"/>
                </w:tcPr>
                <w:p w14:paraId="05FE5503">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w:t>
                  </w:r>
                </w:p>
              </w:tc>
              <w:tc>
                <w:tcPr>
                  <w:tcW w:w="3324" w:type="dxa"/>
                  <w:vAlign w:val="center"/>
                </w:tcPr>
                <w:p w14:paraId="6A1138CC">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低毒</w:t>
                  </w:r>
                </w:p>
              </w:tc>
            </w:tr>
          </w:tbl>
          <w:p w14:paraId="1D08CDE2">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ascii="Times New Roman" w:hAnsi="Times New Roman" w:cs="Times New Roman" w:eastAsiaTheme="minorEastAsia"/>
                <w:b w:val="0"/>
                <w:bCs w:val="0"/>
                <w:snapToGrid w:val="0"/>
                <w:color w:val="auto"/>
                <w:sz w:val="24"/>
                <w:lang w:eastAsia="zh-CN"/>
              </w:rPr>
            </w:pPr>
            <w:r>
              <w:rPr>
                <w:rFonts w:hint="eastAsia" w:ascii="Times New Roman" w:hAnsi="Times New Roman" w:cs="Times New Roman" w:eastAsiaTheme="minorEastAsia"/>
                <w:b w:val="0"/>
                <w:bCs w:val="0"/>
                <w:snapToGrid w:val="0"/>
                <w:color w:val="auto"/>
                <w:sz w:val="24"/>
                <w:lang w:eastAsia="zh-CN"/>
              </w:rPr>
              <w:t>2）生产系统危险性识别</w:t>
            </w:r>
          </w:p>
          <w:p w14:paraId="36E70F6A">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ascii="Times New Roman" w:hAnsi="Times New Roman" w:cs="Times New Roman" w:eastAsiaTheme="minorEastAsia"/>
                <w:b w:val="0"/>
                <w:bCs w:val="0"/>
                <w:snapToGrid w:val="0"/>
                <w:color w:val="auto"/>
                <w:sz w:val="24"/>
                <w:lang w:eastAsia="zh-CN"/>
              </w:rPr>
            </w:pPr>
            <w:r>
              <w:rPr>
                <w:rFonts w:hint="eastAsia" w:ascii="Times New Roman" w:hAnsi="Times New Roman" w:cs="Times New Roman" w:eastAsiaTheme="minorEastAsia"/>
                <w:b w:val="0"/>
                <w:bCs w:val="0"/>
                <w:snapToGrid w:val="0"/>
                <w:color w:val="auto"/>
                <w:sz w:val="24"/>
                <w:lang w:eastAsia="zh-CN"/>
              </w:rPr>
              <w:t>根据本项目生产工艺流程及平面布置功能分区，并结合物质危险性识别，确定危险单元为</w:t>
            </w:r>
            <w:r>
              <w:rPr>
                <w:rFonts w:hint="eastAsia" w:ascii="Times New Roman" w:hAnsi="Times New Roman" w:cs="Times New Roman" w:eastAsiaTheme="minorEastAsia"/>
                <w:b w:val="0"/>
                <w:bCs w:val="0"/>
                <w:snapToGrid w:val="0"/>
                <w:color w:val="auto"/>
                <w:sz w:val="24"/>
                <w:lang w:val="en-US" w:eastAsia="zh-CN"/>
              </w:rPr>
              <w:t>生产车间原料区、危废间</w:t>
            </w:r>
            <w:r>
              <w:rPr>
                <w:rFonts w:hint="eastAsia" w:ascii="Times New Roman" w:hAnsi="Times New Roman" w:cs="Times New Roman" w:eastAsiaTheme="minorEastAsia"/>
                <w:b w:val="0"/>
                <w:bCs w:val="0"/>
                <w:snapToGrid w:val="0"/>
                <w:color w:val="auto"/>
                <w:sz w:val="24"/>
                <w:lang w:eastAsia="zh-CN"/>
              </w:rPr>
              <w:t>，生产系统危险性识别结果见下表。</w:t>
            </w:r>
          </w:p>
          <w:p w14:paraId="6F0096E9">
            <w:pPr>
              <w:pStyle w:val="43"/>
              <w:keepNext w:val="0"/>
              <w:keepLines w:val="0"/>
              <w:pageBreakBefore w:val="0"/>
              <w:kinsoku/>
              <w:wordWrap/>
              <w:overflowPunct/>
              <w:topLinePunct w:val="0"/>
              <w:autoSpaceDE/>
              <w:autoSpaceDN/>
              <w:bidi w:val="0"/>
              <w:adjustRightInd/>
              <w:snapToGrid/>
              <w:spacing w:after="0" w:afterLines="0" w:line="500" w:lineRule="exact"/>
              <w:ind w:left="0" w:leftChars="0" w:firstLine="0" w:firstLineChars="0"/>
              <w:jc w:val="center"/>
              <w:textAlignment w:val="auto"/>
              <w:rPr>
                <w:rFonts w:hint="eastAsia" w:ascii="Times New Roman" w:hAnsi="Times New Roman" w:cs="Times New Roman" w:eastAsiaTheme="minorEastAsia"/>
                <w:b w:val="0"/>
                <w:bCs w:val="0"/>
                <w:snapToGrid w:val="0"/>
                <w:color w:val="auto"/>
                <w:sz w:val="24"/>
                <w:lang w:eastAsia="zh-CN"/>
              </w:rPr>
            </w:pPr>
            <w:r>
              <w:rPr>
                <w:rFonts w:hint="eastAsia" w:ascii="Times New Roman" w:hAnsi="Times New Roman" w:cs="Times New Roman" w:eastAsiaTheme="minorEastAsia"/>
                <w:b/>
                <w:bCs/>
                <w:snapToGrid w:val="0"/>
                <w:color w:val="auto"/>
                <w:sz w:val="24"/>
                <w:lang w:eastAsia="zh-CN"/>
              </w:rPr>
              <w:t>表</w:t>
            </w:r>
            <w:r>
              <w:rPr>
                <w:rFonts w:hint="eastAsia" w:ascii="Times New Roman" w:hAnsi="Times New Roman" w:cs="Times New Roman" w:eastAsiaTheme="minorEastAsia"/>
                <w:b/>
                <w:bCs/>
                <w:snapToGrid w:val="0"/>
                <w:color w:val="auto"/>
                <w:sz w:val="24"/>
                <w:lang w:val="en-US" w:eastAsia="zh-CN"/>
              </w:rPr>
              <w:t>34</w:t>
            </w:r>
            <w:r>
              <w:rPr>
                <w:rFonts w:hint="eastAsia" w:ascii="Times New Roman" w:hAnsi="Times New Roman" w:cs="Times New Roman" w:eastAsiaTheme="minorEastAsia"/>
                <w:b/>
                <w:bCs/>
                <w:snapToGrid w:val="0"/>
                <w:color w:val="auto"/>
                <w:sz w:val="24"/>
                <w:lang w:eastAsia="zh-CN"/>
              </w:rPr>
              <w:t xml:space="preserve">   本项目生产系统危险性识别结果一览表</w:t>
            </w:r>
          </w:p>
          <w:tbl>
            <w:tblPr>
              <w:tblStyle w:val="29"/>
              <w:tblW w:w="8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072"/>
              <w:gridCol w:w="1185"/>
              <w:gridCol w:w="954"/>
              <w:gridCol w:w="945"/>
              <w:gridCol w:w="1983"/>
              <w:gridCol w:w="1320"/>
            </w:tblGrid>
            <w:tr w14:paraId="2920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67" w:type="dxa"/>
                  <w:vMerge w:val="restart"/>
                  <w:vAlign w:val="center"/>
                </w:tcPr>
                <w:p w14:paraId="4ABCF952">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序号</w:t>
                  </w:r>
                </w:p>
              </w:tc>
              <w:tc>
                <w:tcPr>
                  <w:tcW w:w="1072" w:type="dxa"/>
                  <w:vMerge w:val="restart"/>
                  <w:vAlign w:val="center"/>
                </w:tcPr>
                <w:p w14:paraId="23E7AADE">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危险单元名称</w:t>
                  </w:r>
                </w:p>
              </w:tc>
              <w:tc>
                <w:tcPr>
                  <w:tcW w:w="2139" w:type="dxa"/>
                  <w:gridSpan w:val="2"/>
                  <w:vAlign w:val="center"/>
                </w:tcPr>
                <w:p w14:paraId="4BF11E79">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单元内危险物质</w:t>
                  </w:r>
                </w:p>
              </w:tc>
              <w:tc>
                <w:tcPr>
                  <w:tcW w:w="4248" w:type="dxa"/>
                  <w:gridSpan w:val="3"/>
                  <w:vAlign w:val="center"/>
                </w:tcPr>
                <w:p w14:paraId="77C34B05">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风险源</w:t>
                  </w:r>
                </w:p>
              </w:tc>
            </w:tr>
            <w:tr w14:paraId="4392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67" w:type="dxa"/>
                  <w:vMerge w:val="continue"/>
                  <w:vAlign w:val="center"/>
                </w:tcPr>
                <w:p w14:paraId="72ECC29D">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p>
              </w:tc>
              <w:tc>
                <w:tcPr>
                  <w:tcW w:w="1072" w:type="dxa"/>
                  <w:vMerge w:val="continue"/>
                  <w:vAlign w:val="center"/>
                </w:tcPr>
                <w:p w14:paraId="304AE920">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p>
              </w:tc>
              <w:tc>
                <w:tcPr>
                  <w:tcW w:w="1185" w:type="dxa"/>
                  <w:vAlign w:val="center"/>
                </w:tcPr>
                <w:p w14:paraId="5BFFA690">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危险物质</w:t>
                  </w:r>
                </w:p>
              </w:tc>
              <w:tc>
                <w:tcPr>
                  <w:tcW w:w="954" w:type="dxa"/>
                  <w:vAlign w:val="center"/>
                </w:tcPr>
                <w:p w14:paraId="71EEEE8E">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最大存储量</w:t>
                  </w:r>
                  <w:r>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t>（t）</w:t>
                  </w:r>
                </w:p>
              </w:tc>
              <w:tc>
                <w:tcPr>
                  <w:tcW w:w="945" w:type="dxa"/>
                  <w:vAlign w:val="center"/>
                </w:tcPr>
                <w:p w14:paraId="39E1B523">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危险性</w:t>
                  </w:r>
                </w:p>
              </w:tc>
              <w:tc>
                <w:tcPr>
                  <w:tcW w:w="1983" w:type="dxa"/>
                  <w:vAlign w:val="center"/>
                </w:tcPr>
                <w:p w14:paraId="2960D634">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t>存在条件</w:t>
                  </w:r>
                </w:p>
              </w:tc>
              <w:tc>
                <w:tcPr>
                  <w:tcW w:w="1320" w:type="dxa"/>
                  <w:vAlign w:val="center"/>
                </w:tcPr>
                <w:p w14:paraId="08577391">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eastAsia="zh-CN"/>
                      <w14:textFill>
                        <w14:solidFill>
                          <w14:schemeClr w14:val="tx1"/>
                        </w14:solidFill>
                      </w14:textFill>
                    </w:rPr>
                    <w:t>转化为事故的触发因素</w:t>
                  </w:r>
                </w:p>
              </w:tc>
            </w:tr>
            <w:tr w14:paraId="7A45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67" w:type="dxa"/>
                  <w:vAlign w:val="center"/>
                </w:tcPr>
                <w:p w14:paraId="78F4049A">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1</w:t>
                  </w:r>
                </w:p>
              </w:tc>
              <w:tc>
                <w:tcPr>
                  <w:tcW w:w="1072" w:type="dxa"/>
                  <w:vAlign w:val="center"/>
                </w:tcPr>
                <w:p w14:paraId="258A5584">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生产车间原料区</w:t>
                  </w:r>
                </w:p>
              </w:tc>
              <w:tc>
                <w:tcPr>
                  <w:tcW w:w="1185" w:type="dxa"/>
                  <w:vAlign w:val="center"/>
                </w:tcPr>
                <w:p w14:paraId="1E118D08">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auto"/>
                      <w:sz w:val="21"/>
                      <w:szCs w:val="21"/>
                      <w:vertAlign w:val="baseline"/>
                      <w:lang w:val="en-US" w:eastAsia="zh-CN"/>
                    </w:rPr>
                    <w:t>润滑油</w:t>
                  </w:r>
                </w:p>
              </w:tc>
              <w:tc>
                <w:tcPr>
                  <w:tcW w:w="954" w:type="dxa"/>
                  <w:vAlign w:val="center"/>
                </w:tcPr>
                <w:p w14:paraId="225DB481">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0.005</w:t>
                  </w:r>
                </w:p>
              </w:tc>
              <w:tc>
                <w:tcPr>
                  <w:tcW w:w="945" w:type="dxa"/>
                  <w:vAlign w:val="center"/>
                </w:tcPr>
                <w:p w14:paraId="0EA2160E">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可燃、低毒</w:t>
                  </w:r>
                </w:p>
              </w:tc>
              <w:tc>
                <w:tcPr>
                  <w:tcW w:w="1983" w:type="dxa"/>
                  <w:vAlign w:val="center"/>
                </w:tcPr>
                <w:p w14:paraId="23A44B3E">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t>常温常压、液态</w:t>
                  </w:r>
                </w:p>
              </w:tc>
              <w:tc>
                <w:tcPr>
                  <w:tcW w:w="1320" w:type="dxa"/>
                  <w:vAlign w:val="center"/>
                </w:tcPr>
                <w:p w14:paraId="3CADA50E">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val="en-US" w:eastAsia="zh-CN"/>
                    </w:rPr>
                  </w:pPr>
                  <w:r>
                    <w:rPr>
                      <w:rFonts w:hint="eastAsia" w:ascii="Times New Roman" w:hAnsi="Times New Roman" w:cs="Times New Roman" w:eastAsiaTheme="minorEastAsia"/>
                      <w:b w:val="0"/>
                      <w:bCs w:val="0"/>
                      <w:snapToGrid w:val="0"/>
                      <w:color w:val="auto"/>
                      <w:sz w:val="21"/>
                      <w:szCs w:val="21"/>
                      <w:vertAlign w:val="baseline"/>
                      <w:lang w:val="en-US" w:eastAsia="zh-CN"/>
                    </w:rPr>
                    <w:t>泄漏</w:t>
                  </w:r>
                </w:p>
              </w:tc>
            </w:tr>
            <w:tr w14:paraId="46E1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67" w:type="dxa"/>
                  <w:vAlign w:val="center"/>
                </w:tcPr>
                <w:p w14:paraId="28EB0855">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2</w:t>
                  </w:r>
                </w:p>
              </w:tc>
              <w:tc>
                <w:tcPr>
                  <w:tcW w:w="1072" w:type="dxa"/>
                  <w:vMerge w:val="restart"/>
                  <w:vAlign w:val="center"/>
                </w:tcPr>
                <w:p w14:paraId="7C450E0A">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危废间</w:t>
                  </w:r>
                </w:p>
              </w:tc>
              <w:tc>
                <w:tcPr>
                  <w:tcW w:w="1185" w:type="dxa"/>
                  <w:vAlign w:val="center"/>
                </w:tcPr>
                <w:p w14:paraId="1A4C93D0">
                  <w:pPr>
                    <w:pStyle w:val="87"/>
                    <w:spacing w:line="280" w:lineRule="exact"/>
                    <w:ind w:firstLine="0" w:firstLineChars="0"/>
                    <w:jc w:val="cente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Cs/>
                      <w:color w:val="auto"/>
                      <w:sz w:val="21"/>
                      <w:szCs w:val="21"/>
                      <w:shd w:val="clear" w:color="auto" w:fill="auto"/>
                      <w:lang w:val="en-US" w:eastAsia="zh-CN"/>
                    </w:rPr>
                    <w:t>废过滤棉</w:t>
                  </w:r>
                </w:p>
              </w:tc>
              <w:tc>
                <w:tcPr>
                  <w:tcW w:w="954" w:type="dxa"/>
                  <w:vAlign w:val="center"/>
                </w:tcPr>
                <w:p w14:paraId="6D6047D5">
                  <w:pPr>
                    <w:spacing w:line="240" w:lineRule="exact"/>
                    <w:jc w:val="cente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0.05</w:t>
                  </w:r>
                </w:p>
              </w:tc>
              <w:tc>
                <w:tcPr>
                  <w:tcW w:w="945" w:type="dxa"/>
                  <w:vAlign w:val="center"/>
                </w:tcPr>
                <w:p w14:paraId="2273193F">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低毒</w:t>
                  </w:r>
                </w:p>
              </w:tc>
              <w:tc>
                <w:tcPr>
                  <w:tcW w:w="1983" w:type="dxa"/>
                  <w:vAlign w:val="center"/>
                </w:tcPr>
                <w:p w14:paraId="63FDD483">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t>常温常压、</w:t>
                  </w:r>
                  <w:r>
                    <w:rPr>
                      <w:rFonts w:hint="eastAsia" w:ascii="Times New Roman" w:hAnsi="Times New Roman" w:cs="Times New Roman"/>
                      <w:color w:val="000000" w:themeColor="text1"/>
                      <w:spacing w:val="-10"/>
                      <w:kern w:val="0"/>
                      <w:sz w:val="21"/>
                      <w:szCs w:val="21"/>
                      <w:lang w:val="en-US" w:eastAsia="zh-CN"/>
                      <w14:textFill>
                        <w14:solidFill>
                          <w14:schemeClr w14:val="tx1"/>
                        </w14:solidFill>
                      </w14:textFill>
                    </w:rPr>
                    <w:t>固态</w:t>
                  </w:r>
                </w:p>
              </w:tc>
              <w:tc>
                <w:tcPr>
                  <w:tcW w:w="1320" w:type="dxa"/>
                  <w:vAlign w:val="center"/>
                </w:tcPr>
                <w:p w14:paraId="2C57F735">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val="en-US" w:eastAsia="zh-CN"/>
                    </w:rPr>
                  </w:pPr>
                  <w:r>
                    <w:rPr>
                      <w:rFonts w:hint="eastAsia" w:ascii="Times New Roman" w:hAnsi="Times New Roman" w:cs="Times New Roman" w:eastAsiaTheme="minorEastAsia"/>
                      <w:b w:val="0"/>
                      <w:bCs w:val="0"/>
                      <w:snapToGrid w:val="0"/>
                      <w:color w:val="auto"/>
                      <w:sz w:val="21"/>
                      <w:szCs w:val="21"/>
                      <w:vertAlign w:val="baseline"/>
                      <w:lang w:val="en-US" w:eastAsia="zh-CN"/>
                    </w:rPr>
                    <w:t>泄漏</w:t>
                  </w:r>
                </w:p>
              </w:tc>
            </w:tr>
            <w:tr w14:paraId="0001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67" w:type="dxa"/>
                  <w:vAlign w:val="center"/>
                </w:tcPr>
                <w:p w14:paraId="4A31AE16">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3</w:t>
                  </w:r>
                </w:p>
              </w:tc>
              <w:tc>
                <w:tcPr>
                  <w:tcW w:w="1072" w:type="dxa"/>
                  <w:vMerge w:val="continue"/>
                  <w:vAlign w:val="center"/>
                </w:tcPr>
                <w:p w14:paraId="1E4CE1FC">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val="en-US" w:eastAsia="zh-CN"/>
                    </w:rPr>
                  </w:pPr>
                </w:p>
              </w:tc>
              <w:tc>
                <w:tcPr>
                  <w:tcW w:w="1185" w:type="dxa"/>
                  <w:vAlign w:val="center"/>
                </w:tcPr>
                <w:p w14:paraId="4E666047">
                  <w:pPr>
                    <w:pStyle w:val="87"/>
                    <w:spacing w:line="280" w:lineRule="exact"/>
                    <w:ind w:firstLine="0" w:firstLineChars="0"/>
                    <w:jc w:val="center"/>
                    <w:rPr>
                      <w:rFonts w:hint="eastAsia" w:ascii="Times New Roman" w:hAnsi="Times New Roman" w:cs="Times New Roman" w:eastAsiaTheme="minorEastAsia"/>
                      <w:b w:val="0"/>
                      <w:bCs w:val="0"/>
                      <w:snapToGrid w:val="0"/>
                      <w:color w:val="auto"/>
                      <w:sz w:val="21"/>
                      <w:szCs w:val="21"/>
                      <w:vertAlign w:val="baseline"/>
                      <w:lang w:eastAsia="zh-CN"/>
                    </w:rPr>
                  </w:pPr>
                  <w:r>
                    <w:rPr>
                      <w:rFonts w:hint="eastAsia" w:ascii="Times New Roman" w:hAnsi="Times New Roman" w:cs="Times New Roman"/>
                      <w:bCs/>
                      <w:color w:val="auto"/>
                      <w:sz w:val="21"/>
                      <w:szCs w:val="21"/>
                      <w:shd w:val="clear" w:color="auto" w:fill="auto"/>
                      <w:lang w:val="en-US" w:eastAsia="zh-CN"/>
                    </w:rPr>
                    <w:t>废活性炭</w:t>
                  </w:r>
                </w:p>
              </w:tc>
              <w:tc>
                <w:tcPr>
                  <w:tcW w:w="954" w:type="dxa"/>
                  <w:vAlign w:val="center"/>
                </w:tcPr>
                <w:p w14:paraId="0618AA85">
                  <w:pPr>
                    <w:spacing w:line="240" w:lineRule="exact"/>
                    <w:jc w:val="center"/>
                    <w:rPr>
                      <w:rFonts w:hint="eastAsia" w:ascii="Times New Roman" w:hAnsi="Times New Roman" w:cs="Times New Roman" w:eastAsiaTheme="minorEastAsia"/>
                      <w:b w:val="0"/>
                      <w:bCs w:val="0"/>
                      <w:snapToGrid w:val="0"/>
                      <w:color w:val="auto"/>
                      <w:sz w:val="21"/>
                      <w:szCs w:val="21"/>
                      <w:vertAlign w:val="baseline"/>
                      <w:lang w:val="en-US" w:eastAsia="zh-CN"/>
                    </w:rPr>
                  </w:pPr>
                  <w:r>
                    <w:rPr>
                      <w:rFonts w:hint="eastAsia" w:cs="Times New Roman"/>
                      <w:bCs/>
                      <w:color w:val="000000" w:themeColor="text1"/>
                      <w:sz w:val="21"/>
                      <w:szCs w:val="21"/>
                      <w:lang w:val="en-US" w:eastAsia="zh-CN"/>
                      <w14:textFill>
                        <w14:solidFill>
                          <w14:schemeClr w14:val="tx1"/>
                        </w14:solidFill>
                      </w14:textFill>
                    </w:rPr>
                    <w:t>0.9</w:t>
                  </w:r>
                </w:p>
              </w:tc>
              <w:tc>
                <w:tcPr>
                  <w:tcW w:w="945" w:type="dxa"/>
                  <w:vAlign w:val="center"/>
                </w:tcPr>
                <w:p w14:paraId="31F8A009">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低毒</w:t>
                  </w:r>
                </w:p>
              </w:tc>
              <w:tc>
                <w:tcPr>
                  <w:tcW w:w="1983" w:type="dxa"/>
                  <w:vAlign w:val="center"/>
                </w:tcPr>
                <w:p w14:paraId="5EE71160">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val="en-US" w:eastAsia="zh-CN"/>
                    </w:rPr>
                  </w:pPr>
                  <w:r>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t>常温常压、</w:t>
                  </w:r>
                  <w:r>
                    <w:rPr>
                      <w:rFonts w:hint="eastAsia" w:ascii="Times New Roman" w:hAnsi="Times New Roman" w:cs="Times New Roman"/>
                      <w:color w:val="000000" w:themeColor="text1"/>
                      <w:spacing w:val="-10"/>
                      <w:kern w:val="0"/>
                      <w:sz w:val="21"/>
                      <w:szCs w:val="21"/>
                      <w:lang w:val="en-US" w:eastAsia="zh-CN"/>
                      <w14:textFill>
                        <w14:solidFill>
                          <w14:schemeClr w14:val="tx1"/>
                        </w14:solidFill>
                      </w14:textFill>
                    </w:rPr>
                    <w:t>固态</w:t>
                  </w:r>
                </w:p>
              </w:tc>
              <w:tc>
                <w:tcPr>
                  <w:tcW w:w="1320" w:type="dxa"/>
                  <w:vAlign w:val="center"/>
                </w:tcPr>
                <w:p w14:paraId="397B8749">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val="en-US" w:eastAsia="zh-CN"/>
                    </w:rPr>
                  </w:pPr>
                  <w:r>
                    <w:rPr>
                      <w:rFonts w:hint="eastAsia" w:ascii="Times New Roman" w:hAnsi="Times New Roman" w:cs="Times New Roman" w:eastAsiaTheme="minorEastAsia"/>
                      <w:b w:val="0"/>
                      <w:bCs w:val="0"/>
                      <w:snapToGrid w:val="0"/>
                      <w:color w:val="auto"/>
                      <w:sz w:val="21"/>
                      <w:szCs w:val="21"/>
                      <w:vertAlign w:val="baseline"/>
                      <w:lang w:val="en-US" w:eastAsia="zh-CN"/>
                    </w:rPr>
                    <w:t>泄漏</w:t>
                  </w:r>
                </w:p>
              </w:tc>
            </w:tr>
            <w:tr w14:paraId="4B3A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67" w:type="dxa"/>
                  <w:vAlign w:val="center"/>
                </w:tcPr>
                <w:p w14:paraId="33C76221">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4</w:t>
                  </w:r>
                </w:p>
              </w:tc>
              <w:tc>
                <w:tcPr>
                  <w:tcW w:w="1072" w:type="dxa"/>
                  <w:vMerge w:val="continue"/>
                  <w:vAlign w:val="center"/>
                </w:tcPr>
                <w:p w14:paraId="7E36B4A2">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p>
              </w:tc>
              <w:tc>
                <w:tcPr>
                  <w:tcW w:w="1185" w:type="dxa"/>
                  <w:vAlign w:val="center"/>
                </w:tcPr>
                <w:p w14:paraId="5463F63D">
                  <w:pPr>
                    <w:pStyle w:val="87"/>
                    <w:spacing w:line="280" w:lineRule="exact"/>
                    <w:ind w:firstLine="0" w:firstLineChars="0"/>
                    <w:jc w:val="center"/>
                    <w:rPr>
                      <w:rFonts w:hint="eastAsia" w:ascii="Times New Roman" w:hAnsi="Times New Roman" w:cs="Times New Roman" w:eastAsiaTheme="minorEastAsia"/>
                      <w:b w:val="0"/>
                      <w:bCs w:val="0"/>
                      <w:snapToGrid w:val="0"/>
                      <w:color w:val="auto"/>
                      <w:sz w:val="21"/>
                      <w:szCs w:val="21"/>
                      <w:vertAlign w:val="baseline"/>
                      <w:lang w:eastAsia="zh-CN"/>
                    </w:rPr>
                  </w:pPr>
                  <w:r>
                    <w:rPr>
                      <w:rFonts w:hint="eastAsia" w:ascii="Times New Roman" w:hAnsi="Times New Roman" w:cs="Times New Roman"/>
                      <w:bCs/>
                      <w:color w:val="auto"/>
                      <w:sz w:val="21"/>
                      <w:szCs w:val="21"/>
                      <w:shd w:val="clear" w:color="auto" w:fill="auto"/>
                      <w:lang w:val="en-US" w:eastAsia="zh-CN"/>
                    </w:rPr>
                    <w:t>废催化剂</w:t>
                  </w:r>
                </w:p>
              </w:tc>
              <w:tc>
                <w:tcPr>
                  <w:tcW w:w="954" w:type="dxa"/>
                  <w:vAlign w:val="center"/>
                </w:tcPr>
                <w:p w14:paraId="740D9F98">
                  <w:pPr>
                    <w:spacing w:line="240" w:lineRule="exact"/>
                    <w:jc w:val="cente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0.2</w:t>
                  </w:r>
                  <w:r>
                    <w:rPr>
                      <w:rFonts w:hint="eastAsia" w:cs="Times New Roman"/>
                      <w:bCs/>
                      <w:color w:val="auto"/>
                      <w:sz w:val="21"/>
                      <w:szCs w:val="21"/>
                      <w:lang w:val="en-US" w:eastAsia="zh-CN"/>
                    </w:rPr>
                    <w:t>（3a）</w:t>
                  </w:r>
                </w:p>
              </w:tc>
              <w:tc>
                <w:tcPr>
                  <w:tcW w:w="945" w:type="dxa"/>
                  <w:vAlign w:val="center"/>
                </w:tcPr>
                <w:p w14:paraId="6141B441">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低毒</w:t>
                  </w:r>
                </w:p>
              </w:tc>
              <w:tc>
                <w:tcPr>
                  <w:tcW w:w="1983" w:type="dxa"/>
                  <w:vAlign w:val="center"/>
                </w:tcPr>
                <w:p w14:paraId="4AA49AE9">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t>常温常压、</w:t>
                  </w:r>
                  <w:r>
                    <w:rPr>
                      <w:rFonts w:hint="eastAsia" w:ascii="Times New Roman" w:hAnsi="Times New Roman" w:eastAsia="宋体" w:cs="Times New Roman"/>
                      <w:color w:val="000000" w:themeColor="text1"/>
                      <w:spacing w:val="-10"/>
                      <w:kern w:val="0"/>
                      <w:sz w:val="21"/>
                      <w:szCs w:val="21"/>
                      <w:lang w:val="en-US" w:eastAsia="zh-CN"/>
                      <w14:textFill>
                        <w14:solidFill>
                          <w14:schemeClr w14:val="tx1"/>
                        </w14:solidFill>
                      </w14:textFill>
                    </w:rPr>
                    <w:t>固态</w:t>
                  </w:r>
                </w:p>
              </w:tc>
              <w:tc>
                <w:tcPr>
                  <w:tcW w:w="1320" w:type="dxa"/>
                  <w:vAlign w:val="center"/>
                </w:tcPr>
                <w:p w14:paraId="65008F7B">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val="en-US" w:eastAsia="zh-CN"/>
                    </w:rPr>
                  </w:pPr>
                  <w:r>
                    <w:rPr>
                      <w:rFonts w:hint="eastAsia" w:ascii="Times New Roman" w:hAnsi="Times New Roman" w:cs="Times New Roman" w:eastAsiaTheme="minorEastAsia"/>
                      <w:b w:val="0"/>
                      <w:bCs w:val="0"/>
                      <w:snapToGrid w:val="0"/>
                      <w:color w:val="auto"/>
                      <w:sz w:val="21"/>
                      <w:szCs w:val="21"/>
                      <w:vertAlign w:val="baseline"/>
                      <w:lang w:val="en-US" w:eastAsia="zh-CN"/>
                    </w:rPr>
                    <w:t>泄漏</w:t>
                  </w:r>
                </w:p>
              </w:tc>
            </w:tr>
            <w:tr w14:paraId="03F0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67" w:type="dxa"/>
                  <w:vAlign w:val="center"/>
                </w:tcPr>
                <w:p w14:paraId="587C5FA8">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5</w:t>
                  </w:r>
                </w:p>
              </w:tc>
              <w:tc>
                <w:tcPr>
                  <w:tcW w:w="1072" w:type="dxa"/>
                  <w:vMerge w:val="continue"/>
                  <w:vAlign w:val="center"/>
                </w:tcPr>
                <w:p w14:paraId="1AA0BFE9">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p>
              </w:tc>
              <w:tc>
                <w:tcPr>
                  <w:tcW w:w="1185" w:type="dxa"/>
                  <w:vAlign w:val="center"/>
                </w:tcPr>
                <w:p w14:paraId="2CF99AAE">
                  <w:pPr>
                    <w:pStyle w:val="87"/>
                    <w:spacing w:line="280" w:lineRule="exact"/>
                    <w:ind w:firstLine="0" w:firstLineChars="0"/>
                    <w:jc w:val="center"/>
                    <w:rPr>
                      <w:rFonts w:hint="eastAsia" w:ascii="Times New Roman" w:hAnsi="Times New Roman" w:cs="Times New Roman" w:eastAsiaTheme="minorEastAsia"/>
                      <w:b w:val="0"/>
                      <w:bCs w:val="0"/>
                      <w:snapToGrid w:val="0"/>
                      <w:color w:val="auto"/>
                      <w:sz w:val="21"/>
                      <w:szCs w:val="21"/>
                      <w:vertAlign w:val="baseline"/>
                      <w:lang w:eastAsia="zh-CN"/>
                    </w:rPr>
                  </w:pPr>
                  <w:r>
                    <w:rPr>
                      <w:rFonts w:hint="default" w:ascii="Times New Roman" w:hAnsi="Times New Roman" w:cs="Times New Roman"/>
                      <w:bCs/>
                      <w:color w:val="auto"/>
                      <w:sz w:val="21"/>
                      <w:szCs w:val="21"/>
                      <w:shd w:val="clear" w:color="auto" w:fill="auto"/>
                      <w:lang w:val="en-US" w:eastAsia="zh-CN"/>
                    </w:rPr>
                    <w:t>废液压油</w:t>
                  </w:r>
                </w:p>
              </w:tc>
              <w:tc>
                <w:tcPr>
                  <w:tcW w:w="954" w:type="dxa"/>
                  <w:vAlign w:val="center"/>
                </w:tcPr>
                <w:p w14:paraId="7CF581E9">
                  <w:pPr>
                    <w:spacing w:line="240" w:lineRule="exact"/>
                    <w:jc w:val="cente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default" w:cs="Times New Roman"/>
                      <w:bCs/>
                      <w:color w:val="000000" w:themeColor="text1"/>
                      <w:sz w:val="21"/>
                      <w:szCs w:val="21"/>
                      <w:lang w:val="en-US" w:eastAsia="zh-CN"/>
                      <w14:textFill>
                        <w14:solidFill>
                          <w14:schemeClr w14:val="tx1"/>
                        </w14:solidFill>
                      </w14:textFill>
                    </w:rPr>
                    <w:t>0.004</w:t>
                  </w:r>
                </w:p>
              </w:tc>
              <w:tc>
                <w:tcPr>
                  <w:tcW w:w="945" w:type="dxa"/>
                  <w:vAlign w:val="center"/>
                </w:tcPr>
                <w:p w14:paraId="7F68DF3C">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可燃、低毒</w:t>
                  </w:r>
                </w:p>
              </w:tc>
              <w:tc>
                <w:tcPr>
                  <w:tcW w:w="1983" w:type="dxa"/>
                  <w:vAlign w:val="center"/>
                </w:tcPr>
                <w:p w14:paraId="6BDFC35D">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t>常温常压、</w:t>
                  </w:r>
                  <w:r>
                    <w:rPr>
                      <w:rFonts w:hint="eastAsia" w:cs="Times New Roman"/>
                      <w:color w:val="000000" w:themeColor="text1"/>
                      <w:spacing w:val="-10"/>
                      <w:kern w:val="0"/>
                      <w:sz w:val="21"/>
                      <w:szCs w:val="21"/>
                      <w:lang w:val="en-US" w:eastAsia="zh-CN"/>
                      <w14:textFill>
                        <w14:solidFill>
                          <w14:schemeClr w14:val="tx1"/>
                        </w14:solidFill>
                      </w14:textFill>
                    </w:rPr>
                    <w:t>液态</w:t>
                  </w:r>
                </w:p>
              </w:tc>
              <w:tc>
                <w:tcPr>
                  <w:tcW w:w="1320" w:type="dxa"/>
                  <w:vAlign w:val="center"/>
                </w:tcPr>
                <w:p w14:paraId="7C587890">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val="en-US" w:eastAsia="zh-CN"/>
                    </w:rPr>
                  </w:pPr>
                  <w:r>
                    <w:rPr>
                      <w:rFonts w:hint="eastAsia" w:ascii="Times New Roman" w:hAnsi="Times New Roman" w:cs="Times New Roman" w:eastAsiaTheme="minorEastAsia"/>
                      <w:b w:val="0"/>
                      <w:bCs w:val="0"/>
                      <w:snapToGrid w:val="0"/>
                      <w:color w:val="auto"/>
                      <w:sz w:val="21"/>
                      <w:szCs w:val="21"/>
                      <w:vertAlign w:val="baseline"/>
                      <w:lang w:val="en-US" w:eastAsia="zh-CN"/>
                    </w:rPr>
                    <w:t>泄漏</w:t>
                  </w:r>
                </w:p>
              </w:tc>
            </w:tr>
            <w:tr w14:paraId="08A1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67" w:type="dxa"/>
                  <w:vAlign w:val="center"/>
                </w:tcPr>
                <w:p w14:paraId="4C9A5755">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6</w:t>
                  </w:r>
                </w:p>
              </w:tc>
              <w:tc>
                <w:tcPr>
                  <w:tcW w:w="1072" w:type="dxa"/>
                  <w:vMerge w:val="continue"/>
                  <w:vAlign w:val="center"/>
                </w:tcPr>
                <w:p w14:paraId="0EAD6B02">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p>
              </w:tc>
              <w:tc>
                <w:tcPr>
                  <w:tcW w:w="1185" w:type="dxa"/>
                  <w:vAlign w:val="center"/>
                </w:tcPr>
                <w:p w14:paraId="7C16900C">
                  <w:pPr>
                    <w:pStyle w:val="87"/>
                    <w:spacing w:line="280" w:lineRule="exact"/>
                    <w:ind w:firstLine="0" w:firstLineChars="0"/>
                    <w:jc w:val="center"/>
                    <w:rPr>
                      <w:rFonts w:hint="eastAsia" w:ascii="Times New Roman" w:hAnsi="Times New Roman" w:cs="Times New Roman" w:eastAsiaTheme="minorEastAsia"/>
                      <w:b w:val="0"/>
                      <w:bCs w:val="0"/>
                      <w:snapToGrid w:val="0"/>
                      <w:color w:val="auto"/>
                      <w:sz w:val="21"/>
                      <w:szCs w:val="21"/>
                      <w:vertAlign w:val="baseline"/>
                      <w:lang w:eastAsia="zh-CN"/>
                    </w:rPr>
                  </w:pPr>
                  <w:r>
                    <w:rPr>
                      <w:rFonts w:hint="default" w:ascii="Times New Roman" w:hAnsi="Times New Roman" w:cs="Times New Roman"/>
                      <w:bCs/>
                      <w:color w:val="auto"/>
                      <w:sz w:val="21"/>
                      <w:szCs w:val="21"/>
                      <w:shd w:val="clear" w:color="auto" w:fill="auto"/>
                      <w:lang w:val="en-US" w:eastAsia="zh-CN"/>
                    </w:rPr>
                    <w:t>废润滑油</w:t>
                  </w:r>
                </w:p>
              </w:tc>
              <w:tc>
                <w:tcPr>
                  <w:tcW w:w="954" w:type="dxa"/>
                  <w:vAlign w:val="center"/>
                </w:tcPr>
                <w:p w14:paraId="5619B7C1">
                  <w:pPr>
                    <w:spacing w:line="240" w:lineRule="exact"/>
                    <w:jc w:val="center"/>
                    <w:rPr>
                      <w:rFonts w:hint="eastAsia" w:ascii="Times New Roman" w:hAnsi="Times New Roman" w:cs="Times New Roman" w:eastAsiaTheme="minorEastAsia"/>
                      <w:b w:val="0"/>
                      <w:bCs w:val="0"/>
                      <w:snapToGrid w:val="0"/>
                      <w:color w:val="auto"/>
                      <w:sz w:val="21"/>
                      <w:szCs w:val="21"/>
                      <w:vertAlign w:val="baseline"/>
                      <w:lang w:val="en-US" w:eastAsia="zh-CN"/>
                    </w:rPr>
                  </w:pPr>
                  <w:r>
                    <w:rPr>
                      <w:rFonts w:hint="eastAsia" w:cs="Times New Roman"/>
                      <w:bCs/>
                      <w:color w:val="000000" w:themeColor="text1"/>
                      <w:sz w:val="21"/>
                      <w:szCs w:val="21"/>
                      <w:lang w:val="en-US" w:eastAsia="zh-CN"/>
                      <w14:textFill>
                        <w14:solidFill>
                          <w14:schemeClr w14:val="tx1"/>
                        </w14:solidFill>
                      </w14:textFill>
                    </w:rPr>
                    <w:t>0.12</w:t>
                  </w:r>
                </w:p>
              </w:tc>
              <w:tc>
                <w:tcPr>
                  <w:tcW w:w="945" w:type="dxa"/>
                  <w:vAlign w:val="center"/>
                </w:tcPr>
                <w:p w14:paraId="32605175">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可燃、低毒</w:t>
                  </w:r>
                </w:p>
              </w:tc>
              <w:tc>
                <w:tcPr>
                  <w:tcW w:w="1983" w:type="dxa"/>
                  <w:vAlign w:val="center"/>
                </w:tcPr>
                <w:p w14:paraId="410217B8">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t>常温常压、</w:t>
                  </w:r>
                  <w:r>
                    <w:rPr>
                      <w:rFonts w:hint="eastAsia" w:cs="Times New Roman"/>
                      <w:color w:val="000000" w:themeColor="text1"/>
                      <w:spacing w:val="-10"/>
                      <w:kern w:val="0"/>
                      <w:sz w:val="21"/>
                      <w:szCs w:val="21"/>
                      <w:lang w:val="en-US" w:eastAsia="zh-CN"/>
                      <w14:textFill>
                        <w14:solidFill>
                          <w14:schemeClr w14:val="tx1"/>
                        </w14:solidFill>
                      </w14:textFill>
                    </w:rPr>
                    <w:t>液态</w:t>
                  </w:r>
                </w:p>
              </w:tc>
              <w:tc>
                <w:tcPr>
                  <w:tcW w:w="1320" w:type="dxa"/>
                  <w:vAlign w:val="center"/>
                </w:tcPr>
                <w:p w14:paraId="5E9E6DC6">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val="en-US" w:eastAsia="zh-CN"/>
                    </w:rPr>
                  </w:pPr>
                  <w:r>
                    <w:rPr>
                      <w:rFonts w:hint="eastAsia" w:ascii="Times New Roman" w:hAnsi="Times New Roman" w:cs="Times New Roman" w:eastAsiaTheme="minorEastAsia"/>
                      <w:b w:val="0"/>
                      <w:bCs w:val="0"/>
                      <w:snapToGrid w:val="0"/>
                      <w:color w:val="auto"/>
                      <w:sz w:val="21"/>
                      <w:szCs w:val="21"/>
                      <w:vertAlign w:val="baseline"/>
                      <w:lang w:val="en-US" w:eastAsia="zh-CN"/>
                    </w:rPr>
                    <w:t>泄漏</w:t>
                  </w:r>
                </w:p>
              </w:tc>
            </w:tr>
            <w:tr w14:paraId="0B20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67" w:type="dxa"/>
                  <w:vAlign w:val="center"/>
                </w:tcPr>
                <w:p w14:paraId="19774E31">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7</w:t>
                  </w:r>
                </w:p>
              </w:tc>
              <w:tc>
                <w:tcPr>
                  <w:tcW w:w="1072" w:type="dxa"/>
                  <w:vMerge w:val="continue"/>
                  <w:vAlign w:val="center"/>
                </w:tcPr>
                <w:p w14:paraId="0D8ED91C">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val="en-US" w:eastAsia="zh-CN"/>
                    </w:rPr>
                  </w:pPr>
                </w:p>
              </w:tc>
              <w:tc>
                <w:tcPr>
                  <w:tcW w:w="1185" w:type="dxa"/>
                  <w:vAlign w:val="center"/>
                </w:tcPr>
                <w:p w14:paraId="30494236">
                  <w:pPr>
                    <w:pStyle w:val="87"/>
                    <w:spacing w:line="280" w:lineRule="exact"/>
                    <w:ind w:firstLine="0" w:firstLineChars="0"/>
                    <w:jc w:val="center"/>
                    <w:rPr>
                      <w:rFonts w:hint="eastAsia" w:ascii="Times New Roman" w:hAnsi="Times New Roman" w:cs="Times New Roman" w:eastAsiaTheme="minorEastAsia"/>
                      <w:b w:val="0"/>
                      <w:bCs w:val="0"/>
                      <w:snapToGrid w:val="0"/>
                      <w:color w:val="auto"/>
                      <w:sz w:val="21"/>
                      <w:szCs w:val="21"/>
                      <w:vertAlign w:val="baseline"/>
                      <w:lang w:eastAsia="zh-CN"/>
                    </w:rPr>
                  </w:pPr>
                  <w:r>
                    <w:rPr>
                      <w:rFonts w:hint="default" w:ascii="Times New Roman" w:hAnsi="Times New Roman" w:cs="Times New Roman"/>
                      <w:bCs/>
                      <w:color w:val="auto"/>
                      <w:sz w:val="21"/>
                      <w:szCs w:val="21"/>
                      <w:shd w:val="clear" w:color="auto" w:fill="auto"/>
                      <w:lang w:val="en-US" w:eastAsia="zh-CN"/>
                    </w:rPr>
                    <w:t>废油桶</w:t>
                  </w:r>
                </w:p>
              </w:tc>
              <w:tc>
                <w:tcPr>
                  <w:tcW w:w="954" w:type="dxa"/>
                  <w:vAlign w:val="center"/>
                </w:tcPr>
                <w:p w14:paraId="5D843905">
                  <w:pPr>
                    <w:spacing w:line="240" w:lineRule="exact"/>
                    <w:jc w:val="center"/>
                    <w:rPr>
                      <w:rFonts w:hint="eastAsia" w:ascii="Times New Roman" w:hAnsi="Times New Roman" w:cs="Times New Roman" w:eastAsiaTheme="minorEastAsia"/>
                      <w:b w:val="0"/>
                      <w:bCs w:val="0"/>
                      <w:snapToGrid w:val="0"/>
                      <w:color w:val="auto"/>
                      <w:sz w:val="21"/>
                      <w:szCs w:val="21"/>
                      <w:vertAlign w:val="baseline"/>
                      <w:lang w:val="en-US" w:eastAsia="zh-CN"/>
                    </w:rPr>
                  </w:pPr>
                  <w:r>
                    <w:rPr>
                      <w:rFonts w:hint="default" w:cs="Times New Roman"/>
                      <w:bCs/>
                      <w:color w:val="000000" w:themeColor="text1"/>
                      <w:sz w:val="21"/>
                      <w:szCs w:val="21"/>
                      <w:lang w:val="en-US" w:eastAsia="zh-CN"/>
                      <w14:textFill>
                        <w14:solidFill>
                          <w14:schemeClr w14:val="tx1"/>
                        </w14:solidFill>
                      </w14:textFill>
                    </w:rPr>
                    <w:t>0.0</w:t>
                  </w:r>
                  <w:r>
                    <w:rPr>
                      <w:rFonts w:hint="eastAsia" w:cs="Times New Roman"/>
                      <w:bCs/>
                      <w:color w:val="000000" w:themeColor="text1"/>
                      <w:sz w:val="21"/>
                      <w:szCs w:val="21"/>
                      <w:lang w:val="en-US" w:eastAsia="zh-CN"/>
                      <w14:textFill>
                        <w14:solidFill>
                          <w14:schemeClr w14:val="tx1"/>
                        </w14:solidFill>
                      </w14:textFill>
                    </w:rPr>
                    <w:t>3</w:t>
                  </w:r>
                </w:p>
              </w:tc>
              <w:tc>
                <w:tcPr>
                  <w:tcW w:w="945" w:type="dxa"/>
                  <w:vAlign w:val="center"/>
                </w:tcPr>
                <w:p w14:paraId="09D21647">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可燃、低毒</w:t>
                  </w:r>
                </w:p>
              </w:tc>
              <w:tc>
                <w:tcPr>
                  <w:tcW w:w="1983" w:type="dxa"/>
                  <w:vAlign w:val="center"/>
                </w:tcPr>
                <w:p w14:paraId="689D5424">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val="en-US" w:eastAsia="zh-CN"/>
                    </w:rPr>
                  </w:pPr>
                  <w:r>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t>常温常压、</w:t>
                  </w:r>
                  <w:r>
                    <w:rPr>
                      <w:rFonts w:hint="eastAsia" w:ascii="Times New Roman" w:hAnsi="Times New Roman" w:cs="Times New Roman"/>
                      <w:color w:val="000000" w:themeColor="text1"/>
                      <w:spacing w:val="-10"/>
                      <w:kern w:val="0"/>
                      <w:sz w:val="21"/>
                      <w:szCs w:val="21"/>
                      <w:lang w:val="en-US" w:eastAsia="zh-CN"/>
                      <w14:textFill>
                        <w14:solidFill>
                          <w14:schemeClr w14:val="tx1"/>
                        </w14:solidFill>
                      </w14:textFill>
                    </w:rPr>
                    <w:t>固</w:t>
                  </w:r>
                  <w:r>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t>态</w:t>
                  </w:r>
                </w:p>
              </w:tc>
              <w:tc>
                <w:tcPr>
                  <w:tcW w:w="1320" w:type="dxa"/>
                  <w:vAlign w:val="center"/>
                </w:tcPr>
                <w:p w14:paraId="6076543F">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val="en-US" w:eastAsia="zh-CN"/>
                    </w:rPr>
                  </w:pPr>
                  <w:r>
                    <w:rPr>
                      <w:rFonts w:hint="eastAsia" w:ascii="Times New Roman" w:hAnsi="Times New Roman" w:cs="Times New Roman" w:eastAsiaTheme="minorEastAsia"/>
                      <w:b w:val="0"/>
                      <w:bCs w:val="0"/>
                      <w:snapToGrid w:val="0"/>
                      <w:color w:val="auto"/>
                      <w:sz w:val="21"/>
                      <w:szCs w:val="21"/>
                      <w:vertAlign w:val="baseline"/>
                      <w:lang w:val="en-US" w:eastAsia="zh-CN"/>
                    </w:rPr>
                    <w:t>泄漏</w:t>
                  </w:r>
                </w:p>
              </w:tc>
            </w:tr>
            <w:tr w14:paraId="1389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67" w:type="dxa"/>
                  <w:vAlign w:val="center"/>
                </w:tcPr>
                <w:p w14:paraId="0900565E">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8</w:t>
                  </w:r>
                </w:p>
              </w:tc>
              <w:tc>
                <w:tcPr>
                  <w:tcW w:w="1072" w:type="dxa"/>
                  <w:vMerge w:val="continue"/>
                  <w:vAlign w:val="center"/>
                </w:tcPr>
                <w:p w14:paraId="2A7F9300">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val="en-US" w:eastAsia="zh-CN"/>
                    </w:rPr>
                  </w:pPr>
                </w:p>
              </w:tc>
              <w:tc>
                <w:tcPr>
                  <w:tcW w:w="1185" w:type="dxa"/>
                  <w:vAlign w:val="center"/>
                </w:tcPr>
                <w:p w14:paraId="170E3ABC">
                  <w:pPr>
                    <w:pStyle w:val="87"/>
                    <w:spacing w:line="280" w:lineRule="exact"/>
                    <w:ind w:firstLine="0" w:firstLineChars="0"/>
                    <w:jc w:val="center"/>
                    <w:rPr>
                      <w:rFonts w:hint="eastAsia" w:ascii="Times New Roman" w:hAnsi="Times New Roman" w:cs="Times New Roman" w:eastAsiaTheme="minorEastAsia"/>
                      <w:b w:val="0"/>
                      <w:bCs w:val="0"/>
                      <w:snapToGrid w:val="0"/>
                      <w:color w:val="auto"/>
                      <w:sz w:val="21"/>
                      <w:szCs w:val="21"/>
                      <w:vertAlign w:val="baseline"/>
                      <w:lang w:eastAsia="zh-CN"/>
                    </w:rPr>
                  </w:pPr>
                  <w:r>
                    <w:rPr>
                      <w:rFonts w:hint="default" w:ascii="Times New Roman" w:hAnsi="Times New Roman" w:cs="Times New Roman"/>
                      <w:bCs/>
                      <w:color w:val="auto"/>
                      <w:sz w:val="21"/>
                      <w:szCs w:val="21"/>
                      <w:shd w:val="clear" w:color="auto" w:fill="auto"/>
                      <w:lang w:val="en-US" w:eastAsia="zh-CN"/>
                    </w:rPr>
                    <w:t>废含油抹布</w:t>
                  </w:r>
                </w:p>
              </w:tc>
              <w:tc>
                <w:tcPr>
                  <w:tcW w:w="954" w:type="dxa"/>
                  <w:vAlign w:val="center"/>
                </w:tcPr>
                <w:p w14:paraId="2B61EFF6">
                  <w:pPr>
                    <w:spacing w:line="240" w:lineRule="exact"/>
                    <w:jc w:val="cente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0.012</w:t>
                  </w:r>
                </w:p>
              </w:tc>
              <w:tc>
                <w:tcPr>
                  <w:tcW w:w="945" w:type="dxa"/>
                  <w:vAlign w:val="center"/>
                </w:tcPr>
                <w:p w14:paraId="27FC8A27">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低毒</w:t>
                  </w:r>
                </w:p>
              </w:tc>
              <w:tc>
                <w:tcPr>
                  <w:tcW w:w="1983" w:type="dxa"/>
                  <w:vAlign w:val="center"/>
                </w:tcPr>
                <w:p w14:paraId="745A1CAE">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t>常温常压、</w:t>
                  </w:r>
                  <w:r>
                    <w:rPr>
                      <w:rFonts w:hint="eastAsia" w:cs="Times New Roman"/>
                      <w:color w:val="000000" w:themeColor="text1"/>
                      <w:spacing w:val="-10"/>
                      <w:kern w:val="0"/>
                      <w:sz w:val="21"/>
                      <w:szCs w:val="21"/>
                      <w:lang w:val="en-US" w:eastAsia="zh-CN"/>
                      <w14:textFill>
                        <w14:solidFill>
                          <w14:schemeClr w14:val="tx1"/>
                        </w14:solidFill>
                      </w14:textFill>
                    </w:rPr>
                    <w:t>固态</w:t>
                  </w:r>
                </w:p>
              </w:tc>
              <w:tc>
                <w:tcPr>
                  <w:tcW w:w="1320" w:type="dxa"/>
                  <w:vAlign w:val="center"/>
                </w:tcPr>
                <w:p w14:paraId="1F3907FF">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val="en-US" w:eastAsia="zh-CN"/>
                    </w:rPr>
                  </w:pPr>
                  <w:r>
                    <w:rPr>
                      <w:rFonts w:hint="eastAsia" w:ascii="Times New Roman" w:hAnsi="Times New Roman" w:cs="Times New Roman" w:eastAsiaTheme="minorEastAsia"/>
                      <w:b w:val="0"/>
                      <w:bCs w:val="0"/>
                      <w:snapToGrid w:val="0"/>
                      <w:color w:val="auto"/>
                      <w:sz w:val="21"/>
                      <w:szCs w:val="21"/>
                      <w:vertAlign w:val="baseline"/>
                      <w:lang w:val="en-US" w:eastAsia="zh-CN"/>
                    </w:rPr>
                    <w:t>泄漏</w:t>
                  </w:r>
                </w:p>
              </w:tc>
            </w:tr>
          </w:tbl>
          <w:p w14:paraId="5E80006E">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ascii="Times New Roman" w:hAnsi="Times New Roman" w:cs="Times New Roman" w:eastAsiaTheme="minorEastAsia"/>
                <w:b w:val="0"/>
                <w:bCs w:val="0"/>
                <w:snapToGrid w:val="0"/>
                <w:color w:val="auto"/>
                <w:sz w:val="24"/>
                <w:lang w:eastAsia="zh-CN"/>
              </w:rPr>
            </w:pPr>
            <w:r>
              <w:rPr>
                <w:rFonts w:hint="eastAsia" w:ascii="Times New Roman" w:hAnsi="Times New Roman" w:cs="Times New Roman" w:eastAsiaTheme="minorEastAsia"/>
                <w:b w:val="0"/>
                <w:bCs w:val="0"/>
                <w:snapToGrid w:val="0"/>
                <w:color w:val="auto"/>
                <w:sz w:val="24"/>
                <w:lang w:val="en-US" w:eastAsia="zh-CN"/>
              </w:rPr>
              <w:t>3</w:t>
            </w:r>
            <w:r>
              <w:rPr>
                <w:rFonts w:hint="eastAsia" w:ascii="Times New Roman" w:hAnsi="Times New Roman" w:cs="Times New Roman" w:eastAsiaTheme="minorEastAsia"/>
                <w:b w:val="0"/>
                <w:bCs w:val="0"/>
                <w:snapToGrid w:val="0"/>
                <w:color w:val="auto"/>
                <w:sz w:val="24"/>
                <w:lang w:eastAsia="zh-CN"/>
              </w:rPr>
              <w:t>）危险物质向环境转移的途径识别</w:t>
            </w:r>
          </w:p>
          <w:p w14:paraId="17746606">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ascii="Times New Roman" w:hAnsi="Times New Roman" w:cs="Times New Roman" w:eastAsiaTheme="minorEastAsia"/>
                <w:b w:val="0"/>
                <w:bCs w:val="0"/>
                <w:snapToGrid w:val="0"/>
                <w:color w:val="auto"/>
                <w:sz w:val="24"/>
                <w:lang w:eastAsia="zh-CN"/>
              </w:rPr>
            </w:pPr>
            <w:r>
              <w:rPr>
                <w:rFonts w:hint="eastAsia" w:ascii="Times New Roman" w:hAnsi="Times New Roman" w:cs="Times New Roman" w:eastAsiaTheme="minorEastAsia"/>
                <w:b w:val="0"/>
                <w:bCs w:val="0"/>
                <w:snapToGrid w:val="0"/>
                <w:color w:val="auto"/>
                <w:sz w:val="24"/>
                <w:lang w:eastAsia="zh-CN"/>
              </w:rPr>
              <w:t>危险物质可能影响环境的途径如下：</w:t>
            </w:r>
          </w:p>
          <w:p w14:paraId="7DA9B0C4">
            <w:pPr>
              <w:pStyle w:val="43"/>
              <w:keepNext w:val="0"/>
              <w:keepLines w:val="0"/>
              <w:pageBreakBefore w:val="0"/>
              <w:kinsoku/>
              <w:wordWrap/>
              <w:overflowPunct/>
              <w:topLinePunct w:val="0"/>
              <w:autoSpaceDE/>
              <w:autoSpaceDN/>
              <w:bidi w:val="0"/>
              <w:adjustRightInd/>
              <w:snapToGrid/>
              <w:spacing w:after="0" w:afterLines="0" w:line="500" w:lineRule="exact"/>
              <w:ind w:left="0" w:leftChars="0" w:firstLine="0" w:firstLineChars="0"/>
              <w:jc w:val="center"/>
              <w:textAlignment w:val="auto"/>
              <w:rPr>
                <w:rFonts w:hint="eastAsia" w:ascii="Times New Roman" w:hAnsi="Times New Roman" w:cs="Times New Roman" w:eastAsiaTheme="minorEastAsia"/>
                <w:b/>
                <w:bCs/>
                <w:snapToGrid w:val="0"/>
                <w:color w:val="000000" w:themeColor="text1"/>
                <w:sz w:val="24"/>
                <w:lang w:eastAsia="zh-CN"/>
                <w14:textFill>
                  <w14:solidFill>
                    <w14:schemeClr w14:val="tx1"/>
                  </w14:solidFill>
                </w14:textFill>
              </w:rPr>
            </w:pPr>
            <w:r>
              <w:rPr>
                <w:rFonts w:hint="eastAsia" w:ascii="Times New Roman" w:hAnsi="Times New Roman" w:cs="Times New Roman" w:eastAsiaTheme="minorEastAsia"/>
                <w:b/>
                <w:bCs/>
                <w:snapToGrid w:val="0"/>
                <w:color w:val="000000" w:themeColor="text1"/>
                <w:sz w:val="24"/>
                <w:lang w:eastAsia="zh-CN"/>
                <w14:textFill>
                  <w14:solidFill>
                    <w14:schemeClr w14:val="tx1"/>
                  </w14:solidFill>
                </w14:textFill>
              </w:rPr>
              <w:t>表</w:t>
            </w:r>
            <w:r>
              <w:rPr>
                <w:rFonts w:hint="eastAsia" w:ascii="Times New Roman" w:hAnsi="Times New Roman" w:cs="Times New Roman" w:eastAsiaTheme="minorEastAsia"/>
                <w:b/>
                <w:bCs/>
                <w:snapToGrid w:val="0"/>
                <w:color w:val="000000" w:themeColor="text1"/>
                <w:sz w:val="24"/>
                <w:lang w:val="en-US" w:eastAsia="zh-CN"/>
                <w14:textFill>
                  <w14:solidFill>
                    <w14:schemeClr w14:val="tx1"/>
                  </w14:solidFill>
                </w14:textFill>
              </w:rPr>
              <w:t>35</w:t>
            </w:r>
            <w:r>
              <w:rPr>
                <w:rFonts w:hint="eastAsia" w:ascii="Times New Roman" w:hAnsi="Times New Roman" w:cs="Times New Roman" w:eastAsiaTheme="minorEastAsia"/>
                <w:b/>
                <w:bCs/>
                <w:snapToGrid w:val="0"/>
                <w:color w:val="000000" w:themeColor="text1"/>
                <w:sz w:val="24"/>
                <w:lang w:eastAsia="zh-CN"/>
                <w14:textFill>
                  <w14:solidFill>
                    <w14:schemeClr w14:val="tx1"/>
                  </w14:solidFill>
                </w14:textFill>
              </w:rPr>
              <w:t xml:space="preserve">   项目危险物质影响环境途径一览表</w:t>
            </w:r>
          </w:p>
          <w:tbl>
            <w:tblPr>
              <w:tblStyle w:val="29"/>
              <w:tblW w:w="7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70"/>
              <w:gridCol w:w="2048"/>
              <w:gridCol w:w="2235"/>
              <w:gridCol w:w="1710"/>
            </w:tblGrid>
            <w:tr w14:paraId="06FA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60" w:type="dxa"/>
                  <w:vAlign w:val="center"/>
                </w:tcPr>
                <w:p w14:paraId="080E0085">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bCs/>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bCs/>
                      <w:snapToGrid w:val="0"/>
                      <w:color w:val="000000" w:themeColor="text1"/>
                      <w:sz w:val="21"/>
                      <w:szCs w:val="21"/>
                      <w:vertAlign w:val="baseline"/>
                      <w:lang w:val="en-US" w:eastAsia="zh-CN"/>
                      <w14:textFill>
                        <w14:solidFill>
                          <w14:schemeClr w14:val="tx1"/>
                        </w14:solidFill>
                      </w14:textFill>
                    </w:rPr>
                    <w:t>序号</w:t>
                  </w:r>
                </w:p>
              </w:tc>
              <w:tc>
                <w:tcPr>
                  <w:tcW w:w="1170" w:type="dxa"/>
                  <w:vAlign w:val="center"/>
                </w:tcPr>
                <w:p w14:paraId="5DEB67E6">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bCs/>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bCs/>
                      <w:snapToGrid w:val="0"/>
                      <w:color w:val="000000" w:themeColor="text1"/>
                      <w:sz w:val="21"/>
                      <w:szCs w:val="21"/>
                      <w:vertAlign w:val="baseline"/>
                      <w:lang w:val="en-US" w:eastAsia="zh-CN"/>
                      <w14:textFill>
                        <w14:solidFill>
                          <w14:schemeClr w14:val="tx1"/>
                        </w14:solidFill>
                      </w14:textFill>
                    </w:rPr>
                    <w:t>危险单元</w:t>
                  </w:r>
                </w:p>
              </w:tc>
              <w:tc>
                <w:tcPr>
                  <w:tcW w:w="2048" w:type="dxa"/>
                  <w:vAlign w:val="center"/>
                </w:tcPr>
                <w:p w14:paraId="2CB2AA1F">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bCs/>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bCs/>
                      <w:snapToGrid w:val="0"/>
                      <w:color w:val="000000" w:themeColor="text1"/>
                      <w:sz w:val="21"/>
                      <w:szCs w:val="21"/>
                      <w:vertAlign w:val="baseline"/>
                      <w:lang w:val="en-US" w:eastAsia="zh-CN"/>
                      <w14:textFill>
                        <w14:solidFill>
                          <w14:schemeClr w14:val="tx1"/>
                        </w14:solidFill>
                      </w14:textFill>
                    </w:rPr>
                    <w:t>主要危险物质</w:t>
                  </w:r>
                </w:p>
              </w:tc>
              <w:tc>
                <w:tcPr>
                  <w:tcW w:w="2235" w:type="dxa"/>
                  <w:vAlign w:val="center"/>
                </w:tcPr>
                <w:p w14:paraId="68925191">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bCs/>
                      <w:snapToGrid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eastAsiaTheme="minorEastAsia"/>
                      <w:b/>
                      <w:bCs/>
                      <w:snapToGrid w:val="0"/>
                      <w:color w:val="000000" w:themeColor="text1"/>
                      <w:sz w:val="21"/>
                      <w:szCs w:val="21"/>
                      <w:vertAlign w:val="baseline"/>
                      <w:lang w:eastAsia="zh-CN"/>
                      <w14:textFill>
                        <w14:solidFill>
                          <w14:schemeClr w14:val="tx1"/>
                        </w14:solidFill>
                      </w14:textFill>
                    </w:rPr>
                    <w:t>环境风险类型</w:t>
                  </w:r>
                </w:p>
              </w:tc>
              <w:tc>
                <w:tcPr>
                  <w:tcW w:w="1710" w:type="dxa"/>
                  <w:vAlign w:val="center"/>
                </w:tcPr>
                <w:p w14:paraId="3DD7C79E">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bCs/>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bCs/>
                      <w:snapToGrid w:val="0"/>
                      <w:color w:val="000000" w:themeColor="text1"/>
                      <w:sz w:val="21"/>
                      <w:szCs w:val="21"/>
                      <w:vertAlign w:val="baseline"/>
                      <w:lang w:val="en-US" w:eastAsia="zh-CN"/>
                      <w14:textFill>
                        <w14:solidFill>
                          <w14:schemeClr w14:val="tx1"/>
                        </w14:solidFill>
                      </w14:textFill>
                    </w:rPr>
                    <w:t xml:space="preserve"> 环境影响途径</w:t>
                  </w:r>
                </w:p>
              </w:tc>
            </w:tr>
            <w:tr w14:paraId="702D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60" w:type="dxa"/>
                  <w:vAlign w:val="center"/>
                </w:tcPr>
                <w:p w14:paraId="4BAFCC7E">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1</w:t>
                  </w:r>
                </w:p>
              </w:tc>
              <w:tc>
                <w:tcPr>
                  <w:tcW w:w="1170" w:type="dxa"/>
                  <w:vAlign w:val="center"/>
                </w:tcPr>
                <w:p w14:paraId="6B5D76B7">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生产车间原料区</w:t>
                  </w:r>
                </w:p>
              </w:tc>
              <w:tc>
                <w:tcPr>
                  <w:tcW w:w="2048" w:type="dxa"/>
                  <w:vAlign w:val="center"/>
                </w:tcPr>
                <w:p w14:paraId="26AAC3E9">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auto"/>
                      <w:sz w:val="21"/>
                      <w:szCs w:val="21"/>
                      <w:vertAlign w:val="baseline"/>
                      <w:lang w:val="en-US" w:eastAsia="zh-CN"/>
                    </w:rPr>
                    <w:t>润滑油</w:t>
                  </w:r>
                </w:p>
              </w:tc>
              <w:tc>
                <w:tcPr>
                  <w:tcW w:w="2235" w:type="dxa"/>
                  <w:vAlign w:val="center"/>
                </w:tcPr>
                <w:p w14:paraId="23B86285">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t>火灾</w:t>
                  </w:r>
                  <w:r>
                    <w:rPr>
                      <w:rFonts w:hint="eastAsia" w:ascii="Times New Roman" w:hAnsi="Times New Roman" w:cs="Times New Roman"/>
                      <w:color w:val="000000" w:themeColor="text1"/>
                      <w:spacing w:val="-10"/>
                      <w:kern w:val="0"/>
                      <w:sz w:val="21"/>
                      <w:szCs w:val="21"/>
                      <w:lang w:val="en-US" w:eastAsia="zh-CN"/>
                      <w14:textFill>
                        <w14:solidFill>
                          <w14:schemeClr w14:val="tx1"/>
                        </w14:solidFill>
                      </w14:textFill>
                    </w:rPr>
                    <w:t>等</w:t>
                  </w:r>
                  <w:r>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t>伴生/次生</w:t>
                  </w:r>
                  <w:r>
                    <w:rPr>
                      <w:rFonts w:hint="eastAsia" w:ascii="Times New Roman" w:hAnsi="Times New Roman" w:cs="Times New Roman"/>
                      <w:color w:val="000000" w:themeColor="text1"/>
                      <w:spacing w:val="-10"/>
                      <w:kern w:val="0"/>
                      <w:sz w:val="21"/>
                      <w:szCs w:val="21"/>
                      <w:lang w:val="en-US" w:eastAsia="zh-CN"/>
                      <w14:textFill>
                        <w14:solidFill>
                          <w14:schemeClr w14:val="tx1"/>
                        </w14:solidFill>
                      </w14:textFill>
                    </w:rPr>
                    <w:t>，泄漏</w:t>
                  </w:r>
                </w:p>
              </w:tc>
              <w:tc>
                <w:tcPr>
                  <w:tcW w:w="1710" w:type="dxa"/>
                  <w:vAlign w:val="center"/>
                </w:tcPr>
                <w:p w14:paraId="3DB6C806">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t>大气、地下水</w:t>
                  </w:r>
                </w:p>
              </w:tc>
            </w:tr>
            <w:tr w14:paraId="5710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60" w:type="dxa"/>
                  <w:vAlign w:val="center"/>
                </w:tcPr>
                <w:p w14:paraId="6DAF4C77">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2</w:t>
                  </w:r>
                </w:p>
              </w:tc>
              <w:tc>
                <w:tcPr>
                  <w:tcW w:w="1170" w:type="dxa"/>
                  <w:vMerge w:val="restart"/>
                  <w:vAlign w:val="center"/>
                </w:tcPr>
                <w:p w14:paraId="57DFD309">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危废间</w:t>
                  </w:r>
                </w:p>
              </w:tc>
              <w:tc>
                <w:tcPr>
                  <w:tcW w:w="2048" w:type="dxa"/>
                  <w:vAlign w:val="center"/>
                </w:tcPr>
                <w:p w14:paraId="66C106A1">
                  <w:pPr>
                    <w:pStyle w:val="87"/>
                    <w:spacing w:line="280" w:lineRule="exact"/>
                    <w:ind w:firstLine="0" w:firstLineChars="0"/>
                    <w:jc w:val="cente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Cs/>
                      <w:color w:val="auto"/>
                      <w:sz w:val="21"/>
                      <w:szCs w:val="21"/>
                      <w:shd w:val="clear" w:color="auto" w:fill="auto"/>
                      <w:lang w:val="en-US" w:eastAsia="zh-CN"/>
                    </w:rPr>
                    <w:t>废过滤棉</w:t>
                  </w:r>
                </w:p>
              </w:tc>
              <w:tc>
                <w:tcPr>
                  <w:tcW w:w="2235" w:type="dxa"/>
                  <w:vAlign w:val="center"/>
                </w:tcPr>
                <w:p w14:paraId="345463FA">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10"/>
                      <w:kern w:val="0"/>
                      <w:sz w:val="21"/>
                      <w:szCs w:val="21"/>
                      <w:lang w:val="en-US" w:eastAsia="zh-CN"/>
                      <w14:textFill>
                        <w14:solidFill>
                          <w14:schemeClr w14:val="tx1"/>
                        </w14:solidFill>
                      </w14:textFill>
                    </w:rPr>
                    <w:t>泄漏</w:t>
                  </w:r>
                </w:p>
              </w:tc>
              <w:tc>
                <w:tcPr>
                  <w:tcW w:w="1710" w:type="dxa"/>
                  <w:vAlign w:val="center"/>
                </w:tcPr>
                <w:p w14:paraId="0A757DD6">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t>大气、地下水</w:t>
                  </w:r>
                </w:p>
              </w:tc>
            </w:tr>
            <w:tr w14:paraId="0E5F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660" w:type="dxa"/>
                  <w:vAlign w:val="center"/>
                </w:tcPr>
                <w:p w14:paraId="33518AFC">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3</w:t>
                  </w:r>
                </w:p>
              </w:tc>
              <w:tc>
                <w:tcPr>
                  <w:tcW w:w="1170" w:type="dxa"/>
                  <w:vMerge w:val="continue"/>
                  <w:vAlign w:val="center"/>
                </w:tcPr>
                <w:p w14:paraId="2EEBDC65">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val="en-US" w:eastAsia="zh-CN"/>
                    </w:rPr>
                  </w:pPr>
                </w:p>
              </w:tc>
              <w:tc>
                <w:tcPr>
                  <w:tcW w:w="2048" w:type="dxa"/>
                  <w:vAlign w:val="center"/>
                </w:tcPr>
                <w:p w14:paraId="76602165">
                  <w:pPr>
                    <w:pStyle w:val="87"/>
                    <w:spacing w:line="280" w:lineRule="exact"/>
                    <w:ind w:firstLine="0" w:firstLineChars="0"/>
                    <w:jc w:val="center"/>
                    <w:rPr>
                      <w:rFonts w:hint="eastAsia" w:ascii="Times New Roman" w:hAnsi="Times New Roman" w:cs="Times New Roman" w:eastAsiaTheme="minorEastAsia"/>
                      <w:b w:val="0"/>
                      <w:bCs w:val="0"/>
                      <w:snapToGrid w:val="0"/>
                      <w:color w:val="auto"/>
                      <w:sz w:val="21"/>
                      <w:szCs w:val="21"/>
                      <w:vertAlign w:val="baseline"/>
                      <w:lang w:eastAsia="zh-CN"/>
                    </w:rPr>
                  </w:pPr>
                  <w:r>
                    <w:rPr>
                      <w:rFonts w:hint="eastAsia" w:ascii="Times New Roman" w:hAnsi="Times New Roman" w:cs="Times New Roman"/>
                      <w:bCs/>
                      <w:color w:val="auto"/>
                      <w:sz w:val="21"/>
                      <w:szCs w:val="21"/>
                      <w:shd w:val="clear" w:color="auto" w:fill="auto"/>
                      <w:lang w:val="en-US" w:eastAsia="zh-CN"/>
                    </w:rPr>
                    <w:t>废活性炭</w:t>
                  </w:r>
                </w:p>
              </w:tc>
              <w:tc>
                <w:tcPr>
                  <w:tcW w:w="2235" w:type="dxa"/>
                  <w:vAlign w:val="center"/>
                </w:tcPr>
                <w:p w14:paraId="5381AFE9">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eastAsia="宋体" w:cs="Times New Roman"/>
                      <w:color w:val="auto"/>
                      <w:spacing w:val="-10"/>
                      <w:kern w:val="0"/>
                      <w:sz w:val="21"/>
                      <w:szCs w:val="21"/>
                      <w:lang w:val="en-US" w:eastAsia="zh-CN"/>
                    </w:rPr>
                  </w:pPr>
                  <w:r>
                    <w:rPr>
                      <w:rFonts w:hint="eastAsia" w:ascii="Times New Roman" w:hAnsi="Times New Roman" w:cs="Times New Roman"/>
                      <w:color w:val="000000" w:themeColor="text1"/>
                      <w:spacing w:val="-10"/>
                      <w:kern w:val="0"/>
                      <w:sz w:val="21"/>
                      <w:szCs w:val="21"/>
                      <w:lang w:val="en-US" w:eastAsia="zh-CN"/>
                      <w14:textFill>
                        <w14:solidFill>
                          <w14:schemeClr w14:val="tx1"/>
                        </w14:solidFill>
                      </w14:textFill>
                    </w:rPr>
                    <w:t>泄漏</w:t>
                  </w:r>
                </w:p>
              </w:tc>
              <w:tc>
                <w:tcPr>
                  <w:tcW w:w="1710" w:type="dxa"/>
                  <w:vAlign w:val="center"/>
                </w:tcPr>
                <w:p w14:paraId="61F2D936">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eastAsia="宋体" w:cs="Times New Roman"/>
                      <w:color w:val="auto"/>
                      <w:spacing w:val="-10"/>
                      <w:kern w:val="0"/>
                      <w:sz w:val="21"/>
                      <w:szCs w:val="21"/>
                      <w:lang w:val="en-US" w:eastAsia="zh-CN"/>
                    </w:rPr>
                  </w:pPr>
                  <w:r>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t>大气、地下水</w:t>
                  </w:r>
                </w:p>
              </w:tc>
            </w:tr>
            <w:tr w14:paraId="79CB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660" w:type="dxa"/>
                  <w:vAlign w:val="center"/>
                </w:tcPr>
                <w:p w14:paraId="63772F63">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4</w:t>
                  </w:r>
                </w:p>
              </w:tc>
              <w:tc>
                <w:tcPr>
                  <w:tcW w:w="1170" w:type="dxa"/>
                  <w:vMerge w:val="continue"/>
                  <w:vAlign w:val="center"/>
                </w:tcPr>
                <w:p w14:paraId="454A43C5">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p>
              </w:tc>
              <w:tc>
                <w:tcPr>
                  <w:tcW w:w="2048" w:type="dxa"/>
                  <w:vAlign w:val="center"/>
                </w:tcPr>
                <w:p w14:paraId="0B7749B4">
                  <w:pPr>
                    <w:pStyle w:val="87"/>
                    <w:spacing w:line="280" w:lineRule="exact"/>
                    <w:ind w:firstLine="0" w:firstLineChars="0"/>
                    <w:jc w:val="center"/>
                    <w:rPr>
                      <w:rFonts w:hint="eastAsia" w:ascii="Times New Roman" w:hAnsi="Times New Roman" w:cs="Times New Roman" w:eastAsiaTheme="minorEastAsia"/>
                      <w:b w:val="0"/>
                      <w:bCs w:val="0"/>
                      <w:snapToGrid w:val="0"/>
                      <w:color w:val="auto"/>
                      <w:sz w:val="21"/>
                      <w:szCs w:val="21"/>
                      <w:vertAlign w:val="baseline"/>
                      <w:lang w:eastAsia="zh-CN"/>
                    </w:rPr>
                  </w:pPr>
                  <w:r>
                    <w:rPr>
                      <w:rFonts w:hint="eastAsia" w:ascii="Times New Roman" w:hAnsi="Times New Roman" w:cs="Times New Roman"/>
                      <w:bCs/>
                      <w:color w:val="auto"/>
                      <w:sz w:val="21"/>
                      <w:szCs w:val="21"/>
                      <w:shd w:val="clear" w:color="auto" w:fill="auto"/>
                      <w:lang w:val="en-US" w:eastAsia="zh-CN"/>
                    </w:rPr>
                    <w:t>废催化剂</w:t>
                  </w:r>
                </w:p>
              </w:tc>
              <w:tc>
                <w:tcPr>
                  <w:tcW w:w="2235" w:type="dxa"/>
                  <w:vAlign w:val="center"/>
                </w:tcPr>
                <w:p w14:paraId="62CFF9D3">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10"/>
                      <w:kern w:val="0"/>
                      <w:sz w:val="21"/>
                      <w:szCs w:val="21"/>
                      <w:lang w:val="en-US" w:eastAsia="zh-CN"/>
                      <w14:textFill>
                        <w14:solidFill>
                          <w14:schemeClr w14:val="tx1"/>
                        </w14:solidFill>
                      </w14:textFill>
                    </w:rPr>
                    <w:t>泄漏</w:t>
                  </w:r>
                </w:p>
              </w:tc>
              <w:tc>
                <w:tcPr>
                  <w:tcW w:w="1710" w:type="dxa"/>
                  <w:vAlign w:val="center"/>
                </w:tcPr>
                <w:p w14:paraId="3C3FFD7E">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t>大气、地下水</w:t>
                  </w:r>
                </w:p>
              </w:tc>
            </w:tr>
            <w:tr w14:paraId="44A7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660" w:type="dxa"/>
                  <w:vAlign w:val="center"/>
                </w:tcPr>
                <w:p w14:paraId="148C3117">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5</w:t>
                  </w:r>
                </w:p>
              </w:tc>
              <w:tc>
                <w:tcPr>
                  <w:tcW w:w="1170" w:type="dxa"/>
                  <w:vMerge w:val="continue"/>
                  <w:vAlign w:val="center"/>
                </w:tcPr>
                <w:p w14:paraId="1CA11D67">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pPr>
                </w:p>
              </w:tc>
              <w:tc>
                <w:tcPr>
                  <w:tcW w:w="2048" w:type="dxa"/>
                  <w:vAlign w:val="center"/>
                </w:tcPr>
                <w:p w14:paraId="7630EE2A">
                  <w:pPr>
                    <w:pStyle w:val="87"/>
                    <w:spacing w:line="280" w:lineRule="exact"/>
                    <w:ind w:firstLine="0" w:firstLineChars="0"/>
                    <w:jc w:val="center"/>
                    <w:rPr>
                      <w:rFonts w:hint="eastAsia" w:ascii="Times New Roman" w:hAnsi="Times New Roman" w:cs="Times New Roman" w:eastAsiaTheme="minorEastAsia"/>
                      <w:b w:val="0"/>
                      <w:bCs w:val="0"/>
                      <w:snapToGrid w:val="0"/>
                      <w:color w:val="auto"/>
                      <w:sz w:val="21"/>
                      <w:szCs w:val="21"/>
                      <w:vertAlign w:val="baseline"/>
                      <w:lang w:eastAsia="zh-CN"/>
                    </w:rPr>
                  </w:pPr>
                  <w:r>
                    <w:rPr>
                      <w:rFonts w:hint="default" w:ascii="Times New Roman" w:hAnsi="Times New Roman" w:cs="Times New Roman"/>
                      <w:bCs/>
                      <w:color w:val="auto"/>
                      <w:sz w:val="21"/>
                      <w:szCs w:val="21"/>
                      <w:shd w:val="clear" w:color="auto" w:fill="auto"/>
                      <w:lang w:val="en-US" w:eastAsia="zh-CN"/>
                    </w:rPr>
                    <w:t>废液压油</w:t>
                  </w:r>
                </w:p>
              </w:tc>
              <w:tc>
                <w:tcPr>
                  <w:tcW w:w="2235" w:type="dxa"/>
                  <w:vAlign w:val="center"/>
                </w:tcPr>
                <w:p w14:paraId="3BE4062B">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t>火灾</w:t>
                  </w:r>
                  <w:r>
                    <w:rPr>
                      <w:rFonts w:hint="eastAsia" w:ascii="Times New Roman" w:hAnsi="Times New Roman" w:cs="Times New Roman"/>
                      <w:color w:val="000000" w:themeColor="text1"/>
                      <w:spacing w:val="-10"/>
                      <w:kern w:val="0"/>
                      <w:sz w:val="21"/>
                      <w:szCs w:val="21"/>
                      <w:lang w:val="en-US" w:eastAsia="zh-CN"/>
                      <w14:textFill>
                        <w14:solidFill>
                          <w14:schemeClr w14:val="tx1"/>
                        </w14:solidFill>
                      </w14:textFill>
                    </w:rPr>
                    <w:t>等</w:t>
                  </w:r>
                  <w:r>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t>伴生/次生</w:t>
                  </w:r>
                  <w:r>
                    <w:rPr>
                      <w:rFonts w:hint="eastAsia" w:ascii="Times New Roman" w:hAnsi="Times New Roman" w:cs="Times New Roman"/>
                      <w:color w:val="000000" w:themeColor="text1"/>
                      <w:spacing w:val="-10"/>
                      <w:kern w:val="0"/>
                      <w:sz w:val="21"/>
                      <w:szCs w:val="21"/>
                      <w:lang w:val="en-US" w:eastAsia="zh-CN"/>
                      <w14:textFill>
                        <w14:solidFill>
                          <w14:schemeClr w14:val="tx1"/>
                        </w14:solidFill>
                      </w14:textFill>
                    </w:rPr>
                    <w:t>，泄漏</w:t>
                  </w:r>
                </w:p>
              </w:tc>
              <w:tc>
                <w:tcPr>
                  <w:tcW w:w="1710" w:type="dxa"/>
                  <w:vAlign w:val="center"/>
                </w:tcPr>
                <w:p w14:paraId="52F35F16">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t>大气、地下水</w:t>
                  </w:r>
                </w:p>
              </w:tc>
            </w:tr>
            <w:tr w14:paraId="0560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660" w:type="dxa"/>
                  <w:vAlign w:val="center"/>
                </w:tcPr>
                <w:p w14:paraId="494A8A83">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6</w:t>
                  </w:r>
                </w:p>
              </w:tc>
              <w:tc>
                <w:tcPr>
                  <w:tcW w:w="1170" w:type="dxa"/>
                  <w:vMerge w:val="continue"/>
                  <w:vAlign w:val="center"/>
                </w:tcPr>
                <w:p w14:paraId="2B115521">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val="en-US" w:eastAsia="zh-CN"/>
                    </w:rPr>
                  </w:pPr>
                </w:p>
              </w:tc>
              <w:tc>
                <w:tcPr>
                  <w:tcW w:w="2048" w:type="dxa"/>
                  <w:vAlign w:val="center"/>
                </w:tcPr>
                <w:p w14:paraId="431260E1">
                  <w:pPr>
                    <w:pStyle w:val="87"/>
                    <w:spacing w:line="280" w:lineRule="exact"/>
                    <w:ind w:firstLine="0" w:firstLineChars="0"/>
                    <w:jc w:val="center"/>
                    <w:rPr>
                      <w:rFonts w:hint="eastAsia" w:ascii="Times New Roman" w:hAnsi="Times New Roman" w:cs="Times New Roman" w:eastAsiaTheme="minorEastAsia"/>
                      <w:b w:val="0"/>
                      <w:bCs w:val="0"/>
                      <w:snapToGrid w:val="0"/>
                      <w:color w:val="auto"/>
                      <w:sz w:val="21"/>
                      <w:szCs w:val="21"/>
                      <w:vertAlign w:val="baseline"/>
                      <w:lang w:eastAsia="zh-CN"/>
                    </w:rPr>
                  </w:pPr>
                  <w:r>
                    <w:rPr>
                      <w:rFonts w:hint="default" w:ascii="Times New Roman" w:hAnsi="Times New Roman" w:cs="Times New Roman"/>
                      <w:bCs/>
                      <w:color w:val="auto"/>
                      <w:sz w:val="21"/>
                      <w:szCs w:val="21"/>
                      <w:shd w:val="clear" w:color="auto" w:fill="auto"/>
                      <w:lang w:val="en-US" w:eastAsia="zh-CN"/>
                    </w:rPr>
                    <w:t>废润滑油</w:t>
                  </w:r>
                </w:p>
              </w:tc>
              <w:tc>
                <w:tcPr>
                  <w:tcW w:w="2235" w:type="dxa"/>
                  <w:vAlign w:val="center"/>
                </w:tcPr>
                <w:p w14:paraId="7D890AC1">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t>火灾</w:t>
                  </w:r>
                  <w:r>
                    <w:rPr>
                      <w:rFonts w:hint="eastAsia" w:ascii="Times New Roman" w:hAnsi="Times New Roman" w:cs="Times New Roman"/>
                      <w:color w:val="000000" w:themeColor="text1"/>
                      <w:spacing w:val="-10"/>
                      <w:kern w:val="0"/>
                      <w:sz w:val="21"/>
                      <w:szCs w:val="21"/>
                      <w:lang w:val="en-US" w:eastAsia="zh-CN"/>
                      <w14:textFill>
                        <w14:solidFill>
                          <w14:schemeClr w14:val="tx1"/>
                        </w14:solidFill>
                      </w14:textFill>
                    </w:rPr>
                    <w:t>等</w:t>
                  </w:r>
                  <w:r>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t>伴生/次生</w:t>
                  </w:r>
                  <w:r>
                    <w:rPr>
                      <w:rFonts w:hint="eastAsia" w:ascii="Times New Roman" w:hAnsi="Times New Roman" w:cs="Times New Roman"/>
                      <w:color w:val="000000" w:themeColor="text1"/>
                      <w:spacing w:val="-10"/>
                      <w:kern w:val="0"/>
                      <w:sz w:val="21"/>
                      <w:szCs w:val="21"/>
                      <w:lang w:val="en-US" w:eastAsia="zh-CN"/>
                      <w14:textFill>
                        <w14:solidFill>
                          <w14:schemeClr w14:val="tx1"/>
                        </w14:solidFill>
                      </w14:textFill>
                    </w:rPr>
                    <w:t>，泄漏</w:t>
                  </w:r>
                </w:p>
              </w:tc>
              <w:tc>
                <w:tcPr>
                  <w:tcW w:w="1710" w:type="dxa"/>
                  <w:vAlign w:val="center"/>
                </w:tcPr>
                <w:p w14:paraId="769C4E10">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t>大气、地下水</w:t>
                  </w:r>
                </w:p>
              </w:tc>
            </w:tr>
            <w:tr w14:paraId="14D7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660" w:type="dxa"/>
                  <w:vAlign w:val="center"/>
                </w:tcPr>
                <w:p w14:paraId="3699D2B7">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7</w:t>
                  </w:r>
                </w:p>
              </w:tc>
              <w:tc>
                <w:tcPr>
                  <w:tcW w:w="1170" w:type="dxa"/>
                  <w:vMerge w:val="continue"/>
                  <w:vAlign w:val="center"/>
                </w:tcPr>
                <w:p w14:paraId="3828DF97">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val="en-US" w:eastAsia="zh-CN"/>
                    </w:rPr>
                  </w:pPr>
                </w:p>
              </w:tc>
              <w:tc>
                <w:tcPr>
                  <w:tcW w:w="2048" w:type="dxa"/>
                  <w:vAlign w:val="center"/>
                </w:tcPr>
                <w:p w14:paraId="33AF8DFB">
                  <w:pPr>
                    <w:pStyle w:val="87"/>
                    <w:spacing w:line="280" w:lineRule="exact"/>
                    <w:ind w:firstLine="0" w:firstLineChars="0"/>
                    <w:jc w:val="center"/>
                    <w:rPr>
                      <w:rFonts w:hint="eastAsia" w:ascii="Times New Roman" w:hAnsi="Times New Roman" w:cs="Times New Roman" w:eastAsiaTheme="minorEastAsia"/>
                      <w:b w:val="0"/>
                      <w:bCs w:val="0"/>
                      <w:snapToGrid w:val="0"/>
                      <w:color w:val="auto"/>
                      <w:sz w:val="21"/>
                      <w:szCs w:val="21"/>
                      <w:vertAlign w:val="baseline"/>
                      <w:lang w:eastAsia="zh-CN"/>
                    </w:rPr>
                  </w:pPr>
                  <w:r>
                    <w:rPr>
                      <w:rFonts w:hint="default" w:ascii="Times New Roman" w:hAnsi="Times New Roman" w:cs="Times New Roman"/>
                      <w:bCs/>
                      <w:color w:val="auto"/>
                      <w:sz w:val="21"/>
                      <w:szCs w:val="21"/>
                      <w:shd w:val="clear" w:color="auto" w:fill="auto"/>
                      <w:lang w:val="en-US" w:eastAsia="zh-CN"/>
                    </w:rPr>
                    <w:t>废油桶</w:t>
                  </w:r>
                </w:p>
              </w:tc>
              <w:tc>
                <w:tcPr>
                  <w:tcW w:w="2235" w:type="dxa"/>
                  <w:vAlign w:val="center"/>
                </w:tcPr>
                <w:p w14:paraId="5A4CC660">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t>火灾</w:t>
                  </w:r>
                  <w:r>
                    <w:rPr>
                      <w:rFonts w:hint="eastAsia" w:ascii="Times New Roman" w:hAnsi="Times New Roman" w:cs="Times New Roman"/>
                      <w:color w:val="000000" w:themeColor="text1"/>
                      <w:spacing w:val="-10"/>
                      <w:kern w:val="0"/>
                      <w:sz w:val="21"/>
                      <w:szCs w:val="21"/>
                      <w:lang w:val="en-US" w:eastAsia="zh-CN"/>
                      <w14:textFill>
                        <w14:solidFill>
                          <w14:schemeClr w14:val="tx1"/>
                        </w14:solidFill>
                      </w14:textFill>
                    </w:rPr>
                    <w:t>等</w:t>
                  </w:r>
                  <w:r>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t>伴生/次生</w:t>
                  </w:r>
                  <w:r>
                    <w:rPr>
                      <w:rFonts w:hint="eastAsia" w:ascii="Times New Roman" w:hAnsi="Times New Roman" w:cs="Times New Roman"/>
                      <w:color w:val="000000" w:themeColor="text1"/>
                      <w:spacing w:val="-10"/>
                      <w:kern w:val="0"/>
                      <w:sz w:val="21"/>
                      <w:szCs w:val="21"/>
                      <w:lang w:val="en-US" w:eastAsia="zh-CN"/>
                      <w14:textFill>
                        <w14:solidFill>
                          <w14:schemeClr w14:val="tx1"/>
                        </w14:solidFill>
                      </w14:textFill>
                    </w:rPr>
                    <w:t>，泄漏</w:t>
                  </w:r>
                </w:p>
              </w:tc>
              <w:tc>
                <w:tcPr>
                  <w:tcW w:w="1710" w:type="dxa"/>
                  <w:vAlign w:val="center"/>
                </w:tcPr>
                <w:p w14:paraId="43AAA298">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t>大气、地下水</w:t>
                  </w:r>
                </w:p>
              </w:tc>
            </w:tr>
            <w:tr w14:paraId="5E9A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660" w:type="dxa"/>
                  <w:vAlign w:val="center"/>
                </w:tcPr>
                <w:p w14:paraId="5D97EB60">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1"/>
                      <w:szCs w:val="21"/>
                      <w:vertAlign w:val="baseline"/>
                      <w:lang w:val="en-US" w:eastAsia="zh-CN"/>
                      <w14:textFill>
                        <w14:solidFill>
                          <w14:schemeClr w14:val="tx1"/>
                        </w14:solidFill>
                      </w14:textFill>
                    </w:rPr>
                    <w:t>8</w:t>
                  </w:r>
                </w:p>
              </w:tc>
              <w:tc>
                <w:tcPr>
                  <w:tcW w:w="1170" w:type="dxa"/>
                  <w:vMerge w:val="continue"/>
                  <w:vAlign w:val="center"/>
                </w:tcPr>
                <w:p w14:paraId="1C1CF38D">
                  <w:pPr>
                    <w:pStyle w:val="43"/>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eastAsiaTheme="minorEastAsia"/>
                      <w:b w:val="0"/>
                      <w:bCs w:val="0"/>
                      <w:snapToGrid w:val="0"/>
                      <w:color w:val="auto"/>
                      <w:sz w:val="21"/>
                      <w:szCs w:val="21"/>
                      <w:vertAlign w:val="baseline"/>
                      <w:lang w:val="en-US" w:eastAsia="zh-CN"/>
                    </w:rPr>
                  </w:pPr>
                </w:p>
              </w:tc>
              <w:tc>
                <w:tcPr>
                  <w:tcW w:w="2048" w:type="dxa"/>
                  <w:vAlign w:val="center"/>
                </w:tcPr>
                <w:p w14:paraId="3A89343F">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default" w:ascii="Times New Roman" w:hAnsi="Times New Roman" w:cs="Times New Roman"/>
                      <w:bCs/>
                      <w:color w:val="auto"/>
                      <w:sz w:val="21"/>
                      <w:szCs w:val="21"/>
                      <w:shd w:val="clear" w:color="auto" w:fill="auto"/>
                      <w:lang w:val="en-US" w:eastAsia="zh-CN"/>
                    </w:rPr>
                    <w:t>废含油抹布</w:t>
                  </w:r>
                </w:p>
              </w:tc>
              <w:tc>
                <w:tcPr>
                  <w:tcW w:w="2235" w:type="dxa"/>
                  <w:vAlign w:val="center"/>
                </w:tcPr>
                <w:p w14:paraId="6CCDB0D3">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Times New Roman" w:hAnsi="Times New Roman" w:cs="Times New Roman"/>
                      <w:color w:val="000000" w:themeColor="text1"/>
                      <w:spacing w:val="-10"/>
                      <w:kern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10"/>
                      <w:kern w:val="0"/>
                      <w:sz w:val="21"/>
                      <w:szCs w:val="21"/>
                      <w:lang w:val="en-US" w:eastAsia="zh-CN"/>
                      <w14:textFill>
                        <w14:solidFill>
                          <w14:schemeClr w14:val="tx1"/>
                        </w14:solidFill>
                      </w14:textFill>
                    </w:rPr>
                    <w:t>泄漏</w:t>
                  </w:r>
                </w:p>
              </w:tc>
              <w:tc>
                <w:tcPr>
                  <w:tcW w:w="1710" w:type="dxa"/>
                  <w:vAlign w:val="center"/>
                </w:tcPr>
                <w:p w14:paraId="0D72EEB4">
                  <w:pPr>
                    <w:keepNext w:val="0"/>
                    <w:keepLines w:val="0"/>
                    <w:pageBreakBefore w:val="0"/>
                    <w:widowControl/>
                    <w:kinsoku/>
                    <w:wordWrap/>
                    <w:overflowPunct/>
                    <w:topLinePunct w:val="0"/>
                    <w:autoSpaceDE/>
                    <w:autoSpaceDN/>
                    <w:bidi w:val="0"/>
                    <w:adjustRightInd/>
                    <w:snapToGrid/>
                    <w:spacing w:after="0" w:afterLines="0" w:line="320" w:lineRule="exact"/>
                    <w:ind w:firstLine="0" w:firstLineChars="0"/>
                    <w:jc w:val="center"/>
                    <w:textAlignment w:val="auto"/>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t>大气、地下水</w:t>
                  </w:r>
                </w:p>
              </w:tc>
            </w:tr>
          </w:tbl>
          <w:p w14:paraId="560F8E21">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ascii="Times New Roman" w:hAnsi="Times New Roman" w:cs="Times New Roman" w:eastAsiaTheme="minorEastAsia"/>
                <w:b w:val="0"/>
                <w:bCs w:val="0"/>
                <w:snapToGrid w:val="0"/>
                <w:color w:val="auto"/>
                <w:sz w:val="24"/>
                <w:lang w:eastAsia="zh-CN"/>
              </w:rPr>
            </w:pPr>
            <w:r>
              <w:rPr>
                <w:rFonts w:hint="default" w:ascii="Times New Roman" w:hAnsi="Times New Roman" w:cs="Times New Roman" w:eastAsiaTheme="minorEastAsia"/>
                <w:b w:val="0"/>
                <w:bCs w:val="0"/>
                <w:color w:val="auto"/>
                <w:sz w:val="24"/>
                <w:szCs w:val="24"/>
              </w:rPr>
              <w:t>（</w:t>
            </w:r>
            <w:r>
              <w:rPr>
                <w:rFonts w:hint="eastAsia" w:ascii="Times New Roman" w:hAnsi="Times New Roman" w:cs="Times New Roman" w:eastAsiaTheme="minorEastAsia"/>
                <w:b w:val="0"/>
                <w:bCs w:val="0"/>
                <w:color w:val="auto"/>
                <w:sz w:val="24"/>
                <w:szCs w:val="24"/>
                <w:lang w:val="en-US" w:eastAsia="zh-CN"/>
              </w:rPr>
              <w:t>3</w:t>
            </w:r>
            <w:r>
              <w:rPr>
                <w:rFonts w:hint="default" w:ascii="Times New Roman" w:hAnsi="Times New Roman" w:cs="Times New Roman" w:eastAsiaTheme="minorEastAsia"/>
                <w:b w:val="0"/>
                <w:bCs w:val="0"/>
                <w:color w:val="auto"/>
                <w:sz w:val="24"/>
                <w:szCs w:val="24"/>
              </w:rPr>
              <w:t>）环境风险分析</w:t>
            </w:r>
          </w:p>
          <w:p w14:paraId="7533094F">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ascii="Times New Roman" w:hAnsi="Times New Roman" w:cs="Times New Roman" w:eastAsiaTheme="minorEastAsia"/>
                <w:b w:val="0"/>
                <w:bCs w:val="0"/>
                <w:snapToGrid w:val="0"/>
                <w:color w:val="auto"/>
                <w:sz w:val="24"/>
                <w:lang w:eastAsia="zh-CN"/>
              </w:rPr>
            </w:pPr>
            <w:r>
              <w:rPr>
                <w:rFonts w:hint="eastAsia" w:ascii="Times New Roman" w:hAnsi="Times New Roman" w:cs="Times New Roman" w:eastAsiaTheme="minorEastAsia"/>
                <w:b w:val="0"/>
                <w:bCs w:val="0"/>
                <w:snapToGrid w:val="0"/>
                <w:color w:val="auto"/>
                <w:sz w:val="24"/>
                <w:lang w:eastAsia="zh-CN"/>
              </w:rPr>
              <w:t>1）大气环境风险分析</w:t>
            </w:r>
          </w:p>
          <w:p w14:paraId="750C1C00">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ascii="Times New Roman" w:hAnsi="Times New Roman" w:cs="Times New Roman" w:eastAsiaTheme="minorEastAsia"/>
                <w:b w:val="0"/>
                <w:bCs w:val="0"/>
                <w:snapToGrid w:val="0"/>
                <w:color w:val="auto"/>
                <w:sz w:val="24"/>
                <w:lang w:val="en-US" w:eastAsia="zh-CN"/>
              </w:rPr>
            </w:pPr>
            <w:r>
              <w:rPr>
                <w:rFonts w:hint="eastAsia" w:ascii="Times New Roman" w:hAnsi="Times New Roman" w:cs="Times New Roman" w:eastAsiaTheme="minorEastAsia"/>
                <w:b w:val="0"/>
                <w:bCs w:val="0"/>
                <w:snapToGrid w:val="0"/>
                <w:color w:val="auto"/>
                <w:sz w:val="24"/>
                <w:lang w:val="en-US" w:eastAsia="zh-CN"/>
              </w:rPr>
              <w:t>废活性炭、废过滤棉等存储量较少，定期委托有资质单位处理。润滑油、废液压油等</w:t>
            </w:r>
            <w:r>
              <w:rPr>
                <w:rFonts w:hint="eastAsia" w:ascii="Times New Roman" w:hAnsi="Times New Roman" w:cs="Times New Roman" w:eastAsiaTheme="minorEastAsia"/>
                <w:b w:val="0"/>
                <w:bCs w:val="0"/>
                <w:snapToGrid w:val="0"/>
                <w:color w:val="auto"/>
                <w:sz w:val="24"/>
                <w:lang w:eastAsia="zh-CN"/>
              </w:rPr>
              <w:t>着火点相对较高</w:t>
            </w:r>
            <w:r>
              <w:rPr>
                <w:rFonts w:hint="eastAsia" w:ascii="Times New Roman" w:hAnsi="Times New Roman" w:cs="Times New Roman" w:eastAsiaTheme="minorEastAsia"/>
                <w:b w:val="0"/>
                <w:bCs w:val="0"/>
                <w:snapToGrid w:val="0"/>
                <w:color w:val="auto"/>
                <w:sz w:val="24"/>
                <w:lang w:val="en-US" w:eastAsia="zh-CN"/>
              </w:rPr>
              <w:t>且项目生产车间、危废间内</w:t>
            </w:r>
            <w:r>
              <w:rPr>
                <w:rFonts w:hint="eastAsia" w:ascii="Times New Roman" w:hAnsi="Times New Roman" w:cs="Times New Roman" w:eastAsiaTheme="minorEastAsia"/>
                <w:b w:val="0"/>
                <w:bCs w:val="0"/>
                <w:snapToGrid w:val="0"/>
                <w:color w:val="auto"/>
                <w:sz w:val="24"/>
                <w:lang w:eastAsia="zh-CN"/>
              </w:rPr>
              <w:t>无明火产生，因此</w:t>
            </w:r>
            <w:r>
              <w:rPr>
                <w:rFonts w:hint="eastAsia" w:ascii="Times New Roman" w:hAnsi="Times New Roman" w:cs="Times New Roman" w:eastAsiaTheme="minorEastAsia"/>
                <w:b w:val="0"/>
                <w:bCs w:val="0"/>
                <w:snapToGrid w:val="0"/>
                <w:color w:val="auto"/>
                <w:sz w:val="24"/>
                <w:lang w:val="en-US" w:eastAsia="zh-CN"/>
              </w:rPr>
              <w:t>以上物质</w:t>
            </w:r>
            <w:r>
              <w:rPr>
                <w:rFonts w:hint="eastAsia" w:ascii="Times New Roman" w:hAnsi="Times New Roman" w:cs="Times New Roman" w:eastAsiaTheme="minorEastAsia"/>
                <w:b w:val="0"/>
                <w:bCs w:val="0"/>
                <w:snapToGrid w:val="0"/>
                <w:color w:val="auto"/>
                <w:sz w:val="24"/>
                <w:lang w:eastAsia="zh-CN"/>
              </w:rPr>
              <w:t>泄漏发生次生危害对大气环境影响较小，大气环境风险可控。</w:t>
            </w:r>
          </w:p>
          <w:p w14:paraId="408944C6">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ascii="Times New Roman" w:hAnsi="Times New Roman" w:cs="Times New Roman" w:eastAsiaTheme="minorEastAsia"/>
                <w:b w:val="0"/>
                <w:bCs w:val="0"/>
                <w:snapToGrid w:val="0"/>
                <w:color w:val="auto"/>
                <w:sz w:val="24"/>
                <w:lang w:eastAsia="zh-CN"/>
              </w:rPr>
            </w:pPr>
            <w:r>
              <w:rPr>
                <w:rFonts w:hint="eastAsia" w:ascii="Times New Roman" w:hAnsi="Times New Roman" w:cs="Times New Roman" w:eastAsiaTheme="minorEastAsia"/>
                <w:b w:val="0"/>
                <w:bCs w:val="0"/>
                <w:snapToGrid w:val="0"/>
                <w:color w:val="auto"/>
                <w:sz w:val="24"/>
                <w:lang w:eastAsia="zh-CN"/>
              </w:rPr>
              <w:t>2）水环境风险分析</w:t>
            </w:r>
          </w:p>
          <w:p w14:paraId="72A1B6EB">
            <w:pPr>
              <w:pStyle w:val="43"/>
              <w:keepNext w:val="0"/>
              <w:keepLines w:val="0"/>
              <w:pageBreakBefore w:val="0"/>
              <w:kinsoku/>
              <w:wordWrap/>
              <w:overflowPunct/>
              <w:topLinePunct w:val="0"/>
              <w:autoSpaceDE/>
              <w:autoSpaceDN/>
              <w:bidi w:val="0"/>
              <w:adjustRightInd/>
              <w:snapToGrid/>
              <w:spacing w:after="0" w:afterLines="0" w:line="500" w:lineRule="exact"/>
              <w:ind w:left="0" w:leftChars="0" w:firstLine="480" w:firstLineChars="200"/>
              <w:textAlignment w:val="auto"/>
              <w:rPr>
                <w:rFonts w:hint="eastAsia" w:ascii="Times New Roman" w:hAnsi="Times New Roman" w:cs="Times New Roman" w:eastAsiaTheme="minorEastAsia"/>
                <w:b w:val="0"/>
                <w:bCs w:val="0"/>
                <w:snapToGrid w:val="0"/>
                <w:color w:val="auto"/>
                <w:sz w:val="24"/>
                <w:lang w:eastAsia="zh-CN"/>
              </w:rPr>
            </w:pPr>
            <w:r>
              <w:rPr>
                <w:rFonts w:hint="eastAsia" w:ascii="Times New Roman" w:hAnsi="Times New Roman" w:cs="Times New Roman" w:eastAsiaTheme="minorEastAsia"/>
                <w:b w:val="0"/>
                <w:bCs w:val="0"/>
                <w:snapToGrid w:val="0"/>
                <w:color w:val="auto"/>
                <w:sz w:val="24"/>
                <w:lang w:eastAsia="zh-CN"/>
              </w:rPr>
              <w:t>本项目</w:t>
            </w:r>
            <w:r>
              <w:rPr>
                <w:rFonts w:hint="eastAsia" w:ascii="Times New Roman" w:hAnsi="Times New Roman" w:cs="Times New Roman" w:eastAsiaTheme="minorEastAsia"/>
                <w:b w:val="0"/>
                <w:bCs w:val="0"/>
                <w:snapToGrid w:val="0"/>
                <w:color w:val="auto"/>
                <w:sz w:val="24"/>
                <w:lang w:val="en-US" w:eastAsia="zh-CN"/>
              </w:rPr>
              <w:t>危险</w:t>
            </w:r>
            <w:r>
              <w:rPr>
                <w:rFonts w:hint="eastAsia" w:ascii="Times New Roman" w:hAnsi="Times New Roman" w:cs="Times New Roman" w:eastAsiaTheme="minorEastAsia"/>
                <w:b w:val="0"/>
                <w:bCs w:val="0"/>
                <w:snapToGrid w:val="0"/>
                <w:color w:val="auto"/>
                <w:sz w:val="24"/>
                <w:lang w:eastAsia="zh-CN"/>
              </w:rPr>
              <w:t>物质泄漏可能通过垂直入渗对地下水环境产生影响。</w:t>
            </w:r>
            <w:r>
              <w:rPr>
                <w:rFonts w:hint="eastAsia" w:ascii="Times New Roman" w:hAnsi="Times New Roman" w:cs="Times New Roman" w:eastAsiaTheme="minorEastAsia"/>
                <w:b w:val="0"/>
                <w:bCs w:val="0"/>
                <w:snapToGrid w:val="0"/>
                <w:color w:val="auto"/>
                <w:sz w:val="24"/>
                <w:lang w:val="en-US" w:eastAsia="zh-CN"/>
              </w:rPr>
              <w:t>润滑油储存于生产车间原料区，废活性炭、废过滤棉等</w:t>
            </w:r>
            <w:r>
              <w:rPr>
                <w:rFonts w:hint="eastAsia" w:ascii="Times New Roman" w:hAnsi="Times New Roman" w:cs="Times New Roman" w:eastAsiaTheme="minorEastAsia"/>
                <w:b w:val="0"/>
                <w:bCs w:val="0"/>
                <w:snapToGrid w:val="0"/>
                <w:color w:val="auto"/>
                <w:sz w:val="24"/>
                <w:lang w:eastAsia="zh-CN"/>
              </w:rPr>
              <w:t>暂存于危废暂存间内</w:t>
            </w:r>
            <w:r>
              <w:rPr>
                <w:rFonts w:hint="eastAsia" w:ascii="Times New Roman" w:hAnsi="Times New Roman" w:cs="Times New Roman" w:eastAsiaTheme="minorEastAsia"/>
                <w:b w:val="0"/>
                <w:bCs w:val="0"/>
                <w:snapToGrid w:val="0"/>
                <w:color w:val="auto"/>
                <w:sz w:val="24"/>
                <w:lang w:val="en-US" w:eastAsia="zh-CN"/>
              </w:rPr>
              <w:t>，以上物质存储量较少。</w:t>
            </w:r>
            <w:r>
              <w:rPr>
                <w:rFonts w:hint="eastAsia" w:ascii="Times New Roman" w:hAnsi="Times New Roman" w:cs="Times New Roman" w:eastAsiaTheme="minorEastAsia"/>
                <w:b w:val="0"/>
                <w:bCs w:val="0"/>
                <w:snapToGrid w:val="0"/>
                <w:color w:val="auto"/>
                <w:sz w:val="24"/>
                <w:lang w:eastAsia="zh-CN"/>
              </w:rPr>
              <w:t>若风险状况下</w:t>
            </w:r>
            <w:r>
              <w:rPr>
                <w:rFonts w:hint="eastAsia" w:ascii="Times New Roman" w:hAnsi="Times New Roman" w:cs="Times New Roman" w:eastAsiaTheme="minorEastAsia"/>
                <w:b w:val="0"/>
                <w:bCs w:val="0"/>
                <w:snapToGrid w:val="0"/>
                <w:color w:val="auto"/>
                <w:sz w:val="24"/>
                <w:lang w:val="en-US" w:eastAsia="zh-CN"/>
              </w:rPr>
              <w:t>润滑油、废液压油等</w:t>
            </w:r>
            <w:r>
              <w:rPr>
                <w:rFonts w:hint="eastAsia" w:ascii="Times New Roman" w:hAnsi="Times New Roman" w:cs="Times New Roman" w:eastAsiaTheme="minorEastAsia"/>
                <w:b w:val="0"/>
                <w:bCs w:val="0"/>
                <w:snapToGrid w:val="0"/>
                <w:color w:val="auto"/>
                <w:sz w:val="24"/>
                <w:lang w:eastAsia="zh-CN"/>
              </w:rPr>
              <w:t>发生泄漏时，应急人员采用沙土吸收后转移至专用密闭容器交有资质的单位处置。此外，</w:t>
            </w:r>
            <w:r>
              <w:rPr>
                <w:rFonts w:hint="eastAsia" w:ascii="Times New Roman" w:hAnsi="Times New Roman" w:cs="Times New Roman" w:eastAsiaTheme="minorEastAsia"/>
                <w:b w:val="0"/>
                <w:bCs w:val="0"/>
                <w:snapToGrid w:val="0"/>
                <w:color w:val="auto"/>
                <w:sz w:val="24"/>
                <w:lang w:val="en-US" w:eastAsia="zh-CN"/>
              </w:rPr>
              <w:t>生产车间、危废间等</w:t>
            </w:r>
            <w:r>
              <w:rPr>
                <w:rFonts w:hint="eastAsia" w:ascii="Times New Roman" w:hAnsi="Times New Roman" w:cs="Times New Roman" w:eastAsiaTheme="minorEastAsia"/>
                <w:b w:val="0"/>
                <w:bCs w:val="0"/>
                <w:snapToGrid w:val="0"/>
                <w:color w:val="auto"/>
                <w:sz w:val="24"/>
                <w:lang w:eastAsia="zh-CN"/>
              </w:rPr>
              <w:t>均</w:t>
            </w:r>
            <w:r>
              <w:rPr>
                <w:rFonts w:hint="eastAsia" w:ascii="Times New Roman" w:hAnsi="Times New Roman" w:cs="Times New Roman" w:eastAsiaTheme="minorEastAsia"/>
                <w:b w:val="0"/>
                <w:bCs w:val="0"/>
                <w:snapToGrid w:val="0"/>
                <w:color w:val="auto"/>
                <w:sz w:val="24"/>
                <w:lang w:val="en-US" w:eastAsia="zh-CN"/>
              </w:rPr>
              <w:t>按要求采取防腐防渗措施</w:t>
            </w:r>
            <w:r>
              <w:rPr>
                <w:rFonts w:hint="eastAsia" w:ascii="Times New Roman" w:hAnsi="Times New Roman" w:cs="Times New Roman" w:eastAsiaTheme="minorEastAsia"/>
                <w:b w:val="0"/>
                <w:bCs w:val="0"/>
                <w:snapToGrid w:val="0"/>
                <w:color w:val="auto"/>
                <w:sz w:val="24"/>
                <w:lang w:eastAsia="zh-CN"/>
              </w:rPr>
              <w:t>，基本不存在危险物质下渗进入地下水的通道。因此，</w:t>
            </w:r>
            <w:r>
              <w:rPr>
                <w:rFonts w:hint="eastAsia" w:ascii="Times New Roman" w:hAnsi="Times New Roman" w:cs="Times New Roman" w:eastAsiaTheme="minorEastAsia"/>
                <w:b w:val="0"/>
                <w:bCs w:val="0"/>
                <w:snapToGrid w:val="0"/>
                <w:color w:val="auto"/>
                <w:sz w:val="24"/>
                <w:lang w:val="en-US" w:eastAsia="zh-CN"/>
              </w:rPr>
              <w:t>润滑油、废液压油</w:t>
            </w:r>
            <w:r>
              <w:rPr>
                <w:rFonts w:hint="eastAsia" w:ascii="Times New Roman" w:hAnsi="Times New Roman" w:cs="Times New Roman" w:eastAsiaTheme="minorEastAsia"/>
                <w:b w:val="0"/>
                <w:bCs w:val="0"/>
                <w:snapToGrid w:val="0"/>
                <w:color w:val="auto"/>
                <w:sz w:val="24"/>
                <w:lang w:eastAsia="zh-CN"/>
              </w:rPr>
              <w:t>等</w:t>
            </w:r>
            <w:r>
              <w:rPr>
                <w:rFonts w:hint="eastAsia" w:ascii="Times New Roman" w:hAnsi="Times New Roman" w:cs="Times New Roman" w:eastAsiaTheme="minorEastAsia"/>
                <w:b w:val="0"/>
                <w:bCs w:val="0"/>
                <w:snapToGrid w:val="0"/>
                <w:color w:val="auto"/>
                <w:sz w:val="24"/>
                <w:lang w:val="en-US" w:eastAsia="zh-CN"/>
              </w:rPr>
              <w:t>危险</w:t>
            </w:r>
            <w:r>
              <w:rPr>
                <w:rFonts w:hint="eastAsia" w:ascii="Times New Roman" w:hAnsi="Times New Roman" w:cs="Times New Roman" w:eastAsiaTheme="minorEastAsia"/>
                <w:b w:val="0"/>
                <w:bCs w:val="0"/>
                <w:snapToGrid w:val="0"/>
                <w:color w:val="auto"/>
                <w:sz w:val="24"/>
                <w:lang w:eastAsia="zh-CN"/>
              </w:rPr>
              <w:t>物质的泄漏事故引起的地下水环境产生的环境风险可防控。</w:t>
            </w:r>
          </w:p>
          <w:p w14:paraId="0B832063">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ascii="Times New Roman" w:hAnsi="Times New Roman" w:cs="Times New Roman" w:eastAsiaTheme="minorEastAsia"/>
                <w:b w:val="0"/>
                <w:bCs w:val="0"/>
                <w:snapToGrid w:val="0"/>
                <w:color w:val="auto"/>
                <w:sz w:val="24"/>
                <w:lang w:eastAsia="zh-CN"/>
              </w:rPr>
            </w:pPr>
            <w:r>
              <w:rPr>
                <w:rFonts w:hint="default" w:ascii="Times New Roman" w:hAnsi="Times New Roman" w:cs="Times New Roman" w:eastAsiaTheme="minorEastAsia"/>
                <w:b w:val="0"/>
                <w:bCs w:val="0"/>
                <w:color w:val="auto"/>
                <w:sz w:val="24"/>
                <w:szCs w:val="24"/>
              </w:rPr>
              <w:t>（</w:t>
            </w:r>
            <w:r>
              <w:rPr>
                <w:rFonts w:hint="eastAsia" w:ascii="Times New Roman" w:hAnsi="Times New Roman" w:cs="Times New Roman" w:eastAsiaTheme="minorEastAsia"/>
                <w:b w:val="0"/>
                <w:bCs w:val="0"/>
                <w:color w:val="auto"/>
                <w:sz w:val="24"/>
                <w:szCs w:val="24"/>
                <w:lang w:val="en-US" w:eastAsia="zh-CN"/>
              </w:rPr>
              <w:t>4</w:t>
            </w:r>
            <w:r>
              <w:rPr>
                <w:rFonts w:hint="default" w:ascii="Times New Roman" w:hAnsi="Times New Roman" w:cs="Times New Roman" w:eastAsiaTheme="minorEastAsia"/>
                <w:b w:val="0"/>
                <w:bCs w:val="0"/>
                <w:color w:val="auto"/>
                <w:sz w:val="24"/>
                <w:szCs w:val="24"/>
              </w:rPr>
              <w:t>）环境风险防范措施及应急要求</w:t>
            </w:r>
          </w:p>
          <w:p w14:paraId="6D70E03E">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ascii="Times New Roman" w:hAnsi="Times New Roman" w:cs="Times New Roman" w:eastAsiaTheme="minorEastAsia"/>
                <w:b w:val="0"/>
                <w:bCs w:val="0"/>
                <w:snapToGrid w:val="0"/>
                <w:color w:val="auto"/>
                <w:sz w:val="24"/>
                <w:lang w:eastAsia="zh-CN"/>
              </w:rPr>
            </w:pPr>
            <w:r>
              <w:rPr>
                <w:rFonts w:hint="eastAsia" w:ascii="Times New Roman" w:hAnsi="Times New Roman" w:cs="Times New Roman" w:eastAsiaTheme="minorEastAsia"/>
                <w:b w:val="0"/>
                <w:bCs w:val="0"/>
                <w:snapToGrid w:val="0"/>
                <w:color w:val="auto"/>
                <w:sz w:val="24"/>
                <w:lang w:val="en-US" w:eastAsia="zh-CN"/>
              </w:rPr>
              <w:t>1</w:t>
            </w:r>
            <w:r>
              <w:rPr>
                <w:rFonts w:hint="eastAsia" w:ascii="Times New Roman" w:hAnsi="Times New Roman" w:cs="Times New Roman" w:eastAsiaTheme="minorEastAsia"/>
                <w:b w:val="0"/>
                <w:bCs w:val="0"/>
                <w:snapToGrid w:val="0"/>
                <w:color w:val="auto"/>
                <w:sz w:val="24"/>
                <w:lang w:eastAsia="zh-CN"/>
              </w:rPr>
              <w:t>）环境风险防范措施</w:t>
            </w:r>
          </w:p>
          <w:p w14:paraId="31B6A5FD">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ascii="Times New Roman" w:hAnsi="Times New Roman" w:cs="Times New Roman" w:eastAsiaTheme="minorEastAsia"/>
                <w:b w:val="0"/>
                <w:bCs w:val="0"/>
                <w:snapToGrid w:val="0"/>
                <w:color w:val="auto"/>
                <w:sz w:val="24"/>
                <w:lang w:eastAsia="zh-CN"/>
              </w:rPr>
            </w:pPr>
            <w:r>
              <w:rPr>
                <w:rFonts w:hint="eastAsia" w:ascii="Times New Roman" w:hAnsi="Times New Roman" w:cs="Times New Roman" w:eastAsiaTheme="minorEastAsia"/>
                <w:b w:val="0"/>
                <w:bCs w:val="0"/>
                <w:snapToGrid w:val="0"/>
                <w:color w:val="auto"/>
                <w:sz w:val="24"/>
                <w:lang w:eastAsia="zh-CN"/>
              </w:rPr>
              <w:t>①厂区</w:t>
            </w:r>
            <w:r>
              <w:rPr>
                <w:rFonts w:hint="eastAsia" w:ascii="Times New Roman" w:hAnsi="Times New Roman" w:cs="Times New Roman" w:eastAsiaTheme="minorEastAsia"/>
                <w:b w:val="0"/>
                <w:bCs w:val="0"/>
                <w:snapToGrid w:val="0"/>
                <w:color w:val="auto"/>
                <w:sz w:val="24"/>
                <w:lang w:val="en-US" w:eastAsia="zh-CN"/>
              </w:rPr>
              <w:t>废润滑油、废液压油等危险物质</w:t>
            </w:r>
            <w:r>
              <w:rPr>
                <w:rFonts w:hint="eastAsia" w:ascii="Times New Roman" w:hAnsi="Times New Roman" w:cs="Times New Roman" w:eastAsiaTheme="minorEastAsia"/>
                <w:b w:val="0"/>
                <w:bCs w:val="0"/>
                <w:snapToGrid w:val="0"/>
                <w:color w:val="auto"/>
                <w:sz w:val="24"/>
                <w:lang w:eastAsia="zh-CN"/>
              </w:rPr>
              <w:t>使用各自桶装容器盛装，建设单位应定期检查是否存在泄漏。</w:t>
            </w:r>
          </w:p>
          <w:p w14:paraId="7D55874A">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default" w:ascii="Times New Roman" w:hAnsi="Times New Roman" w:cs="Times New Roman" w:eastAsiaTheme="minorEastAsia"/>
                <w:b w:val="0"/>
                <w:bCs w:val="0"/>
                <w:snapToGrid w:val="0"/>
                <w:color w:val="auto"/>
                <w:sz w:val="24"/>
                <w:lang w:val="en-US" w:eastAsia="zh-CN"/>
              </w:rPr>
            </w:pPr>
            <w:r>
              <w:rPr>
                <w:rFonts w:hint="eastAsia" w:ascii="Times New Roman" w:hAnsi="Times New Roman" w:cs="Times New Roman" w:eastAsiaTheme="minorEastAsia"/>
                <w:b w:val="0"/>
                <w:bCs w:val="0"/>
                <w:snapToGrid w:val="0"/>
                <w:color w:val="auto"/>
                <w:sz w:val="24"/>
                <w:lang w:eastAsia="zh-CN"/>
              </w:rPr>
              <w:t>②</w:t>
            </w:r>
            <w:r>
              <w:rPr>
                <w:rFonts w:hint="eastAsia" w:ascii="Times New Roman" w:hAnsi="Times New Roman" w:cs="Times New Roman" w:eastAsiaTheme="minorEastAsia"/>
                <w:b w:val="0"/>
                <w:bCs w:val="0"/>
                <w:snapToGrid w:val="0"/>
                <w:color w:val="auto"/>
                <w:sz w:val="24"/>
                <w:lang w:val="en-US" w:eastAsia="zh-CN"/>
              </w:rPr>
              <w:t>生产车间</w:t>
            </w:r>
            <w:r>
              <w:rPr>
                <w:rFonts w:hint="eastAsia" w:ascii="Times New Roman" w:hAnsi="Times New Roman" w:cs="Times New Roman" w:eastAsiaTheme="minorEastAsia"/>
                <w:b w:val="0"/>
                <w:bCs w:val="0"/>
                <w:snapToGrid w:val="0"/>
                <w:color w:val="auto"/>
                <w:sz w:val="24"/>
                <w:lang w:eastAsia="zh-CN"/>
              </w:rPr>
              <w:t>内粘贴警示标志，周边严禁烟火，防止发生火灾危险。</w:t>
            </w:r>
          </w:p>
          <w:p w14:paraId="5F957AC0">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ascii="Times New Roman" w:hAnsi="Times New Roman" w:cs="Times New Roman" w:eastAsiaTheme="minorEastAsia"/>
                <w:b w:val="0"/>
                <w:bCs w:val="0"/>
                <w:snapToGrid w:val="0"/>
                <w:color w:val="auto"/>
                <w:sz w:val="24"/>
                <w:lang w:eastAsia="zh-CN"/>
              </w:rPr>
            </w:pPr>
            <w:r>
              <w:rPr>
                <w:rFonts w:hint="eastAsia" w:ascii="Times New Roman" w:hAnsi="Times New Roman" w:cs="Times New Roman" w:eastAsiaTheme="minorEastAsia"/>
                <w:b w:val="0"/>
                <w:bCs w:val="0"/>
                <w:snapToGrid w:val="0"/>
                <w:color w:val="auto"/>
                <w:sz w:val="24"/>
                <w:lang w:eastAsia="zh-CN"/>
              </w:rPr>
              <w:t>③厂区应按照要求配置一定数量不同类型、不同规格的移动式灭火器材，以便及时扑救初始火灾。</w:t>
            </w:r>
          </w:p>
          <w:p w14:paraId="36F4F18F">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ascii="Times New Roman" w:hAnsi="Times New Roman" w:cs="Times New Roman" w:eastAsiaTheme="minorEastAsia"/>
                <w:b w:val="0"/>
                <w:bCs w:val="0"/>
                <w:snapToGrid w:val="0"/>
                <w:color w:val="auto"/>
                <w:sz w:val="24"/>
                <w:lang w:eastAsia="zh-CN"/>
              </w:rPr>
            </w:pPr>
            <w:r>
              <w:rPr>
                <w:rFonts w:hint="eastAsia" w:ascii="Times New Roman" w:hAnsi="Times New Roman" w:cs="Times New Roman" w:eastAsiaTheme="minorEastAsia"/>
                <w:b w:val="0"/>
                <w:bCs w:val="0"/>
                <w:snapToGrid w:val="0"/>
                <w:color w:val="auto"/>
                <w:sz w:val="24"/>
                <w:lang w:eastAsia="zh-CN"/>
              </w:rPr>
              <w:t>④加强日常管理，预防意外泄漏事故。</w:t>
            </w:r>
          </w:p>
          <w:p w14:paraId="44865121">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ascii="Times New Roman" w:hAnsi="Times New Roman" w:cs="Times New Roman" w:eastAsiaTheme="minorEastAsia"/>
                <w:b w:val="0"/>
                <w:bCs w:val="0"/>
                <w:snapToGrid w:val="0"/>
                <w:color w:val="000000" w:themeColor="text1"/>
                <w:sz w:val="24"/>
                <w:lang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4"/>
                <w:lang w:eastAsia="zh-CN"/>
                <w14:textFill>
                  <w14:solidFill>
                    <w14:schemeClr w14:val="tx1"/>
                  </w14:solidFill>
                </w14:textFill>
              </w:rPr>
              <w:t>⑤本项目对</w:t>
            </w:r>
            <w:r>
              <w:rPr>
                <w:rFonts w:hint="eastAsia" w:ascii="Times New Roman" w:hAnsi="Times New Roman" w:cs="Times New Roman" w:eastAsiaTheme="minorEastAsia"/>
                <w:b w:val="0"/>
                <w:bCs w:val="0"/>
                <w:snapToGrid w:val="0"/>
                <w:color w:val="000000" w:themeColor="text1"/>
                <w:sz w:val="24"/>
                <w:lang w:val="en-US" w:eastAsia="zh-CN"/>
                <w14:textFill>
                  <w14:solidFill>
                    <w14:schemeClr w14:val="tx1"/>
                  </w14:solidFill>
                </w14:textFill>
              </w:rPr>
              <w:t>生产车间、危废间</w:t>
            </w:r>
            <w:r>
              <w:rPr>
                <w:rFonts w:hint="eastAsia" w:ascii="Times New Roman" w:hAnsi="Times New Roman" w:cs="Times New Roman" w:eastAsiaTheme="minorEastAsia"/>
                <w:b w:val="0"/>
                <w:bCs w:val="0"/>
                <w:snapToGrid w:val="0"/>
                <w:color w:val="000000" w:themeColor="text1"/>
                <w:sz w:val="24"/>
                <w:lang w:eastAsia="zh-CN"/>
                <w14:textFill>
                  <w14:solidFill>
                    <w14:schemeClr w14:val="tx1"/>
                  </w14:solidFill>
                </w14:textFill>
              </w:rPr>
              <w:t>进行严格管理，做好地面防渗，并且在收集、运输、储存过程中严格执行操作规范。</w:t>
            </w:r>
          </w:p>
          <w:p w14:paraId="5FAD3934">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ascii="Times New Roman" w:hAnsi="Times New Roman" w:cs="Times New Roman" w:eastAsiaTheme="minorEastAsia"/>
                <w:b w:val="0"/>
                <w:bCs w:val="0"/>
                <w:snapToGrid w:val="0"/>
                <w:color w:val="000000" w:themeColor="text1"/>
                <w:sz w:val="24"/>
                <w:lang w:eastAsia="zh-CN"/>
                <w14:textFill>
                  <w14:solidFill>
                    <w14:schemeClr w14:val="tx1"/>
                  </w14:solidFill>
                </w14:textFill>
              </w:rPr>
            </w:pPr>
            <w:r>
              <w:rPr>
                <w:rFonts w:hint="eastAsia" w:ascii="Times New Roman" w:hAnsi="Times New Roman" w:cs="Times New Roman" w:eastAsiaTheme="minorEastAsia"/>
                <w:b w:val="0"/>
                <w:bCs w:val="0"/>
                <w:snapToGrid w:val="0"/>
                <w:color w:val="000000" w:themeColor="text1"/>
                <w:sz w:val="24"/>
                <w:lang w:eastAsia="zh-CN"/>
                <w14:textFill>
                  <w14:solidFill>
                    <w14:schemeClr w14:val="tx1"/>
                  </w14:solidFill>
                </w14:textFill>
              </w:rPr>
              <w:t>⑥一旦出现盛装液态危险废物的容器发生破裂或渗漏情况，马上修复或更换破损容器，可防止泄漏液体直接流入地面上。运输过程中若发生泄漏，应将地面残留液体用布立即擦拭干净，沾染物均作为危险废物交有资质单位集中处理处置。</w:t>
            </w:r>
          </w:p>
          <w:p w14:paraId="2DB4022C">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ascii="Times New Roman" w:hAnsi="Times New Roman" w:cs="Times New Roman" w:eastAsiaTheme="minorEastAsia"/>
                <w:b w:val="0"/>
                <w:bCs w:val="0"/>
                <w:snapToGrid w:val="0"/>
                <w:color w:val="auto"/>
                <w:sz w:val="24"/>
                <w:lang w:eastAsia="zh-CN"/>
              </w:rPr>
            </w:pPr>
            <w:r>
              <w:rPr>
                <w:rFonts w:hint="eastAsia" w:ascii="Times New Roman" w:hAnsi="Times New Roman" w:cs="Times New Roman" w:eastAsiaTheme="minorEastAsia"/>
                <w:b w:val="0"/>
                <w:bCs w:val="0"/>
                <w:snapToGrid w:val="0"/>
                <w:color w:val="auto"/>
                <w:sz w:val="24"/>
                <w:lang w:eastAsia="zh-CN"/>
              </w:rPr>
              <w:t>2）环境风险应急措施</w:t>
            </w:r>
          </w:p>
          <w:p w14:paraId="2A29C271">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ascii="Times New Roman" w:hAnsi="Times New Roman" w:cs="Times New Roman" w:eastAsiaTheme="minorEastAsia"/>
                <w:b w:val="0"/>
                <w:bCs w:val="0"/>
                <w:snapToGrid w:val="0"/>
                <w:color w:val="auto"/>
                <w:sz w:val="24"/>
                <w:lang w:eastAsia="zh-CN"/>
              </w:rPr>
            </w:pPr>
            <w:r>
              <w:rPr>
                <w:rFonts w:hint="eastAsia" w:ascii="Times New Roman" w:hAnsi="Times New Roman" w:cs="Times New Roman" w:eastAsiaTheme="minorEastAsia"/>
                <w:b w:val="0"/>
                <w:bCs w:val="0"/>
                <w:snapToGrid w:val="0"/>
                <w:color w:val="auto"/>
                <w:sz w:val="24"/>
                <w:lang w:eastAsia="zh-CN"/>
              </w:rPr>
              <w:t>①应具备灭火器等用品，并定期检查灭火器状态及其有效期等。</w:t>
            </w:r>
          </w:p>
          <w:p w14:paraId="707D2636">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ascii="Times New Roman" w:hAnsi="Times New Roman" w:cs="Times New Roman" w:eastAsiaTheme="minorEastAsia"/>
                <w:b w:val="0"/>
                <w:bCs w:val="0"/>
                <w:snapToGrid w:val="0"/>
                <w:color w:val="auto"/>
                <w:sz w:val="24"/>
                <w:lang w:eastAsia="zh-CN"/>
              </w:rPr>
            </w:pPr>
            <w:r>
              <w:rPr>
                <w:rFonts w:hint="eastAsia" w:ascii="Times New Roman" w:hAnsi="Times New Roman" w:cs="Times New Roman" w:eastAsiaTheme="minorEastAsia"/>
                <w:b w:val="0"/>
                <w:bCs w:val="0"/>
                <w:snapToGrid w:val="0"/>
                <w:color w:val="auto"/>
                <w:sz w:val="24"/>
                <w:lang w:eastAsia="zh-CN"/>
              </w:rPr>
              <w:t>②定期进行安全环保宣传教育以及紧急事故模拟演习，提高事故应变能力。</w:t>
            </w:r>
          </w:p>
          <w:p w14:paraId="7FC6118A">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ascii="Times New Roman" w:hAnsi="Times New Roman" w:cs="Times New Roman" w:eastAsiaTheme="minorEastAsia"/>
                <w:b w:val="0"/>
                <w:bCs w:val="0"/>
                <w:snapToGrid w:val="0"/>
                <w:color w:val="auto"/>
                <w:sz w:val="24"/>
                <w:lang w:eastAsia="zh-CN"/>
              </w:rPr>
            </w:pPr>
            <w:r>
              <w:rPr>
                <w:rFonts w:hint="eastAsia" w:ascii="Times New Roman" w:hAnsi="Times New Roman" w:cs="Times New Roman" w:eastAsiaTheme="minorEastAsia"/>
                <w:b w:val="0"/>
                <w:bCs w:val="0"/>
                <w:snapToGrid w:val="0"/>
                <w:color w:val="auto"/>
                <w:sz w:val="24"/>
                <w:lang w:eastAsia="zh-CN"/>
              </w:rPr>
              <w:t>③发生事故后，当班人员立即启用应急物资。发生火灾事故时，启用灭火器等装置。</w:t>
            </w:r>
          </w:p>
          <w:p w14:paraId="2D5FBC1F">
            <w:pPr>
              <w:pStyle w:val="43"/>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ascii="Times New Roman" w:hAnsi="Times New Roman" w:cs="Times New Roman" w:eastAsiaTheme="minorEastAsia"/>
                <w:b w:val="0"/>
                <w:bCs w:val="0"/>
                <w:snapToGrid w:val="0"/>
                <w:color w:val="auto"/>
                <w:sz w:val="24"/>
                <w:lang w:eastAsia="zh-CN"/>
              </w:rPr>
            </w:pPr>
            <w:r>
              <w:rPr>
                <w:rFonts w:hint="default" w:ascii="Times New Roman" w:hAnsi="Times New Roman" w:cs="Times New Roman" w:eastAsiaTheme="minorEastAsia"/>
                <w:b w:val="0"/>
                <w:bCs w:val="0"/>
                <w:color w:val="auto"/>
                <w:sz w:val="24"/>
                <w:szCs w:val="24"/>
              </w:rPr>
              <w:t>（</w:t>
            </w:r>
            <w:r>
              <w:rPr>
                <w:rFonts w:hint="eastAsia" w:ascii="Times New Roman" w:hAnsi="Times New Roman" w:cs="Times New Roman" w:eastAsiaTheme="minorEastAsia"/>
                <w:b w:val="0"/>
                <w:bCs w:val="0"/>
                <w:color w:val="auto"/>
                <w:sz w:val="24"/>
                <w:szCs w:val="24"/>
                <w:lang w:val="en-US" w:eastAsia="zh-CN"/>
              </w:rPr>
              <w:t>5</w:t>
            </w:r>
            <w:r>
              <w:rPr>
                <w:rFonts w:hint="default" w:ascii="Times New Roman" w:hAnsi="Times New Roman" w:cs="Times New Roman" w:eastAsiaTheme="minorEastAsia"/>
                <w:b w:val="0"/>
                <w:bCs w:val="0"/>
                <w:color w:val="auto"/>
                <w:sz w:val="24"/>
                <w:szCs w:val="24"/>
              </w:rPr>
              <w:t>）环境风险分析结论</w:t>
            </w:r>
          </w:p>
          <w:p w14:paraId="35A72F4C">
            <w:pPr>
              <w:pStyle w:val="135"/>
              <w:ind w:firstLine="482"/>
              <w:rPr>
                <w:rFonts w:hint="default" w:ascii="Times New Roman" w:hAnsi="Times New Roman" w:cs="Times New Roman"/>
                <w:color w:val="auto"/>
                <w:highlight w:val="yellow"/>
              </w:rPr>
            </w:pPr>
            <w:r>
              <w:rPr>
                <w:rFonts w:hint="eastAsia"/>
                <w:b w:val="0"/>
                <w:bCs/>
                <w:color w:val="auto"/>
              </w:rPr>
              <w:t>本项目环境风险事故主要为</w:t>
            </w:r>
            <w:r>
              <w:rPr>
                <w:rFonts w:hint="eastAsia"/>
                <w:b w:val="0"/>
                <w:bCs/>
                <w:color w:val="auto"/>
                <w:lang w:val="en-US" w:eastAsia="zh-CN"/>
              </w:rPr>
              <w:t>润滑油、废液压油等危险物质</w:t>
            </w:r>
            <w:r>
              <w:rPr>
                <w:rFonts w:hint="eastAsia"/>
                <w:b w:val="0"/>
                <w:bCs/>
                <w:color w:val="auto"/>
              </w:rPr>
              <w:t>泄漏及产生的次生/伴生事故，环境风险事故发生后可能对大气</w:t>
            </w:r>
            <w:r>
              <w:rPr>
                <w:rFonts w:hint="eastAsia"/>
                <w:b w:val="0"/>
                <w:bCs/>
                <w:color w:val="auto"/>
                <w:lang w:eastAsia="zh-CN"/>
              </w:rPr>
              <w:t>、</w:t>
            </w:r>
            <w:r>
              <w:rPr>
                <w:rFonts w:hint="eastAsia"/>
                <w:b w:val="0"/>
                <w:bCs/>
                <w:color w:val="auto"/>
                <w:lang w:val="en-US" w:eastAsia="zh-CN"/>
              </w:rPr>
              <w:t>地下水</w:t>
            </w:r>
            <w:r>
              <w:rPr>
                <w:rFonts w:hint="eastAsia"/>
                <w:b w:val="0"/>
                <w:bCs/>
                <w:color w:val="auto"/>
              </w:rPr>
              <w:t>环境产生影响。项目在落实各项环境风险防范及应急措施和加强管理的条件下，是可防控的。</w:t>
            </w:r>
          </w:p>
          <w:p w14:paraId="68C52FF4">
            <w:pPr>
              <w:pStyle w:val="25"/>
              <w:jc w:val="both"/>
              <w:rPr>
                <w:rFonts w:hint="default"/>
              </w:rPr>
            </w:pPr>
          </w:p>
          <w:p w14:paraId="4F66001C">
            <w:pPr>
              <w:rPr>
                <w:rFonts w:hint="default"/>
              </w:rPr>
            </w:pPr>
          </w:p>
          <w:p w14:paraId="0465F3E9">
            <w:pPr>
              <w:rPr>
                <w:rFonts w:hint="default"/>
              </w:rPr>
            </w:pPr>
          </w:p>
          <w:p w14:paraId="38E069CC">
            <w:pPr>
              <w:rPr>
                <w:rFonts w:hint="default"/>
              </w:rPr>
            </w:pPr>
          </w:p>
          <w:p w14:paraId="0B436F26">
            <w:pPr>
              <w:rPr>
                <w:rFonts w:hint="default"/>
              </w:rPr>
            </w:pPr>
          </w:p>
          <w:p w14:paraId="30E33293">
            <w:pPr>
              <w:rPr>
                <w:rFonts w:hint="default"/>
              </w:rPr>
            </w:pPr>
          </w:p>
          <w:p w14:paraId="35E6E5BE">
            <w:pPr>
              <w:rPr>
                <w:rFonts w:hint="default"/>
              </w:rPr>
            </w:pPr>
          </w:p>
          <w:p w14:paraId="312CD4B3">
            <w:pPr>
              <w:rPr>
                <w:rFonts w:hint="default"/>
              </w:rPr>
            </w:pPr>
          </w:p>
          <w:p w14:paraId="6A68D65A">
            <w:pPr>
              <w:rPr>
                <w:rFonts w:hint="default"/>
              </w:rPr>
            </w:pPr>
          </w:p>
          <w:p w14:paraId="19AA4C30">
            <w:pPr>
              <w:rPr>
                <w:rFonts w:hint="default"/>
              </w:rPr>
            </w:pPr>
          </w:p>
          <w:p w14:paraId="041694EF">
            <w:pPr>
              <w:rPr>
                <w:rFonts w:hint="default"/>
              </w:rPr>
            </w:pPr>
          </w:p>
          <w:p w14:paraId="74265129">
            <w:pPr>
              <w:rPr>
                <w:rFonts w:hint="default"/>
              </w:rPr>
            </w:pPr>
          </w:p>
          <w:p w14:paraId="39F3AA9F">
            <w:pPr>
              <w:rPr>
                <w:rFonts w:hint="default"/>
              </w:rPr>
            </w:pPr>
          </w:p>
          <w:p w14:paraId="2779292C">
            <w:pPr>
              <w:rPr>
                <w:rFonts w:hint="default"/>
              </w:rPr>
            </w:pPr>
          </w:p>
        </w:tc>
      </w:tr>
    </w:tbl>
    <w:p w14:paraId="6DEF0AD4">
      <w:pPr>
        <w:pStyle w:val="23"/>
        <w:spacing w:before="0" w:beforeAutospacing="0" w:after="0" w:afterAutospacing="0"/>
        <w:jc w:val="center"/>
        <w:outlineLvl w:val="0"/>
        <w:rPr>
          <w:rFonts w:hint="default" w:ascii="Times New Roman" w:hAnsi="Times New Roman" w:eastAsia="黑体" w:cs="Times New Roman"/>
          <w:snapToGrid w:val="0"/>
          <w:color w:val="auto"/>
          <w:sz w:val="32"/>
          <w:szCs w:val="32"/>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4CBAD40A">
      <w:pPr>
        <w:pStyle w:val="23"/>
        <w:spacing w:before="0" w:beforeAutospacing="0" w:after="0" w:afterAutospacing="0"/>
        <w:jc w:val="center"/>
        <w:outlineLvl w:val="0"/>
        <w:rPr>
          <w:rFonts w:hint="default" w:ascii="Times New Roman" w:hAnsi="Times New Roman" w:eastAsia="黑体" w:cs="Times New Roman"/>
          <w:snapToGrid w:val="0"/>
          <w:color w:val="auto"/>
          <w:sz w:val="32"/>
          <w:szCs w:val="32"/>
        </w:rPr>
      </w:pPr>
      <w:r>
        <w:rPr>
          <w:rFonts w:hint="default" w:ascii="Times New Roman" w:hAnsi="Times New Roman" w:eastAsia="黑体" w:cs="Times New Roman"/>
          <w:snapToGrid w:val="0"/>
          <w:color w:val="auto"/>
          <w:sz w:val="32"/>
          <w:szCs w:val="32"/>
        </w:rPr>
        <w:t>五、</w:t>
      </w:r>
      <w:bookmarkStart w:id="4" w:name="_Hlk54167917"/>
      <w:r>
        <w:rPr>
          <w:rFonts w:hint="default" w:ascii="Times New Roman" w:hAnsi="Times New Roman" w:eastAsia="黑体" w:cs="Times New Roman"/>
          <w:snapToGrid w:val="0"/>
          <w:color w:val="auto"/>
          <w:sz w:val="32"/>
          <w:szCs w:val="32"/>
        </w:rPr>
        <w:t>环境保护措施监督检查清单</w:t>
      </w:r>
      <w:bookmarkEnd w:id="4"/>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243"/>
        <w:gridCol w:w="939"/>
        <w:gridCol w:w="1010"/>
        <w:gridCol w:w="2242"/>
        <w:gridCol w:w="2457"/>
      </w:tblGrid>
      <w:tr w14:paraId="44C1B0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9" w:type="dxa"/>
            <w:tcBorders>
              <w:tl2br w:val="single" w:color="auto" w:sz="4" w:space="0"/>
            </w:tcBorders>
          </w:tcPr>
          <w:p w14:paraId="6A74E530">
            <w:pPr>
              <w:adjustRightInd w:val="0"/>
              <w:snapToGrid w:val="0"/>
              <w:spacing w:line="250" w:lineRule="exact"/>
              <w:jc w:val="right"/>
              <w:rPr>
                <w:rFonts w:hint="default" w:ascii="Times New Roman" w:hAnsi="Times New Roman" w:cs="Times New Roman" w:eastAsiaTheme="minorEastAsia"/>
                <w:b/>
                <w:bCs/>
                <w:color w:val="auto"/>
                <w:szCs w:val="21"/>
              </w:rPr>
            </w:pPr>
            <w:r>
              <w:rPr>
                <w:rFonts w:hint="default" w:ascii="Times New Roman" w:hAnsi="Times New Roman" w:cs="Times New Roman" w:eastAsiaTheme="minorEastAsia"/>
                <w:b/>
                <w:bCs/>
                <w:color w:val="auto"/>
                <w:szCs w:val="21"/>
              </w:rPr>
              <w:t>内容</w:t>
            </w:r>
          </w:p>
          <w:p w14:paraId="613E9C13">
            <w:pPr>
              <w:adjustRightInd w:val="0"/>
              <w:snapToGrid w:val="0"/>
              <w:spacing w:line="250" w:lineRule="exact"/>
              <w:rPr>
                <w:rFonts w:hint="default" w:ascii="Times New Roman" w:hAnsi="Times New Roman" w:cs="Times New Roman" w:eastAsiaTheme="minorEastAsia"/>
                <w:b/>
                <w:bCs/>
                <w:color w:val="auto"/>
                <w:szCs w:val="21"/>
              </w:rPr>
            </w:pPr>
            <w:r>
              <w:rPr>
                <w:rFonts w:hint="default" w:ascii="Times New Roman" w:hAnsi="Times New Roman" w:cs="Times New Roman" w:eastAsiaTheme="minorEastAsia"/>
                <w:b/>
                <w:bCs/>
                <w:color w:val="auto"/>
                <w:szCs w:val="21"/>
              </w:rPr>
              <w:t>要素</w:t>
            </w:r>
          </w:p>
        </w:tc>
        <w:tc>
          <w:tcPr>
            <w:tcW w:w="2182" w:type="dxa"/>
            <w:gridSpan w:val="2"/>
            <w:vAlign w:val="center"/>
          </w:tcPr>
          <w:p w14:paraId="3E85489E">
            <w:pPr>
              <w:adjustRightInd w:val="0"/>
              <w:snapToGrid w:val="0"/>
              <w:spacing w:line="250" w:lineRule="exact"/>
              <w:jc w:val="center"/>
              <w:rPr>
                <w:rFonts w:hint="default" w:ascii="Times New Roman" w:hAnsi="Times New Roman" w:cs="Times New Roman" w:eastAsiaTheme="minorEastAsia"/>
                <w:b/>
                <w:bCs/>
                <w:color w:val="auto"/>
                <w:szCs w:val="21"/>
              </w:rPr>
            </w:pPr>
            <w:r>
              <w:rPr>
                <w:rFonts w:hint="default" w:ascii="Times New Roman" w:hAnsi="Times New Roman" w:cs="Times New Roman" w:eastAsiaTheme="minorEastAsia"/>
                <w:b/>
                <w:bCs/>
                <w:color w:val="auto"/>
                <w:szCs w:val="21"/>
              </w:rPr>
              <w:t>排放口（编号、名称）/污染源</w:t>
            </w:r>
          </w:p>
        </w:tc>
        <w:tc>
          <w:tcPr>
            <w:tcW w:w="1010" w:type="dxa"/>
            <w:vAlign w:val="center"/>
          </w:tcPr>
          <w:p w14:paraId="5103FE37">
            <w:pPr>
              <w:adjustRightInd w:val="0"/>
              <w:snapToGrid w:val="0"/>
              <w:spacing w:line="250" w:lineRule="exact"/>
              <w:jc w:val="center"/>
              <w:rPr>
                <w:rFonts w:hint="default" w:ascii="Times New Roman" w:hAnsi="Times New Roman" w:cs="Times New Roman" w:eastAsiaTheme="minorEastAsia"/>
                <w:b/>
                <w:bCs/>
                <w:color w:val="auto"/>
                <w:szCs w:val="21"/>
              </w:rPr>
            </w:pPr>
            <w:r>
              <w:rPr>
                <w:rFonts w:hint="default" w:ascii="Times New Roman" w:hAnsi="Times New Roman" w:cs="Times New Roman" w:eastAsiaTheme="minorEastAsia"/>
                <w:b/>
                <w:bCs/>
                <w:color w:val="auto"/>
                <w:szCs w:val="21"/>
              </w:rPr>
              <w:t>污染物项目</w:t>
            </w:r>
          </w:p>
        </w:tc>
        <w:tc>
          <w:tcPr>
            <w:tcW w:w="2242" w:type="dxa"/>
            <w:vAlign w:val="center"/>
          </w:tcPr>
          <w:p w14:paraId="12F1FE52">
            <w:pPr>
              <w:adjustRightInd w:val="0"/>
              <w:snapToGrid w:val="0"/>
              <w:spacing w:line="250" w:lineRule="exact"/>
              <w:jc w:val="center"/>
              <w:rPr>
                <w:rFonts w:hint="default" w:ascii="Times New Roman" w:hAnsi="Times New Roman" w:cs="Times New Roman" w:eastAsiaTheme="minorEastAsia"/>
                <w:b/>
                <w:bCs/>
                <w:color w:val="auto"/>
                <w:szCs w:val="21"/>
              </w:rPr>
            </w:pPr>
            <w:r>
              <w:rPr>
                <w:rFonts w:hint="default" w:ascii="Times New Roman" w:hAnsi="Times New Roman" w:cs="Times New Roman" w:eastAsiaTheme="minorEastAsia"/>
                <w:b/>
                <w:bCs/>
                <w:color w:val="auto"/>
                <w:szCs w:val="21"/>
              </w:rPr>
              <w:t>环境保护措施</w:t>
            </w:r>
          </w:p>
        </w:tc>
        <w:tc>
          <w:tcPr>
            <w:tcW w:w="2457" w:type="dxa"/>
            <w:vAlign w:val="center"/>
          </w:tcPr>
          <w:p w14:paraId="7BE06F5E">
            <w:pPr>
              <w:adjustRightInd w:val="0"/>
              <w:snapToGrid w:val="0"/>
              <w:spacing w:line="250" w:lineRule="exact"/>
              <w:jc w:val="center"/>
              <w:rPr>
                <w:rFonts w:hint="default" w:ascii="Times New Roman" w:hAnsi="Times New Roman" w:cs="Times New Roman" w:eastAsiaTheme="minorEastAsia"/>
                <w:b/>
                <w:bCs/>
                <w:color w:val="auto"/>
                <w:szCs w:val="21"/>
              </w:rPr>
            </w:pPr>
            <w:r>
              <w:rPr>
                <w:rFonts w:hint="default" w:ascii="Times New Roman" w:hAnsi="Times New Roman" w:cs="Times New Roman" w:eastAsiaTheme="minorEastAsia"/>
                <w:b/>
                <w:bCs/>
                <w:color w:val="auto"/>
                <w:szCs w:val="21"/>
              </w:rPr>
              <w:t>执行标准</w:t>
            </w:r>
          </w:p>
        </w:tc>
      </w:tr>
      <w:tr w14:paraId="1E146B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909" w:type="dxa"/>
            <w:vMerge w:val="restart"/>
            <w:vAlign w:val="center"/>
          </w:tcPr>
          <w:p w14:paraId="1B783B1A">
            <w:pPr>
              <w:adjustRightInd w:val="0"/>
              <w:snapToGrid w:val="0"/>
              <w:spacing w:line="250" w:lineRule="exac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大</w:t>
            </w:r>
          </w:p>
          <w:p w14:paraId="79E50505">
            <w:pPr>
              <w:adjustRightInd w:val="0"/>
              <w:snapToGrid w:val="0"/>
              <w:spacing w:line="250" w:lineRule="exac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气</w:t>
            </w:r>
          </w:p>
          <w:p w14:paraId="707EB014">
            <w:pPr>
              <w:adjustRightInd w:val="0"/>
              <w:snapToGrid w:val="0"/>
              <w:spacing w:line="250" w:lineRule="exac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环</w:t>
            </w:r>
          </w:p>
          <w:p w14:paraId="034581F0">
            <w:pPr>
              <w:adjustRightInd w:val="0"/>
              <w:snapToGrid w:val="0"/>
              <w:spacing w:line="250" w:lineRule="exact"/>
              <w:jc w:val="center"/>
              <w:rPr>
                <w:rFonts w:hint="default" w:ascii="Times New Roman" w:hAnsi="Times New Roman" w:cs="Times New Roman" w:eastAsiaTheme="minorEastAsia"/>
                <w:color w:val="auto"/>
                <w:sz w:val="21"/>
                <w:szCs w:val="21"/>
                <w:highlight w:val="yellow"/>
              </w:rPr>
            </w:pPr>
            <w:r>
              <w:rPr>
                <w:rFonts w:hint="default" w:ascii="Times New Roman" w:hAnsi="Times New Roman" w:cs="Times New Roman" w:eastAsiaTheme="minorEastAsia"/>
                <w:color w:val="auto"/>
                <w:sz w:val="21"/>
                <w:szCs w:val="21"/>
              </w:rPr>
              <w:t>境</w:t>
            </w:r>
          </w:p>
        </w:tc>
        <w:tc>
          <w:tcPr>
            <w:tcW w:w="1243" w:type="dxa"/>
            <w:vMerge w:val="restart"/>
            <w:vAlign w:val="center"/>
          </w:tcPr>
          <w:p w14:paraId="440AA5E5">
            <w:pPr>
              <w:spacing w:line="240" w:lineRule="exact"/>
              <w:ind w:left="-105" w:leftChars="-50" w:right="-105" w:rightChars="-50"/>
              <w:jc w:val="center"/>
              <w:rPr>
                <w:rFonts w:hint="default" w:ascii="Times New Roman" w:hAnsi="Times New Roman" w:cs="Times New Roman"/>
                <w:color w:val="auto"/>
                <w:sz w:val="21"/>
                <w:szCs w:val="21"/>
              </w:rPr>
            </w:pPr>
            <w:r>
              <w:rPr>
                <w:rFonts w:hint="eastAsia" w:cs="Times New Roman"/>
                <w:color w:val="auto"/>
                <w:szCs w:val="21"/>
                <w:lang w:val="en-US" w:eastAsia="zh-CN"/>
              </w:rPr>
              <w:t>挤出废气排放口</w:t>
            </w:r>
          </w:p>
        </w:tc>
        <w:tc>
          <w:tcPr>
            <w:tcW w:w="939" w:type="dxa"/>
            <w:vMerge w:val="restart"/>
            <w:vAlign w:val="center"/>
          </w:tcPr>
          <w:p w14:paraId="139889F7">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DA001排气筒</w:t>
            </w:r>
          </w:p>
        </w:tc>
        <w:tc>
          <w:tcPr>
            <w:tcW w:w="1010" w:type="dxa"/>
            <w:vAlign w:val="center"/>
          </w:tcPr>
          <w:p w14:paraId="04CEE8AE">
            <w:pPr>
              <w:pStyle w:val="87"/>
              <w:spacing w:line="280" w:lineRule="exact"/>
              <w:ind w:firstLine="0" w:firstLineChars="0"/>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bCs/>
                <w:color w:val="auto"/>
                <w:sz w:val="21"/>
                <w:szCs w:val="21"/>
                <w:lang w:val="en-US" w:eastAsia="zh-CN"/>
              </w:rPr>
              <w:t>非甲烷总烃</w:t>
            </w:r>
          </w:p>
        </w:tc>
        <w:tc>
          <w:tcPr>
            <w:tcW w:w="2242" w:type="dxa"/>
            <w:vMerge w:val="restart"/>
            <w:vAlign w:val="center"/>
          </w:tcPr>
          <w:p w14:paraId="2FC9EDFC">
            <w:pPr>
              <w:pStyle w:val="87"/>
              <w:spacing w:line="280" w:lineRule="exact"/>
              <w:ind w:firstLine="0" w:firstLineChars="0"/>
              <w:jc w:val="center"/>
              <w:rPr>
                <w:rFonts w:hint="default" w:ascii="Times New Roman" w:hAnsi="Times New Roman" w:cs="Times New Roman"/>
                <w:color w:val="auto"/>
                <w:sz w:val="21"/>
                <w:szCs w:val="21"/>
              </w:rPr>
            </w:pPr>
            <w:r>
              <w:rPr>
                <w:rFonts w:hint="default" w:ascii="Times New Roman" w:hAnsi="Times New Roman" w:eastAsia="宋体" w:cs="Times New Roman"/>
                <w:bCs/>
                <w:color w:val="auto"/>
                <w:sz w:val="21"/>
                <w:szCs w:val="21"/>
                <w:lang w:val="en-US" w:eastAsia="zh-CN"/>
              </w:rPr>
              <w:t>喷淋塔+干式</w:t>
            </w:r>
            <w:r>
              <w:rPr>
                <w:rFonts w:hint="eastAsia" w:ascii="Times New Roman" w:hAnsi="Times New Roman" w:cs="Times New Roman"/>
                <w:bCs/>
                <w:color w:val="auto"/>
                <w:sz w:val="21"/>
                <w:szCs w:val="21"/>
                <w:lang w:val="en-US" w:eastAsia="zh-CN"/>
              </w:rPr>
              <w:t>过滤</w:t>
            </w:r>
            <w:r>
              <w:rPr>
                <w:rFonts w:hint="default" w:ascii="Times New Roman" w:hAnsi="Times New Roman" w:eastAsia="宋体" w:cs="Times New Roman"/>
                <w:bCs/>
                <w:color w:val="auto"/>
                <w:sz w:val="21"/>
                <w:szCs w:val="21"/>
                <w:lang w:val="en-US" w:eastAsia="zh-CN"/>
              </w:rPr>
              <w:t>+活性炭吸附脱附+催化燃吸附</w:t>
            </w:r>
            <w:r>
              <w:rPr>
                <w:rFonts w:hint="eastAsia" w:ascii="Times New Roman" w:hAnsi="Times New Roman" w:cs="Times New Roman"/>
                <w:bCs/>
                <w:color w:val="auto"/>
                <w:sz w:val="21"/>
                <w:szCs w:val="21"/>
                <w:lang w:val="en-US" w:eastAsia="zh-CN"/>
              </w:rPr>
              <w:t>+</w:t>
            </w:r>
            <w:r>
              <w:rPr>
                <w:rFonts w:hint="default" w:ascii="Times New Roman" w:hAnsi="Times New Roman" w:eastAsia="宋体" w:cs="Times New Roman"/>
                <w:bCs/>
                <w:color w:val="auto"/>
                <w:sz w:val="21"/>
                <w:szCs w:val="21"/>
                <w:lang w:val="en-US" w:eastAsia="zh-CN"/>
              </w:rPr>
              <w:t>15m排气筒</w:t>
            </w:r>
            <w:r>
              <w:rPr>
                <w:rFonts w:hint="eastAsia" w:ascii="Times New Roman" w:hAnsi="Times New Roman" w:cs="Times New Roman"/>
                <w:bCs/>
                <w:color w:val="auto"/>
                <w:sz w:val="21"/>
                <w:szCs w:val="21"/>
                <w:lang w:val="en-US" w:eastAsia="zh-CN"/>
              </w:rPr>
              <w:t>（</w:t>
            </w:r>
            <w:r>
              <w:rPr>
                <w:rFonts w:hint="default" w:ascii="Times New Roman" w:hAnsi="Times New Roman" w:eastAsia="宋体" w:cs="Times New Roman"/>
                <w:bCs/>
                <w:color w:val="auto"/>
                <w:sz w:val="21"/>
                <w:szCs w:val="21"/>
                <w:lang w:val="en-US" w:eastAsia="zh-CN"/>
              </w:rPr>
              <w:t>DA001</w:t>
            </w:r>
            <w:r>
              <w:rPr>
                <w:rFonts w:hint="eastAsia" w:ascii="Times New Roman" w:hAnsi="Times New Roman" w:cs="Times New Roman"/>
                <w:bCs/>
                <w:color w:val="auto"/>
                <w:sz w:val="21"/>
                <w:szCs w:val="21"/>
                <w:lang w:val="en-US" w:eastAsia="zh-CN"/>
              </w:rPr>
              <w:t>）</w:t>
            </w:r>
            <w:r>
              <w:rPr>
                <w:rFonts w:hint="default" w:ascii="Times New Roman" w:hAnsi="Times New Roman" w:eastAsia="宋体" w:cs="Times New Roman"/>
                <w:bCs/>
                <w:color w:val="auto"/>
                <w:sz w:val="21"/>
                <w:szCs w:val="21"/>
                <w:lang w:val="en-US" w:eastAsia="zh-CN"/>
              </w:rPr>
              <w:t>排放</w:t>
            </w:r>
          </w:p>
        </w:tc>
        <w:tc>
          <w:tcPr>
            <w:tcW w:w="2457" w:type="dxa"/>
            <w:vMerge w:val="restart"/>
            <w:shd w:val="clear" w:color="auto" w:fill="auto"/>
            <w:vAlign w:val="center"/>
          </w:tcPr>
          <w:p w14:paraId="0E9F4128">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Cs w:val="21"/>
                <w:lang w:eastAsia="zh-CN"/>
              </w:rPr>
              <w:t>《合成树脂工业污染物排放标准》（GB31572-2015，含2024年修改单）表5大气污染物特别排放限值：</w:t>
            </w:r>
            <w:r>
              <w:rPr>
                <w:rFonts w:hint="eastAsia"/>
                <w:color w:val="auto"/>
                <w:szCs w:val="21"/>
                <w:lang w:val="en-US" w:eastAsia="zh-CN"/>
              </w:rPr>
              <w:t>非甲烷总烃</w:t>
            </w:r>
            <w:r>
              <w:rPr>
                <w:rFonts w:hint="eastAsia"/>
                <w:bCs/>
                <w:color w:val="auto"/>
                <w:szCs w:val="21"/>
                <w:lang w:val="en-US" w:eastAsia="zh-CN"/>
              </w:rPr>
              <w:t>60</w:t>
            </w:r>
            <w:r>
              <w:rPr>
                <w:rFonts w:hint="eastAsia"/>
                <w:bCs/>
                <w:color w:val="auto"/>
                <w:szCs w:val="21"/>
              </w:rPr>
              <w:t>mg/m</w:t>
            </w:r>
            <w:r>
              <w:rPr>
                <w:rFonts w:hint="eastAsia"/>
                <w:bCs/>
                <w:color w:val="auto"/>
                <w:szCs w:val="21"/>
                <w:vertAlign w:val="superscript"/>
              </w:rPr>
              <w:t>3</w:t>
            </w:r>
            <w:r>
              <w:rPr>
                <w:rFonts w:hint="eastAsia" w:ascii="宋体" w:hAnsi="宋体" w:cs="宋体"/>
                <w:bCs/>
                <w:color w:val="auto"/>
                <w:szCs w:val="21"/>
                <w:lang w:val="en-US" w:eastAsia="zh-CN"/>
              </w:rPr>
              <w:t>、</w:t>
            </w:r>
            <w:r>
              <w:rPr>
                <w:rFonts w:hint="eastAsia"/>
                <w:bCs/>
                <w:color w:val="auto"/>
                <w:szCs w:val="21"/>
                <w:lang w:val="en-US" w:eastAsia="zh-CN"/>
              </w:rPr>
              <w:t>单位产品非甲烷总烃排放量：0.3kg/t；颗粒物20</w:t>
            </w:r>
            <w:r>
              <w:rPr>
                <w:rFonts w:hint="eastAsia"/>
                <w:bCs/>
                <w:color w:val="auto"/>
                <w:szCs w:val="21"/>
              </w:rPr>
              <w:t>mg/m</w:t>
            </w:r>
            <w:r>
              <w:rPr>
                <w:rFonts w:hint="eastAsia"/>
                <w:bCs/>
                <w:color w:val="auto"/>
                <w:szCs w:val="21"/>
                <w:vertAlign w:val="superscript"/>
              </w:rPr>
              <w:t>3</w:t>
            </w:r>
          </w:p>
        </w:tc>
      </w:tr>
      <w:tr w14:paraId="73ED0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909" w:type="dxa"/>
            <w:vMerge w:val="continue"/>
            <w:vAlign w:val="center"/>
          </w:tcPr>
          <w:p w14:paraId="7D8BD66D">
            <w:pPr>
              <w:spacing w:line="250" w:lineRule="exact"/>
              <w:jc w:val="center"/>
            </w:pPr>
          </w:p>
        </w:tc>
        <w:tc>
          <w:tcPr>
            <w:tcW w:w="1243" w:type="dxa"/>
            <w:vMerge w:val="continue"/>
            <w:vAlign w:val="center"/>
          </w:tcPr>
          <w:p w14:paraId="0ACDC029">
            <w:pPr>
              <w:spacing w:line="250" w:lineRule="exact"/>
              <w:jc w:val="center"/>
            </w:pPr>
          </w:p>
        </w:tc>
        <w:tc>
          <w:tcPr>
            <w:tcW w:w="939" w:type="dxa"/>
            <w:vMerge w:val="continue"/>
            <w:vAlign w:val="center"/>
          </w:tcPr>
          <w:p w14:paraId="5FFBBE5D">
            <w:pPr>
              <w:spacing w:line="250" w:lineRule="exact"/>
              <w:jc w:val="center"/>
            </w:pPr>
          </w:p>
        </w:tc>
        <w:tc>
          <w:tcPr>
            <w:tcW w:w="1010" w:type="dxa"/>
            <w:vAlign w:val="center"/>
          </w:tcPr>
          <w:p w14:paraId="6F1CA29B">
            <w:pPr>
              <w:pStyle w:val="87"/>
              <w:spacing w:line="280" w:lineRule="exact"/>
              <w:ind w:firstLine="0" w:firstLineChars="0"/>
              <w:jc w:val="center"/>
              <w:rPr>
                <w:rFonts w:hint="eastAsia" w:cs="Times New Roman" w:eastAsiaTheme="minorEastAsia"/>
                <w:color w:val="auto"/>
                <w:sz w:val="21"/>
                <w:szCs w:val="21"/>
                <w:lang w:val="en-US" w:eastAsia="zh-CN"/>
              </w:rPr>
            </w:pPr>
            <w:r>
              <w:rPr>
                <w:rFonts w:hint="eastAsia" w:ascii="Times New Roman" w:hAnsi="Times New Roman" w:cs="Times New Roman"/>
                <w:bCs/>
                <w:color w:val="auto"/>
                <w:sz w:val="21"/>
                <w:szCs w:val="21"/>
                <w:lang w:val="en-US" w:eastAsia="zh-CN"/>
              </w:rPr>
              <w:t>颗粒物</w:t>
            </w:r>
          </w:p>
        </w:tc>
        <w:tc>
          <w:tcPr>
            <w:tcW w:w="2242" w:type="dxa"/>
            <w:vMerge w:val="continue"/>
            <w:vAlign w:val="center"/>
          </w:tcPr>
          <w:p w14:paraId="093A463A">
            <w:pPr>
              <w:spacing w:line="250" w:lineRule="exact"/>
              <w:jc w:val="center"/>
              <w:rPr>
                <w:rFonts w:hint="eastAsia" w:cs="Times New Roman" w:eastAsiaTheme="minorEastAsia"/>
                <w:color w:val="auto"/>
                <w:sz w:val="21"/>
                <w:szCs w:val="21"/>
                <w:lang w:val="en-US" w:eastAsia="zh-CN"/>
              </w:rPr>
            </w:pPr>
          </w:p>
        </w:tc>
        <w:tc>
          <w:tcPr>
            <w:tcW w:w="2457" w:type="dxa"/>
            <w:vMerge w:val="continue"/>
            <w:vAlign w:val="center"/>
          </w:tcPr>
          <w:p w14:paraId="186D0E4B">
            <w:pPr>
              <w:spacing w:line="250" w:lineRule="exact"/>
              <w:jc w:val="center"/>
              <w:rPr>
                <w:rFonts w:hint="eastAsia" w:eastAsia="宋体" w:cs="Times New Roman"/>
                <w:color w:val="auto"/>
                <w:sz w:val="21"/>
                <w:szCs w:val="21"/>
                <w:lang w:val="en-US" w:eastAsia="zh-CN"/>
              </w:rPr>
            </w:pPr>
          </w:p>
        </w:tc>
      </w:tr>
      <w:tr w14:paraId="53D0C0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909" w:type="dxa"/>
            <w:vMerge w:val="continue"/>
            <w:vAlign w:val="center"/>
          </w:tcPr>
          <w:p w14:paraId="3AA3B481">
            <w:pPr>
              <w:spacing w:line="250" w:lineRule="exact"/>
              <w:jc w:val="center"/>
            </w:pPr>
          </w:p>
        </w:tc>
        <w:tc>
          <w:tcPr>
            <w:tcW w:w="1243" w:type="dxa"/>
            <w:vAlign w:val="center"/>
          </w:tcPr>
          <w:p w14:paraId="1A23C6CA">
            <w:pPr>
              <w:spacing w:line="250" w:lineRule="exact"/>
              <w:jc w:val="center"/>
              <w:rPr>
                <w:color w:val="0000FF"/>
              </w:rPr>
            </w:pPr>
            <w:r>
              <w:rPr>
                <w:rFonts w:hint="eastAsia" w:cs="Times New Roman"/>
                <w:color w:val="0000FF"/>
                <w:szCs w:val="21"/>
                <w:lang w:val="en-US" w:eastAsia="zh-CN"/>
              </w:rPr>
              <w:t>干式粉碎废气排放口</w:t>
            </w:r>
          </w:p>
        </w:tc>
        <w:tc>
          <w:tcPr>
            <w:tcW w:w="939" w:type="dxa"/>
            <w:vAlign w:val="center"/>
          </w:tcPr>
          <w:p w14:paraId="356CAD84">
            <w:pPr>
              <w:spacing w:line="250" w:lineRule="exact"/>
              <w:jc w:val="center"/>
              <w:rPr>
                <w:color w:val="0000FF"/>
              </w:rPr>
            </w:pPr>
            <w:r>
              <w:rPr>
                <w:rFonts w:hint="default" w:ascii="Times New Roman" w:hAnsi="Times New Roman" w:cs="Times New Roman"/>
                <w:color w:val="0000FF"/>
                <w:sz w:val="21"/>
                <w:szCs w:val="21"/>
              </w:rPr>
              <w:t>DA00</w:t>
            </w:r>
            <w:r>
              <w:rPr>
                <w:rFonts w:hint="eastAsia" w:ascii="Times New Roman" w:hAnsi="Times New Roman" w:cs="Times New Roman"/>
                <w:color w:val="0000FF"/>
                <w:sz w:val="21"/>
                <w:szCs w:val="21"/>
                <w:lang w:val="en-US" w:eastAsia="zh-CN"/>
              </w:rPr>
              <w:t>2</w:t>
            </w:r>
            <w:r>
              <w:rPr>
                <w:rFonts w:hint="default" w:ascii="Times New Roman" w:hAnsi="Times New Roman" w:cs="Times New Roman"/>
                <w:color w:val="0000FF"/>
                <w:sz w:val="21"/>
                <w:szCs w:val="21"/>
              </w:rPr>
              <w:t>排气筒</w:t>
            </w:r>
          </w:p>
        </w:tc>
        <w:tc>
          <w:tcPr>
            <w:tcW w:w="1010" w:type="dxa"/>
            <w:vAlign w:val="center"/>
          </w:tcPr>
          <w:p w14:paraId="6BFB819B">
            <w:pPr>
              <w:pStyle w:val="87"/>
              <w:spacing w:line="280" w:lineRule="exact"/>
              <w:ind w:firstLine="0" w:firstLineChars="0"/>
              <w:jc w:val="center"/>
              <w:rPr>
                <w:rFonts w:hint="eastAsia" w:ascii="Times New Roman" w:hAnsi="Times New Roman" w:cs="Times New Roman"/>
                <w:bCs/>
                <w:color w:val="0000FF"/>
                <w:sz w:val="21"/>
                <w:szCs w:val="21"/>
                <w:lang w:val="en-US" w:eastAsia="zh-CN"/>
              </w:rPr>
            </w:pPr>
            <w:r>
              <w:rPr>
                <w:rFonts w:hint="eastAsia" w:ascii="Times New Roman" w:hAnsi="Times New Roman" w:cs="Times New Roman"/>
                <w:bCs/>
                <w:color w:val="0000FF"/>
                <w:sz w:val="21"/>
                <w:szCs w:val="21"/>
                <w:lang w:val="en-US" w:eastAsia="zh-CN"/>
              </w:rPr>
              <w:t>颗粒物</w:t>
            </w:r>
          </w:p>
        </w:tc>
        <w:tc>
          <w:tcPr>
            <w:tcW w:w="2242" w:type="dxa"/>
            <w:vAlign w:val="center"/>
          </w:tcPr>
          <w:p w14:paraId="1012FFAA">
            <w:pPr>
              <w:spacing w:line="250" w:lineRule="exact"/>
              <w:jc w:val="center"/>
              <w:rPr>
                <w:rFonts w:hint="eastAsia" w:cs="Times New Roman" w:eastAsiaTheme="minorEastAsia"/>
                <w:color w:val="0000FF"/>
                <w:sz w:val="21"/>
                <w:szCs w:val="21"/>
                <w:lang w:val="en-US" w:eastAsia="zh-CN"/>
              </w:rPr>
            </w:pPr>
            <w:r>
              <w:rPr>
                <w:rFonts w:hint="eastAsia" w:ascii="Times New Roman" w:hAnsi="Times New Roman" w:cs="Times New Roman"/>
                <w:bCs/>
                <w:color w:val="0000FF"/>
                <w:sz w:val="21"/>
                <w:szCs w:val="21"/>
                <w:lang w:val="en-US" w:eastAsia="zh-CN"/>
              </w:rPr>
              <w:t>袋式除尘器+</w:t>
            </w:r>
            <w:r>
              <w:rPr>
                <w:rFonts w:hint="default" w:ascii="Times New Roman" w:hAnsi="Times New Roman" w:eastAsia="宋体" w:cs="Times New Roman"/>
                <w:bCs/>
                <w:color w:val="0000FF"/>
                <w:sz w:val="21"/>
                <w:szCs w:val="21"/>
                <w:lang w:val="en-US" w:eastAsia="zh-CN"/>
              </w:rPr>
              <w:t>15m排气筒</w:t>
            </w:r>
            <w:r>
              <w:rPr>
                <w:rFonts w:hint="eastAsia" w:ascii="Times New Roman" w:hAnsi="Times New Roman" w:cs="Times New Roman"/>
                <w:bCs/>
                <w:color w:val="0000FF"/>
                <w:sz w:val="21"/>
                <w:szCs w:val="21"/>
                <w:lang w:val="en-US" w:eastAsia="zh-CN"/>
              </w:rPr>
              <w:t>（</w:t>
            </w:r>
            <w:r>
              <w:rPr>
                <w:rFonts w:hint="default" w:ascii="Times New Roman" w:hAnsi="Times New Roman" w:eastAsia="宋体" w:cs="Times New Roman"/>
                <w:bCs/>
                <w:color w:val="0000FF"/>
                <w:sz w:val="21"/>
                <w:szCs w:val="21"/>
                <w:lang w:val="en-US" w:eastAsia="zh-CN"/>
              </w:rPr>
              <w:t>DA00</w:t>
            </w:r>
            <w:r>
              <w:rPr>
                <w:rFonts w:hint="eastAsia" w:ascii="Times New Roman" w:hAnsi="Times New Roman" w:cs="Times New Roman"/>
                <w:bCs/>
                <w:color w:val="0000FF"/>
                <w:sz w:val="21"/>
                <w:szCs w:val="21"/>
                <w:lang w:val="en-US" w:eastAsia="zh-CN"/>
              </w:rPr>
              <w:t>2）</w:t>
            </w:r>
            <w:r>
              <w:rPr>
                <w:rFonts w:hint="default" w:ascii="Times New Roman" w:hAnsi="Times New Roman" w:eastAsia="宋体" w:cs="Times New Roman"/>
                <w:bCs/>
                <w:color w:val="0000FF"/>
                <w:sz w:val="21"/>
                <w:szCs w:val="21"/>
                <w:lang w:val="en-US" w:eastAsia="zh-CN"/>
              </w:rPr>
              <w:t>排放</w:t>
            </w:r>
          </w:p>
        </w:tc>
        <w:tc>
          <w:tcPr>
            <w:tcW w:w="2457" w:type="dxa"/>
            <w:vMerge w:val="continue"/>
            <w:vAlign w:val="center"/>
          </w:tcPr>
          <w:p w14:paraId="697949B0">
            <w:pPr>
              <w:spacing w:line="250" w:lineRule="exact"/>
              <w:jc w:val="center"/>
              <w:rPr>
                <w:rFonts w:hint="eastAsia" w:eastAsia="宋体" w:cs="Times New Roman"/>
                <w:color w:val="auto"/>
                <w:sz w:val="21"/>
                <w:szCs w:val="21"/>
                <w:lang w:val="en-US" w:eastAsia="zh-CN"/>
              </w:rPr>
            </w:pPr>
          </w:p>
        </w:tc>
      </w:tr>
      <w:tr w14:paraId="4A8997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09" w:type="dxa"/>
            <w:vMerge w:val="continue"/>
            <w:vAlign w:val="center"/>
          </w:tcPr>
          <w:p w14:paraId="4C3731F5">
            <w:pPr>
              <w:adjustRightInd w:val="0"/>
              <w:snapToGrid w:val="0"/>
              <w:spacing w:line="250" w:lineRule="exact"/>
              <w:jc w:val="center"/>
              <w:rPr>
                <w:rFonts w:hint="default" w:ascii="Times New Roman" w:hAnsi="Times New Roman" w:cs="Times New Roman" w:eastAsiaTheme="minorEastAsia"/>
                <w:color w:val="auto"/>
                <w:sz w:val="21"/>
                <w:szCs w:val="21"/>
                <w:highlight w:val="yellow"/>
              </w:rPr>
            </w:pPr>
          </w:p>
        </w:tc>
        <w:tc>
          <w:tcPr>
            <w:tcW w:w="2182" w:type="dxa"/>
            <w:gridSpan w:val="2"/>
            <w:vMerge w:val="restart"/>
            <w:vAlign w:val="center"/>
          </w:tcPr>
          <w:p w14:paraId="0E1C5C0B">
            <w:pPr>
              <w:spacing w:line="250" w:lineRule="exact"/>
              <w:jc w:val="center"/>
              <w:rPr>
                <w:rFonts w:hint="default" w:ascii="Times New Roman" w:hAnsi="Times New Roman" w:cs="Times New Roman" w:eastAsiaTheme="minorEastAsia"/>
                <w:snapToGrid w:val="0"/>
                <w:color w:val="auto"/>
                <w:kern w:val="0"/>
                <w:sz w:val="21"/>
                <w:szCs w:val="21"/>
              </w:rPr>
            </w:pPr>
            <w:r>
              <w:rPr>
                <w:rFonts w:hint="default" w:ascii="Times New Roman" w:hAnsi="Times New Roman" w:cs="Times New Roman" w:eastAsiaTheme="minorEastAsia"/>
                <w:snapToGrid w:val="0"/>
                <w:color w:val="auto"/>
                <w:kern w:val="0"/>
                <w:sz w:val="21"/>
                <w:szCs w:val="21"/>
              </w:rPr>
              <w:t>无组织</w:t>
            </w:r>
          </w:p>
        </w:tc>
        <w:tc>
          <w:tcPr>
            <w:tcW w:w="1010" w:type="dxa"/>
            <w:vAlign w:val="center"/>
          </w:tcPr>
          <w:p w14:paraId="4E34CACA">
            <w:pPr>
              <w:spacing w:line="250" w:lineRule="exact"/>
              <w:jc w:val="center"/>
              <w:rPr>
                <w:rFonts w:hint="eastAsia"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臭气</w:t>
            </w:r>
          </w:p>
          <w:p w14:paraId="47FFCA16">
            <w:pPr>
              <w:spacing w:line="250" w:lineRule="exact"/>
              <w:jc w:val="center"/>
              <w:rPr>
                <w:rFonts w:hint="eastAsia" w:ascii="Times New Roman" w:hAnsi="Times New Roman" w:cs="Times New Roman" w:eastAsiaTheme="minorEastAsia"/>
                <w:color w:val="auto"/>
                <w:sz w:val="21"/>
                <w:szCs w:val="21"/>
                <w:lang w:eastAsia="zh-CN"/>
              </w:rPr>
            </w:pPr>
            <w:r>
              <w:rPr>
                <w:rFonts w:hint="eastAsia" w:cs="Times New Roman" w:eastAsiaTheme="minorEastAsia"/>
                <w:color w:val="auto"/>
                <w:sz w:val="21"/>
                <w:szCs w:val="21"/>
                <w:lang w:val="en-US" w:eastAsia="zh-CN"/>
              </w:rPr>
              <w:t>浓度</w:t>
            </w:r>
          </w:p>
        </w:tc>
        <w:tc>
          <w:tcPr>
            <w:tcW w:w="2242" w:type="dxa"/>
            <w:vMerge w:val="restart"/>
            <w:vAlign w:val="center"/>
          </w:tcPr>
          <w:p w14:paraId="640B80FC">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bCs/>
                <w:color w:val="auto"/>
                <w:sz w:val="21"/>
                <w:szCs w:val="21"/>
                <w:lang w:val="en-US" w:eastAsia="zh-CN"/>
              </w:rPr>
              <w:t>厂房封闭，加强通风</w:t>
            </w:r>
          </w:p>
        </w:tc>
        <w:tc>
          <w:tcPr>
            <w:tcW w:w="2457" w:type="dxa"/>
            <w:vAlign w:val="center"/>
          </w:tcPr>
          <w:p w14:paraId="2C185DDE">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ascii="Times New Roman" w:hAnsi="Times New Roman" w:eastAsia="宋体" w:cs="Times New Roman"/>
                <w:color w:val="auto"/>
                <w:sz w:val="21"/>
                <w:szCs w:val="21"/>
                <w:lang w:eastAsia="zh-CN"/>
              </w:rPr>
            </w:pPr>
            <w:r>
              <w:rPr>
                <w:rFonts w:hint="eastAsia"/>
                <w:color w:val="auto"/>
                <w:szCs w:val="21"/>
              </w:rPr>
              <w:t>《恶臭污染物排放标准》（GB14554-93）表1二级新扩改建标准要求</w:t>
            </w:r>
            <w:r>
              <w:rPr>
                <w:rFonts w:hint="eastAsia"/>
                <w:color w:val="auto"/>
                <w:szCs w:val="21"/>
                <w:lang w:eastAsia="zh-CN"/>
              </w:rPr>
              <w:t>：</w:t>
            </w:r>
            <w:r>
              <w:rPr>
                <w:rFonts w:hint="eastAsia"/>
                <w:bCs/>
                <w:color w:val="000000" w:themeColor="text1"/>
                <w:szCs w:val="21"/>
                <w:lang w:val="en-US" w:eastAsia="zh-CN"/>
                <w14:textFill>
                  <w14:solidFill>
                    <w14:schemeClr w14:val="tx1"/>
                  </w14:solidFill>
                </w14:textFill>
              </w:rPr>
              <w:t>20（无量纲）</w:t>
            </w:r>
          </w:p>
        </w:tc>
      </w:tr>
      <w:tr w14:paraId="39D330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09" w:type="dxa"/>
            <w:vMerge w:val="continue"/>
            <w:vAlign w:val="center"/>
          </w:tcPr>
          <w:p w14:paraId="22612752">
            <w:pPr>
              <w:adjustRightInd w:val="0"/>
              <w:snapToGrid w:val="0"/>
              <w:spacing w:line="250" w:lineRule="exact"/>
              <w:jc w:val="center"/>
              <w:rPr>
                <w:rFonts w:hint="default" w:ascii="Times New Roman" w:hAnsi="Times New Roman" w:cs="Times New Roman" w:eastAsiaTheme="minorEastAsia"/>
                <w:color w:val="auto"/>
                <w:sz w:val="21"/>
                <w:szCs w:val="21"/>
                <w:highlight w:val="yellow"/>
              </w:rPr>
            </w:pPr>
          </w:p>
        </w:tc>
        <w:tc>
          <w:tcPr>
            <w:tcW w:w="2182" w:type="dxa"/>
            <w:gridSpan w:val="2"/>
            <w:vMerge w:val="continue"/>
            <w:vAlign w:val="center"/>
          </w:tcPr>
          <w:p w14:paraId="73489BB6">
            <w:pPr>
              <w:spacing w:line="250" w:lineRule="exact"/>
              <w:jc w:val="center"/>
              <w:rPr>
                <w:rFonts w:hint="default" w:ascii="Times New Roman" w:hAnsi="Times New Roman" w:cs="Times New Roman" w:eastAsiaTheme="minorEastAsia"/>
                <w:snapToGrid w:val="0"/>
                <w:color w:val="auto"/>
                <w:kern w:val="0"/>
                <w:sz w:val="21"/>
                <w:szCs w:val="21"/>
              </w:rPr>
            </w:pPr>
          </w:p>
        </w:tc>
        <w:tc>
          <w:tcPr>
            <w:tcW w:w="1010" w:type="dxa"/>
            <w:vAlign w:val="center"/>
          </w:tcPr>
          <w:p w14:paraId="0985DCBD">
            <w:pPr>
              <w:spacing w:line="250" w:lineRule="exact"/>
              <w:jc w:val="center"/>
              <w:rPr>
                <w:rFonts w:hint="default"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颗粒物</w:t>
            </w:r>
          </w:p>
        </w:tc>
        <w:tc>
          <w:tcPr>
            <w:tcW w:w="2242" w:type="dxa"/>
            <w:vMerge w:val="continue"/>
            <w:vAlign w:val="center"/>
          </w:tcPr>
          <w:p w14:paraId="4576EDFC">
            <w:pPr>
              <w:adjustRightInd w:val="0"/>
              <w:snapToGrid w:val="0"/>
              <w:jc w:val="center"/>
              <w:rPr>
                <w:rFonts w:hint="default" w:ascii="Times New Roman" w:hAnsi="Times New Roman" w:cs="Times New Roman"/>
                <w:bCs/>
                <w:color w:val="auto"/>
                <w:sz w:val="21"/>
                <w:szCs w:val="21"/>
                <w:lang w:val="en-US" w:eastAsia="zh-CN"/>
              </w:rPr>
            </w:pPr>
          </w:p>
        </w:tc>
        <w:tc>
          <w:tcPr>
            <w:tcW w:w="2457" w:type="dxa"/>
            <w:vAlign w:val="center"/>
          </w:tcPr>
          <w:p w14:paraId="6AB2CEF5">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eastAsia="宋体"/>
                <w:color w:val="auto"/>
                <w:szCs w:val="21"/>
                <w:lang w:eastAsia="zh-CN"/>
              </w:rPr>
            </w:pPr>
            <w:r>
              <w:rPr>
                <w:rFonts w:hint="eastAsia"/>
                <w:color w:val="auto"/>
                <w:szCs w:val="21"/>
              </w:rPr>
              <w:t>《合成树脂工业污染物排放标准》（GB31572-2015，含2024年修改单）表9企业边界大气污染物浓度限值</w:t>
            </w:r>
            <w:r>
              <w:rPr>
                <w:rFonts w:hint="eastAsia"/>
                <w:color w:val="auto"/>
                <w:szCs w:val="21"/>
                <w:lang w:eastAsia="zh-CN"/>
              </w:rPr>
              <w:t>：</w:t>
            </w:r>
            <w:r>
              <w:rPr>
                <w:rFonts w:hint="eastAsia"/>
                <w:bCs/>
                <w:color w:val="000000" w:themeColor="text1"/>
                <w:szCs w:val="21"/>
                <w:lang w:val="en-US" w:eastAsia="zh-CN"/>
                <w14:textFill>
                  <w14:solidFill>
                    <w14:schemeClr w14:val="tx1"/>
                  </w14:solidFill>
                </w14:textFill>
              </w:rPr>
              <w:t>1.0</w:t>
            </w:r>
            <w:r>
              <w:rPr>
                <w:rFonts w:hint="eastAsia"/>
                <w:bCs/>
                <w:color w:val="000000" w:themeColor="text1"/>
                <w:szCs w:val="21"/>
                <w14:textFill>
                  <w14:solidFill>
                    <w14:schemeClr w14:val="tx1"/>
                  </w14:solidFill>
                </w14:textFill>
              </w:rPr>
              <w:t>mg/m</w:t>
            </w:r>
            <w:r>
              <w:rPr>
                <w:rFonts w:hint="eastAsia"/>
                <w:bCs/>
                <w:color w:val="000000" w:themeColor="text1"/>
                <w:szCs w:val="21"/>
                <w:vertAlign w:val="superscript"/>
                <w14:textFill>
                  <w14:solidFill>
                    <w14:schemeClr w14:val="tx1"/>
                  </w14:solidFill>
                </w14:textFill>
              </w:rPr>
              <w:t>3</w:t>
            </w:r>
          </w:p>
        </w:tc>
      </w:tr>
      <w:tr w14:paraId="57D354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09" w:type="dxa"/>
            <w:vMerge w:val="continue"/>
            <w:vAlign w:val="center"/>
          </w:tcPr>
          <w:p w14:paraId="3F69CC7F">
            <w:pPr>
              <w:spacing w:line="250" w:lineRule="exact"/>
              <w:jc w:val="center"/>
              <w:rPr>
                <w:color w:val="auto"/>
              </w:rPr>
            </w:pPr>
          </w:p>
        </w:tc>
        <w:tc>
          <w:tcPr>
            <w:tcW w:w="2182" w:type="dxa"/>
            <w:gridSpan w:val="2"/>
            <w:vMerge w:val="continue"/>
            <w:vAlign w:val="center"/>
          </w:tcPr>
          <w:p w14:paraId="264B584F">
            <w:pPr>
              <w:spacing w:line="250" w:lineRule="exact"/>
              <w:jc w:val="center"/>
              <w:rPr>
                <w:color w:val="auto"/>
              </w:rPr>
            </w:pPr>
          </w:p>
        </w:tc>
        <w:tc>
          <w:tcPr>
            <w:tcW w:w="1010" w:type="dxa"/>
            <w:vAlign w:val="center"/>
          </w:tcPr>
          <w:p w14:paraId="15840369">
            <w:pPr>
              <w:spacing w:line="250" w:lineRule="exact"/>
              <w:jc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非甲烷总烃</w:t>
            </w:r>
          </w:p>
        </w:tc>
        <w:tc>
          <w:tcPr>
            <w:tcW w:w="2242" w:type="dxa"/>
            <w:vMerge w:val="continue"/>
            <w:vAlign w:val="center"/>
          </w:tcPr>
          <w:p w14:paraId="6D8AAF8D">
            <w:pPr>
              <w:spacing w:line="250" w:lineRule="exact"/>
              <w:jc w:val="center"/>
              <w:rPr>
                <w:rFonts w:hint="default" w:ascii="Times New Roman" w:hAnsi="Times New Roman" w:cs="Times New Roman" w:eastAsiaTheme="minorEastAsia"/>
                <w:color w:val="auto"/>
                <w:sz w:val="21"/>
                <w:szCs w:val="21"/>
              </w:rPr>
            </w:pPr>
          </w:p>
        </w:tc>
        <w:tc>
          <w:tcPr>
            <w:tcW w:w="2457" w:type="dxa"/>
            <w:vAlign w:val="center"/>
          </w:tcPr>
          <w:p w14:paraId="20C614B3">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ascii="Times New Roman" w:hAnsi="Times New Roman" w:eastAsia="宋体" w:cs="Times New Roman"/>
                <w:color w:val="auto"/>
                <w:sz w:val="21"/>
                <w:szCs w:val="21"/>
                <w:lang w:eastAsia="zh-CN"/>
              </w:rPr>
            </w:pPr>
            <w:r>
              <w:rPr>
                <w:rFonts w:hint="eastAsia" w:cs="Times New Roman" w:eastAsiaTheme="minorEastAsia"/>
                <w:color w:val="000000" w:themeColor="text1"/>
                <w:sz w:val="21"/>
                <w:szCs w:val="21"/>
                <w:lang w:eastAsia="zh-CN"/>
                <w14:textFill>
                  <w14:solidFill>
                    <w14:schemeClr w14:val="tx1"/>
                  </w14:solidFill>
                </w14:textFill>
              </w:rPr>
              <w:t>《合成树脂工业污染物排放标准》（GB31572-2015，含2024年修改单）表9企业边界大气污染物浓度限值：</w:t>
            </w:r>
            <w:r>
              <w:rPr>
                <w:rFonts w:hint="eastAsia"/>
                <w:bCs/>
                <w:color w:val="000000" w:themeColor="text1"/>
                <w:szCs w:val="21"/>
                <w:lang w:val="en-US" w:eastAsia="zh-CN"/>
                <w14:textFill>
                  <w14:solidFill>
                    <w14:schemeClr w14:val="tx1"/>
                  </w14:solidFill>
                </w14:textFill>
              </w:rPr>
              <w:t>4.0</w:t>
            </w:r>
            <w:r>
              <w:rPr>
                <w:rFonts w:hint="eastAsia"/>
                <w:bCs/>
                <w:color w:val="000000" w:themeColor="text1"/>
                <w:szCs w:val="21"/>
                <w14:textFill>
                  <w14:solidFill>
                    <w14:schemeClr w14:val="tx1"/>
                  </w14:solidFill>
                </w14:textFill>
              </w:rPr>
              <w:t>mg/m</w:t>
            </w:r>
            <w:r>
              <w:rPr>
                <w:rFonts w:hint="eastAsia"/>
                <w:bCs/>
                <w:color w:val="000000" w:themeColor="text1"/>
                <w:szCs w:val="21"/>
                <w:vertAlign w:val="superscript"/>
                <w14:textFill>
                  <w14:solidFill>
                    <w14:schemeClr w14:val="tx1"/>
                  </w14:solidFill>
                </w14:textFill>
              </w:rPr>
              <w:t>3</w:t>
            </w:r>
            <w:r>
              <w:rPr>
                <w:rFonts w:hint="eastAsia" w:cs="Times New Roman" w:eastAsiaTheme="minorEastAsia"/>
                <w:color w:val="000000" w:themeColor="text1"/>
                <w:sz w:val="21"/>
                <w:szCs w:val="21"/>
                <w:lang w:val="en-US" w:eastAsia="zh-CN"/>
                <w14:textFill>
                  <w14:solidFill>
                    <w14:schemeClr w14:val="tx1"/>
                  </w14:solidFill>
                </w14:textFill>
              </w:rPr>
              <w:t>及</w:t>
            </w:r>
            <w:r>
              <w:rPr>
                <w:rFonts w:hint="eastAsia" w:cs="Times New Roman" w:eastAsiaTheme="minorEastAsia"/>
                <w:snapToGrid w:val="0"/>
                <w:color w:val="auto"/>
                <w:kern w:val="0"/>
                <w:sz w:val="21"/>
                <w:szCs w:val="21"/>
                <w:highlight w:val="none"/>
                <w:lang w:eastAsia="zh-CN"/>
              </w:rPr>
              <w:t>《工业企业挥发性有机物排放控制标准》（DB13/ 2322-2025）表2厂区内挥发性有机物无组织排放限值</w:t>
            </w:r>
            <w:r>
              <w:rPr>
                <w:rFonts w:hint="eastAsia" w:cs="Times New Roman" w:eastAsiaTheme="minorEastAsia"/>
                <w:color w:val="000000" w:themeColor="text1"/>
                <w:sz w:val="21"/>
                <w:szCs w:val="21"/>
                <w:lang w:eastAsia="zh-CN"/>
                <w14:textFill>
                  <w14:solidFill>
                    <w14:schemeClr w14:val="tx1"/>
                  </w14:solidFill>
                </w14:textFill>
              </w:rPr>
              <w:t>：</w:t>
            </w:r>
            <w:r>
              <w:rPr>
                <w:rFonts w:hint="eastAsia"/>
                <w:bCs/>
                <w:color w:val="000000" w:themeColor="text1"/>
                <w:szCs w:val="21"/>
                <w:lang w:val="en-US" w:eastAsia="zh-CN"/>
                <w14:textFill>
                  <w14:solidFill>
                    <w14:schemeClr w14:val="tx1"/>
                  </w14:solidFill>
                </w14:textFill>
              </w:rPr>
              <w:t>2.0</w:t>
            </w:r>
            <w:r>
              <w:rPr>
                <w:rFonts w:hint="eastAsia"/>
                <w:bCs/>
                <w:color w:val="000000" w:themeColor="text1"/>
                <w:szCs w:val="21"/>
                <w14:textFill>
                  <w14:solidFill>
                    <w14:schemeClr w14:val="tx1"/>
                  </w14:solidFill>
                </w14:textFill>
              </w:rPr>
              <w:t>mg/m</w:t>
            </w:r>
            <w:r>
              <w:rPr>
                <w:rFonts w:hint="eastAsia"/>
                <w:bCs/>
                <w:color w:val="000000" w:themeColor="text1"/>
                <w:szCs w:val="21"/>
                <w:vertAlign w:val="superscript"/>
                <w14:textFill>
                  <w14:solidFill>
                    <w14:schemeClr w14:val="tx1"/>
                  </w14:solidFill>
                </w14:textFill>
              </w:rPr>
              <w:t>3</w:t>
            </w:r>
            <w:r>
              <w:rPr>
                <w:rFonts w:hint="eastAsia"/>
                <w:color w:val="000000" w:themeColor="text1"/>
                <w:lang w:eastAsia="zh-CN"/>
                <w14:textFill>
                  <w14:solidFill>
                    <w14:schemeClr w14:val="tx1"/>
                  </w14:solidFill>
                </w14:textFill>
              </w:rPr>
              <w:t>（监控点处1h平均浓度值）；</w:t>
            </w:r>
            <w:r>
              <w:rPr>
                <w:rFonts w:hint="eastAsia"/>
                <w:bCs/>
                <w:color w:val="000000" w:themeColor="text1"/>
                <w:szCs w:val="21"/>
                <w:lang w:val="en-US" w:eastAsia="zh-CN"/>
                <w14:textFill>
                  <w14:solidFill>
                    <w14:schemeClr w14:val="tx1"/>
                  </w14:solidFill>
                </w14:textFill>
              </w:rPr>
              <w:t>10</w:t>
            </w:r>
            <w:r>
              <w:rPr>
                <w:rFonts w:hint="eastAsia"/>
                <w:bCs/>
                <w:color w:val="000000" w:themeColor="text1"/>
                <w:szCs w:val="21"/>
                <w14:textFill>
                  <w14:solidFill>
                    <w14:schemeClr w14:val="tx1"/>
                  </w14:solidFill>
                </w14:textFill>
              </w:rPr>
              <w:t>mg/m</w:t>
            </w:r>
            <w:r>
              <w:rPr>
                <w:rFonts w:hint="eastAsia"/>
                <w:bCs/>
                <w:color w:val="000000" w:themeColor="text1"/>
                <w:szCs w:val="21"/>
                <w:vertAlign w:val="superscript"/>
                <w14:textFill>
                  <w14:solidFill>
                    <w14:schemeClr w14:val="tx1"/>
                  </w14:solidFill>
                </w14:textFill>
              </w:rPr>
              <w:t>3</w:t>
            </w:r>
            <w:r>
              <w:rPr>
                <w:rFonts w:hint="eastAsia"/>
                <w:color w:val="000000" w:themeColor="text1"/>
                <w:lang w:eastAsia="zh-CN"/>
                <w14:textFill>
                  <w14:solidFill>
                    <w14:schemeClr w14:val="tx1"/>
                  </w14:solidFill>
                </w14:textFill>
              </w:rPr>
              <w:t>（监控点处任意一次浓度值）</w:t>
            </w:r>
          </w:p>
        </w:tc>
      </w:tr>
      <w:tr w14:paraId="75C274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909" w:type="dxa"/>
            <w:vMerge w:val="restart"/>
            <w:vAlign w:val="center"/>
          </w:tcPr>
          <w:p w14:paraId="3CABD62C">
            <w:pPr>
              <w:adjustRightInd w:val="0"/>
              <w:snapToGrid w:val="0"/>
              <w:spacing w:line="250" w:lineRule="exac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地</w:t>
            </w:r>
          </w:p>
          <w:p w14:paraId="1B714123">
            <w:pPr>
              <w:adjustRightInd w:val="0"/>
              <w:snapToGrid w:val="0"/>
              <w:spacing w:line="250" w:lineRule="exac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表</w:t>
            </w:r>
          </w:p>
          <w:p w14:paraId="1CA05B65">
            <w:pPr>
              <w:adjustRightInd w:val="0"/>
              <w:snapToGrid w:val="0"/>
              <w:spacing w:line="250" w:lineRule="exac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水</w:t>
            </w:r>
          </w:p>
          <w:p w14:paraId="6544C117">
            <w:pPr>
              <w:adjustRightInd w:val="0"/>
              <w:snapToGrid w:val="0"/>
              <w:spacing w:line="250" w:lineRule="exac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环</w:t>
            </w:r>
          </w:p>
          <w:p w14:paraId="5223C495">
            <w:pPr>
              <w:spacing w:line="250" w:lineRule="exac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境</w:t>
            </w:r>
          </w:p>
        </w:tc>
        <w:tc>
          <w:tcPr>
            <w:tcW w:w="2182" w:type="dxa"/>
            <w:gridSpan w:val="2"/>
            <w:vAlign w:val="center"/>
          </w:tcPr>
          <w:p w14:paraId="3A135792">
            <w:pPr>
              <w:pStyle w:val="15"/>
              <w:spacing w:beforeAutospacing="0" w:afterAutospacing="0" w:line="280" w:lineRule="exact"/>
              <w:jc w:val="center"/>
              <w:rPr>
                <w:rFonts w:hint="default" w:ascii="Times New Roman" w:hAnsi="Times New Roman" w:cs="Times New Roman" w:eastAsiaTheme="minorEastAsia"/>
                <w:color w:val="auto"/>
                <w:sz w:val="21"/>
                <w:szCs w:val="21"/>
              </w:rPr>
            </w:pPr>
            <w:r>
              <w:rPr>
                <w:rFonts w:hint="eastAsia" w:ascii="Times New Roman" w:hAnsi="Times New Roman" w:cs="Times New Roman"/>
                <w:bCs/>
                <w:color w:val="auto"/>
                <w:sz w:val="21"/>
                <w:szCs w:val="21"/>
                <w:lang w:val="en-US" w:eastAsia="zh-CN"/>
              </w:rPr>
              <w:t>粉碎、清洗、甩干、冷却、压滤工序废水</w:t>
            </w:r>
          </w:p>
        </w:tc>
        <w:tc>
          <w:tcPr>
            <w:tcW w:w="1010" w:type="dxa"/>
            <w:vMerge w:val="restart"/>
            <w:vAlign w:val="center"/>
          </w:tcPr>
          <w:p w14:paraId="1B454FFA">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eastAsia"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pH、COD、</w:t>
            </w:r>
            <w:r>
              <w:rPr>
                <w:rFonts w:hint="eastAsia" w:ascii="Times New Roman" w:hAnsi="Times New Roman" w:cs="Times New Roman"/>
                <w:color w:val="auto"/>
                <w:sz w:val="21"/>
                <w:szCs w:val="21"/>
                <w:lang w:val="en-US" w:eastAsia="zh-CN"/>
              </w:rPr>
              <w:t>BOD</w:t>
            </w:r>
            <w:r>
              <w:rPr>
                <w:rFonts w:hint="eastAsia" w:ascii="Times New Roman" w:hAnsi="Times New Roman" w:cs="Times New Roman"/>
                <w:color w:val="auto"/>
                <w:sz w:val="21"/>
                <w:szCs w:val="21"/>
                <w:vertAlign w:val="subscript"/>
                <w:lang w:val="en-US" w:eastAsia="zh-CN"/>
              </w:rPr>
              <w:t>5</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SS、氨氮</w:t>
            </w:r>
          </w:p>
        </w:tc>
        <w:tc>
          <w:tcPr>
            <w:tcW w:w="2242" w:type="dxa"/>
            <w:vAlign w:val="center"/>
          </w:tcPr>
          <w:p w14:paraId="18DC1B4E">
            <w:pPr>
              <w:pStyle w:val="15"/>
              <w:spacing w:beforeAutospacing="0" w:afterAutospacing="0" w:line="280" w:lineRule="exact"/>
              <w:jc w:val="center"/>
              <w:rPr>
                <w:rFonts w:hint="default" w:ascii="Times New Roman" w:hAnsi="Times New Roman" w:cs="Times New Roman" w:eastAsiaTheme="minorEastAsia"/>
                <w:color w:val="auto"/>
                <w:sz w:val="21"/>
                <w:szCs w:val="21"/>
              </w:rPr>
            </w:pPr>
            <w:r>
              <w:rPr>
                <w:rFonts w:hint="default" w:ascii="Times New Roman" w:hAnsi="Times New Roman" w:eastAsia="宋体" w:cs="Times New Roman"/>
                <w:color w:val="auto"/>
                <w:sz w:val="21"/>
                <w:szCs w:val="21"/>
                <w:shd w:val="clear" w:color="auto" w:fill="auto"/>
                <w:lang w:val="en-US" w:eastAsia="zh-CN"/>
              </w:rPr>
              <w:t>经沉淀池处理后循环利用，不外排</w:t>
            </w:r>
          </w:p>
        </w:tc>
        <w:tc>
          <w:tcPr>
            <w:tcW w:w="2457" w:type="dxa"/>
            <w:vMerge w:val="restart"/>
            <w:vAlign w:val="center"/>
          </w:tcPr>
          <w:p w14:paraId="25BEFD40">
            <w:pPr>
              <w:keepNext w:val="0"/>
              <w:keepLines w:val="0"/>
              <w:pageBreakBefore w:val="0"/>
              <w:widowControl w:val="0"/>
              <w:kinsoku/>
              <w:wordWrap/>
              <w:overflowPunct/>
              <w:topLinePunct w:val="0"/>
              <w:autoSpaceDE/>
              <w:autoSpaceDN/>
              <w:bidi w:val="0"/>
              <w:adjustRightInd w:val="0"/>
              <w:snapToGrid w:val="0"/>
              <w:spacing w:line="300" w:lineRule="exact"/>
              <w:ind w:left="0" w:leftChars="0"/>
              <w:jc w:val="center"/>
              <w:textAlignment w:val="auto"/>
              <w:rPr>
                <w:rFonts w:hint="default" w:ascii="Times New Roman" w:hAnsi="Times New Roman" w:cs="Times New Roman" w:eastAsiaTheme="minorEastAsia"/>
                <w:color w:val="auto"/>
                <w:sz w:val="21"/>
                <w:szCs w:val="21"/>
              </w:rPr>
            </w:pPr>
            <w:r>
              <w:rPr>
                <w:rFonts w:hint="eastAsia" w:cs="Times New Roman" w:eastAsiaTheme="minorEastAsia"/>
                <w:snapToGrid w:val="0"/>
                <w:color w:val="auto"/>
                <w:kern w:val="0"/>
                <w:sz w:val="21"/>
                <w:szCs w:val="21"/>
                <w:highlight w:val="none"/>
                <w:lang w:eastAsia="zh-CN"/>
              </w:rPr>
              <w:t>—</w:t>
            </w:r>
          </w:p>
        </w:tc>
      </w:tr>
      <w:tr w14:paraId="22B804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909" w:type="dxa"/>
            <w:vMerge w:val="continue"/>
            <w:vAlign w:val="center"/>
          </w:tcPr>
          <w:p w14:paraId="016388BE">
            <w:pPr>
              <w:spacing w:line="250" w:lineRule="exact"/>
              <w:jc w:val="center"/>
            </w:pPr>
          </w:p>
        </w:tc>
        <w:tc>
          <w:tcPr>
            <w:tcW w:w="2182" w:type="dxa"/>
            <w:gridSpan w:val="2"/>
            <w:vAlign w:val="center"/>
          </w:tcPr>
          <w:p w14:paraId="4C9B5190">
            <w:pPr>
              <w:spacing w:line="250" w:lineRule="exact"/>
              <w:jc w:val="center"/>
              <w:rPr>
                <w:rFonts w:hint="eastAsia" w:eastAsia="宋体"/>
                <w:lang w:val="en-US" w:eastAsia="zh-CN"/>
              </w:rPr>
            </w:pPr>
            <w:r>
              <w:rPr>
                <w:rFonts w:hint="eastAsia"/>
                <w:lang w:val="en-US" w:eastAsia="zh-CN"/>
              </w:rPr>
              <w:t>生活废水</w:t>
            </w:r>
          </w:p>
        </w:tc>
        <w:tc>
          <w:tcPr>
            <w:tcW w:w="1010" w:type="dxa"/>
            <w:vMerge w:val="continue"/>
            <w:vAlign w:val="center"/>
          </w:tcPr>
          <w:p w14:paraId="77C29552">
            <w:pPr>
              <w:spacing w:line="250" w:lineRule="exact"/>
              <w:jc w:val="center"/>
            </w:pPr>
          </w:p>
        </w:tc>
        <w:tc>
          <w:tcPr>
            <w:tcW w:w="2242" w:type="dxa"/>
            <w:vAlign w:val="center"/>
          </w:tcPr>
          <w:p w14:paraId="7143334E">
            <w:pPr>
              <w:pStyle w:val="15"/>
              <w:spacing w:beforeAutospacing="0" w:afterAutospacing="0" w:line="280" w:lineRule="exact"/>
              <w:jc w:val="center"/>
              <w:rPr>
                <w:rFonts w:hint="default" w:ascii="Times New Roman" w:hAnsi="Times New Roman" w:cs="Times New Roman"/>
                <w:color w:val="auto"/>
                <w:sz w:val="21"/>
                <w:szCs w:val="21"/>
                <w:lang w:val="en-US" w:eastAsia="zh-CN"/>
              </w:rPr>
            </w:pPr>
            <w:r>
              <w:rPr>
                <w:rFonts w:hint="eastAsia" w:ascii="Times New Roman" w:hAnsi="Times New Roman" w:cs="Times New Roman"/>
                <w:bCs/>
                <w:color w:val="auto"/>
                <w:sz w:val="21"/>
                <w:szCs w:val="21"/>
                <w:lang w:val="en-US" w:eastAsia="zh-CN"/>
              </w:rPr>
              <w:t>泼洒抑尘</w:t>
            </w:r>
          </w:p>
        </w:tc>
        <w:tc>
          <w:tcPr>
            <w:tcW w:w="2457" w:type="dxa"/>
            <w:vMerge w:val="continue"/>
            <w:vAlign w:val="center"/>
          </w:tcPr>
          <w:p w14:paraId="76345E4B">
            <w:pPr>
              <w:spacing w:line="250" w:lineRule="exact"/>
              <w:jc w:val="center"/>
              <w:rPr>
                <w:rFonts w:hint="default" w:ascii="Times New Roman" w:hAnsi="Times New Roman" w:cs="Times New Roman"/>
                <w:color w:val="auto"/>
                <w:sz w:val="21"/>
                <w:szCs w:val="21"/>
                <w:lang w:val="en-US" w:eastAsia="zh-CN"/>
              </w:rPr>
            </w:pPr>
          </w:p>
        </w:tc>
      </w:tr>
      <w:tr w14:paraId="4976B0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9" w:type="dxa"/>
            <w:vAlign w:val="center"/>
          </w:tcPr>
          <w:p w14:paraId="19A04C8F">
            <w:pPr>
              <w:adjustRightInd w:val="0"/>
              <w:snapToGrid w:val="0"/>
              <w:spacing w:line="250" w:lineRule="exac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声</w:t>
            </w:r>
          </w:p>
          <w:p w14:paraId="4327B27E">
            <w:pPr>
              <w:adjustRightInd w:val="0"/>
              <w:snapToGrid w:val="0"/>
              <w:spacing w:line="250" w:lineRule="exac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环</w:t>
            </w:r>
          </w:p>
          <w:p w14:paraId="1541DA56">
            <w:pPr>
              <w:adjustRightInd w:val="0"/>
              <w:snapToGrid w:val="0"/>
              <w:spacing w:line="250" w:lineRule="exac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境</w:t>
            </w:r>
          </w:p>
        </w:tc>
        <w:tc>
          <w:tcPr>
            <w:tcW w:w="2182" w:type="dxa"/>
            <w:gridSpan w:val="2"/>
            <w:vAlign w:val="center"/>
          </w:tcPr>
          <w:p w14:paraId="2F7DF34C">
            <w:pPr>
              <w:adjustRightInd w:val="0"/>
              <w:snapToGrid w:val="0"/>
              <w:spacing w:line="250" w:lineRule="exact"/>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机械设备及风机等</w:t>
            </w:r>
          </w:p>
        </w:tc>
        <w:tc>
          <w:tcPr>
            <w:tcW w:w="1010" w:type="dxa"/>
            <w:vAlign w:val="center"/>
          </w:tcPr>
          <w:p w14:paraId="0E38060B">
            <w:pPr>
              <w:adjustRightInd w:val="0"/>
              <w:snapToGrid w:val="0"/>
              <w:spacing w:line="250" w:lineRule="exac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噪声</w:t>
            </w:r>
          </w:p>
        </w:tc>
        <w:tc>
          <w:tcPr>
            <w:tcW w:w="2242" w:type="dxa"/>
            <w:vAlign w:val="center"/>
          </w:tcPr>
          <w:p w14:paraId="448B8A19">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基础减振、厂房隔声等</w:t>
            </w:r>
          </w:p>
        </w:tc>
        <w:tc>
          <w:tcPr>
            <w:tcW w:w="2457" w:type="dxa"/>
            <w:vAlign w:val="center"/>
          </w:tcPr>
          <w:p w14:paraId="26C3536F">
            <w:pPr>
              <w:adjustRightInd w:val="0"/>
              <w:snapToGrid w:val="0"/>
              <w:spacing w:line="250" w:lineRule="exact"/>
              <w:jc w:val="center"/>
              <w:rPr>
                <w:rFonts w:hint="eastAsia"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rPr>
              <w:t>《工业企业厂界环境噪声排放标准》(GB12348-2008）中</w:t>
            </w:r>
            <w:r>
              <w:rPr>
                <w:rFonts w:hint="eastAsia" w:cs="Times New Roman" w:eastAsiaTheme="minorEastAsia"/>
                <w:color w:val="auto"/>
                <w:sz w:val="21"/>
                <w:szCs w:val="21"/>
                <w:lang w:val="en-US" w:eastAsia="zh-CN"/>
              </w:rPr>
              <w:t>3</w:t>
            </w:r>
            <w:r>
              <w:rPr>
                <w:rFonts w:hint="default" w:ascii="Times New Roman" w:hAnsi="Times New Roman" w:cs="Times New Roman" w:eastAsiaTheme="minorEastAsia"/>
                <w:color w:val="auto"/>
                <w:sz w:val="21"/>
                <w:szCs w:val="21"/>
              </w:rPr>
              <w:t>类标准要求</w:t>
            </w:r>
            <w:r>
              <w:rPr>
                <w:rFonts w:hint="eastAsia" w:cs="Times New Roman" w:eastAsiaTheme="minorEastAsia"/>
                <w:color w:val="auto"/>
                <w:sz w:val="21"/>
                <w:szCs w:val="21"/>
                <w:lang w:eastAsia="zh-CN"/>
              </w:rPr>
              <w:t>：昼间≤65dB(A)、</w:t>
            </w:r>
            <w:r>
              <w:rPr>
                <w:rFonts w:hint="eastAsia" w:cs="Times New Roman" w:eastAsiaTheme="minorEastAsia"/>
                <w:color w:val="auto"/>
                <w:sz w:val="21"/>
                <w:szCs w:val="21"/>
                <w:lang w:val="en-US" w:eastAsia="zh-CN"/>
              </w:rPr>
              <w:t>夜间</w:t>
            </w:r>
            <w:r>
              <w:rPr>
                <w:rFonts w:hint="eastAsia" w:cs="Times New Roman" w:eastAsiaTheme="minorEastAsia"/>
                <w:color w:val="auto"/>
                <w:sz w:val="21"/>
                <w:szCs w:val="21"/>
                <w:lang w:eastAsia="zh-CN"/>
              </w:rPr>
              <w:t>≤</w:t>
            </w:r>
            <w:r>
              <w:rPr>
                <w:rFonts w:hint="eastAsia" w:cs="Times New Roman" w:eastAsiaTheme="minorEastAsia"/>
                <w:color w:val="auto"/>
                <w:sz w:val="21"/>
                <w:szCs w:val="21"/>
                <w:lang w:val="en-US" w:eastAsia="zh-CN"/>
              </w:rPr>
              <w:t>5</w:t>
            </w:r>
            <w:r>
              <w:rPr>
                <w:rFonts w:hint="eastAsia" w:cs="Times New Roman" w:eastAsiaTheme="minorEastAsia"/>
                <w:color w:val="auto"/>
                <w:sz w:val="21"/>
                <w:szCs w:val="21"/>
                <w:lang w:eastAsia="zh-CN"/>
              </w:rPr>
              <w:t>5dB(A)</w:t>
            </w:r>
          </w:p>
        </w:tc>
      </w:tr>
      <w:tr w14:paraId="282AFF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09" w:type="dxa"/>
            <w:vMerge w:val="restart"/>
            <w:vAlign w:val="center"/>
          </w:tcPr>
          <w:p w14:paraId="5CB53542">
            <w:pPr>
              <w:adjustRightInd w:val="0"/>
              <w:snapToGrid w:val="0"/>
              <w:spacing w:line="250" w:lineRule="exac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固</w:t>
            </w:r>
          </w:p>
          <w:p w14:paraId="0802C856">
            <w:pPr>
              <w:adjustRightInd w:val="0"/>
              <w:snapToGrid w:val="0"/>
              <w:spacing w:line="250" w:lineRule="exac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体</w:t>
            </w:r>
          </w:p>
          <w:p w14:paraId="472BF9B1">
            <w:pPr>
              <w:adjustRightInd w:val="0"/>
              <w:snapToGrid w:val="0"/>
              <w:spacing w:line="250" w:lineRule="exac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废</w:t>
            </w:r>
          </w:p>
          <w:p w14:paraId="280B3ED4">
            <w:pPr>
              <w:adjustRightInd w:val="0"/>
              <w:snapToGrid w:val="0"/>
              <w:spacing w:line="250" w:lineRule="exac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物</w:t>
            </w:r>
          </w:p>
        </w:tc>
        <w:tc>
          <w:tcPr>
            <w:tcW w:w="2182" w:type="dxa"/>
            <w:gridSpan w:val="2"/>
            <w:vAlign w:val="center"/>
          </w:tcPr>
          <w:p w14:paraId="5453AC9D">
            <w:pPr>
              <w:pStyle w:val="87"/>
              <w:spacing w:line="280" w:lineRule="exact"/>
              <w:ind w:firstLine="0" w:firstLineChars="0"/>
              <w:jc w:val="center"/>
              <w:rPr>
                <w:rFonts w:hint="default" w:ascii="Times New Roman" w:hAnsi="Times New Roman" w:cs="Times New Roman"/>
                <w:bCs/>
                <w:color w:val="auto"/>
                <w:sz w:val="21"/>
                <w:szCs w:val="21"/>
              </w:rPr>
            </w:pPr>
            <w:r>
              <w:rPr>
                <w:rFonts w:hint="eastAsia" w:ascii="Times New Roman" w:hAnsi="Times New Roman" w:cs="Times New Roman"/>
                <w:bCs/>
                <w:color w:val="auto"/>
                <w:sz w:val="21"/>
                <w:szCs w:val="21"/>
                <w:shd w:val="clear" w:color="auto" w:fill="auto"/>
                <w:lang w:val="en-US" w:eastAsia="zh-CN"/>
              </w:rPr>
              <w:t>底泥</w:t>
            </w:r>
          </w:p>
        </w:tc>
        <w:tc>
          <w:tcPr>
            <w:tcW w:w="3252" w:type="dxa"/>
            <w:gridSpan w:val="2"/>
            <w:vMerge w:val="restart"/>
            <w:vAlign w:val="center"/>
          </w:tcPr>
          <w:p w14:paraId="3CA4DFBE">
            <w:pPr>
              <w:spacing w:line="280" w:lineRule="exact"/>
              <w:jc w:val="center"/>
              <w:rPr>
                <w:rFonts w:hint="default" w:ascii="Times New Roman" w:hAnsi="Times New Roman" w:cs="Times New Roman"/>
                <w:color w:val="ED7D31" w:themeColor="accent2"/>
                <w:szCs w:val="21"/>
                <w:shd w:val="clear" w:color="auto" w:fill="auto"/>
                <w:lang w:val="en-US" w:eastAsia="zh-CN"/>
                <w14:textFill>
                  <w14:solidFill>
                    <w14:schemeClr w14:val="accent2"/>
                  </w14:solidFill>
                </w14:textFill>
              </w:rPr>
            </w:pPr>
            <w:r>
              <w:rPr>
                <w:rFonts w:hint="eastAsia" w:cs="Times New Roman"/>
                <w:color w:val="ED7D31" w:themeColor="accent2"/>
                <w:szCs w:val="21"/>
                <w:shd w:val="clear" w:color="auto" w:fill="auto"/>
                <w:lang w:val="en-US" w:eastAsia="zh-CN"/>
                <w14:textFill>
                  <w14:solidFill>
                    <w14:schemeClr w14:val="accent2"/>
                  </w14:solidFill>
                </w14:textFill>
              </w:rPr>
              <w:t>外售</w:t>
            </w:r>
          </w:p>
        </w:tc>
        <w:tc>
          <w:tcPr>
            <w:tcW w:w="2457" w:type="dxa"/>
            <w:vMerge w:val="restart"/>
            <w:vAlign w:val="center"/>
          </w:tcPr>
          <w:p w14:paraId="7138BF89">
            <w:pPr>
              <w:spacing w:line="280" w:lineRule="exact"/>
              <w:jc w:val="center"/>
              <w:rPr>
                <w:rFonts w:hint="eastAsia" w:cs="Times New Roman"/>
                <w:color w:val="auto"/>
                <w:sz w:val="21"/>
                <w:szCs w:val="21"/>
                <w:lang w:val="en-US" w:eastAsia="zh-CN"/>
              </w:rPr>
            </w:pPr>
            <w:r>
              <w:rPr>
                <w:rFonts w:hint="eastAsia" w:cs="Times New Roman"/>
                <w:color w:val="auto"/>
                <w:sz w:val="21"/>
                <w:szCs w:val="21"/>
                <w:lang w:val="en-US" w:eastAsia="zh-CN"/>
              </w:rPr>
              <w:t>《一般工业固体废物贮存和填埋污染控制标准》（GB18599-2020）</w:t>
            </w:r>
          </w:p>
        </w:tc>
      </w:tr>
      <w:tr w14:paraId="0E53E1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09" w:type="dxa"/>
            <w:vMerge w:val="continue"/>
            <w:vAlign w:val="center"/>
          </w:tcPr>
          <w:p w14:paraId="7E6DDF48">
            <w:pPr>
              <w:adjustRightInd w:val="0"/>
              <w:snapToGrid w:val="0"/>
              <w:spacing w:line="250" w:lineRule="exact"/>
              <w:jc w:val="center"/>
              <w:rPr>
                <w:rFonts w:hint="default" w:ascii="Times New Roman" w:hAnsi="Times New Roman" w:cs="Times New Roman" w:eastAsiaTheme="minorEastAsia"/>
                <w:color w:val="auto"/>
                <w:sz w:val="21"/>
                <w:szCs w:val="21"/>
              </w:rPr>
            </w:pPr>
          </w:p>
        </w:tc>
        <w:tc>
          <w:tcPr>
            <w:tcW w:w="2182" w:type="dxa"/>
            <w:gridSpan w:val="2"/>
            <w:vAlign w:val="center"/>
          </w:tcPr>
          <w:p w14:paraId="54F43CE6">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eastAsia" w:ascii="Times New Roman" w:hAnsi="Times New Roman" w:cs="Times New Roman"/>
                <w:bCs/>
                <w:color w:val="0000FF"/>
                <w:sz w:val="21"/>
                <w:szCs w:val="21"/>
                <w:shd w:val="clear" w:color="auto" w:fill="auto"/>
                <w:lang w:val="en-US" w:eastAsia="zh-CN"/>
              </w:rPr>
              <w:t>除尘灰</w:t>
            </w:r>
          </w:p>
        </w:tc>
        <w:tc>
          <w:tcPr>
            <w:tcW w:w="3252" w:type="dxa"/>
            <w:gridSpan w:val="2"/>
            <w:vMerge w:val="continue"/>
            <w:vAlign w:val="center"/>
          </w:tcPr>
          <w:p w14:paraId="4ADDCEF3">
            <w:pPr>
              <w:spacing w:line="280" w:lineRule="exact"/>
              <w:jc w:val="center"/>
              <w:rPr>
                <w:rFonts w:hint="eastAsia" w:cs="Times New Roman"/>
                <w:color w:val="auto"/>
                <w:szCs w:val="21"/>
                <w:shd w:val="clear" w:color="auto" w:fill="auto"/>
                <w:lang w:val="en-US" w:eastAsia="zh-CN"/>
              </w:rPr>
            </w:pPr>
          </w:p>
        </w:tc>
        <w:tc>
          <w:tcPr>
            <w:tcW w:w="2457" w:type="dxa"/>
            <w:vMerge w:val="continue"/>
            <w:vAlign w:val="center"/>
          </w:tcPr>
          <w:p w14:paraId="0636F15A">
            <w:pPr>
              <w:spacing w:line="280" w:lineRule="exact"/>
              <w:jc w:val="center"/>
              <w:rPr>
                <w:rFonts w:hint="eastAsia" w:cs="Times New Roman"/>
                <w:color w:val="auto"/>
                <w:sz w:val="21"/>
                <w:szCs w:val="21"/>
                <w:lang w:val="en-US" w:eastAsia="zh-CN"/>
              </w:rPr>
            </w:pPr>
          </w:p>
        </w:tc>
      </w:tr>
      <w:tr w14:paraId="62A0F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09" w:type="dxa"/>
            <w:vMerge w:val="continue"/>
            <w:vAlign w:val="center"/>
          </w:tcPr>
          <w:p w14:paraId="2B1EE13F">
            <w:pPr>
              <w:adjustRightInd w:val="0"/>
              <w:snapToGrid w:val="0"/>
              <w:spacing w:line="250" w:lineRule="exact"/>
              <w:jc w:val="center"/>
              <w:rPr>
                <w:rFonts w:hint="default" w:ascii="Times New Roman" w:hAnsi="Times New Roman" w:cs="Times New Roman" w:eastAsiaTheme="minorEastAsia"/>
                <w:color w:val="auto"/>
                <w:sz w:val="21"/>
                <w:szCs w:val="21"/>
              </w:rPr>
            </w:pPr>
          </w:p>
        </w:tc>
        <w:tc>
          <w:tcPr>
            <w:tcW w:w="2182" w:type="dxa"/>
            <w:gridSpan w:val="2"/>
            <w:vAlign w:val="center"/>
          </w:tcPr>
          <w:p w14:paraId="650EF52E">
            <w:pPr>
              <w:pStyle w:val="87"/>
              <w:spacing w:line="280" w:lineRule="exact"/>
              <w:ind w:firstLine="0" w:firstLineChars="0"/>
              <w:jc w:val="center"/>
              <w:rPr>
                <w:rFonts w:hint="default" w:ascii="Times New Roman" w:hAnsi="Times New Roman" w:cs="Times New Roman"/>
                <w:bCs/>
                <w:color w:val="0000FF"/>
                <w:sz w:val="21"/>
                <w:szCs w:val="21"/>
                <w:shd w:val="clear" w:color="auto" w:fill="auto"/>
                <w:lang w:val="en-US" w:eastAsia="zh-CN"/>
              </w:rPr>
            </w:pPr>
            <w:r>
              <w:rPr>
                <w:rFonts w:hint="eastAsia" w:ascii="Times New Roman" w:hAnsi="Times New Roman" w:cs="Times New Roman"/>
                <w:bCs/>
                <w:color w:val="0000FF"/>
                <w:sz w:val="21"/>
                <w:szCs w:val="21"/>
                <w:shd w:val="clear" w:color="auto" w:fill="auto"/>
                <w:lang w:val="en-US" w:eastAsia="zh-CN"/>
              </w:rPr>
              <w:t>废布袋</w:t>
            </w:r>
          </w:p>
        </w:tc>
        <w:tc>
          <w:tcPr>
            <w:tcW w:w="3252" w:type="dxa"/>
            <w:gridSpan w:val="2"/>
            <w:vMerge w:val="continue"/>
            <w:vAlign w:val="center"/>
          </w:tcPr>
          <w:p w14:paraId="56ABF328">
            <w:pPr>
              <w:spacing w:line="280" w:lineRule="exact"/>
              <w:jc w:val="center"/>
              <w:rPr>
                <w:rFonts w:hint="eastAsia" w:cs="Times New Roman"/>
                <w:color w:val="auto"/>
                <w:szCs w:val="21"/>
                <w:shd w:val="clear" w:color="auto" w:fill="auto"/>
                <w:lang w:val="en-US" w:eastAsia="zh-CN"/>
              </w:rPr>
            </w:pPr>
          </w:p>
        </w:tc>
        <w:tc>
          <w:tcPr>
            <w:tcW w:w="2457" w:type="dxa"/>
            <w:vMerge w:val="continue"/>
            <w:vAlign w:val="center"/>
          </w:tcPr>
          <w:p w14:paraId="328F7FF1">
            <w:pPr>
              <w:spacing w:line="280" w:lineRule="exact"/>
              <w:jc w:val="center"/>
              <w:rPr>
                <w:rFonts w:hint="eastAsia" w:cs="Times New Roman"/>
                <w:color w:val="auto"/>
                <w:sz w:val="21"/>
                <w:szCs w:val="21"/>
                <w:lang w:val="en-US" w:eastAsia="zh-CN"/>
              </w:rPr>
            </w:pPr>
          </w:p>
        </w:tc>
      </w:tr>
      <w:tr w14:paraId="58103E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09" w:type="dxa"/>
            <w:vMerge w:val="continue"/>
            <w:vAlign w:val="center"/>
          </w:tcPr>
          <w:p w14:paraId="3D561FF4">
            <w:pPr>
              <w:adjustRightInd w:val="0"/>
              <w:snapToGrid w:val="0"/>
              <w:spacing w:line="250" w:lineRule="exact"/>
              <w:jc w:val="center"/>
              <w:rPr>
                <w:rFonts w:hint="default" w:ascii="Times New Roman" w:hAnsi="Times New Roman" w:cs="Times New Roman" w:eastAsiaTheme="minorEastAsia"/>
                <w:color w:val="auto"/>
                <w:sz w:val="21"/>
                <w:szCs w:val="21"/>
              </w:rPr>
            </w:pPr>
          </w:p>
        </w:tc>
        <w:tc>
          <w:tcPr>
            <w:tcW w:w="2182" w:type="dxa"/>
            <w:gridSpan w:val="2"/>
            <w:vAlign w:val="center"/>
          </w:tcPr>
          <w:p w14:paraId="3D344E29">
            <w:pPr>
              <w:pStyle w:val="87"/>
              <w:spacing w:line="280" w:lineRule="exact"/>
              <w:ind w:firstLine="0" w:firstLineChars="0"/>
              <w:jc w:val="center"/>
              <w:rPr>
                <w:rFonts w:hint="default" w:ascii="Times New Roman" w:hAnsi="Times New Roman" w:eastAsia="宋体"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废边角料</w:t>
            </w:r>
          </w:p>
        </w:tc>
        <w:tc>
          <w:tcPr>
            <w:tcW w:w="3252" w:type="dxa"/>
            <w:gridSpan w:val="2"/>
            <w:vMerge w:val="continue"/>
            <w:vAlign w:val="center"/>
          </w:tcPr>
          <w:p w14:paraId="0D59FC83">
            <w:pPr>
              <w:spacing w:line="280" w:lineRule="exact"/>
              <w:jc w:val="center"/>
              <w:rPr>
                <w:rFonts w:hint="default" w:ascii="Times New Roman" w:hAnsi="Times New Roman" w:cs="Times New Roman"/>
                <w:color w:val="auto"/>
                <w:szCs w:val="21"/>
                <w:shd w:val="clear" w:color="auto" w:fill="auto"/>
                <w:lang w:val="en-US" w:eastAsia="zh-CN"/>
              </w:rPr>
            </w:pPr>
          </w:p>
        </w:tc>
        <w:tc>
          <w:tcPr>
            <w:tcW w:w="2457" w:type="dxa"/>
            <w:vMerge w:val="continue"/>
            <w:vAlign w:val="center"/>
          </w:tcPr>
          <w:p w14:paraId="748E419E">
            <w:pPr>
              <w:spacing w:line="280" w:lineRule="exact"/>
              <w:jc w:val="center"/>
              <w:rPr>
                <w:rFonts w:hint="eastAsia" w:cs="Times New Roman"/>
                <w:color w:val="auto"/>
                <w:sz w:val="21"/>
                <w:szCs w:val="21"/>
                <w:lang w:val="en-US" w:eastAsia="zh-CN"/>
              </w:rPr>
            </w:pPr>
          </w:p>
        </w:tc>
      </w:tr>
      <w:tr w14:paraId="2C56B0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9" w:type="dxa"/>
            <w:vMerge w:val="continue"/>
            <w:vAlign w:val="center"/>
          </w:tcPr>
          <w:p w14:paraId="1D3E223E">
            <w:pPr>
              <w:adjustRightInd w:val="0"/>
              <w:snapToGrid w:val="0"/>
              <w:spacing w:line="250" w:lineRule="exact"/>
              <w:jc w:val="center"/>
              <w:rPr>
                <w:rFonts w:hint="default" w:ascii="Times New Roman" w:hAnsi="Times New Roman" w:cs="Times New Roman" w:eastAsiaTheme="minorEastAsia"/>
                <w:color w:val="auto"/>
                <w:sz w:val="21"/>
                <w:szCs w:val="21"/>
              </w:rPr>
            </w:pPr>
          </w:p>
        </w:tc>
        <w:tc>
          <w:tcPr>
            <w:tcW w:w="2182" w:type="dxa"/>
            <w:gridSpan w:val="2"/>
            <w:vAlign w:val="center"/>
          </w:tcPr>
          <w:p w14:paraId="3D5A54D7">
            <w:pPr>
              <w:pStyle w:val="87"/>
              <w:spacing w:line="280" w:lineRule="exact"/>
              <w:ind w:firstLine="0" w:firstLineChars="0"/>
              <w:jc w:val="center"/>
              <w:rPr>
                <w:rFonts w:hint="default" w:ascii="Times New Roman" w:hAnsi="Times New Roman" w:eastAsia="宋体"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包装废料</w:t>
            </w:r>
          </w:p>
        </w:tc>
        <w:tc>
          <w:tcPr>
            <w:tcW w:w="3252" w:type="dxa"/>
            <w:gridSpan w:val="2"/>
            <w:vMerge w:val="continue"/>
            <w:vAlign w:val="center"/>
          </w:tcPr>
          <w:p w14:paraId="59876530">
            <w:pPr>
              <w:spacing w:line="280" w:lineRule="exact"/>
              <w:jc w:val="center"/>
              <w:rPr>
                <w:rFonts w:hint="default" w:ascii="Times New Roman" w:hAnsi="Times New Roman" w:cs="Times New Roman"/>
                <w:color w:val="auto"/>
                <w:szCs w:val="21"/>
                <w:shd w:val="clear" w:color="auto" w:fill="auto"/>
                <w:lang w:val="en-US" w:eastAsia="zh-CN"/>
              </w:rPr>
            </w:pPr>
          </w:p>
        </w:tc>
        <w:tc>
          <w:tcPr>
            <w:tcW w:w="2457" w:type="dxa"/>
            <w:vMerge w:val="continue"/>
            <w:vAlign w:val="center"/>
          </w:tcPr>
          <w:p w14:paraId="3CF0CE23">
            <w:pPr>
              <w:spacing w:line="280" w:lineRule="exact"/>
              <w:jc w:val="center"/>
              <w:rPr>
                <w:rFonts w:hint="eastAsia" w:cs="Times New Roman"/>
                <w:color w:val="auto"/>
                <w:sz w:val="21"/>
                <w:szCs w:val="21"/>
                <w:lang w:val="en-US" w:eastAsia="zh-CN"/>
              </w:rPr>
            </w:pPr>
          </w:p>
        </w:tc>
      </w:tr>
      <w:tr w14:paraId="6DE184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09" w:type="dxa"/>
            <w:vMerge w:val="continue"/>
            <w:vAlign w:val="center"/>
          </w:tcPr>
          <w:p w14:paraId="512AEB9D">
            <w:pPr>
              <w:adjustRightInd w:val="0"/>
              <w:snapToGrid w:val="0"/>
              <w:spacing w:line="250" w:lineRule="exact"/>
              <w:jc w:val="center"/>
              <w:rPr>
                <w:rFonts w:hint="default" w:ascii="Times New Roman" w:hAnsi="Times New Roman" w:cs="Times New Roman" w:eastAsiaTheme="minorEastAsia"/>
                <w:color w:val="auto"/>
                <w:sz w:val="21"/>
                <w:szCs w:val="21"/>
              </w:rPr>
            </w:pPr>
          </w:p>
        </w:tc>
        <w:tc>
          <w:tcPr>
            <w:tcW w:w="2182" w:type="dxa"/>
            <w:gridSpan w:val="2"/>
            <w:vAlign w:val="center"/>
          </w:tcPr>
          <w:p w14:paraId="1F332B76">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废过滤网</w:t>
            </w:r>
          </w:p>
        </w:tc>
        <w:tc>
          <w:tcPr>
            <w:tcW w:w="3252" w:type="dxa"/>
            <w:gridSpan w:val="2"/>
            <w:vAlign w:val="center"/>
          </w:tcPr>
          <w:p w14:paraId="0AC6F50C">
            <w:pPr>
              <w:spacing w:line="280" w:lineRule="exact"/>
              <w:jc w:val="center"/>
              <w:rPr>
                <w:rFonts w:hint="default" w:ascii="Times New Roman" w:hAnsi="Times New Roman" w:cs="Times New Roman"/>
                <w:color w:val="auto"/>
                <w:szCs w:val="21"/>
                <w:shd w:val="clear" w:color="auto" w:fill="auto"/>
                <w:lang w:val="en-US" w:eastAsia="zh-CN"/>
              </w:rPr>
            </w:pPr>
            <w:r>
              <w:rPr>
                <w:rFonts w:hint="eastAsia" w:cs="Times New Roman"/>
                <w:color w:val="ED7D31" w:themeColor="accent2"/>
                <w:lang w:val="en-US" w:eastAsia="zh-CN"/>
                <w14:textFill>
                  <w14:solidFill>
                    <w14:schemeClr w14:val="accent2"/>
                  </w14:solidFill>
                </w14:textFill>
              </w:rPr>
              <w:t>委托专人处置后回用</w:t>
            </w:r>
          </w:p>
        </w:tc>
        <w:tc>
          <w:tcPr>
            <w:tcW w:w="2457" w:type="dxa"/>
            <w:vMerge w:val="continue"/>
            <w:vAlign w:val="center"/>
          </w:tcPr>
          <w:p w14:paraId="05830CA4">
            <w:pPr>
              <w:spacing w:line="280" w:lineRule="exact"/>
              <w:jc w:val="center"/>
              <w:rPr>
                <w:rFonts w:hint="eastAsia" w:cs="Times New Roman"/>
                <w:color w:val="auto"/>
                <w:sz w:val="21"/>
                <w:szCs w:val="21"/>
                <w:lang w:val="en-US" w:eastAsia="zh-CN"/>
              </w:rPr>
            </w:pPr>
          </w:p>
        </w:tc>
      </w:tr>
      <w:tr w14:paraId="3BC862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09" w:type="dxa"/>
            <w:vMerge w:val="continue"/>
            <w:vAlign w:val="center"/>
          </w:tcPr>
          <w:p w14:paraId="7569B451">
            <w:pPr>
              <w:adjustRightInd w:val="0"/>
              <w:snapToGrid w:val="0"/>
              <w:spacing w:line="250" w:lineRule="exact"/>
              <w:jc w:val="center"/>
              <w:rPr>
                <w:rFonts w:hint="default" w:ascii="Times New Roman" w:hAnsi="Times New Roman" w:cs="Times New Roman" w:eastAsiaTheme="minorEastAsia"/>
                <w:color w:val="auto"/>
                <w:sz w:val="21"/>
                <w:szCs w:val="21"/>
              </w:rPr>
            </w:pPr>
          </w:p>
        </w:tc>
        <w:tc>
          <w:tcPr>
            <w:tcW w:w="2182" w:type="dxa"/>
            <w:gridSpan w:val="2"/>
            <w:vAlign w:val="center"/>
          </w:tcPr>
          <w:p w14:paraId="35CE7735">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废过滤棉</w:t>
            </w:r>
          </w:p>
        </w:tc>
        <w:tc>
          <w:tcPr>
            <w:tcW w:w="3252" w:type="dxa"/>
            <w:gridSpan w:val="2"/>
            <w:vMerge w:val="restart"/>
            <w:vAlign w:val="center"/>
          </w:tcPr>
          <w:p w14:paraId="262950F2">
            <w:pPr>
              <w:spacing w:line="280" w:lineRule="exact"/>
              <w:jc w:val="center"/>
              <w:rPr>
                <w:rFonts w:hint="default" w:ascii="Times New Roman" w:hAnsi="Times New Roman" w:cs="Times New Roman"/>
                <w:color w:val="auto"/>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暂存于危废间，定期</w:t>
            </w:r>
            <w:r>
              <w:rPr>
                <w:rFonts w:hint="default" w:ascii="Times New Roman" w:hAnsi="Times New Roman" w:cs="Times New Roman"/>
                <w:bCs/>
                <w:color w:val="auto"/>
                <w:sz w:val="21"/>
                <w:szCs w:val="21"/>
                <w:shd w:val="clear" w:color="auto" w:fill="auto"/>
                <w:lang w:val="en-US" w:eastAsia="zh-CN"/>
              </w:rPr>
              <w:t>委托有资质单位处理</w:t>
            </w:r>
          </w:p>
        </w:tc>
        <w:tc>
          <w:tcPr>
            <w:tcW w:w="2457" w:type="dxa"/>
            <w:vMerge w:val="restart"/>
            <w:vAlign w:val="center"/>
          </w:tcPr>
          <w:p w14:paraId="790F86E1">
            <w:pPr>
              <w:spacing w:line="280" w:lineRule="exact"/>
              <w:jc w:val="center"/>
              <w:rPr>
                <w:rFonts w:hint="eastAsia" w:cs="Times New Roman"/>
                <w:color w:val="auto"/>
                <w:sz w:val="21"/>
                <w:szCs w:val="21"/>
                <w:lang w:val="en-US" w:eastAsia="zh-CN"/>
              </w:rPr>
            </w:pPr>
            <w:r>
              <w:rPr>
                <w:rFonts w:hint="default" w:ascii="Times New Roman" w:hAnsi="Times New Roman" w:cs="Times New Roman"/>
                <w:color w:val="auto"/>
                <w:szCs w:val="21"/>
                <w:shd w:val="clear" w:color="auto" w:fill="auto"/>
                <w:lang w:val="en-US" w:eastAsia="zh-CN"/>
              </w:rPr>
              <w:t>《危险废物贮存污染控制标准》</w:t>
            </w:r>
            <w:r>
              <w:rPr>
                <w:rFonts w:hint="eastAsia" w:cs="Times New Roman"/>
                <w:color w:val="auto"/>
                <w:szCs w:val="21"/>
                <w:shd w:val="clear" w:color="auto" w:fill="auto"/>
                <w:lang w:val="en-US" w:eastAsia="zh-CN"/>
              </w:rPr>
              <w:t>（</w:t>
            </w:r>
            <w:r>
              <w:rPr>
                <w:rFonts w:hint="default" w:ascii="Times New Roman" w:hAnsi="Times New Roman" w:cs="Times New Roman"/>
                <w:color w:val="auto"/>
                <w:szCs w:val="21"/>
                <w:shd w:val="clear" w:color="auto" w:fill="auto"/>
                <w:lang w:val="en-US" w:eastAsia="zh-CN"/>
              </w:rPr>
              <w:t>GB18597-2023</w:t>
            </w:r>
            <w:r>
              <w:rPr>
                <w:rFonts w:hint="eastAsia" w:cs="Times New Roman"/>
                <w:color w:val="auto"/>
                <w:szCs w:val="21"/>
                <w:shd w:val="clear" w:color="auto" w:fill="auto"/>
                <w:lang w:val="en-US" w:eastAsia="zh-CN"/>
              </w:rPr>
              <w:t>）</w:t>
            </w:r>
          </w:p>
        </w:tc>
      </w:tr>
      <w:tr w14:paraId="6CD5B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09" w:type="dxa"/>
            <w:vMerge w:val="continue"/>
            <w:vAlign w:val="center"/>
          </w:tcPr>
          <w:p w14:paraId="0C91DFC3">
            <w:pPr>
              <w:adjustRightInd w:val="0"/>
              <w:snapToGrid w:val="0"/>
              <w:spacing w:line="250" w:lineRule="exact"/>
              <w:jc w:val="center"/>
              <w:rPr>
                <w:rFonts w:hint="default" w:ascii="Times New Roman" w:hAnsi="Times New Roman" w:cs="Times New Roman" w:eastAsiaTheme="minorEastAsia"/>
                <w:color w:val="auto"/>
                <w:sz w:val="21"/>
                <w:szCs w:val="21"/>
              </w:rPr>
            </w:pPr>
          </w:p>
        </w:tc>
        <w:tc>
          <w:tcPr>
            <w:tcW w:w="2182" w:type="dxa"/>
            <w:gridSpan w:val="2"/>
            <w:vAlign w:val="center"/>
          </w:tcPr>
          <w:p w14:paraId="2F1F681C">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废活性炭</w:t>
            </w:r>
          </w:p>
        </w:tc>
        <w:tc>
          <w:tcPr>
            <w:tcW w:w="3252" w:type="dxa"/>
            <w:gridSpan w:val="2"/>
            <w:vMerge w:val="continue"/>
            <w:vAlign w:val="center"/>
          </w:tcPr>
          <w:p w14:paraId="102F014B">
            <w:pPr>
              <w:spacing w:line="280" w:lineRule="exact"/>
              <w:jc w:val="center"/>
              <w:rPr>
                <w:rFonts w:hint="default" w:ascii="Times New Roman" w:hAnsi="Times New Roman" w:cs="Times New Roman"/>
                <w:color w:val="auto"/>
                <w:szCs w:val="21"/>
                <w:shd w:val="clear" w:color="auto" w:fill="auto"/>
                <w:lang w:val="en-US" w:eastAsia="zh-CN"/>
              </w:rPr>
            </w:pPr>
          </w:p>
        </w:tc>
        <w:tc>
          <w:tcPr>
            <w:tcW w:w="2457" w:type="dxa"/>
            <w:vMerge w:val="continue"/>
            <w:vAlign w:val="center"/>
          </w:tcPr>
          <w:p w14:paraId="0D459AFE">
            <w:pPr>
              <w:spacing w:line="280" w:lineRule="exact"/>
              <w:jc w:val="center"/>
              <w:rPr>
                <w:rFonts w:hint="eastAsia" w:cs="Times New Roman"/>
                <w:color w:val="auto"/>
                <w:sz w:val="21"/>
                <w:szCs w:val="21"/>
                <w:lang w:val="en-US" w:eastAsia="zh-CN"/>
              </w:rPr>
            </w:pPr>
          </w:p>
        </w:tc>
      </w:tr>
      <w:tr w14:paraId="1343F8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09" w:type="dxa"/>
            <w:vMerge w:val="continue"/>
            <w:vAlign w:val="center"/>
          </w:tcPr>
          <w:p w14:paraId="10F08913">
            <w:pPr>
              <w:adjustRightInd w:val="0"/>
              <w:snapToGrid w:val="0"/>
              <w:spacing w:line="250" w:lineRule="exact"/>
              <w:jc w:val="center"/>
              <w:rPr>
                <w:rFonts w:hint="default" w:ascii="Times New Roman" w:hAnsi="Times New Roman" w:cs="Times New Roman" w:eastAsiaTheme="minorEastAsia"/>
                <w:color w:val="auto"/>
                <w:sz w:val="21"/>
                <w:szCs w:val="21"/>
              </w:rPr>
            </w:pPr>
          </w:p>
        </w:tc>
        <w:tc>
          <w:tcPr>
            <w:tcW w:w="2182" w:type="dxa"/>
            <w:gridSpan w:val="2"/>
            <w:vAlign w:val="center"/>
          </w:tcPr>
          <w:p w14:paraId="3D37BB90">
            <w:pPr>
              <w:pStyle w:val="87"/>
              <w:spacing w:line="280" w:lineRule="exact"/>
              <w:ind w:firstLine="0" w:firstLineChars="0"/>
              <w:jc w:val="center"/>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shd w:val="clear" w:color="auto" w:fill="auto"/>
                <w:lang w:val="en-US" w:eastAsia="zh-CN"/>
              </w:rPr>
              <w:t>废催化剂</w:t>
            </w:r>
          </w:p>
        </w:tc>
        <w:tc>
          <w:tcPr>
            <w:tcW w:w="3252" w:type="dxa"/>
            <w:gridSpan w:val="2"/>
            <w:vMerge w:val="continue"/>
            <w:vAlign w:val="center"/>
          </w:tcPr>
          <w:p w14:paraId="3C24CE7D">
            <w:pPr>
              <w:spacing w:line="280" w:lineRule="exact"/>
              <w:jc w:val="center"/>
              <w:rPr>
                <w:rFonts w:hint="default" w:ascii="Times New Roman" w:hAnsi="Times New Roman" w:cs="Times New Roman"/>
                <w:color w:val="auto"/>
                <w:sz w:val="21"/>
                <w:szCs w:val="21"/>
              </w:rPr>
            </w:pPr>
          </w:p>
        </w:tc>
        <w:tc>
          <w:tcPr>
            <w:tcW w:w="2457" w:type="dxa"/>
            <w:vMerge w:val="continue"/>
            <w:vAlign w:val="center"/>
          </w:tcPr>
          <w:p w14:paraId="5D0C1801">
            <w:pPr>
              <w:spacing w:line="280" w:lineRule="exact"/>
              <w:jc w:val="center"/>
              <w:rPr>
                <w:rFonts w:hint="default" w:ascii="Times New Roman" w:hAnsi="Times New Roman" w:cs="Times New Roman"/>
                <w:color w:val="auto"/>
                <w:sz w:val="21"/>
                <w:szCs w:val="21"/>
              </w:rPr>
            </w:pPr>
          </w:p>
        </w:tc>
      </w:tr>
      <w:tr w14:paraId="39F02A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09" w:type="dxa"/>
            <w:vMerge w:val="continue"/>
            <w:vAlign w:val="center"/>
          </w:tcPr>
          <w:p w14:paraId="13FD8BBD">
            <w:pPr>
              <w:adjustRightInd w:val="0"/>
              <w:snapToGrid w:val="0"/>
              <w:spacing w:line="250" w:lineRule="exact"/>
              <w:jc w:val="center"/>
              <w:rPr>
                <w:rFonts w:hint="default" w:ascii="Times New Roman" w:hAnsi="Times New Roman" w:cs="Times New Roman" w:eastAsiaTheme="minorEastAsia"/>
                <w:color w:val="auto"/>
                <w:sz w:val="21"/>
                <w:szCs w:val="21"/>
              </w:rPr>
            </w:pPr>
          </w:p>
        </w:tc>
        <w:tc>
          <w:tcPr>
            <w:tcW w:w="2182" w:type="dxa"/>
            <w:gridSpan w:val="2"/>
            <w:vAlign w:val="center"/>
          </w:tcPr>
          <w:p w14:paraId="72151FC8">
            <w:pPr>
              <w:pStyle w:val="87"/>
              <w:spacing w:line="280" w:lineRule="exact"/>
              <w:ind w:firstLine="0" w:firstLineChars="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shd w:val="clear" w:color="auto" w:fill="auto"/>
                <w:lang w:val="en-US" w:eastAsia="zh-CN"/>
              </w:rPr>
              <w:t>废液压油</w:t>
            </w:r>
          </w:p>
        </w:tc>
        <w:tc>
          <w:tcPr>
            <w:tcW w:w="3252" w:type="dxa"/>
            <w:gridSpan w:val="2"/>
            <w:vMerge w:val="continue"/>
            <w:vAlign w:val="center"/>
          </w:tcPr>
          <w:p w14:paraId="13D9116D">
            <w:pPr>
              <w:spacing w:line="280" w:lineRule="exact"/>
              <w:jc w:val="center"/>
              <w:rPr>
                <w:rFonts w:hint="default" w:ascii="Times New Roman" w:hAnsi="Times New Roman" w:cs="Times New Roman"/>
                <w:color w:val="auto"/>
                <w:sz w:val="21"/>
                <w:szCs w:val="21"/>
              </w:rPr>
            </w:pPr>
          </w:p>
        </w:tc>
        <w:tc>
          <w:tcPr>
            <w:tcW w:w="2457" w:type="dxa"/>
            <w:vMerge w:val="continue"/>
            <w:vAlign w:val="center"/>
          </w:tcPr>
          <w:p w14:paraId="2332560F">
            <w:pPr>
              <w:spacing w:line="280" w:lineRule="exact"/>
              <w:jc w:val="center"/>
              <w:rPr>
                <w:rFonts w:hint="default" w:ascii="Times New Roman" w:hAnsi="Times New Roman" w:cs="Times New Roman"/>
                <w:color w:val="auto"/>
                <w:sz w:val="21"/>
                <w:szCs w:val="21"/>
              </w:rPr>
            </w:pPr>
          </w:p>
        </w:tc>
      </w:tr>
      <w:tr w14:paraId="1CF0D1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09" w:type="dxa"/>
            <w:vMerge w:val="continue"/>
            <w:vAlign w:val="center"/>
          </w:tcPr>
          <w:p w14:paraId="4E1FC902">
            <w:pPr>
              <w:adjustRightInd w:val="0"/>
              <w:snapToGrid w:val="0"/>
              <w:spacing w:line="250" w:lineRule="exact"/>
              <w:jc w:val="center"/>
              <w:rPr>
                <w:rFonts w:hint="default" w:ascii="Times New Roman" w:hAnsi="Times New Roman" w:cs="Times New Roman" w:eastAsiaTheme="minorEastAsia"/>
                <w:color w:val="auto"/>
                <w:sz w:val="21"/>
                <w:szCs w:val="21"/>
              </w:rPr>
            </w:pPr>
          </w:p>
        </w:tc>
        <w:tc>
          <w:tcPr>
            <w:tcW w:w="2182" w:type="dxa"/>
            <w:gridSpan w:val="2"/>
            <w:vAlign w:val="center"/>
          </w:tcPr>
          <w:p w14:paraId="76D5ED9C">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废润滑油</w:t>
            </w:r>
          </w:p>
        </w:tc>
        <w:tc>
          <w:tcPr>
            <w:tcW w:w="3252" w:type="dxa"/>
            <w:gridSpan w:val="2"/>
            <w:vMerge w:val="continue"/>
            <w:vAlign w:val="center"/>
          </w:tcPr>
          <w:p w14:paraId="3FC53126">
            <w:pPr>
              <w:spacing w:line="280" w:lineRule="exact"/>
              <w:jc w:val="center"/>
              <w:rPr>
                <w:rFonts w:hint="default" w:ascii="Times New Roman" w:hAnsi="Times New Roman" w:cs="Times New Roman"/>
                <w:color w:val="auto"/>
                <w:sz w:val="21"/>
                <w:szCs w:val="21"/>
              </w:rPr>
            </w:pPr>
          </w:p>
        </w:tc>
        <w:tc>
          <w:tcPr>
            <w:tcW w:w="2457" w:type="dxa"/>
            <w:vMerge w:val="continue"/>
            <w:vAlign w:val="center"/>
          </w:tcPr>
          <w:p w14:paraId="60D75615">
            <w:pPr>
              <w:spacing w:line="280" w:lineRule="exact"/>
              <w:jc w:val="center"/>
              <w:rPr>
                <w:rFonts w:hint="default" w:ascii="Times New Roman" w:hAnsi="Times New Roman" w:cs="Times New Roman"/>
                <w:color w:val="auto"/>
                <w:sz w:val="21"/>
                <w:szCs w:val="21"/>
              </w:rPr>
            </w:pPr>
          </w:p>
        </w:tc>
      </w:tr>
      <w:tr w14:paraId="291FDF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09" w:type="dxa"/>
            <w:vMerge w:val="continue"/>
            <w:vAlign w:val="center"/>
          </w:tcPr>
          <w:p w14:paraId="6A55969F">
            <w:pPr>
              <w:adjustRightInd w:val="0"/>
              <w:snapToGrid w:val="0"/>
              <w:spacing w:line="250" w:lineRule="exact"/>
              <w:jc w:val="center"/>
              <w:rPr>
                <w:rFonts w:hint="default" w:ascii="Times New Roman" w:hAnsi="Times New Roman" w:cs="Times New Roman" w:eastAsiaTheme="minorEastAsia"/>
                <w:color w:val="auto"/>
                <w:sz w:val="21"/>
                <w:szCs w:val="21"/>
              </w:rPr>
            </w:pPr>
          </w:p>
        </w:tc>
        <w:tc>
          <w:tcPr>
            <w:tcW w:w="2182" w:type="dxa"/>
            <w:gridSpan w:val="2"/>
            <w:vAlign w:val="center"/>
          </w:tcPr>
          <w:p w14:paraId="52CC28F0">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default" w:ascii="Times New Roman" w:hAnsi="Times New Roman" w:cs="Times New Roman"/>
                <w:bCs/>
                <w:color w:val="auto"/>
                <w:sz w:val="21"/>
                <w:szCs w:val="21"/>
                <w:shd w:val="clear" w:color="auto" w:fill="auto"/>
                <w:lang w:val="en-US" w:eastAsia="zh-CN"/>
              </w:rPr>
              <w:t>废油桶</w:t>
            </w:r>
          </w:p>
        </w:tc>
        <w:tc>
          <w:tcPr>
            <w:tcW w:w="3252" w:type="dxa"/>
            <w:gridSpan w:val="2"/>
            <w:vMerge w:val="continue"/>
            <w:vAlign w:val="center"/>
          </w:tcPr>
          <w:p w14:paraId="5F1266BB">
            <w:pPr>
              <w:spacing w:line="280" w:lineRule="exact"/>
              <w:jc w:val="center"/>
              <w:rPr>
                <w:rFonts w:hint="default" w:ascii="Times New Roman" w:hAnsi="Times New Roman" w:cs="Times New Roman"/>
                <w:color w:val="auto"/>
                <w:sz w:val="21"/>
                <w:szCs w:val="21"/>
              </w:rPr>
            </w:pPr>
          </w:p>
        </w:tc>
        <w:tc>
          <w:tcPr>
            <w:tcW w:w="2457" w:type="dxa"/>
            <w:vMerge w:val="continue"/>
            <w:vAlign w:val="center"/>
          </w:tcPr>
          <w:p w14:paraId="2AB8E4EC">
            <w:pPr>
              <w:spacing w:line="280" w:lineRule="exact"/>
              <w:jc w:val="center"/>
              <w:rPr>
                <w:rFonts w:hint="default" w:ascii="Times New Roman" w:hAnsi="Times New Roman" w:cs="Times New Roman"/>
                <w:color w:val="auto"/>
                <w:sz w:val="21"/>
                <w:szCs w:val="21"/>
              </w:rPr>
            </w:pPr>
          </w:p>
        </w:tc>
      </w:tr>
      <w:tr w14:paraId="428510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09" w:type="dxa"/>
            <w:vMerge w:val="continue"/>
            <w:vAlign w:val="center"/>
          </w:tcPr>
          <w:p w14:paraId="0B1F7D73">
            <w:pPr>
              <w:adjustRightInd w:val="0"/>
              <w:snapToGrid w:val="0"/>
              <w:spacing w:line="250" w:lineRule="exact"/>
              <w:jc w:val="center"/>
              <w:rPr>
                <w:rFonts w:hint="default" w:ascii="Times New Roman" w:hAnsi="Times New Roman" w:cs="Times New Roman" w:eastAsiaTheme="minorEastAsia"/>
                <w:color w:val="auto"/>
                <w:sz w:val="21"/>
                <w:szCs w:val="21"/>
              </w:rPr>
            </w:pPr>
          </w:p>
        </w:tc>
        <w:tc>
          <w:tcPr>
            <w:tcW w:w="2182" w:type="dxa"/>
            <w:gridSpan w:val="2"/>
            <w:vAlign w:val="center"/>
          </w:tcPr>
          <w:p w14:paraId="7F9B3C5B">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废含油抹布</w:t>
            </w:r>
          </w:p>
        </w:tc>
        <w:tc>
          <w:tcPr>
            <w:tcW w:w="3252" w:type="dxa"/>
            <w:gridSpan w:val="2"/>
            <w:vMerge w:val="continue"/>
            <w:vAlign w:val="center"/>
          </w:tcPr>
          <w:p w14:paraId="0C079ED7">
            <w:pPr>
              <w:spacing w:line="280" w:lineRule="exact"/>
              <w:jc w:val="center"/>
              <w:rPr>
                <w:rFonts w:hint="default" w:ascii="Times New Roman" w:hAnsi="Times New Roman" w:cs="Times New Roman"/>
                <w:color w:val="auto"/>
                <w:sz w:val="21"/>
                <w:szCs w:val="21"/>
              </w:rPr>
            </w:pPr>
          </w:p>
        </w:tc>
        <w:tc>
          <w:tcPr>
            <w:tcW w:w="2457" w:type="dxa"/>
            <w:vMerge w:val="continue"/>
            <w:vAlign w:val="center"/>
          </w:tcPr>
          <w:p w14:paraId="65896621">
            <w:pPr>
              <w:spacing w:line="280" w:lineRule="exact"/>
              <w:jc w:val="center"/>
              <w:rPr>
                <w:rFonts w:hint="default" w:ascii="Times New Roman" w:hAnsi="Times New Roman" w:cs="Times New Roman"/>
                <w:color w:val="auto"/>
                <w:sz w:val="21"/>
                <w:szCs w:val="21"/>
              </w:rPr>
            </w:pPr>
          </w:p>
        </w:tc>
      </w:tr>
      <w:tr w14:paraId="50EE1C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09" w:type="dxa"/>
            <w:vMerge w:val="continue"/>
            <w:vAlign w:val="center"/>
          </w:tcPr>
          <w:p w14:paraId="6A0DA583">
            <w:pPr>
              <w:adjustRightInd w:val="0"/>
              <w:snapToGrid w:val="0"/>
              <w:spacing w:line="250" w:lineRule="exact"/>
              <w:jc w:val="center"/>
              <w:rPr>
                <w:rFonts w:hint="default" w:ascii="Times New Roman" w:hAnsi="Times New Roman" w:cs="Times New Roman" w:eastAsiaTheme="minorEastAsia"/>
                <w:color w:val="auto"/>
                <w:sz w:val="21"/>
                <w:szCs w:val="21"/>
              </w:rPr>
            </w:pPr>
          </w:p>
        </w:tc>
        <w:tc>
          <w:tcPr>
            <w:tcW w:w="2182" w:type="dxa"/>
            <w:gridSpan w:val="2"/>
            <w:vAlign w:val="center"/>
          </w:tcPr>
          <w:p w14:paraId="0ABDBFE9">
            <w:pPr>
              <w:pStyle w:val="87"/>
              <w:spacing w:line="280" w:lineRule="exact"/>
              <w:ind w:firstLine="0" w:firstLineChars="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shd w:val="clear" w:color="auto" w:fill="auto"/>
                <w:lang w:val="en-US" w:eastAsia="zh-CN"/>
              </w:rPr>
              <w:t>生活垃圾</w:t>
            </w:r>
          </w:p>
        </w:tc>
        <w:tc>
          <w:tcPr>
            <w:tcW w:w="3252" w:type="dxa"/>
            <w:gridSpan w:val="2"/>
            <w:vAlign w:val="center"/>
          </w:tcPr>
          <w:p w14:paraId="615D4393">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Cs w:val="21"/>
                <w:shd w:val="clear" w:color="auto" w:fill="auto"/>
                <w:lang w:val="en-US" w:eastAsia="zh-CN"/>
              </w:rPr>
              <w:t>委托环卫部门处理</w:t>
            </w:r>
          </w:p>
        </w:tc>
        <w:tc>
          <w:tcPr>
            <w:tcW w:w="2457" w:type="dxa"/>
            <w:vAlign w:val="center"/>
          </w:tcPr>
          <w:p w14:paraId="383D0093">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《中华人民共和国固体废物污染环境防治法》（2020年9月实施）第四章中的相关要求</w:t>
            </w:r>
          </w:p>
        </w:tc>
      </w:tr>
      <w:tr w14:paraId="43BAD3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0" w:hRule="atLeast"/>
          <w:jc w:val="center"/>
        </w:trPr>
        <w:tc>
          <w:tcPr>
            <w:tcW w:w="909" w:type="dxa"/>
            <w:vAlign w:val="center"/>
          </w:tcPr>
          <w:p w14:paraId="3232BE3F">
            <w:pPr>
              <w:adjustRightInd w:val="0"/>
              <w:snapToGrid w:val="0"/>
              <w:spacing w:line="250" w:lineRule="exac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土壤及地下水污染防治措施</w:t>
            </w:r>
          </w:p>
        </w:tc>
        <w:tc>
          <w:tcPr>
            <w:tcW w:w="7891" w:type="dxa"/>
            <w:gridSpan w:val="5"/>
            <w:vAlign w:val="center"/>
          </w:tcPr>
          <w:p w14:paraId="3EB7CA60">
            <w:pPr>
              <w:pStyle w:val="44"/>
              <w:spacing w:before="24" w:after="24"/>
              <w:ind w:firstLine="420" w:firstLineChars="200"/>
              <w:jc w:val="both"/>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项目生产过程不涉及重金属污染物。项目重点防渗区为危废间、清洗池、沉淀池，危废间按照《危险废物贮存污染控制标准》（GB18597-2023）要求进行防渗；清洗池等建设配筋混凝土池，混凝土采用耐酸混凝土，水池内壁采用环氧煤沥青涂层进行处理，外壁采用沥青防水材料进行防水处理，满足等效黏土防渗层Mb≥6m、K≤1×10</w:t>
            </w:r>
            <w:r>
              <w:rPr>
                <w:rFonts w:hint="eastAsia" w:ascii="Times New Roman" w:hAnsi="Times New Roman" w:eastAsia="宋体" w:cs="Times New Roman"/>
                <w:color w:val="auto"/>
                <w:sz w:val="21"/>
                <w:szCs w:val="21"/>
                <w:vertAlign w:val="superscript"/>
                <w:lang w:eastAsia="zh-CN"/>
              </w:rPr>
              <w:t>-7</w:t>
            </w:r>
            <w:r>
              <w:rPr>
                <w:rFonts w:hint="eastAsia" w:ascii="Times New Roman" w:hAnsi="Times New Roman" w:eastAsia="宋体" w:cs="Times New Roman"/>
                <w:color w:val="auto"/>
                <w:sz w:val="21"/>
                <w:szCs w:val="21"/>
                <w:lang w:eastAsia="zh-CN"/>
              </w:rPr>
              <w:t>cm/s的要求。一般防渗区包括生产车间其他区域（即清洗池、沉淀池以外的区域）、一般固废间，生产车间、一般固废间地面采取三合土铺底，在上层铺水泥混凝土进行硬化，满足等效黏土防渗层Mb≥1.5m、K≤1×10</w:t>
            </w:r>
            <w:r>
              <w:rPr>
                <w:rFonts w:hint="eastAsia" w:ascii="Times New Roman" w:hAnsi="Times New Roman" w:eastAsia="宋体" w:cs="Times New Roman"/>
                <w:color w:val="auto"/>
                <w:sz w:val="21"/>
                <w:szCs w:val="21"/>
                <w:vertAlign w:val="superscript"/>
                <w:lang w:eastAsia="zh-CN"/>
              </w:rPr>
              <w:t>-7</w:t>
            </w:r>
            <w:r>
              <w:rPr>
                <w:rFonts w:hint="eastAsia" w:ascii="Times New Roman" w:hAnsi="Times New Roman" w:eastAsia="宋体" w:cs="Times New Roman"/>
                <w:color w:val="auto"/>
                <w:sz w:val="21"/>
                <w:szCs w:val="21"/>
                <w:lang w:eastAsia="zh-CN"/>
              </w:rPr>
              <w:t>cm/s的要求。简单防渗区为办公区及车间周围道路，已全部做水泥硬化处理。</w:t>
            </w:r>
          </w:p>
        </w:tc>
      </w:tr>
      <w:tr w14:paraId="291672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09" w:type="dxa"/>
            <w:vAlign w:val="center"/>
          </w:tcPr>
          <w:p w14:paraId="5723D236">
            <w:pPr>
              <w:adjustRightInd w:val="0"/>
              <w:snapToGrid w:val="0"/>
              <w:spacing w:line="250" w:lineRule="exac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生态保护措施</w:t>
            </w:r>
          </w:p>
        </w:tc>
        <w:tc>
          <w:tcPr>
            <w:tcW w:w="7891" w:type="dxa"/>
            <w:gridSpan w:val="5"/>
            <w:vAlign w:val="center"/>
          </w:tcPr>
          <w:p w14:paraId="4F1133ED">
            <w:pPr>
              <w:adjustRightInd w:val="0"/>
              <w:snapToGrid w:val="0"/>
              <w:spacing w:line="250" w:lineRule="exac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不涉及</w:t>
            </w:r>
          </w:p>
        </w:tc>
      </w:tr>
      <w:tr w14:paraId="0536CC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87" w:hRule="atLeast"/>
          <w:jc w:val="center"/>
        </w:trPr>
        <w:tc>
          <w:tcPr>
            <w:tcW w:w="909" w:type="dxa"/>
            <w:vAlign w:val="center"/>
          </w:tcPr>
          <w:p w14:paraId="2D056DC7">
            <w:pPr>
              <w:adjustRightInd w:val="0"/>
              <w:snapToGrid w:val="0"/>
              <w:spacing w:line="250" w:lineRule="exac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环境风险防范措施</w:t>
            </w:r>
          </w:p>
        </w:tc>
        <w:tc>
          <w:tcPr>
            <w:tcW w:w="7891" w:type="dxa"/>
            <w:gridSpan w:val="5"/>
            <w:vAlign w:val="center"/>
          </w:tcPr>
          <w:p w14:paraId="668FA32B">
            <w:pPr>
              <w:adjustRightInd w:val="0"/>
              <w:snapToGrid w:val="0"/>
              <w:spacing w:line="250" w:lineRule="exact"/>
              <w:jc w:val="center"/>
              <w:rPr>
                <w:rFonts w:hint="default" w:ascii="Times New Roman" w:hAnsi="Times New Roman" w:cs="Times New Roman" w:eastAsiaTheme="minorEastAsia"/>
                <w:color w:val="auto"/>
                <w:sz w:val="21"/>
                <w:szCs w:val="21"/>
              </w:rPr>
            </w:pPr>
          </w:p>
          <w:p w14:paraId="37149240">
            <w:pPr>
              <w:pStyle w:val="25"/>
              <w:jc w:val="both"/>
              <w:rPr>
                <w:rFonts w:hint="default"/>
              </w:rPr>
            </w:pPr>
          </w:p>
          <w:p w14:paraId="0BFD398E">
            <w:pPr>
              <w:adjustRightInd w:val="0"/>
              <w:snapToGrid w:val="0"/>
              <w:spacing w:line="250" w:lineRule="exact"/>
              <w:jc w:val="center"/>
              <w:rPr>
                <w:rFonts w:hint="default" w:ascii="Times New Roman" w:hAnsi="Times New Roman" w:cs="Times New Roman" w:eastAsiaTheme="minorEastAsia"/>
                <w:color w:val="auto"/>
                <w:sz w:val="21"/>
                <w:szCs w:val="21"/>
              </w:rPr>
            </w:pPr>
          </w:p>
          <w:p w14:paraId="1ACF199F">
            <w:pPr>
              <w:adjustRightInd w:val="0"/>
              <w:snapToGrid w:val="0"/>
              <w:spacing w:line="250" w:lineRule="exac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①厂区废润滑油、废液压油等危险物质使用各自桶装容器盛装，建设单位应定期检查是否存在泄漏。</w:t>
            </w:r>
          </w:p>
          <w:p w14:paraId="7C887ABC">
            <w:pPr>
              <w:adjustRightInd w:val="0"/>
              <w:snapToGrid w:val="0"/>
              <w:spacing w:line="250" w:lineRule="exac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②生产车间内粘贴警示标志，周边严禁烟火，防止发生火灾危险。</w:t>
            </w:r>
          </w:p>
          <w:p w14:paraId="1C780D4A">
            <w:pPr>
              <w:adjustRightInd w:val="0"/>
              <w:snapToGrid w:val="0"/>
              <w:spacing w:line="250" w:lineRule="exac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③厂区应按照要求配置一定数量不同类型、不同规格的移动式灭火器材，以便及时扑救初始火灾。</w:t>
            </w:r>
          </w:p>
          <w:p w14:paraId="503F99E1">
            <w:pPr>
              <w:adjustRightInd w:val="0"/>
              <w:snapToGrid w:val="0"/>
              <w:spacing w:line="250" w:lineRule="exac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④加强日常管理，预防意外泄漏事故。</w:t>
            </w:r>
          </w:p>
          <w:p w14:paraId="26A4B596">
            <w:pPr>
              <w:adjustRightInd w:val="0"/>
              <w:snapToGrid w:val="0"/>
              <w:spacing w:line="250" w:lineRule="exac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⑤本项目对生产车间、危废间进行严格管理，做好地面防渗，并且在收集、运输、储存过程中严格执行操作规范。</w:t>
            </w:r>
          </w:p>
          <w:p w14:paraId="04218B48">
            <w:pPr>
              <w:adjustRightInd w:val="0"/>
              <w:snapToGrid w:val="0"/>
              <w:spacing w:line="250" w:lineRule="exac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⑥一旦出现盛装液态危险废物的容器发生破裂或渗漏情况，马上修复或更换破损容器，可防止泄漏液体直接流入地面上。运输过程中若发生泄漏，应将地面残留液体用布立即擦拭干净，沾染物均作为危险废物交有资质单位集中处理处置。</w:t>
            </w:r>
          </w:p>
          <w:p w14:paraId="24102CA9">
            <w:pPr>
              <w:adjustRightInd w:val="0"/>
              <w:snapToGrid w:val="0"/>
              <w:spacing w:line="250" w:lineRule="exact"/>
              <w:jc w:val="center"/>
              <w:rPr>
                <w:rFonts w:hint="default" w:ascii="Times New Roman" w:hAnsi="Times New Roman" w:cs="Times New Roman" w:eastAsiaTheme="minorEastAsia"/>
                <w:color w:val="auto"/>
                <w:sz w:val="21"/>
                <w:szCs w:val="21"/>
              </w:rPr>
            </w:pPr>
          </w:p>
          <w:p w14:paraId="67C5A897">
            <w:pPr>
              <w:adjustRightInd w:val="0"/>
              <w:snapToGrid w:val="0"/>
              <w:spacing w:line="250" w:lineRule="exact"/>
              <w:jc w:val="center"/>
              <w:rPr>
                <w:rFonts w:hint="default" w:ascii="Times New Roman" w:hAnsi="Times New Roman" w:cs="Times New Roman" w:eastAsiaTheme="minorEastAsia"/>
                <w:color w:val="auto"/>
                <w:sz w:val="21"/>
                <w:szCs w:val="21"/>
              </w:rPr>
            </w:pPr>
          </w:p>
          <w:p w14:paraId="0E6EE92F">
            <w:pPr>
              <w:pStyle w:val="9"/>
              <w:rPr>
                <w:rFonts w:hint="default"/>
              </w:rPr>
            </w:pPr>
          </w:p>
        </w:tc>
      </w:tr>
      <w:tr w14:paraId="713D25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55" w:hRule="atLeast"/>
          <w:jc w:val="center"/>
        </w:trPr>
        <w:tc>
          <w:tcPr>
            <w:tcW w:w="909" w:type="dxa"/>
            <w:vAlign w:val="center"/>
          </w:tcPr>
          <w:p w14:paraId="0CA339E7">
            <w:pPr>
              <w:adjustRightInd w:val="0"/>
              <w:snapToGrid w:val="0"/>
              <w:spacing w:line="250" w:lineRule="exac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其他环境管理要求</w:t>
            </w:r>
          </w:p>
        </w:tc>
        <w:tc>
          <w:tcPr>
            <w:tcW w:w="7891" w:type="dxa"/>
            <w:gridSpan w:val="5"/>
            <w:vAlign w:val="center"/>
          </w:tcPr>
          <w:p w14:paraId="108656F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auto"/>
              <w:rPr>
                <w:rFonts w:hint="default" w:ascii="Times New Roman" w:hAnsi="Times New Roman" w:cs="Times New Roman" w:eastAsiaTheme="minorEastAsia"/>
                <w:color w:val="auto"/>
                <w:sz w:val="21"/>
                <w:szCs w:val="21"/>
              </w:rPr>
            </w:pPr>
          </w:p>
          <w:p w14:paraId="1F1E4335">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auto"/>
              <w:rPr>
                <w:rFonts w:hint="default" w:ascii="Times New Roman" w:hAnsi="Times New Roman" w:cs="Times New Roman" w:eastAsiaTheme="minorEastAsia"/>
                <w:color w:val="auto"/>
                <w:sz w:val="21"/>
                <w:szCs w:val="21"/>
              </w:rPr>
            </w:pPr>
          </w:p>
          <w:p w14:paraId="5B208274">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auto"/>
              <w:rPr>
                <w:rFonts w:hint="default" w:ascii="Times New Roman" w:hAnsi="Times New Roman" w:cs="Times New Roman" w:eastAsiaTheme="minorEastAsia"/>
                <w:color w:val="auto"/>
                <w:sz w:val="21"/>
                <w:szCs w:val="21"/>
              </w:rPr>
            </w:pPr>
          </w:p>
          <w:p w14:paraId="141B308A">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auto"/>
              <w:rPr>
                <w:rFonts w:hint="default" w:ascii="Times New Roman" w:hAnsi="Times New Roman" w:cs="Times New Roman" w:eastAsiaTheme="minorEastAsia"/>
                <w:color w:val="auto"/>
                <w:sz w:val="21"/>
                <w:szCs w:val="21"/>
              </w:rPr>
            </w:pPr>
          </w:p>
          <w:p w14:paraId="10AF56B8">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auto"/>
              <w:rPr>
                <w:rFonts w:hint="default"/>
                <w:color w:val="auto"/>
                <w:sz w:val="21"/>
                <w:szCs w:val="21"/>
                <w:lang w:val="en-GB"/>
              </w:rPr>
            </w:pPr>
            <w:r>
              <w:rPr>
                <w:rFonts w:hint="default" w:ascii="Times New Roman" w:hAnsi="Times New Roman" w:cs="Times New Roman" w:eastAsiaTheme="minorEastAsia"/>
                <w:color w:val="auto"/>
                <w:sz w:val="21"/>
                <w:szCs w:val="21"/>
              </w:rPr>
              <w:t>①</w:t>
            </w:r>
            <w:r>
              <w:rPr>
                <w:rFonts w:hint="default"/>
                <w:color w:val="auto"/>
                <w:sz w:val="21"/>
                <w:szCs w:val="21"/>
                <w:lang w:val="en-GB"/>
              </w:rPr>
              <w:t>环保管理机构：建立环保管理机构，加强内部管理，建立和健全各项环保规章制度；</w:t>
            </w:r>
          </w:p>
          <w:p w14:paraId="3143C315">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auto"/>
              <w:rPr>
                <w:rFonts w:hint="default"/>
                <w:color w:val="auto"/>
                <w:sz w:val="21"/>
                <w:szCs w:val="21"/>
                <w:lang w:val="en-GB"/>
              </w:rPr>
            </w:pPr>
            <w:r>
              <w:rPr>
                <w:rFonts w:hint="default" w:ascii="Times New Roman" w:hAnsi="Times New Roman" w:cs="Times New Roman" w:eastAsiaTheme="minorEastAsia"/>
                <w:color w:val="auto"/>
                <w:sz w:val="21"/>
                <w:szCs w:val="21"/>
              </w:rPr>
              <w:t>②</w:t>
            </w:r>
            <w:r>
              <w:rPr>
                <w:rFonts w:hint="default"/>
                <w:color w:val="auto"/>
                <w:sz w:val="21"/>
                <w:szCs w:val="21"/>
                <w:lang w:val="en-GB"/>
              </w:rPr>
              <w:t>排放口规范化：严格按照《排污口规范化整治技术要求（试行）》建立规范化排污口，设检测孔及监测平台，设排污口标示牌，建立规范化排污口档案；</w:t>
            </w:r>
          </w:p>
          <w:p w14:paraId="338C79F5">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auto"/>
              <w:rPr>
                <w:rFonts w:hint="default"/>
                <w:color w:val="auto"/>
                <w:sz w:val="21"/>
                <w:szCs w:val="21"/>
                <w:lang w:val="en-GB"/>
              </w:rPr>
            </w:pPr>
            <w:r>
              <w:rPr>
                <w:rFonts w:hint="eastAsia"/>
                <w:color w:val="auto"/>
                <w:sz w:val="21"/>
                <w:szCs w:val="21"/>
                <w:lang w:val="en-US" w:eastAsia="zh-CN"/>
              </w:rPr>
              <w:t>③采样平台面积应不小于1.5m</w:t>
            </w:r>
            <w:r>
              <w:rPr>
                <w:rFonts w:hint="eastAsia"/>
                <w:color w:val="auto"/>
                <w:sz w:val="21"/>
                <w:szCs w:val="21"/>
                <w:vertAlign w:val="superscript"/>
                <w:lang w:val="en-US" w:eastAsia="zh-CN"/>
              </w:rPr>
              <w:t>2</w:t>
            </w:r>
            <w:r>
              <w:rPr>
                <w:rFonts w:hint="eastAsia"/>
                <w:color w:val="auto"/>
                <w:sz w:val="21"/>
                <w:szCs w:val="21"/>
                <w:lang w:val="en-US" w:eastAsia="zh-CN"/>
              </w:rPr>
              <w:t>，并设有1.1m 高的护栏和不低于10cm的脚部挡板，采样平台的承重应不小于200kg/m</w:t>
            </w:r>
            <w:r>
              <w:rPr>
                <w:rFonts w:hint="eastAsia"/>
                <w:color w:val="auto"/>
                <w:sz w:val="21"/>
                <w:szCs w:val="21"/>
                <w:vertAlign w:val="superscript"/>
                <w:lang w:val="en-US" w:eastAsia="zh-CN"/>
              </w:rPr>
              <w:t>2</w:t>
            </w:r>
            <w:r>
              <w:rPr>
                <w:rFonts w:hint="eastAsia"/>
                <w:color w:val="auto"/>
                <w:sz w:val="21"/>
                <w:szCs w:val="21"/>
                <w:lang w:val="en-US" w:eastAsia="zh-CN"/>
              </w:rPr>
              <w:t>，采样孔距平台面约为1.2m～1.3m。采样平台易于人员到达，应建设监测安全通道。当采样平台设置高于地面时，应有通往平台的Z字梯/旋梯/升降梯</w:t>
            </w:r>
            <w:r>
              <w:rPr>
                <w:rFonts w:hint="default"/>
                <w:color w:val="auto"/>
                <w:sz w:val="21"/>
                <w:szCs w:val="21"/>
                <w:lang w:val="en-GB"/>
              </w:rPr>
              <w:t>；</w:t>
            </w:r>
          </w:p>
          <w:p w14:paraId="1E72C26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color w:val="auto"/>
                <w:sz w:val="21"/>
                <w:szCs w:val="21"/>
                <w:lang w:val="en-GB"/>
              </w:rPr>
            </w:pPr>
            <w:r>
              <w:rPr>
                <w:rFonts w:hint="eastAsia"/>
                <w:color w:val="auto"/>
                <w:sz w:val="21"/>
                <w:szCs w:val="21"/>
                <w:lang w:val="en-US" w:eastAsia="zh-CN"/>
              </w:rPr>
              <w:t>④</w:t>
            </w:r>
            <w:r>
              <w:rPr>
                <w:rFonts w:hint="default"/>
                <w:color w:val="auto"/>
                <w:sz w:val="21"/>
                <w:szCs w:val="21"/>
                <w:lang w:val="en-GB"/>
              </w:rPr>
              <w:t>对配套建设的环境保护设施进行验收，编制验收报告。</w:t>
            </w:r>
          </w:p>
          <w:p w14:paraId="33DFD6C3">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color w:val="auto"/>
                <w:sz w:val="21"/>
                <w:szCs w:val="21"/>
                <w:lang w:val="en-GB"/>
              </w:rPr>
            </w:pPr>
          </w:p>
          <w:p w14:paraId="2D6B614C">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color w:val="auto"/>
                <w:sz w:val="21"/>
                <w:szCs w:val="21"/>
                <w:lang w:val="en-GB"/>
              </w:rPr>
            </w:pPr>
          </w:p>
          <w:p w14:paraId="3686D2DF">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color w:val="auto"/>
                <w:sz w:val="21"/>
                <w:szCs w:val="21"/>
                <w:lang w:val="en-GB"/>
              </w:rPr>
            </w:pPr>
          </w:p>
          <w:p w14:paraId="70C9337C">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color w:val="auto"/>
                <w:sz w:val="21"/>
                <w:szCs w:val="21"/>
                <w:lang w:val="en-GB"/>
              </w:rPr>
            </w:pPr>
          </w:p>
          <w:p w14:paraId="2DB73954">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color w:val="auto"/>
                <w:sz w:val="21"/>
                <w:szCs w:val="21"/>
                <w:lang w:val="en-GB"/>
              </w:rPr>
            </w:pPr>
          </w:p>
        </w:tc>
      </w:tr>
    </w:tbl>
    <w:p w14:paraId="2B6AFCEA">
      <w:pPr>
        <w:pStyle w:val="23"/>
        <w:spacing w:before="0" w:beforeAutospacing="0" w:after="0" w:afterAutospacing="0"/>
        <w:jc w:val="center"/>
        <w:outlineLvl w:val="0"/>
        <w:rPr>
          <w:rFonts w:hint="default" w:ascii="Times New Roman" w:hAnsi="Times New Roman" w:eastAsia="黑体" w:cs="Times New Roman"/>
          <w:snapToGrid w:val="0"/>
          <w:color w:val="auto"/>
          <w:sz w:val="30"/>
          <w:szCs w:val="30"/>
          <w:highlight w:val="yellow"/>
        </w:rPr>
      </w:pPr>
      <w:r>
        <w:rPr>
          <w:rFonts w:hint="default" w:ascii="Times New Roman" w:hAnsi="Times New Roman" w:cs="Times New Roman"/>
          <w:snapToGrid w:val="0"/>
          <w:color w:val="auto"/>
          <w:highlight w:val="yellow"/>
        </w:rPr>
        <w:br w:type="page"/>
      </w:r>
      <w:r>
        <w:rPr>
          <w:rFonts w:hint="default" w:ascii="Times New Roman" w:hAnsi="Times New Roman" w:eastAsia="黑体" w:cs="Times New Roman"/>
          <w:snapToGrid w:val="0"/>
          <w:color w:val="auto"/>
          <w:sz w:val="32"/>
          <w:szCs w:val="32"/>
        </w:rPr>
        <w:t>六、结论</w:t>
      </w:r>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4937A1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991" w:hRule="atLeast"/>
        </w:trPr>
        <w:tc>
          <w:tcPr>
            <w:tcW w:w="8865" w:type="dxa"/>
          </w:tcPr>
          <w:p w14:paraId="26DBFD42">
            <w:pPr>
              <w:pStyle w:val="9"/>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rPr>
            </w:pPr>
            <w:r>
              <w:rPr>
                <w:rFonts w:hint="default" w:ascii="Times New Roman" w:hAnsi="Times New Roman" w:cs="Times New Roman" w:eastAsiaTheme="minorEastAsia"/>
                <w:color w:val="auto"/>
                <w:kern w:val="0"/>
                <w:sz w:val="24"/>
              </w:rPr>
              <w:t>项目位于</w:t>
            </w:r>
            <w:r>
              <w:rPr>
                <w:rFonts w:hint="eastAsia" w:cs="Times New Roman" w:eastAsiaTheme="minorEastAsia"/>
                <w:color w:val="auto"/>
                <w:kern w:val="0"/>
                <w:sz w:val="24"/>
                <w:szCs w:val="22"/>
                <w:lang w:eastAsia="zh-CN"/>
              </w:rPr>
              <w:t>河北省邯郸市魏县绿环循环经济产业园1栋-4号</w:t>
            </w:r>
            <w:r>
              <w:rPr>
                <w:rFonts w:hint="default" w:ascii="Times New Roman" w:hAnsi="Times New Roman" w:cs="Times New Roman"/>
                <w:color w:val="auto"/>
                <w:kern w:val="0"/>
                <w:sz w:val="24"/>
                <w:szCs w:val="22"/>
              </w:rPr>
              <w:t>，魏县经济开发区-再生资源循环利用产业园</w:t>
            </w:r>
            <w:r>
              <w:rPr>
                <w:rFonts w:hint="default" w:ascii="Times New Roman" w:hAnsi="Times New Roman" w:cs="Times New Roman" w:eastAsiaTheme="minorEastAsia"/>
                <w:color w:val="auto"/>
                <w:kern w:val="0"/>
                <w:sz w:val="24"/>
              </w:rPr>
              <w:t>，项目选址合理，建设符合国家</w:t>
            </w:r>
            <w:r>
              <w:rPr>
                <w:rFonts w:hint="eastAsia" w:cs="Times New Roman" w:eastAsiaTheme="minorEastAsia"/>
                <w:color w:val="auto"/>
                <w:kern w:val="0"/>
                <w:sz w:val="24"/>
                <w:lang w:val="en-US" w:eastAsia="zh-CN"/>
              </w:rPr>
              <w:t>和地方</w:t>
            </w:r>
            <w:r>
              <w:rPr>
                <w:rFonts w:hint="default" w:ascii="Times New Roman" w:hAnsi="Times New Roman" w:cs="Times New Roman" w:eastAsiaTheme="minorEastAsia"/>
                <w:color w:val="auto"/>
                <w:kern w:val="0"/>
                <w:sz w:val="24"/>
              </w:rPr>
              <w:t>当前产业政策要求。项目采取了完善的污染治理措施并制定了完善的环境管理与监测计划，可确保废气、废水、噪声各类污染物达标排放，固体废物全部综合利用或妥善处置。在各类环保设施稳定运行的情况下，项目的实施不会对周围环境产生明显污染影响。因此，项目在保证落实各项环保治理措施的前提下，从环保角度分析，项目可行。</w:t>
            </w:r>
          </w:p>
          <w:p w14:paraId="1E824E0B">
            <w:pPr>
              <w:rPr>
                <w:rFonts w:hint="default"/>
                <w:color w:val="auto"/>
              </w:rPr>
            </w:pPr>
          </w:p>
          <w:p w14:paraId="6EBF2EDD">
            <w:pPr>
              <w:pStyle w:val="9"/>
              <w:rPr>
                <w:rFonts w:hint="default"/>
                <w:color w:val="auto"/>
              </w:rPr>
            </w:pPr>
          </w:p>
          <w:p w14:paraId="424983A9">
            <w:pPr>
              <w:pStyle w:val="25"/>
              <w:rPr>
                <w:rFonts w:hint="default"/>
                <w:color w:val="auto"/>
              </w:rPr>
            </w:pPr>
          </w:p>
          <w:p w14:paraId="4680612D">
            <w:pPr>
              <w:rPr>
                <w:rFonts w:hint="default"/>
                <w:color w:val="auto"/>
              </w:rPr>
            </w:pPr>
          </w:p>
          <w:p w14:paraId="0D25E97C">
            <w:pPr>
              <w:pStyle w:val="9"/>
              <w:rPr>
                <w:rFonts w:hint="default"/>
                <w:color w:val="auto"/>
              </w:rPr>
            </w:pPr>
          </w:p>
          <w:p w14:paraId="22C05540">
            <w:pPr>
              <w:pStyle w:val="25"/>
              <w:rPr>
                <w:rFonts w:hint="default"/>
                <w:color w:val="auto"/>
              </w:rPr>
            </w:pPr>
          </w:p>
          <w:p w14:paraId="7946246B">
            <w:pPr>
              <w:rPr>
                <w:rFonts w:hint="default"/>
              </w:rPr>
            </w:pPr>
          </w:p>
          <w:p w14:paraId="5D164031">
            <w:pPr>
              <w:rPr>
                <w:rFonts w:hint="default"/>
                <w:color w:val="auto"/>
              </w:rPr>
            </w:pPr>
          </w:p>
          <w:p w14:paraId="134370D5">
            <w:pPr>
              <w:pStyle w:val="9"/>
              <w:rPr>
                <w:rFonts w:hint="default"/>
                <w:color w:val="auto"/>
              </w:rPr>
            </w:pPr>
          </w:p>
          <w:p w14:paraId="5377BAEE">
            <w:pPr>
              <w:pStyle w:val="25"/>
              <w:rPr>
                <w:rFonts w:hint="default"/>
                <w:color w:val="auto"/>
              </w:rPr>
            </w:pPr>
          </w:p>
          <w:p w14:paraId="3A5AD721">
            <w:pPr>
              <w:rPr>
                <w:rFonts w:hint="default"/>
                <w:color w:val="auto"/>
              </w:rPr>
            </w:pPr>
          </w:p>
          <w:p w14:paraId="1A432FB3">
            <w:pPr>
              <w:pStyle w:val="9"/>
              <w:rPr>
                <w:rFonts w:hint="default"/>
                <w:color w:val="auto"/>
              </w:rPr>
            </w:pPr>
          </w:p>
          <w:p w14:paraId="191A15AF">
            <w:pPr>
              <w:pStyle w:val="25"/>
              <w:rPr>
                <w:rFonts w:hint="default"/>
                <w:color w:val="auto"/>
              </w:rPr>
            </w:pPr>
          </w:p>
          <w:p w14:paraId="02F4F04E">
            <w:pPr>
              <w:rPr>
                <w:rFonts w:hint="default"/>
                <w:color w:val="auto"/>
              </w:rPr>
            </w:pPr>
          </w:p>
          <w:p w14:paraId="481E7F5E">
            <w:pPr>
              <w:pStyle w:val="9"/>
              <w:rPr>
                <w:rFonts w:hint="default"/>
                <w:color w:val="auto"/>
              </w:rPr>
            </w:pPr>
          </w:p>
          <w:p w14:paraId="7D75BCD7">
            <w:pPr>
              <w:pStyle w:val="25"/>
              <w:rPr>
                <w:rFonts w:hint="default"/>
                <w:color w:val="auto"/>
              </w:rPr>
            </w:pPr>
          </w:p>
          <w:p w14:paraId="7E642EE9">
            <w:pPr>
              <w:rPr>
                <w:rFonts w:hint="default"/>
                <w:color w:val="auto"/>
              </w:rPr>
            </w:pPr>
          </w:p>
          <w:p w14:paraId="73A92A31">
            <w:pPr>
              <w:pStyle w:val="9"/>
              <w:rPr>
                <w:rFonts w:hint="default"/>
                <w:color w:val="auto"/>
              </w:rPr>
            </w:pPr>
          </w:p>
          <w:p w14:paraId="0407CA69">
            <w:pPr>
              <w:pStyle w:val="7"/>
              <w:rPr>
                <w:rFonts w:hint="default"/>
                <w:color w:val="auto"/>
              </w:rPr>
            </w:pPr>
          </w:p>
          <w:p w14:paraId="1B30F0B1">
            <w:pPr>
              <w:rPr>
                <w:rFonts w:hint="default"/>
              </w:rPr>
            </w:pPr>
          </w:p>
          <w:p w14:paraId="6A277948">
            <w:pPr>
              <w:pStyle w:val="25"/>
              <w:rPr>
                <w:rFonts w:hint="default"/>
                <w:color w:val="auto"/>
              </w:rPr>
            </w:pPr>
          </w:p>
          <w:p w14:paraId="59112891">
            <w:pPr>
              <w:rPr>
                <w:rFonts w:hint="default"/>
                <w:color w:val="auto"/>
              </w:rPr>
            </w:pPr>
          </w:p>
          <w:p w14:paraId="7C4D66A9">
            <w:pPr>
              <w:pStyle w:val="9"/>
              <w:rPr>
                <w:rFonts w:hint="default"/>
                <w:color w:val="auto"/>
              </w:rPr>
            </w:pPr>
          </w:p>
          <w:p w14:paraId="02DD1581">
            <w:pPr>
              <w:pStyle w:val="25"/>
              <w:rPr>
                <w:rFonts w:hint="default"/>
                <w:color w:val="auto"/>
              </w:rPr>
            </w:pPr>
          </w:p>
          <w:p w14:paraId="349A2FE3">
            <w:pPr>
              <w:pStyle w:val="25"/>
              <w:jc w:val="both"/>
              <w:rPr>
                <w:rFonts w:hint="default"/>
                <w:color w:val="auto"/>
              </w:rPr>
            </w:pPr>
          </w:p>
        </w:tc>
      </w:tr>
    </w:tbl>
    <w:p w14:paraId="4394BBCE">
      <w:pPr>
        <w:pStyle w:val="23"/>
        <w:spacing w:before="0" w:beforeAutospacing="0" w:after="0" w:afterAutospacing="0"/>
        <w:jc w:val="center"/>
        <w:outlineLvl w:val="0"/>
        <w:rPr>
          <w:rFonts w:hint="default" w:ascii="Times New Roman" w:hAnsi="Times New Roman" w:cs="Times New Roman"/>
          <w:color w:val="auto"/>
          <w:highlight w:val="yellow"/>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15DCEED2">
      <w:pPr>
        <w:pStyle w:val="23"/>
        <w:adjustRightInd w:val="0"/>
        <w:snapToGrid w:val="0"/>
        <w:spacing w:before="0" w:beforeAutospacing="0" w:after="0" w:afterAutospacing="0"/>
        <w:outlineLvl w:val="0"/>
        <w:rPr>
          <w:rFonts w:hint="default" w:ascii="Times New Roman" w:hAnsi="Times New Roman" w:eastAsia="黑体" w:cs="Times New Roman"/>
          <w:snapToGrid w:val="0"/>
          <w:color w:val="auto"/>
          <w:sz w:val="32"/>
          <w:szCs w:val="32"/>
        </w:rPr>
      </w:pPr>
      <w:r>
        <w:rPr>
          <w:rFonts w:hint="default" w:ascii="Times New Roman" w:hAnsi="Times New Roman" w:eastAsia="黑体" w:cs="Times New Roman"/>
          <w:snapToGrid w:val="0"/>
          <w:color w:val="auto"/>
          <w:sz w:val="32"/>
          <w:szCs w:val="32"/>
        </w:rPr>
        <w:t>附表</w:t>
      </w:r>
    </w:p>
    <w:p w14:paraId="5A198754">
      <w:pPr>
        <w:pStyle w:val="23"/>
        <w:spacing w:before="0" w:beforeAutospacing="0" w:after="0" w:afterAutospacing="0" w:line="360" w:lineRule="auto"/>
        <w:jc w:val="center"/>
        <w:outlineLvl w:val="0"/>
        <w:rPr>
          <w:rFonts w:hint="default" w:ascii="Times New Roman" w:hAnsi="Times New Roman" w:eastAsia="黑体" w:cs="Times New Roman"/>
          <w:snapToGrid w:val="0"/>
          <w:color w:val="auto"/>
          <w:sz w:val="32"/>
          <w:szCs w:val="32"/>
        </w:rPr>
      </w:pPr>
      <w:r>
        <w:rPr>
          <w:rFonts w:hint="default" w:ascii="Times New Roman" w:hAnsi="Times New Roman" w:eastAsia="黑体" w:cs="Times New Roman"/>
          <w:snapToGrid w:val="0"/>
          <w:color w:val="auto"/>
          <w:sz w:val="32"/>
          <w:szCs w:val="32"/>
        </w:rPr>
        <w:t>建设项目污染物排放量汇总表</w:t>
      </w:r>
    </w:p>
    <w:tbl>
      <w:tblPr>
        <w:tblStyle w:val="2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2594"/>
        <w:gridCol w:w="1441"/>
        <w:gridCol w:w="1130"/>
        <w:gridCol w:w="1528"/>
        <w:gridCol w:w="1638"/>
        <w:gridCol w:w="1573"/>
        <w:gridCol w:w="1812"/>
        <w:gridCol w:w="1148"/>
      </w:tblGrid>
      <w:tr w14:paraId="793AA1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0" w:type="pct"/>
            <w:tcBorders>
              <w:tl2br w:val="single" w:color="auto" w:sz="4" w:space="0"/>
            </w:tcBorders>
            <w:tcMar>
              <w:left w:w="28" w:type="dxa"/>
              <w:right w:w="28" w:type="dxa"/>
            </w:tcMar>
            <w:vAlign w:val="center"/>
          </w:tcPr>
          <w:p w14:paraId="674429CB">
            <w:pPr>
              <w:pStyle w:val="47"/>
              <w:keepNext w:val="0"/>
              <w:keepLines w:val="0"/>
              <w:pageBreakBefore w:val="0"/>
              <w:widowControl w:val="0"/>
              <w:kinsoku/>
              <w:wordWrap/>
              <w:overflowPunct/>
              <w:topLinePunct w:val="0"/>
              <w:autoSpaceDE/>
              <w:autoSpaceDN/>
              <w:bidi w:val="0"/>
              <w:adjustRightInd w:val="0"/>
              <w:snapToGrid w:val="0"/>
              <w:spacing w:beforeLines="0" w:after="0" w:afterLines="0" w:line="240" w:lineRule="exact"/>
              <w:jc w:val="right"/>
              <w:textAlignment w:val="auto"/>
              <w:rPr>
                <w:rFonts w:hint="default" w:ascii="Times New Roman" w:hAnsi="Times New Roman" w:eastAsia="黑体" w:cs="Times New Roman"/>
                <w:snapToGrid w:val="0"/>
                <w:color w:val="auto"/>
                <w:kern w:val="21"/>
                <w:szCs w:val="21"/>
              </w:rPr>
            </w:pPr>
            <w:r>
              <w:rPr>
                <w:rFonts w:hint="default" w:ascii="Times New Roman" w:hAnsi="Times New Roman" w:eastAsia="黑体" w:cs="Times New Roman"/>
                <w:snapToGrid w:val="0"/>
                <w:color w:val="auto"/>
                <w:kern w:val="21"/>
                <w:szCs w:val="21"/>
              </w:rPr>
              <w:t>项目</w:t>
            </w:r>
          </w:p>
          <w:p w14:paraId="555B13A4">
            <w:pPr>
              <w:pStyle w:val="47"/>
              <w:keepNext w:val="0"/>
              <w:keepLines w:val="0"/>
              <w:pageBreakBefore w:val="0"/>
              <w:widowControl w:val="0"/>
              <w:kinsoku/>
              <w:wordWrap/>
              <w:overflowPunct/>
              <w:topLinePunct w:val="0"/>
              <w:autoSpaceDE/>
              <w:autoSpaceDN/>
              <w:bidi w:val="0"/>
              <w:adjustRightInd w:val="0"/>
              <w:snapToGrid w:val="0"/>
              <w:spacing w:beforeLines="0" w:after="0" w:afterLines="0" w:line="240" w:lineRule="exact"/>
              <w:jc w:val="left"/>
              <w:textAlignment w:val="auto"/>
              <w:rPr>
                <w:rFonts w:hint="default" w:ascii="Times New Roman" w:hAnsi="Times New Roman" w:eastAsia="黑体" w:cs="Times New Roman"/>
                <w:snapToGrid w:val="0"/>
                <w:color w:val="auto"/>
                <w:kern w:val="21"/>
                <w:szCs w:val="21"/>
              </w:rPr>
            </w:pPr>
            <w:r>
              <w:rPr>
                <w:rFonts w:hint="default" w:ascii="Times New Roman" w:hAnsi="Times New Roman" w:eastAsia="黑体" w:cs="Times New Roman"/>
                <w:snapToGrid w:val="0"/>
                <w:color w:val="auto"/>
                <w:kern w:val="21"/>
                <w:szCs w:val="21"/>
              </w:rPr>
              <w:t>分类</w:t>
            </w:r>
          </w:p>
        </w:tc>
        <w:tc>
          <w:tcPr>
            <w:tcW w:w="925" w:type="pct"/>
            <w:tcMar>
              <w:left w:w="28" w:type="dxa"/>
              <w:right w:w="28" w:type="dxa"/>
            </w:tcMar>
            <w:vAlign w:val="center"/>
          </w:tcPr>
          <w:p w14:paraId="679212CE">
            <w:pPr>
              <w:pStyle w:val="47"/>
              <w:keepNext w:val="0"/>
              <w:keepLines w:val="0"/>
              <w:pageBreakBefore w:val="0"/>
              <w:widowControl w:val="0"/>
              <w:kinsoku/>
              <w:wordWrap/>
              <w:overflowPunct/>
              <w:topLinePunct w:val="0"/>
              <w:autoSpaceDE/>
              <w:autoSpaceDN/>
              <w:bidi w:val="0"/>
              <w:adjustRightInd w:val="0"/>
              <w:snapToGrid w:val="0"/>
              <w:spacing w:beforeLines="0" w:after="0" w:afterLines="0" w:line="240" w:lineRule="exact"/>
              <w:textAlignment w:val="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污染物名称</w:t>
            </w:r>
          </w:p>
        </w:tc>
        <w:tc>
          <w:tcPr>
            <w:tcW w:w="514" w:type="pct"/>
            <w:tcMar>
              <w:left w:w="28" w:type="dxa"/>
              <w:right w:w="28" w:type="dxa"/>
            </w:tcMar>
            <w:vAlign w:val="center"/>
          </w:tcPr>
          <w:p w14:paraId="002593F2">
            <w:pPr>
              <w:pStyle w:val="47"/>
              <w:keepNext w:val="0"/>
              <w:keepLines w:val="0"/>
              <w:pageBreakBefore w:val="0"/>
              <w:widowControl w:val="0"/>
              <w:kinsoku/>
              <w:wordWrap/>
              <w:overflowPunct/>
              <w:topLinePunct w:val="0"/>
              <w:autoSpaceDE/>
              <w:autoSpaceDN/>
              <w:bidi w:val="0"/>
              <w:adjustRightInd w:val="0"/>
              <w:snapToGrid w:val="0"/>
              <w:spacing w:beforeLines="0" w:after="0" w:afterLines="0" w:line="240" w:lineRule="exact"/>
              <w:textAlignment w:val="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现有工程</w:t>
            </w:r>
          </w:p>
          <w:p w14:paraId="51D1CCE5">
            <w:pPr>
              <w:pStyle w:val="47"/>
              <w:keepNext w:val="0"/>
              <w:keepLines w:val="0"/>
              <w:pageBreakBefore w:val="0"/>
              <w:widowControl w:val="0"/>
              <w:kinsoku/>
              <w:wordWrap/>
              <w:overflowPunct/>
              <w:topLinePunct w:val="0"/>
              <w:autoSpaceDE/>
              <w:autoSpaceDN/>
              <w:bidi w:val="0"/>
              <w:adjustRightInd w:val="0"/>
              <w:snapToGrid w:val="0"/>
              <w:spacing w:beforeLines="0" w:after="0" w:afterLines="0" w:line="240" w:lineRule="exact"/>
              <w:textAlignment w:val="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排放量（固体废物产生量）</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p>
        </w:tc>
        <w:tc>
          <w:tcPr>
            <w:tcW w:w="403" w:type="pct"/>
            <w:tcMar>
              <w:left w:w="28" w:type="dxa"/>
              <w:right w:w="28" w:type="dxa"/>
            </w:tcMar>
            <w:vAlign w:val="center"/>
          </w:tcPr>
          <w:p w14:paraId="1F330EDC">
            <w:pPr>
              <w:pStyle w:val="47"/>
              <w:keepNext w:val="0"/>
              <w:keepLines w:val="0"/>
              <w:pageBreakBefore w:val="0"/>
              <w:widowControl w:val="0"/>
              <w:kinsoku/>
              <w:wordWrap/>
              <w:overflowPunct/>
              <w:topLinePunct w:val="0"/>
              <w:autoSpaceDE/>
              <w:autoSpaceDN/>
              <w:bidi w:val="0"/>
              <w:adjustRightInd w:val="0"/>
              <w:snapToGrid w:val="0"/>
              <w:spacing w:beforeLines="0" w:after="0" w:afterLines="0" w:line="240" w:lineRule="exact"/>
              <w:textAlignment w:val="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现有工程</w:t>
            </w:r>
          </w:p>
          <w:p w14:paraId="38355502">
            <w:pPr>
              <w:pStyle w:val="47"/>
              <w:keepNext w:val="0"/>
              <w:keepLines w:val="0"/>
              <w:pageBreakBefore w:val="0"/>
              <w:widowControl w:val="0"/>
              <w:kinsoku/>
              <w:wordWrap/>
              <w:overflowPunct/>
              <w:topLinePunct w:val="0"/>
              <w:autoSpaceDE/>
              <w:autoSpaceDN/>
              <w:bidi w:val="0"/>
              <w:adjustRightInd w:val="0"/>
              <w:snapToGrid w:val="0"/>
              <w:spacing w:beforeLines="0" w:after="0" w:afterLines="0" w:line="240" w:lineRule="exact"/>
              <w:textAlignment w:val="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许可排放量</w:t>
            </w:r>
          </w:p>
          <w:p w14:paraId="597EC7CD">
            <w:pPr>
              <w:pStyle w:val="47"/>
              <w:keepNext w:val="0"/>
              <w:keepLines w:val="0"/>
              <w:pageBreakBefore w:val="0"/>
              <w:widowControl w:val="0"/>
              <w:kinsoku/>
              <w:wordWrap/>
              <w:overflowPunct/>
              <w:topLinePunct w:val="0"/>
              <w:autoSpaceDE/>
              <w:autoSpaceDN/>
              <w:bidi w:val="0"/>
              <w:adjustRightInd w:val="0"/>
              <w:snapToGrid w:val="0"/>
              <w:spacing w:beforeLines="0" w:after="0" w:afterLines="0" w:line="240" w:lineRule="exact"/>
              <w:textAlignment w:val="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fldChar w:fldCharType="begin"/>
            </w:r>
            <w:r>
              <w:rPr>
                <w:rFonts w:hint="default" w:ascii="Times New Roman" w:hAnsi="Times New Roman" w:eastAsia="黑体" w:cs="Times New Roman"/>
                <w:snapToGrid w:val="0"/>
                <w:color w:val="auto"/>
                <w:spacing w:val="-6"/>
                <w:kern w:val="21"/>
                <w:szCs w:val="21"/>
              </w:rPr>
              <w:instrText xml:space="preserve"> = 2 \* GB3 \* MERGEFORMAT </w:instrText>
            </w:r>
            <w:r>
              <w:rPr>
                <w:rFonts w:hint="default" w:ascii="Times New Roman" w:hAnsi="Times New Roman" w:eastAsia="黑体" w:cs="Times New Roman"/>
                <w:snapToGrid w:val="0"/>
                <w:color w:val="auto"/>
                <w:spacing w:val="-6"/>
                <w:kern w:val="21"/>
                <w:szCs w:val="21"/>
              </w:rPr>
              <w:fldChar w:fldCharType="separate"/>
            </w:r>
            <w:r>
              <w:rPr>
                <w:rFonts w:hint="default" w:ascii="Times New Roman" w:hAnsi="Times New Roman" w:cs="Times New Roman"/>
                <w:snapToGrid w:val="0"/>
                <w:color w:val="auto"/>
                <w:spacing w:val="-6"/>
                <w:kern w:val="21"/>
                <w:szCs w:val="21"/>
              </w:rPr>
              <w:t>②</w:t>
            </w:r>
            <w:r>
              <w:rPr>
                <w:rFonts w:hint="default" w:ascii="Times New Roman" w:hAnsi="Times New Roman" w:eastAsia="黑体" w:cs="Times New Roman"/>
                <w:snapToGrid w:val="0"/>
                <w:color w:val="auto"/>
                <w:spacing w:val="-6"/>
                <w:kern w:val="21"/>
                <w:szCs w:val="21"/>
              </w:rPr>
              <w:fldChar w:fldCharType="end"/>
            </w:r>
          </w:p>
        </w:tc>
        <w:tc>
          <w:tcPr>
            <w:tcW w:w="545" w:type="pct"/>
            <w:tcMar>
              <w:left w:w="28" w:type="dxa"/>
              <w:right w:w="28" w:type="dxa"/>
            </w:tcMar>
            <w:vAlign w:val="center"/>
          </w:tcPr>
          <w:p w14:paraId="31946C8C">
            <w:pPr>
              <w:pStyle w:val="47"/>
              <w:keepNext w:val="0"/>
              <w:keepLines w:val="0"/>
              <w:pageBreakBefore w:val="0"/>
              <w:widowControl w:val="0"/>
              <w:kinsoku/>
              <w:wordWrap/>
              <w:overflowPunct/>
              <w:topLinePunct w:val="0"/>
              <w:autoSpaceDE/>
              <w:autoSpaceDN/>
              <w:bidi w:val="0"/>
              <w:adjustRightInd w:val="0"/>
              <w:snapToGrid w:val="0"/>
              <w:spacing w:beforeLines="0" w:after="0" w:afterLines="0" w:line="240" w:lineRule="exact"/>
              <w:textAlignment w:val="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在建工程</w:t>
            </w:r>
          </w:p>
          <w:p w14:paraId="20979083">
            <w:pPr>
              <w:pStyle w:val="47"/>
              <w:keepNext w:val="0"/>
              <w:keepLines w:val="0"/>
              <w:pageBreakBefore w:val="0"/>
              <w:widowControl w:val="0"/>
              <w:kinsoku/>
              <w:wordWrap/>
              <w:overflowPunct/>
              <w:topLinePunct w:val="0"/>
              <w:autoSpaceDE/>
              <w:autoSpaceDN/>
              <w:bidi w:val="0"/>
              <w:adjustRightInd w:val="0"/>
              <w:snapToGrid w:val="0"/>
              <w:spacing w:beforeLines="0" w:after="0" w:afterLines="0" w:line="240" w:lineRule="exact"/>
              <w:textAlignment w:val="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排放量（固体废物产生量）</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3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③</w:t>
            </w:r>
            <w:r>
              <w:rPr>
                <w:rFonts w:hint="default" w:ascii="Times New Roman" w:hAnsi="Times New Roman" w:cs="Times New Roman"/>
                <w:snapToGrid w:val="0"/>
                <w:color w:val="auto"/>
                <w:spacing w:val="-6"/>
                <w:kern w:val="21"/>
                <w:szCs w:val="21"/>
              </w:rPr>
              <w:fldChar w:fldCharType="end"/>
            </w:r>
          </w:p>
        </w:tc>
        <w:tc>
          <w:tcPr>
            <w:tcW w:w="584" w:type="pct"/>
            <w:tcMar>
              <w:left w:w="28" w:type="dxa"/>
              <w:right w:w="28" w:type="dxa"/>
            </w:tcMar>
            <w:vAlign w:val="center"/>
          </w:tcPr>
          <w:p w14:paraId="2D46761B">
            <w:pPr>
              <w:pStyle w:val="47"/>
              <w:keepNext w:val="0"/>
              <w:keepLines w:val="0"/>
              <w:pageBreakBefore w:val="0"/>
              <w:widowControl w:val="0"/>
              <w:kinsoku/>
              <w:wordWrap/>
              <w:overflowPunct/>
              <w:topLinePunct w:val="0"/>
              <w:autoSpaceDE/>
              <w:autoSpaceDN/>
              <w:bidi w:val="0"/>
              <w:adjustRightInd w:val="0"/>
              <w:snapToGrid w:val="0"/>
              <w:spacing w:beforeLines="0" w:after="0" w:afterLines="0" w:line="240" w:lineRule="exact"/>
              <w:textAlignment w:val="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本项目</w:t>
            </w:r>
          </w:p>
          <w:p w14:paraId="600E6C65">
            <w:pPr>
              <w:pStyle w:val="47"/>
              <w:keepNext w:val="0"/>
              <w:keepLines w:val="0"/>
              <w:pageBreakBefore w:val="0"/>
              <w:widowControl w:val="0"/>
              <w:kinsoku/>
              <w:wordWrap/>
              <w:overflowPunct/>
              <w:topLinePunct w:val="0"/>
              <w:autoSpaceDE/>
              <w:autoSpaceDN/>
              <w:bidi w:val="0"/>
              <w:adjustRightInd w:val="0"/>
              <w:snapToGrid w:val="0"/>
              <w:spacing w:beforeLines="0" w:after="0" w:afterLines="0" w:line="240" w:lineRule="exact"/>
              <w:textAlignment w:val="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排放量（固体废物产生量）</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4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④</w:t>
            </w:r>
            <w:r>
              <w:rPr>
                <w:rFonts w:hint="default" w:ascii="Times New Roman" w:hAnsi="Times New Roman" w:cs="Times New Roman"/>
                <w:snapToGrid w:val="0"/>
                <w:color w:val="auto"/>
                <w:spacing w:val="-6"/>
                <w:kern w:val="21"/>
                <w:szCs w:val="21"/>
              </w:rPr>
              <w:fldChar w:fldCharType="end"/>
            </w:r>
          </w:p>
        </w:tc>
        <w:tc>
          <w:tcPr>
            <w:tcW w:w="561" w:type="pct"/>
            <w:tcMar>
              <w:left w:w="28" w:type="dxa"/>
              <w:right w:w="28" w:type="dxa"/>
            </w:tcMar>
            <w:vAlign w:val="center"/>
          </w:tcPr>
          <w:p w14:paraId="727CB51D">
            <w:pPr>
              <w:pStyle w:val="47"/>
              <w:keepNext w:val="0"/>
              <w:keepLines w:val="0"/>
              <w:pageBreakBefore w:val="0"/>
              <w:widowControl w:val="0"/>
              <w:kinsoku/>
              <w:wordWrap/>
              <w:overflowPunct/>
              <w:topLinePunct w:val="0"/>
              <w:autoSpaceDE/>
              <w:autoSpaceDN/>
              <w:bidi w:val="0"/>
              <w:adjustRightInd w:val="0"/>
              <w:snapToGrid w:val="0"/>
              <w:spacing w:beforeLines="0" w:after="0" w:afterLines="0" w:line="240" w:lineRule="exact"/>
              <w:textAlignment w:val="auto"/>
              <w:rPr>
                <w:rFonts w:hint="default" w:ascii="Times New Roman" w:hAnsi="Times New Roman" w:eastAsia="黑体" w:cs="Times New Roman"/>
                <w:snapToGrid w:val="0"/>
                <w:color w:val="auto"/>
                <w:spacing w:val="-16"/>
                <w:kern w:val="21"/>
                <w:szCs w:val="21"/>
              </w:rPr>
            </w:pPr>
            <w:r>
              <w:rPr>
                <w:rFonts w:hint="default" w:ascii="Times New Roman" w:hAnsi="Times New Roman" w:eastAsia="黑体" w:cs="Times New Roman"/>
                <w:snapToGrid w:val="0"/>
                <w:color w:val="auto"/>
                <w:spacing w:val="-16"/>
                <w:kern w:val="21"/>
                <w:szCs w:val="21"/>
              </w:rPr>
              <w:t>以新带老削减量</w:t>
            </w:r>
          </w:p>
          <w:p w14:paraId="434489B5">
            <w:pPr>
              <w:pStyle w:val="47"/>
              <w:keepNext w:val="0"/>
              <w:keepLines w:val="0"/>
              <w:pageBreakBefore w:val="0"/>
              <w:widowControl w:val="0"/>
              <w:kinsoku/>
              <w:wordWrap/>
              <w:overflowPunct/>
              <w:topLinePunct w:val="0"/>
              <w:autoSpaceDE/>
              <w:autoSpaceDN/>
              <w:bidi w:val="0"/>
              <w:adjustRightInd w:val="0"/>
              <w:snapToGrid w:val="0"/>
              <w:spacing w:beforeLines="0" w:after="0" w:afterLines="0" w:line="240" w:lineRule="exact"/>
              <w:textAlignment w:val="auto"/>
              <w:rPr>
                <w:rFonts w:hint="default" w:ascii="Times New Roman" w:hAnsi="Times New Roman" w:eastAsia="黑体" w:cs="Times New Roman"/>
                <w:snapToGrid w:val="0"/>
                <w:color w:val="auto"/>
                <w:spacing w:val="-16"/>
                <w:kern w:val="21"/>
                <w:szCs w:val="21"/>
              </w:rPr>
            </w:pPr>
            <w:r>
              <w:rPr>
                <w:rFonts w:hint="default" w:ascii="Times New Roman" w:hAnsi="Times New Roman" w:eastAsia="黑体" w:cs="Times New Roman"/>
                <w:snapToGrid w:val="0"/>
                <w:color w:val="auto"/>
                <w:spacing w:val="-16"/>
                <w:kern w:val="21"/>
                <w:szCs w:val="21"/>
              </w:rPr>
              <w:t>（新建项目不填）</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5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⑤</w:t>
            </w:r>
            <w:r>
              <w:rPr>
                <w:rFonts w:hint="default" w:ascii="Times New Roman" w:hAnsi="Times New Roman" w:cs="Times New Roman"/>
                <w:snapToGrid w:val="0"/>
                <w:color w:val="auto"/>
                <w:spacing w:val="-16"/>
                <w:kern w:val="21"/>
                <w:szCs w:val="21"/>
              </w:rPr>
              <w:fldChar w:fldCharType="end"/>
            </w:r>
          </w:p>
        </w:tc>
        <w:tc>
          <w:tcPr>
            <w:tcW w:w="646" w:type="pct"/>
            <w:tcMar>
              <w:left w:w="28" w:type="dxa"/>
              <w:right w:w="28" w:type="dxa"/>
            </w:tcMar>
            <w:vAlign w:val="center"/>
          </w:tcPr>
          <w:p w14:paraId="6ADDE040">
            <w:pPr>
              <w:pStyle w:val="47"/>
              <w:keepNext w:val="0"/>
              <w:keepLines w:val="0"/>
              <w:pageBreakBefore w:val="0"/>
              <w:widowControl w:val="0"/>
              <w:kinsoku/>
              <w:wordWrap/>
              <w:overflowPunct/>
              <w:topLinePunct w:val="0"/>
              <w:autoSpaceDE/>
              <w:autoSpaceDN/>
              <w:bidi w:val="0"/>
              <w:adjustRightInd w:val="0"/>
              <w:snapToGrid w:val="0"/>
              <w:spacing w:beforeLines="0" w:after="0" w:afterLines="0" w:line="240" w:lineRule="exact"/>
              <w:textAlignment w:val="auto"/>
              <w:rPr>
                <w:rFonts w:hint="default" w:ascii="Times New Roman" w:hAnsi="Times New Roman" w:eastAsia="黑体" w:cs="Times New Roman"/>
                <w:snapToGrid w:val="0"/>
                <w:color w:val="auto"/>
                <w:spacing w:val="-16"/>
                <w:kern w:val="21"/>
                <w:szCs w:val="21"/>
              </w:rPr>
            </w:pPr>
            <w:r>
              <w:rPr>
                <w:rFonts w:hint="default" w:ascii="Times New Roman" w:hAnsi="Times New Roman" w:eastAsia="黑体" w:cs="Times New Roman"/>
                <w:snapToGrid w:val="0"/>
                <w:color w:val="auto"/>
                <w:spacing w:val="-16"/>
                <w:kern w:val="21"/>
                <w:szCs w:val="21"/>
              </w:rPr>
              <w:t>本项目建成后</w:t>
            </w:r>
          </w:p>
          <w:p w14:paraId="2D8BF664">
            <w:pPr>
              <w:pStyle w:val="47"/>
              <w:keepNext w:val="0"/>
              <w:keepLines w:val="0"/>
              <w:pageBreakBefore w:val="0"/>
              <w:widowControl w:val="0"/>
              <w:kinsoku/>
              <w:wordWrap/>
              <w:overflowPunct/>
              <w:topLinePunct w:val="0"/>
              <w:autoSpaceDE/>
              <w:autoSpaceDN/>
              <w:bidi w:val="0"/>
              <w:adjustRightInd w:val="0"/>
              <w:snapToGrid w:val="0"/>
              <w:spacing w:beforeLines="0" w:after="0" w:afterLines="0" w:line="240" w:lineRule="exact"/>
              <w:textAlignment w:val="auto"/>
              <w:rPr>
                <w:rFonts w:hint="default" w:ascii="Times New Roman" w:hAnsi="Times New Roman" w:eastAsia="黑体" w:cs="Times New Roman"/>
                <w:snapToGrid w:val="0"/>
                <w:color w:val="auto"/>
                <w:spacing w:val="-16"/>
                <w:kern w:val="21"/>
                <w:szCs w:val="21"/>
              </w:rPr>
            </w:pPr>
            <w:r>
              <w:rPr>
                <w:rFonts w:hint="default" w:ascii="Times New Roman" w:hAnsi="Times New Roman" w:eastAsia="黑体" w:cs="Times New Roman"/>
                <w:snapToGrid w:val="0"/>
                <w:color w:val="auto"/>
                <w:spacing w:val="-16"/>
                <w:kern w:val="21"/>
                <w:szCs w:val="21"/>
              </w:rPr>
              <w:t>全厂排放量（固体废物产生量）</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p>
        </w:tc>
        <w:tc>
          <w:tcPr>
            <w:tcW w:w="409" w:type="pct"/>
            <w:tcMar>
              <w:left w:w="28" w:type="dxa"/>
              <w:right w:w="28" w:type="dxa"/>
            </w:tcMar>
            <w:vAlign w:val="center"/>
          </w:tcPr>
          <w:p w14:paraId="1148C8C5">
            <w:pPr>
              <w:pStyle w:val="47"/>
              <w:keepNext w:val="0"/>
              <w:keepLines w:val="0"/>
              <w:pageBreakBefore w:val="0"/>
              <w:widowControl w:val="0"/>
              <w:kinsoku/>
              <w:wordWrap/>
              <w:overflowPunct/>
              <w:topLinePunct w:val="0"/>
              <w:autoSpaceDE/>
              <w:autoSpaceDN/>
              <w:bidi w:val="0"/>
              <w:adjustRightInd w:val="0"/>
              <w:snapToGrid w:val="0"/>
              <w:spacing w:beforeLines="0" w:after="0" w:afterLines="0" w:line="240" w:lineRule="exact"/>
              <w:textAlignment w:val="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变化量</w:t>
            </w:r>
          </w:p>
          <w:p w14:paraId="29F4962F">
            <w:pPr>
              <w:pStyle w:val="47"/>
              <w:keepNext w:val="0"/>
              <w:keepLines w:val="0"/>
              <w:pageBreakBefore w:val="0"/>
              <w:widowControl w:val="0"/>
              <w:kinsoku/>
              <w:wordWrap/>
              <w:overflowPunct/>
              <w:topLinePunct w:val="0"/>
              <w:autoSpaceDE/>
              <w:autoSpaceDN/>
              <w:bidi w:val="0"/>
              <w:adjustRightInd w:val="0"/>
              <w:snapToGrid w:val="0"/>
              <w:spacing w:beforeLines="0" w:after="0" w:afterLines="0" w:line="240" w:lineRule="exact"/>
              <w:textAlignment w:val="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fldChar w:fldCharType="begin"/>
            </w:r>
            <w:r>
              <w:rPr>
                <w:rFonts w:hint="default" w:ascii="Times New Roman" w:hAnsi="Times New Roman" w:eastAsia="黑体" w:cs="Times New Roman"/>
                <w:snapToGrid w:val="0"/>
                <w:color w:val="auto"/>
                <w:spacing w:val="-6"/>
                <w:kern w:val="21"/>
                <w:szCs w:val="21"/>
              </w:rPr>
              <w:instrText xml:space="preserve"> = 7 \* GB3 \* MERGEFORMAT </w:instrText>
            </w:r>
            <w:r>
              <w:rPr>
                <w:rFonts w:hint="default" w:ascii="Times New Roman" w:hAnsi="Times New Roman" w:eastAsia="黑体" w:cs="Times New Roman"/>
                <w:snapToGrid w:val="0"/>
                <w:color w:val="auto"/>
                <w:spacing w:val="-6"/>
                <w:kern w:val="21"/>
                <w:szCs w:val="21"/>
              </w:rPr>
              <w:fldChar w:fldCharType="separate"/>
            </w:r>
            <w:r>
              <w:rPr>
                <w:rFonts w:hint="default" w:ascii="Times New Roman" w:hAnsi="Times New Roman" w:cs="Times New Roman"/>
                <w:color w:val="auto"/>
                <w:kern w:val="2"/>
                <w:szCs w:val="21"/>
              </w:rPr>
              <w:t>⑦</w:t>
            </w:r>
            <w:r>
              <w:rPr>
                <w:rFonts w:hint="default" w:ascii="Times New Roman" w:hAnsi="Times New Roman" w:eastAsia="黑体" w:cs="Times New Roman"/>
                <w:snapToGrid w:val="0"/>
                <w:color w:val="auto"/>
                <w:spacing w:val="-6"/>
                <w:kern w:val="21"/>
                <w:szCs w:val="21"/>
              </w:rPr>
              <w:fldChar w:fldCharType="end"/>
            </w:r>
          </w:p>
        </w:tc>
      </w:tr>
      <w:tr w14:paraId="07FBEA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 w:type="pct"/>
            <w:vMerge w:val="restart"/>
            <w:vAlign w:val="center"/>
          </w:tcPr>
          <w:p w14:paraId="59EAC204">
            <w:pPr>
              <w:pStyle w:val="47"/>
              <w:keepNext w:val="0"/>
              <w:keepLines w:val="0"/>
              <w:pageBreakBefore w:val="0"/>
              <w:widowControl w:val="0"/>
              <w:kinsoku/>
              <w:wordWrap/>
              <w:overflowPunct/>
              <w:topLinePunct w:val="0"/>
              <w:autoSpaceDE/>
              <w:autoSpaceDN/>
              <w:bidi w:val="0"/>
              <w:adjustRightInd w:val="0"/>
              <w:snapToGrid w:val="0"/>
              <w:spacing w:beforeLines="0" w:after="0" w:afterLines="0" w:line="260" w:lineRule="exact"/>
              <w:textAlignment w:val="auto"/>
              <w:rPr>
                <w:rFonts w:hint="default" w:ascii="Times New Roman" w:hAnsi="Times New Roman" w:cs="Times New Roman"/>
                <w:bCs/>
                <w:color w:val="auto"/>
                <w:kern w:val="2"/>
                <w:szCs w:val="21"/>
              </w:rPr>
            </w:pPr>
            <w:r>
              <w:rPr>
                <w:rFonts w:hint="default" w:ascii="Times New Roman" w:hAnsi="Times New Roman" w:cs="Times New Roman"/>
                <w:bCs/>
                <w:color w:val="auto"/>
                <w:kern w:val="2"/>
                <w:szCs w:val="21"/>
              </w:rPr>
              <w:t>废气</w:t>
            </w:r>
          </w:p>
        </w:tc>
        <w:tc>
          <w:tcPr>
            <w:tcW w:w="925" w:type="pct"/>
            <w:vAlign w:val="center"/>
          </w:tcPr>
          <w:p w14:paraId="631C551C">
            <w:pPr>
              <w:pStyle w:val="87"/>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cs="Times New Roman"/>
                <w:bCs/>
                <w:color w:val="auto"/>
                <w:kern w:val="2"/>
                <w:szCs w:val="21"/>
              </w:rPr>
            </w:pPr>
            <w:r>
              <w:rPr>
                <w:rFonts w:hint="default" w:ascii="Times New Roman" w:hAnsi="Times New Roman" w:cs="Times New Roman"/>
                <w:bCs/>
                <w:color w:val="auto"/>
                <w:sz w:val="21"/>
                <w:szCs w:val="21"/>
                <w:lang w:val="en-US" w:eastAsia="zh-CN"/>
              </w:rPr>
              <w:t>颗粒物</w:t>
            </w:r>
          </w:p>
        </w:tc>
        <w:tc>
          <w:tcPr>
            <w:tcW w:w="514" w:type="pct"/>
            <w:vAlign w:val="center"/>
          </w:tcPr>
          <w:p w14:paraId="241CD3B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eastAsiaTheme="minorEastAsia"/>
                <w:color w:val="auto"/>
                <w:szCs w:val="21"/>
              </w:rPr>
            </w:pPr>
            <w:r>
              <w:rPr>
                <w:rFonts w:hint="default" w:ascii="Times New Roman" w:hAnsi="Times New Roman" w:cs="Times New Roman"/>
                <w:color w:val="auto"/>
                <w:kern w:val="0"/>
                <w:szCs w:val="21"/>
              </w:rPr>
              <w:t>/</w:t>
            </w:r>
          </w:p>
        </w:tc>
        <w:tc>
          <w:tcPr>
            <w:tcW w:w="403" w:type="pct"/>
            <w:vAlign w:val="center"/>
          </w:tcPr>
          <w:p w14:paraId="46BE8A6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eastAsiaTheme="minorEastAsia"/>
                <w:color w:val="auto"/>
                <w:szCs w:val="21"/>
              </w:rPr>
            </w:pPr>
            <w:r>
              <w:rPr>
                <w:rFonts w:hint="default" w:ascii="Times New Roman" w:hAnsi="Times New Roman" w:cs="Times New Roman"/>
                <w:color w:val="auto"/>
                <w:kern w:val="0"/>
                <w:szCs w:val="21"/>
              </w:rPr>
              <w:t>/</w:t>
            </w:r>
          </w:p>
        </w:tc>
        <w:tc>
          <w:tcPr>
            <w:tcW w:w="545" w:type="pct"/>
            <w:vAlign w:val="center"/>
          </w:tcPr>
          <w:p w14:paraId="5C1886F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eastAsiaTheme="minorEastAsia"/>
                <w:color w:val="auto"/>
                <w:szCs w:val="21"/>
              </w:rPr>
            </w:pPr>
            <w:r>
              <w:rPr>
                <w:rFonts w:hint="default" w:ascii="Times New Roman" w:hAnsi="Times New Roman" w:cs="Times New Roman"/>
                <w:color w:val="auto"/>
                <w:kern w:val="0"/>
                <w:szCs w:val="21"/>
              </w:rPr>
              <w:t>/</w:t>
            </w:r>
          </w:p>
        </w:tc>
        <w:tc>
          <w:tcPr>
            <w:tcW w:w="584" w:type="pct"/>
            <w:vAlign w:val="center"/>
          </w:tcPr>
          <w:p w14:paraId="57256A1C">
            <w:pPr>
              <w:keepNext w:val="0"/>
              <w:keepLines w:val="0"/>
              <w:pageBreakBefore w:val="0"/>
              <w:widowControl w:val="0"/>
              <w:tabs>
                <w:tab w:val="left" w:pos="185"/>
              </w:tabs>
              <w:kinsoku/>
              <w:wordWrap/>
              <w:overflowPunct/>
              <w:topLinePunct w:val="0"/>
              <w:autoSpaceDE/>
              <w:autoSpaceDN/>
              <w:bidi w:val="0"/>
              <w:adjustRightInd w:val="0"/>
              <w:snapToGrid w:val="0"/>
              <w:spacing w:line="260" w:lineRule="exact"/>
              <w:ind w:left="-105" w:leftChars="-50" w:right="-105" w:rightChars="-50"/>
              <w:jc w:val="center"/>
              <w:textAlignment w:val="auto"/>
              <w:rPr>
                <w:rFonts w:hint="default" w:ascii="Times New Roman" w:hAnsi="Times New Roman" w:cs="Times New Roman" w:eastAsiaTheme="minorEastAsia"/>
                <w:color w:val="FF0000"/>
                <w:szCs w:val="21"/>
              </w:rPr>
            </w:pPr>
            <w:r>
              <w:rPr>
                <w:rFonts w:hint="eastAsia" w:cs="Times New Roman"/>
                <w:color w:val="FF0000"/>
                <w:szCs w:val="21"/>
                <w:lang w:val="en-US" w:eastAsia="zh-CN"/>
              </w:rPr>
              <w:t>0.087</w:t>
            </w:r>
            <w:r>
              <w:rPr>
                <w:rFonts w:hint="default" w:ascii="Times New Roman" w:hAnsi="Times New Roman" w:cs="Times New Roman"/>
                <w:snapToGrid w:val="0"/>
                <w:color w:val="FF0000"/>
                <w:kern w:val="21"/>
                <w:szCs w:val="21"/>
              </w:rPr>
              <w:t>t/a</w:t>
            </w:r>
          </w:p>
        </w:tc>
        <w:tc>
          <w:tcPr>
            <w:tcW w:w="561" w:type="pct"/>
            <w:vAlign w:val="center"/>
          </w:tcPr>
          <w:p w14:paraId="2C94A59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eastAsiaTheme="minorEastAsia"/>
                <w:color w:val="FF0000"/>
                <w:szCs w:val="21"/>
                <w:lang w:val="en-US" w:eastAsia="zh-CN"/>
              </w:rPr>
            </w:pPr>
            <w:r>
              <w:rPr>
                <w:rFonts w:hint="default" w:ascii="Times New Roman" w:hAnsi="Times New Roman" w:cs="Times New Roman"/>
                <w:color w:val="FF0000"/>
                <w:kern w:val="0"/>
                <w:szCs w:val="21"/>
              </w:rPr>
              <w:t>/</w:t>
            </w:r>
          </w:p>
        </w:tc>
        <w:tc>
          <w:tcPr>
            <w:tcW w:w="646" w:type="pct"/>
            <w:vAlign w:val="center"/>
          </w:tcPr>
          <w:p w14:paraId="203ADE37">
            <w:pPr>
              <w:keepNext w:val="0"/>
              <w:keepLines w:val="0"/>
              <w:pageBreakBefore w:val="0"/>
              <w:widowControl w:val="0"/>
              <w:tabs>
                <w:tab w:val="left" w:pos="185"/>
              </w:tabs>
              <w:kinsoku/>
              <w:wordWrap/>
              <w:overflowPunct/>
              <w:topLinePunct w:val="0"/>
              <w:autoSpaceDE/>
              <w:autoSpaceDN/>
              <w:bidi w:val="0"/>
              <w:adjustRightInd w:val="0"/>
              <w:snapToGrid w:val="0"/>
              <w:spacing w:line="260" w:lineRule="exact"/>
              <w:ind w:left="-105" w:leftChars="-50" w:right="-105" w:rightChars="-50"/>
              <w:jc w:val="center"/>
              <w:textAlignment w:val="auto"/>
              <w:rPr>
                <w:rFonts w:hint="default" w:ascii="Times New Roman" w:hAnsi="Times New Roman" w:cs="Times New Roman"/>
                <w:color w:val="FF0000"/>
                <w:szCs w:val="21"/>
              </w:rPr>
            </w:pPr>
            <w:r>
              <w:rPr>
                <w:rFonts w:hint="eastAsia" w:cs="Times New Roman"/>
                <w:color w:val="FF0000"/>
                <w:szCs w:val="21"/>
                <w:lang w:val="en-US" w:eastAsia="zh-CN"/>
              </w:rPr>
              <w:t>0.087</w:t>
            </w:r>
            <w:r>
              <w:rPr>
                <w:rFonts w:hint="default" w:ascii="Times New Roman" w:hAnsi="Times New Roman" w:cs="Times New Roman"/>
                <w:snapToGrid w:val="0"/>
                <w:color w:val="FF0000"/>
                <w:kern w:val="21"/>
                <w:szCs w:val="21"/>
              </w:rPr>
              <w:t>t/a</w:t>
            </w:r>
          </w:p>
        </w:tc>
        <w:tc>
          <w:tcPr>
            <w:tcW w:w="409" w:type="pct"/>
            <w:vAlign w:val="center"/>
          </w:tcPr>
          <w:p w14:paraId="762FFA5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kern w:val="0"/>
                <w:szCs w:val="21"/>
              </w:rPr>
              <w:t>/</w:t>
            </w:r>
          </w:p>
        </w:tc>
      </w:tr>
      <w:tr w14:paraId="349809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 w:type="pct"/>
            <w:vMerge w:val="continue"/>
            <w:vAlign w:val="center"/>
          </w:tcPr>
          <w:p w14:paraId="1D087615">
            <w:pPr>
              <w:pStyle w:val="47"/>
              <w:keepNext w:val="0"/>
              <w:keepLines w:val="0"/>
              <w:pageBreakBefore w:val="0"/>
              <w:widowControl w:val="0"/>
              <w:kinsoku/>
              <w:wordWrap/>
              <w:overflowPunct/>
              <w:topLinePunct w:val="0"/>
              <w:autoSpaceDE/>
              <w:autoSpaceDN/>
              <w:bidi w:val="0"/>
              <w:adjustRightInd w:val="0"/>
              <w:snapToGrid w:val="0"/>
              <w:spacing w:beforeLines="0" w:after="0" w:afterLines="0" w:line="260" w:lineRule="exact"/>
              <w:textAlignment w:val="auto"/>
              <w:rPr>
                <w:rFonts w:hint="default" w:ascii="Times New Roman" w:hAnsi="Times New Roman" w:cs="Times New Roman"/>
                <w:bCs/>
                <w:color w:val="auto"/>
                <w:kern w:val="2"/>
                <w:szCs w:val="21"/>
              </w:rPr>
            </w:pPr>
          </w:p>
        </w:tc>
        <w:tc>
          <w:tcPr>
            <w:tcW w:w="925" w:type="pct"/>
            <w:vAlign w:val="center"/>
          </w:tcPr>
          <w:p w14:paraId="7F08FC8E">
            <w:pPr>
              <w:pStyle w:val="47"/>
              <w:keepNext w:val="0"/>
              <w:keepLines w:val="0"/>
              <w:pageBreakBefore w:val="0"/>
              <w:widowControl w:val="0"/>
              <w:kinsoku/>
              <w:wordWrap/>
              <w:overflowPunct/>
              <w:topLinePunct w:val="0"/>
              <w:autoSpaceDE/>
              <w:autoSpaceDN/>
              <w:bidi w:val="0"/>
              <w:adjustRightInd w:val="0"/>
              <w:snapToGrid w:val="0"/>
              <w:spacing w:beforeLines="0" w:after="0" w:afterLines="0" w:line="260" w:lineRule="exact"/>
              <w:textAlignment w:val="auto"/>
              <w:rPr>
                <w:rFonts w:hint="eastAsia" w:ascii="Times New Roman" w:hAnsi="Times New Roman" w:eastAsia="宋体" w:cs="Times New Roman"/>
                <w:bCs/>
                <w:color w:val="auto"/>
                <w:kern w:val="2"/>
                <w:szCs w:val="21"/>
                <w:lang w:val="en-US" w:eastAsia="zh-CN"/>
              </w:rPr>
            </w:pPr>
            <w:r>
              <w:rPr>
                <w:rFonts w:hint="eastAsia" w:ascii="Times New Roman" w:cs="Times New Roman"/>
                <w:bCs/>
                <w:color w:val="auto"/>
                <w:kern w:val="2"/>
                <w:szCs w:val="21"/>
                <w:lang w:val="en-US" w:eastAsia="zh-CN"/>
              </w:rPr>
              <w:t>非甲烷总烃</w:t>
            </w:r>
          </w:p>
        </w:tc>
        <w:tc>
          <w:tcPr>
            <w:tcW w:w="514" w:type="pct"/>
            <w:vAlign w:val="center"/>
          </w:tcPr>
          <w:p w14:paraId="0971FCC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403" w:type="pct"/>
            <w:vAlign w:val="center"/>
          </w:tcPr>
          <w:p w14:paraId="176B023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45" w:type="pct"/>
            <w:vAlign w:val="center"/>
          </w:tcPr>
          <w:p w14:paraId="56D504F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84" w:type="pct"/>
            <w:vAlign w:val="center"/>
          </w:tcPr>
          <w:p w14:paraId="4C88F442">
            <w:pPr>
              <w:keepNext w:val="0"/>
              <w:keepLines w:val="0"/>
              <w:pageBreakBefore w:val="0"/>
              <w:widowControl w:val="0"/>
              <w:tabs>
                <w:tab w:val="left" w:pos="4425"/>
              </w:tabs>
              <w:kinsoku/>
              <w:wordWrap/>
              <w:overflowPunct/>
              <w:topLinePunct w:val="0"/>
              <w:autoSpaceDE/>
              <w:autoSpaceDN/>
              <w:bidi w:val="0"/>
              <w:adjustRightInd w:val="0"/>
              <w:snapToGrid w:val="0"/>
              <w:spacing w:line="260" w:lineRule="exact"/>
              <w:jc w:val="center"/>
              <w:textAlignment w:val="auto"/>
              <w:rPr>
                <w:rFonts w:hint="default" w:cs="Times New Roman"/>
                <w:snapToGrid w:val="0"/>
                <w:color w:val="auto"/>
                <w:kern w:val="21"/>
                <w:szCs w:val="21"/>
                <w:lang w:val="en-US" w:eastAsia="zh-CN"/>
              </w:rPr>
            </w:pPr>
            <w:r>
              <w:rPr>
                <w:rFonts w:hint="eastAsia" w:cs="Times New Roman"/>
                <w:snapToGrid w:val="0"/>
                <w:color w:val="auto"/>
                <w:kern w:val="21"/>
                <w:szCs w:val="21"/>
                <w:lang w:val="en-US" w:eastAsia="zh-CN"/>
              </w:rPr>
              <w:t>0.93</w:t>
            </w:r>
            <w:r>
              <w:rPr>
                <w:rFonts w:hint="default" w:ascii="Times New Roman" w:hAnsi="Times New Roman" w:cs="Times New Roman"/>
                <w:snapToGrid w:val="0"/>
                <w:color w:val="auto"/>
                <w:kern w:val="21"/>
                <w:szCs w:val="21"/>
              </w:rPr>
              <w:t>t/a</w:t>
            </w:r>
          </w:p>
        </w:tc>
        <w:tc>
          <w:tcPr>
            <w:tcW w:w="561" w:type="pct"/>
            <w:vAlign w:val="center"/>
          </w:tcPr>
          <w:p w14:paraId="1D95C72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646" w:type="pct"/>
            <w:vAlign w:val="center"/>
          </w:tcPr>
          <w:p w14:paraId="250BFB4F">
            <w:pPr>
              <w:keepNext w:val="0"/>
              <w:keepLines w:val="0"/>
              <w:pageBreakBefore w:val="0"/>
              <w:widowControl w:val="0"/>
              <w:tabs>
                <w:tab w:val="left" w:pos="4425"/>
              </w:tabs>
              <w:kinsoku/>
              <w:wordWrap/>
              <w:overflowPunct/>
              <w:topLinePunct w:val="0"/>
              <w:autoSpaceDE/>
              <w:autoSpaceDN/>
              <w:bidi w:val="0"/>
              <w:adjustRightInd w:val="0"/>
              <w:snapToGrid w:val="0"/>
              <w:spacing w:line="260" w:lineRule="exact"/>
              <w:jc w:val="center"/>
              <w:textAlignment w:val="auto"/>
              <w:rPr>
                <w:rFonts w:hint="eastAsia" w:cs="Times New Roman"/>
                <w:snapToGrid w:val="0"/>
                <w:color w:val="auto"/>
                <w:kern w:val="21"/>
                <w:szCs w:val="21"/>
                <w:lang w:val="en-US" w:eastAsia="zh-CN"/>
              </w:rPr>
            </w:pPr>
            <w:r>
              <w:rPr>
                <w:rFonts w:hint="eastAsia" w:cs="Times New Roman"/>
                <w:snapToGrid w:val="0"/>
                <w:color w:val="auto"/>
                <w:kern w:val="21"/>
                <w:szCs w:val="21"/>
                <w:lang w:val="en-US" w:eastAsia="zh-CN"/>
              </w:rPr>
              <w:t>0.93</w:t>
            </w:r>
            <w:r>
              <w:rPr>
                <w:rFonts w:hint="default" w:ascii="Times New Roman" w:hAnsi="Times New Roman" w:cs="Times New Roman"/>
                <w:snapToGrid w:val="0"/>
                <w:color w:val="auto"/>
                <w:kern w:val="21"/>
                <w:szCs w:val="21"/>
              </w:rPr>
              <w:t>t/a</w:t>
            </w:r>
          </w:p>
        </w:tc>
        <w:tc>
          <w:tcPr>
            <w:tcW w:w="409" w:type="pct"/>
            <w:vAlign w:val="center"/>
          </w:tcPr>
          <w:p w14:paraId="43C1352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r>
      <w:tr w14:paraId="432C8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410" w:type="pct"/>
            <w:vMerge w:val="restart"/>
            <w:vAlign w:val="center"/>
          </w:tcPr>
          <w:p w14:paraId="46DAC711">
            <w:pPr>
              <w:pStyle w:val="47"/>
              <w:keepNext w:val="0"/>
              <w:keepLines w:val="0"/>
              <w:pageBreakBefore w:val="0"/>
              <w:widowControl w:val="0"/>
              <w:kinsoku/>
              <w:wordWrap/>
              <w:overflowPunct/>
              <w:topLinePunct w:val="0"/>
              <w:autoSpaceDE/>
              <w:autoSpaceDN/>
              <w:bidi w:val="0"/>
              <w:adjustRightInd w:val="0"/>
              <w:snapToGrid w:val="0"/>
              <w:spacing w:beforeLines="0" w:after="0" w:afterLines="0" w:line="260" w:lineRule="exact"/>
              <w:textAlignment w:val="auto"/>
              <w:rPr>
                <w:rFonts w:hint="default" w:ascii="Times New Roman" w:hAnsi="Times New Roman" w:cs="Times New Roman"/>
                <w:bCs/>
                <w:color w:val="auto"/>
                <w:kern w:val="2"/>
                <w:szCs w:val="21"/>
              </w:rPr>
            </w:pPr>
            <w:r>
              <w:rPr>
                <w:rFonts w:hint="default" w:ascii="Times New Roman" w:hAnsi="Times New Roman" w:cs="Times New Roman"/>
                <w:bCs/>
                <w:color w:val="auto"/>
                <w:kern w:val="2"/>
                <w:szCs w:val="21"/>
              </w:rPr>
              <w:t>废水</w:t>
            </w:r>
          </w:p>
        </w:tc>
        <w:tc>
          <w:tcPr>
            <w:tcW w:w="925" w:type="pct"/>
            <w:vAlign w:val="center"/>
          </w:tcPr>
          <w:p w14:paraId="2802471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COD</w:t>
            </w:r>
          </w:p>
        </w:tc>
        <w:tc>
          <w:tcPr>
            <w:tcW w:w="514" w:type="pct"/>
            <w:vAlign w:val="center"/>
          </w:tcPr>
          <w:p w14:paraId="769E5C0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kern w:val="0"/>
                <w:szCs w:val="21"/>
              </w:rPr>
              <w:t>/</w:t>
            </w:r>
          </w:p>
        </w:tc>
        <w:tc>
          <w:tcPr>
            <w:tcW w:w="403" w:type="pct"/>
            <w:vAlign w:val="center"/>
          </w:tcPr>
          <w:p w14:paraId="3CE4E48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kern w:val="0"/>
                <w:szCs w:val="21"/>
              </w:rPr>
              <w:t>/</w:t>
            </w:r>
          </w:p>
        </w:tc>
        <w:tc>
          <w:tcPr>
            <w:tcW w:w="545" w:type="pct"/>
            <w:vAlign w:val="center"/>
          </w:tcPr>
          <w:p w14:paraId="1B1D36F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kern w:val="0"/>
                <w:szCs w:val="21"/>
              </w:rPr>
              <w:t>/</w:t>
            </w:r>
          </w:p>
        </w:tc>
        <w:tc>
          <w:tcPr>
            <w:tcW w:w="584" w:type="pct"/>
            <w:vAlign w:val="center"/>
          </w:tcPr>
          <w:p w14:paraId="4C3993D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Cs w:val="21"/>
              </w:rPr>
            </w:pPr>
            <w:r>
              <w:rPr>
                <w:rFonts w:hint="eastAsia" w:cs="Times New Roman"/>
                <w:bCs/>
                <w:color w:val="auto"/>
                <w:sz w:val="21"/>
                <w:szCs w:val="21"/>
                <w:lang w:val="en-US" w:eastAsia="zh-CN"/>
              </w:rPr>
              <w:t>0</w:t>
            </w:r>
            <w:r>
              <w:rPr>
                <w:rFonts w:hint="default" w:ascii="Times New Roman" w:hAnsi="Times New Roman" w:cs="Times New Roman"/>
                <w:snapToGrid w:val="0"/>
                <w:color w:val="auto"/>
                <w:kern w:val="21"/>
                <w:szCs w:val="21"/>
              </w:rPr>
              <w:t>t/a</w:t>
            </w:r>
          </w:p>
        </w:tc>
        <w:tc>
          <w:tcPr>
            <w:tcW w:w="561" w:type="pct"/>
            <w:vAlign w:val="center"/>
          </w:tcPr>
          <w:p w14:paraId="1C8E30F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kern w:val="0"/>
                <w:szCs w:val="21"/>
              </w:rPr>
              <w:t>/</w:t>
            </w:r>
          </w:p>
        </w:tc>
        <w:tc>
          <w:tcPr>
            <w:tcW w:w="646" w:type="pct"/>
            <w:vAlign w:val="center"/>
          </w:tcPr>
          <w:p w14:paraId="4465494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Cs w:val="21"/>
              </w:rPr>
            </w:pPr>
            <w:r>
              <w:rPr>
                <w:rFonts w:hint="eastAsia" w:cs="Times New Roman"/>
                <w:bCs/>
                <w:color w:val="auto"/>
                <w:sz w:val="21"/>
                <w:szCs w:val="21"/>
                <w:lang w:val="en-US" w:eastAsia="zh-CN"/>
              </w:rPr>
              <w:t>0</w:t>
            </w:r>
            <w:r>
              <w:rPr>
                <w:rFonts w:hint="default" w:ascii="Times New Roman" w:hAnsi="Times New Roman" w:cs="Times New Roman"/>
                <w:snapToGrid w:val="0"/>
                <w:color w:val="auto"/>
                <w:kern w:val="21"/>
                <w:szCs w:val="21"/>
              </w:rPr>
              <w:t>t/a</w:t>
            </w:r>
          </w:p>
        </w:tc>
        <w:tc>
          <w:tcPr>
            <w:tcW w:w="409" w:type="pct"/>
            <w:vAlign w:val="center"/>
          </w:tcPr>
          <w:p w14:paraId="47650B7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kern w:val="0"/>
                <w:szCs w:val="21"/>
              </w:rPr>
              <w:t>/</w:t>
            </w:r>
          </w:p>
        </w:tc>
      </w:tr>
      <w:tr w14:paraId="275957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410" w:type="pct"/>
            <w:vMerge w:val="continue"/>
            <w:vAlign w:val="center"/>
          </w:tcPr>
          <w:p w14:paraId="3BA51429">
            <w:pPr>
              <w:pStyle w:val="47"/>
              <w:keepNext w:val="0"/>
              <w:keepLines w:val="0"/>
              <w:pageBreakBefore w:val="0"/>
              <w:widowControl w:val="0"/>
              <w:kinsoku/>
              <w:wordWrap/>
              <w:overflowPunct/>
              <w:topLinePunct w:val="0"/>
              <w:autoSpaceDE/>
              <w:autoSpaceDN/>
              <w:bidi w:val="0"/>
              <w:adjustRightInd w:val="0"/>
              <w:snapToGrid w:val="0"/>
              <w:spacing w:beforeLines="0" w:after="0" w:afterLines="0" w:line="260" w:lineRule="exact"/>
              <w:textAlignment w:val="auto"/>
              <w:rPr>
                <w:rFonts w:hint="default" w:ascii="Times New Roman" w:hAnsi="Times New Roman" w:cs="Times New Roman"/>
                <w:bCs/>
                <w:color w:val="auto"/>
                <w:kern w:val="2"/>
                <w:szCs w:val="21"/>
              </w:rPr>
            </w:pPr>
          </w:p>
        </w:tc>
        <w:tc>
          <w:tcPr>
            <w:tcW w:w="925" w:type="pct"/>
            <w:vAlign w:val="center"/>
          </w:tcPr>
          <w:p w14:paraId="47587D4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cs="Times New Roman"/>
                <w:color w:val="auto"/>
                <w:szCs w:val="21"/>
                <w:lang w:val="en-US" w:eastAsia="zh-CN"/>
              </w:rPr>
            </w:pPr>
            <w:r>
              <w:rPr>
                <w:rFonts w:hint="eastAsia" w:cs="Times New Roman"/>
                <w:color w:val="000000" w:themeColor="text1"/>
                <w:sz w:val="21"/>
                <w:szCs w:val="21"/>
                <w:lang w:val="en-US" w:eastAsia="zh-CN"/>
                <w14:textFill>
                  <w14:solidFill>
                    <w14:schemeClr w14:val="tx1"/>
                  </w14:solidFill>
                </w14:textFill>
              </w:rPr>
              <w:t>BOD</w:t>
            </w:r>
            <w:r>
              <w:rPr>
                <w:rFonts w:hint="eastAsia" w:cs="Times New Roman"/>
                <w:color w:val="000000" w:themeColor="text1"/>
                <w:sz w:val="21"/>
                <w:szCs w:val="21"/>
                <w:vertAlign w:val="subscript"/>
                <w:lang w:val="en-US" w:eastAsia="zh-CN"/>
                <w14:textFill>
                  <w14:solidFill>
                    <w14:schemeClr w14:val="tx1"/>
                  </w14:solidFill>
                </w14:textFill>
              </w:rPr>
              <w:t>5</w:t>
            </w:r>
          </w:p>
        </w:tc>
        <w:tc>
          <w:tcPr>
            <w:tcW w:w="514" w:type="pct"/>
            <w:vAlign w:val="center"/>
          </w:tcPr>
          <w:p w14:paraId="7B09741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403" w:type="pct"/>
            <w:vAlign w:val="center"/>
          </w:tcPr>
          <w:p w14:paraId="5EC3817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45" w:type="pct"/>
            <w:vAlign w:val="center"/>
          </w:tcPr>
          <w:p w14:paraId="67E3651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84" w:type="pct"/>
            <w:vAlign w:val="center"/>
          </w:tcPr>
          <w:p w14:paraId="626F098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snapToGrid w:val="0"/>
                <w:color w:val="auto"/>
                <w:kern w:val="21"/>
                <w:szCs w:val="21"/>
              </w:rPr>
            </w:pPr>
            <w:r>
              <w:rPr>
                <w:rFonts w:hint="eastAsia" w:cs="Times New Roman"/>
                <w:bCs/>
                <w:color w:val="auto"/>
                <w:sz w:val="21"/>
                <w:szCs w:val="21"/>
                <w:lang w:val="en-US" w:eastAsia="zh-CN"/>
              </w:rPr>
              <w:t>0</w:t>
            </w:r>
            <w:r>
              <w:rPr>
                <w:rFonts w:hint="default" w:ascii="Times New Roman" w:hAnsi="Times New Roman" w:cs="Times New Roman"/>
                <w:snapToGrid w:val="0"/>
                <w:color w:val="auto"/>
                <w:kern w:val="21"/>
                <w:szCs w:val="21"/>
              </w:rPr>
              <w:t>t/a</w:t>
            </w:r>
          </w:p>
        </w:tc>
        <w:tc>
          <w:tcPr>
            <w:tcW w:w="561" w:type="pct"/>
            <w:vAlign w:val="center"/>
          </w:tcPr>
          <w:p w14:paraId="4E2A266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646" w:type="pct"/>
            <w:vAlign w:val="center"/>
          </w:tcPr>
          <w:p w14:paraId="39FBD88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snapToGrid w:val="0"/>
                <w:color w:val="auto"/>
                <w:kern w:val="21"/>
                <w:szCs w:val="21"/>
              </w:rPr>
            </w:pPr>
            <w:r>
              <w:rPr>
                <w:rFonts w:hint="eastAsia" w:cs="Times New Roman"/>
                <w:bCs/>
                <w:color w:val="auto"/>
                <w:sz w:val="21"/>
                <w:szCs w:val="21"/>
                <w:lang w:val="en-US" w:eastAsia="zh-CN"/>
              </w:rPr>
              <w:t>0</w:t>
            </w:r>
            <w:r>
              <w:rPr>
                <w:rFonts w:hint="default" w:ascii="Times New Roman" w:hAnsi="Times New Roman" w:cs="Times New Roman"/>
                <w:snapToGrid w:val="0"/>
                <w:color w:val="auto"/>
                <w:kern w:val="21"/>
                <w:szCs w:val="21"/>
              </w:rPr>
              <w:t>t/a</w:t>
            </w:r>
          </w:p>
        </w:tc>
        <w:tc>
          <w:tcPr>
            <w:tcW w:w="409" w:type="pct"/>
            <w:vAlign w:val="center"/>
          </w:tcPr>
          <w:p w14:paraId="1C98E83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r>
      <w:tr w14:paraId="6FA277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 w:type="pct"/>
            <w:vMerge w:val="continue"/>
            <w:vAlign w:val="center"/>
          </w:tcPr>
          <w:p w14:paraId="721B8DCC">
            <w:pPr>
              <w:pStyle w:val="47"/>
              <w:keepNext w:val="0"/>
              <w:keepLines w:val="0"/>
              <w:pageBreakBefore w:val="0"/>
              <w:widowControl w:val="0"/>
              <w:kinsoku/>
              <w:wordWrap/>
              <w:overflowPunct/>
              <w:topLinePunct w:val="0"/>
              <w:autoSpaceDE/>
              <w:autoSpaceDN/>
              <w:bidi w:val="0"/>
              <w:adjustRightInd w:val="0"/>
              <w:snapToGrid w:val="0"/>
              <w:spacing w:beforeLines="0" w:after="0" w:afterLines="0" w:line="260" w:lineRule="exact"/>
              <w:textAlignment w:val="auto"/>
              <w:rPr>
                <w:rFonts w:hint="default" w:ascii="Times New Roman" w:hAnsi="Times New Roman" w:cs="Times New Roman"/>
                <w:bCs/>
                <w:color w:val="auto"/>
                <w:kern w:val="2"/>
                <w:szCs w:val="21"/>
              </w:rPr>
            </w:pPr>
          </w:p>
        </w:tc>
        <w:tc>
          <w:tcPr>
            <w:tcW w:w="925" w:type="pct"/>
            <w:vAlign w:val="center"/>
          </w:tcPr>
          <w:p w14:paraId="6981054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cs="Times New Roman"/>
                <w:color w:val="auto"/>
                <w:szCs w:val="21"/>
                <w:lang w:val="en-US" w:eastAsia="zh-CN"/>
              </w:rPr>
            </w:pPr>
            <w:r>
              <w:rPr>
                <w:rFonts w:hint="eastAsia" w:cs="Times New Roman"/>
                <w:color w:val="auto"/>
                <w:szCs w:val="21"/>
                <w:lang w:val="en-US" w:eastAsia="zh-CN"/>
              </w:rPr>
              <w:t>SS</w:t>
            </w:r>
          </w:p>
        </w:tc>
        <w:tc>
          <w:tcPr>
            <w:tcW w:w="514" w:type="pct"/>
            <w:vAlign w:val="center"/>
          </w:tcPr>
          <w:p w14:paraId="2802BF3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403" w:type="pct"/>
            <w:vAlign w:val="center"/>
          </w:tcPr>
          <w:p w14:paraId="2688091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45" w:type="pct"/>
            <w:vAlign w:val="center"/>
          </w:tcPr>
          <w:p w14:paraId="088762C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84" w:type="pct"/>
            <w:vAlign w:val="center"/>
          </w:tcPr>
          <w:p w14:paraId="3483381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cs="Times New Roman"/>
                <w:bCs/>
                <w:color w:val="auto"/>
                <w:sz w:val="21"/>
                <w:szCs w:val="21"/>
                <w:lang w:val="en-US" w:eastAsia="zh-CN"/>
              </w:rPr>
            </w:pPr>
            <w:r>
              <w:rPr>
                <w:rFonts w:hint="eastAsia" w:cs="Times New Roman"/>
                <w:bCs/>
                <w:color w:val="auto"/>
                <w:sz w:val="21"/>
                <w:szCs w:val="21"/>
                <w:lang w:val="en-US" w:eastAsia="zh-CN"/>
              </w:rPr>
              <w:t>0</w:t>
            </w:r>
            <w:r>
              <w:rPr>
                <w:rFonts w:hint="default" w:ascii="Times New Roman" w:hAnsi="Times New Roman" w:cs="Times New Roman"/>
                <w:snapToGrid w:val="0"/>
                <w:color w:val="auto"/>
                <w:kern w:val="21"/>
                <w:szCs w:val="21"/>
              </w:rPr>
              <w:t>t/a</w:t>
            </w:r>
          </w:p>
        </w:tc>
        <w:tc>
          <w:tcPr>
            <w:tcW w:w="561" w:type="pct"/>
            <w:vAlign w:val="center"/>
          </w:tcPr>
          <w:p w14:paraId="36D6C1F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646" w:type="pct"/>
            <w:vAlign w:val="center"/>
          </w:tcPr>
          <w:p w14:paraId="78791C6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cs="Times New Roman"/>
                <w:bCs/>
                <w:color w:val="auto"/>
                <w:sz w:val="21"/>
                <w:szCs w:val="21"/>
                <w:lang w:val="en-US" w:eastAsia="zh-CN"/>
              </w:rPr>
            </w:pPr>
            <w:r>
              <w:rPr>
                <w:rFonts w:hint="eastAsia" w:cs="Times New Roman"/>
                <w:bCs/>
                <w:color w:val="auto"/>
                <w:sz w:val="21"/>
                <w:szCs w:val="21"/>
                <w:lang w:val="en-US" w:eastAsia="zh-CN"/>
              </w:rPr>
              <w:t>0</w:t>
            </w:r>
            <w:r>
              <w:rPr>
                <w:rFonts w:hint="default" w:ascii="Times New Roman" w:hAnsi="Times New Roman" w:cs="Times New Roman"/>
                <w:snapToGrid w:val="0"/>
                <w:color w:val="auto"/>
                <w:kern w:val="21"/>
                <w:szCs w:val="21"/>
              </w:rPr>
              <w:t>t/a</w:t>
            </w:r>
          </w:p>
        </w:tc>
        <w:tc>
          <w:tcPr>
            <w:tcW w:w="409" w:type="pct"/>
            <w:vAlign w:val="center"/>
          </w:tcPr>
          <w:p w14:paraId="5A3FE6C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r>
      <w:tr w14:paraId="1276FE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 w:type="pct"/>
            <w:vMerge w:val="continue"/>
            <w:vAlign w:val="center"/>
          </w:tcPr>
          <w:p w14:paraId="5105ECA9">
            <w:pPr>
              <w:pStyle w:val="47"/>
              <w:keepNext w:val="0"/>
              <w:keepLines w:val="0"/>
              <w:pageBreakBefore w:val="0"/>
              <w:widowControl w:val="0"/>
              <w:kinsoku/>
              <w:wordWrap/>
              <w:overflowPunct/>
              <w:topLinePunct w:val="0"/>
              <w:autoSpaceDE/>
              <w:autoSpaceDN/>
              <w:bidi w:val="0"/>
              <w:adjustRightInd w:val="0"/>
              <w:snapToGrid w:val="0"/>
              <w:spacing w:beforeLines="0" w:after="0" w:afterLines="0" w:line="260" w:lineRule="exact"/>
              <w:textAlignment w:val="auto"/>
              <w:rPr>
                <w:rFonts w:hint="default" w:ascii="Times New Roman" w:hAnsi="Times New Roman" w:cs="Times New Roman"/>
                <w:bCs/>
                <w:color w:val="auto"/>
                <w:kern w:val="2"/>
                <w:szCs w:val="21"/>
              </w:rPr>
            </w:pPr>
          </w:p>
        </w:tc>
        <w:tc>
          <w:tcPr>
            <w:tcW w:w="925" w:type="pct"/>
            <w:vAlign w:val="center"/>
          </w:tcPr>
          <w:p w14:paraId="590C266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氨氮</w:t>
            </w:r>
          </w:p>
        </w:tc>
        <w:tc>
          <w:tcPr>
            <w:tcW w:w="514" w:type="pct"/>
            <w:vAlign w:val="center"/>
          </w:tcPr>
          <w:p w14:paraId="18940B8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kern w:val="0"/>
                <w:szCs w:val="21"/>
              </w:rPr>
              <w:t>/</w:t>
            </w:r>
          </w:p>
        </w:tc>
        <w:tc>
          <w:tcPr>
            <w:tcW w:w="403" w:type="pct"/>
            <w:vAlign w:val="center"/>
          </w:tcPr>
          <w:p w14:paraId="43229EB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kern w:val="0"/>
                <w:szCs w:val="21"/>
              </w:rPr>
              <w:t>/</w:t>
            </w:r>
          </w:p>
        </w:tc>
        <w:tc>
          <w:tcPr>
            <w:tcW w:w="545" w:type="pct"/>
            <w:vAlign w:val="center"/>
          </w:tcPr>
          <w:p w14:paraId="008CEF5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kern w:val="0"/>
                <w:szCs w:val="21"/>
              </w:rPr>
              <w:t>/</w:t>
            </w:r>
          </w:p>
        </w:tc>
        <w:tc>
          <w:tcPr>
            <w:tcW w:w="584" w:type="pct"/>
            <w:vAlign w:val="center"/>
          </w:tcPr>
          <w:p w14:paraId="61E06C4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Cs w:val="21"/>
              </w:rPr>
            </w:pPr>
            <w:r>
              <w:rPr>
                <w:rFonts w:hint="eastAsia" w:cs="Times New Roman"/>
                <w:bCs/>
                <w:color w:val="auto"/>
                <w:sz w:val="21"/>
                <w:szCs w:val="21"/>
                <w:lang w:val="en-US" w:eastAsia="zh-CN"/>
              </w:rPr>
              <w:t>0</w:t>
            </w:r>
            <w:r>
              <w:rPr>
                <w:rFonts w:hint="default" w:ascii="Times New Roman" w:hAnsi="Times New Roman" w:cs="Times New Roman"/>
                <w:snapToGrid w:val="0"/>
                <w:color w:val="auto"/>
                <w:kern w:val="21"/>
                <w:szCs w:val="21"/>
              </w:rPr>
              <w:t>t/a</w:t>
            </w:r>
          </w:p>
        </w:tc>
        <w:tc>
          <w:tcPr>
            <w:tcW w:w="561" w:type="pct"/>
            <w:vAlign w:val="center"/>
          </w:tcPr>
          <w:p w14:paraId="362C66C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kern w:val="0"/>
                <w:szCs w:val="21"/>
              </w:rPr>
              <w:t>/</w:t>
            </w:r>
          </w:p>
        </w:tc>
        <w:tc>
          <w:tcPr>
            <w:tcW w:w="646" w:type="pct"/>
            <w:vAlign w:val="center"/>
          </w:tcPr>
          <w:p w14:paraId="2BF756E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Cs w:val="21"/>
              </w:rPr>
            </w:pPr>
            <w:r>
              <w:rPr>
                <w:rFonts w:hint="eastAsia" w:cs="Times New Roman"/>
                <w:bCs/>
                <w:color w:val="auto"/>
                <w:sz w:val="21"/>
                <w:szCs w:val="21"/>
                <w:lang w:val="en-US" w:eastAsia="zh-CN"/>
              </w:rPr>
              <w:t>0</w:t>
            </w:r>
            <w:r>
              <w:rPr>
                <w:rFonts w:hint="default" w:ascii="Times New Roman" w:hAnsi="Times New Roman" w:cs="Times New Roman"/>
                <w:snapToGrid w:val="0"/>
                <w:color w:val="auto"/>
                <w:kern w:val="21"/>
                <w:szCs w:val="21"/>
              </w:rPr>
              <w:t>t/a</w:t>
            </w:r>
          </w:p>
        </w:tc>
        <w:tc>
          <w:tcPr>
            <w:tcW w:w="409" w:type="pct"/>
            <w:vAlign w:val="center"/>
          </w:tcPr>
          <w:p w14:paraId="4D1B49B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kern w:val="0"/>
                <w:szCs w:val="21"/>
              </w:rPr>
              <w:t>/</w:t>
            </w:r>
          </w:p>
        </w:tc>
      </w:tr>
      <w:tr w14:paraId="7CFA89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 w:type="pct"/>
            <w:vMerge w:val="restart"/>
            <w:vAlign w:val="center"/>
          </w:tcPr>
          <w:p w14:paraId="760AACFF">
            <w:pPr>
              <w:pStyle w:val="47"/>
              <w:keepNext w:val="0"/>
              <w:keepLines w:val="0"/>
              <w:pageBreakBefore w:val="0"/>
              <w:widowControl w:val="0"/>
              <w:kinsoku/>
              <w:wordWrap/>
              <w:overflowPunct/>
              <w:topLinePunct w:val="0"/>
              <w:autoSpaceDE/>
              <w:autoSpaceDN/>
              <w:bidi w:val="0"/>
              <w:adjustRightInd w:val="0"/>
              <w:snapToGrid w:val="0"/>
              <w:spacing w:beforeLines="0" w:after="0" w:afterLines="0" w:line="260" w:lineRule="exact"/>
              <w:textAlignment w:val="auto"/>
              <w:rPr>
                <w:rFonts w:hint="default" w:ascii="Times New Roman" w:hAnsi="Times New Roman" w:cs="Times New Roman"/>
                <w:bCs/>
                <w:color w:val="auto"/>
                <w:kern w:val="2"/>
                <w:szCs w:val="21"/>
              </w:rPr>
            </w:pPr>
            <w:r>
              <w:rPr>
                <w:rFonts w:hint="default" w:ascii="Times New Roman" w:hAnsi="Times New Roman" w:cs="Times New Roman"/>
                <w:bCs/>
                <w:color w:val="auto"/>
                <w:kern w:val="2"/>
                <w:szCs w:val="21"/>
              </w:rPr>
              <w:t>一般工业</w:t>
            </w:r>
          </w:p>
          <w:p w14:paraId="62024EA9">
            <w:pPr>
              <w:pStyle w:val="47"/>
              <w:keepNext w:val="0"/>
              <w:keepLines w:val="0"/>
              <w:pageBreakBefore w:val="0"/>
              <w:widowControl w:val="0"/>
              <w:kinsoku/>
              <w:wordWrap/>
              <w:overflowPunct/>
              <w:topLinePunct w:val="0"/>
              <w:autoSpaceDE/>
              <w:autoSpaceDN/>
              <w:bidi w:val="0"/>
              <w:adjustRightInd w:val="0"/>
              <w:snapToGrid w:val="0"/>
              <w:spacing w:beforeLines="0" w:after="0" w:afterLines="0" w:line="260" w:lineRule="exact"/>
              <w:textAlignment w:val="auto"/>
              <w:rPr>
                <w:rFonts w:hint="default" w:ascii="Times New Roman" w:hAnsi="Times New Roman" w:cs="Times New Roman"/>
                <w:bCs/>
                <w:color w:val="auto"/>
                <w:kern w:val="2"/>
                <w:szCs w:val="21"/>
              </w:rPr>
            </w:pPr>
            <w:r>
              <w:rPr>
                <w:rFonts w:hint="default" w:ascii="Times New Roman" w:hAnsi="Times New Roman" w:cs="Times New Roman"/>
                <w:bCs/>
                <w:color w:val="auto"/>
                <w:kern w:val="2"/>
                <w:szCs w:val="21"/>
              </w:rPr>
              <w:t>固体废物</w:t>
            </w:r>
          </w:p>
        </w:tc>
        <w:tc>
          <w:tcPr>
            <w:tcW w:w="925" w:type="pct"/>
            <w:vAlign w:val="center"/>
          </w:tcPr>
          <w:p w14:paraId="192DF7B0">
            <w:pPr>
              <w:pStyle w:val="87"/>
              <w:spacing w:line="280" w:lineRule="exact"/>
              <w:ind w:firstLine="0" w:firstLineChars="0"/>
              <w:jc w:val="center"/>
              <w:rPr>
                <w:rFonts w:hint="default" w:ascii="Times New Roman" w:hAnsi="Times New Roman" w:cs="Times New Roman"/>
                <w:color w:val="auto"/>
                <w:szCs w:val="21"/>
                <w:lang w:val="en-US"/>
              </w:rPr>
            </w:pPr>
            <w:r>
              <w:rPr>
                <w:rFonts w:hint="eastAsia" w:ascii="Times New Roman" w:hAnsi="Times New Roman" w:cs="Times New Roman"/>
                <w:bCs/>
                <w:color w:val="auto"/>
                <w:sz w:val="21"/>
                <w:szCs w:val="21"/>
                <w:shd w:val="clear" w:color="auto" w:fill="auto"/>
                <w:lang w:val="en-US" w:eastAsia="zh-CN"/>
              </w:rPr>
              <w:t>底泥</w:t>
            </w:r>
          </w:p>
        </w:tc>
        <w:tc>
          <w:tcPr>
            <w:tcW w:w="514" w:type="pct"/>
            <w:vAlign w:val="center"/>
          </w:tcPr>
          <w:p w14:paraId="0792F19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snapToGrid w:val="0"/>
                <w:color w:val="auto"/>
                <w:szCs w:val="21"/>
              </w:rPr>
            </w:pPr>
            <w:r>
              <w:rPr>
                <w:rFonts w:hint="default" w:ascii="Times New Roman" w:hAnsi="Times New Roman" w:cs="Times New Roman"/>
                <w:color w:val="auto"/>
                <w:kern w:val="0"/>
                <w:szCs w:val="21"/>
              </w:rPr>
              <w:t>/</w:t>
            </w:r>
          </w:p>
        </w:tc>
        <w:tc>
          <w:tcPr>
            <w:tcW w:w="403" w:type="pct"/>
            <w:vAlign w:val="center"/>
          </w:tcPr>
          <w:p w14:paraId="3D2EC1F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snapToGrid w:val="0"/>
                <w:color w:val="auto"/>
                <w:szCs w:val="21"/>
              </w:rPr>
            </w:pPr>
            <w:r>
              <w:rPr>
                <w:rFonts w:hint="default" w:ascii="Times New Roman" w:hAnsi="Times New Roman" w:cs="Times New Roman"/>
                <w:color w:val="auto"/>
                <w:kern w:val="0"/>
                <w:szCs w:val="21"/>
              </w:rPr>
              <w:t>/</w:t>
            </w:r>
          </w:p>
        </w:tc>
        <w:tc>
          <w:tcPr>
            <w:tcW w:w="545" w:type="pct"/>
            <w:vAlign w:val="center"/>
          </w:tcPr>
          <w:p w14:paraId="04740B4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snapToGrid w:val="0"/>
                <w:color w:val="auto"/>
                <w:szCs w:val="21"/>
              </w:rPr>
            </w:pPr>
            <w:r>
              <w:rPr>
                <w:rFonts w:hint="default" w:ascii="Times New Roman" w:hAnsi="Times New Roman" w:cs="Times New Roman"/>
                <w:color w:val="auto"/>
                <w:kern w:val="0"/>
                <w:szCs w:val="21"/>
              </w:rPr>
              <w:t>/</w:t>
            </w:r>
          </w:p>
        </w:tc>
        <w:tc>
          <w:tcPr>
            <w:tcW w:w="584" w:type="pct"/>
            <w:vAlign w:val="center"/>
          </w:tcPr>
          <w:p w14:paraId="62DB98D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eastAsiaTheme="minorEastAsia"/>
                <w:color w:val="auto"/>
                <w:szCs w:val="21"/>
              </w:rPr>
            </w:pPr>
            <w:r>
              <w:rPr>
                <w:rFonts w:hint="eastAsia" w:cs="Times New Roman"/>
                <w:snapToGrid w:val="0"/>
                <w:color w:val="auto"/>
                <w:kern w:val="21"/>
                <w:szCs w:val="21"/>
                <w:lang w:val="en-US" w:eastAsia="zh-CN"/>
              </w:rPr>
              <w:t>2</w:t>
            </w:r>
            <w:r>
              <w:rPr>
                <w:rFonts w:hint="default" w:ascii="Times New Roman" w:hAnsi="Times New Roman" w:cs="Times New Roman"/>
                <w:snapToGrid w:val="0"/>
                <w:color w:val="auto"/>
                <w:kern w:val="21"/>
                <w:szCs w:val="21"/>
              </w:rPr>
              <w:t>t/a</w:t>
            </w:r>
          </w:p>
        </w:tc>
        <w:tc>
          <w:tcPr>
            <w:tcW w:w="561" w:type="pct"/>
            <w:vAlign w:val="center"/>
          </w:tcPr>
          <w:p w14:paraId="5EDA4DB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cs="Times New Roman" w:eastAsiaTheme="minorEastAsia"/>
                <w:color w:val="auto"/>
                <w:szCs w:val="21"/>
                <w:lang w:eastAsia="zh-CN"/>
              </w:rPr>
            </w:pPr>
            <w:r>
              <w:rPr>
                <w:rFonts w:hint="default" w:ascii="Times New Roman" w:hAnsi="Times New Roman" w:cs="Times New Roman"/>
                <w:color w:val="auto"/>
                <w:kern w:val="0"/>
                <w:szCs w:val="21"/>
              </w:rPr>
              <w:t>/</w:t>
            </w:r>
          </w:p>
        </w:tc>
        <w:tc>
          <w:tcPr>
            <w:tcW w:w="646" w:type="pct"/>
            <w:vAlign w:val="center"/>
          </w:tcPr>
          <w:p w14:paraId="0170BF4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eastAsiaTheme="minorEastAsia"/>
                <w:color w:val="auto"/>
                <w:szCs w:val="21"/>
              </w:rPr>
            </w:pPr>
            <w:r>
              <w:rPr>
                <w:rFonts w:hint="eastAsia" w:cs="Times New Roman"/>
                <w:snapToGrid w:val="0"/>
                <w:color w:val="auto"/>
                <w:kern w:val="21"/>
                <w:szCs w:val="21"/>
                <w:lang w:val="en-US" w:eastAsia="zh-CN"/>
              </w:rPr>
              <w:t>2</w:t>
            </w:r>
            <w:r>
              <w:rPr>
                <w:rFonts w:hint="default" w:ascii="Times New Roman" w:hAnsi="Times New Roman" w:cs="Times New Roman"/>
                <w:snapToGrid w:val="0"/>
                <w:color w:val="auto"/>
                <w:kern w:val="21"/>
                <w:szCs w:val="21"/>
              </w:rPr>
              <w:t>t/a</w:t>
            </w:r>
          </w:p>
        </w:tc>
        <w:tc>
          <w:tcPr>
            <w:tcW w:w="409" w:type="pct"/>
            <w:vAlign w:val="center"/>
          </w:tcPr>
          <w:p w14:paraId="78D6A4E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eastAsiaTheme="minorEastAsia"/>
                <w:color w:val="auto"/>
                <w:szCs w:val="21"/>
              </w:rPr>
            </w:pPr>
            <w:r>
              <w:rPr>
                <w:rFonts w:hint="default" w:ascii="Times New Roman" w:hAnsi="Times New Roman" w:cs="Times New Roman"/>
                <w:color w:val="auto"/>
                <w:kern w:val="0"/>
                <w:szCs w:val="21"/>
              </w:rPr>
              <w:t>/</w:t>
            </w:r>
          </w:p>
        </w:tc>
      </w:tr>
      <w:tr w14:paraId="1CC2DE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 w:type="pct"/>
            <w:vMerge w:val="continue"/>
            <w:vAlign w:val="center"/>
          </w:tcPr>
          <w:p w14:paraId="719401BF">
            <w:pPr>
              <w:pStyle w:val="47"/>
              <w:keepNext w:val="0"/>
              <w:keepLines w:val="0"/>
              <w:pageBreakBefore w:val="0"/>
              <w:widowControl w:val="0"/>
              <w:kinsoku/>
              <w:wordWrap/>
              <w:overflowPunct/>
              <w:topLinePunct w:val="0"/>
              <w:autoSpaceDE/>
              <w:autoSpaceDN/>
              <w:bidi w:val="0"/>
              <w:adjustRightInd w:val="0"/>
              <w:snapToGrid w:val="0"/>
              <w:spacing w:beforeLines="0" w:after="0" w:afterLines="0" w:line="260" w:lineRule="exact"/>
              <w:textAlignment w:val="auto"/>
              <w:rPr>
                <w:rFonts w:hint="default" w:ascii="Times New Roman" w:hAnsi="Times New Roman" w:cs="Times New Roman"/>
                <w:bCs/>
                <w:color w:val="auto"/>
                <w:kern w:val="2"/>
                <w:szCs w:val="21"/>
              </w:rPr>
            </w:pPr>
          </w:p>
        </w:tc>
        <w:tc>
          <w:tcPr>
            <w:tcW w:w="925" w:type="pct"/>
            <w:vAlign w:val="center"/>
          </w:tcPr>
          <w:p w14:paraId="56F900C3">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eastAsia" w:ascii="Times New Roman" w:hAnsi="Times New Roman" w:cs="Times New Roman"/>
                <w:bCs/>
                <w:color w:val="0000FF"/>
                <w:sz w:val="21"/>
                <w:szCs w:val="21"/>
                <w:shd w:val="clear" w:color="auto" w:fill="auto"/>
                <w:lang w:val="en-US" w:eastAsia="zh-CN"/>
              </w:rPr>
              <w:t>除尘灰</w:t>
            </w:r>
          </w:p>
        </w:tc>
        <w:tc>
          <w:tcPr>
            <w:tcW w:w="514" w:type="pct"/>
            <w:vAlign w:val="center"/>
          </w:tcPr>
          <w:p w14:paraId="2E7EC46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403" w:type="pct"/>
            <w:vAlign w:val="center"/>
          </w:tcPr>
          <w:p w14:paraId="3AC015F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45" w:type="pct"/>
            <w:vAlign w:val="center"/>
          </w:tcPr>
          <w:p w14:paraId="303C533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84" w:type="pct"/>
            <w:vAlign w:val="center"/>
          </w:tcPr>
          <w:p w14:paraId="4514796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cs="Times New Roman"/>
                <w:snapToGrid w:val="0"/>
                <w:color w:val="0000FF"/>
                <w:kern w:val="21"/>
                <w:szCs w:val="21"/>
                <w:lang w:val="en-US" w:eastAsia="zh-CN"/>
              </w:rPr>
            </w:pPr>
            <w:r>
              <w:rPr>
                <w:rFonts w:hint="eastAsia" w:cs="Times New Roman"/>
                <w:snapToGrid w:val="0"/>
                <w:color w:val="0000FF"/>
                <w:kern w:val="21"/>
                <w:szCs w:val="21"/>
                <w:lang w:val="en-US" w:eastAsia="zh-CN"/>
              </w:rPr>
              <w:t>0.247</w:t>
            </w:r>
            <w:r>
              <w:rPr>
                <w:rFonts w:hint="default" w:ascii="Times New Roman" w:hAnsi="Times New Roman" w:cs="Times New Roman"/>
                <w:snapToGrid w:val="0"/>
                <w:color w:val="0000FF"/>
                <w:kern w:val="21"/>
                <w:szCs w:val="21"/>
              </w:rPr>
              <w:t>t/a</w:t>
            </w:r>
          </w:p>
        </w:tc>
        <w:tc>
          <w:tcPr>
            <w:tcW w:w="561" w:type="pct"/>
            <w:vAlign w:val="center"/>
          </w:tcPr>
          <w:p w14:paraId="419F412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0000FF"/>
                <w:kern w:val="0"/>
                <w:szCs w:val="21"/>
              </w:rPr>
            </w:pPr>
            <w:r>
              <w:rPr>
                <w:rFonts w:hint="default" w:ascii="Times New Roman" w:hAnsi="Times New Roman" w:cs="Times New Roman"/>
                <w:color w:val="0000FF"/>
                <w:kern w:val="0"/>
                <w:szCs w:val="21"/>
              </w:rPr>
              <w:t>/</w:t>
            </w:r>
          </w:p>
        </w:tc>
        <w:tc>
          <w:tcPr>
            <w:tcW w:w="646" w:type="pct"/>
            <w:vAlign w:val="center"/>
          </w:tcPr>
          <w:p w14:paraId="037A1EF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cs="Times New Roman"/>
                <w:snapToGrid w:val="0"/>
                <w:color w:val="0000FF"/>
                <w:kern w:val="21"/>
                <w:szCs w:val="21"/>
                <w:lang w:val="en-US" w:eastAsia="zh-CN"/>
              </w:rPr>
            </w:pPr>
            <w:r>
              <w:rPr>
                <w:rFonts w:hint="eastAsia" w:cs="Times New Roman"/>
                <w:snapToGrid w:val="0"/>
                <w:color w:val="0000FF"/>
                <w:kern w:val="21"/>
                <w:szCs w:val="21"/>
                <w:lang w:val="en-US" w:eastAsia="zh-CN"/>
              </w:rPr>
              <w:t>0.247</w:t>
            </w:r>
            <w:r>
              <w:rPr>
                <w:rFonts w:hint="default" w:ascii="Times New Roman" w:hAnsi="Times New Roman" w:cs="Times New Roman"/>
                <w:snapToGrid w:val="0"/>
                <w:color w:val="0000FF"/>
                <w:kern w:val="21"/>
                <w:szCs w:val="21"/>
              </w:rPr>
              <w:t>t/a</w:t>
            </w:r>
          </w:p>
        </w:tc>
        <w:tc>
          <w:tcPr>
            <w:tcW w:w="409" w:type="pct"/>
            <w:vAlign w:val="center"/>
          </w:tcPr>
          <w:p w14:paraId="2FF51D3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r>
      <w:tr w14:paraId="6B1158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 w:type="pct"/>
            <w:vMerge w:val="continue"/>
            <w:vAlign w:val="center"/>
          </w:tcPr>
          <w:p w14:paraId="40E41989">
            <w:pPr>
              <w:pStyle w:val="47"/>
              <w:keepNext w:val="0"/>
              <w:keepLines w:val="0"/>
              <w:pageBreakBefore w:val="0"/>
              <w:widowControl w:val="0"/>
              <w:kinsoku/>
              <w:wordWrap/>
              <w:overflowPunct/>
              <w:topLinePunct w:val="0"/>
              <w:autoSpaceDE/>
              <w:autoSpaceDN/>
              <w:bidi w:val="0"/>
              <w:adjustRightInd w:val="0"/>
              <w:snapToGrid w:val="0"/>
              <w:spacing w:beforeLines="0" w:after="0" w:afterLines="0" w:line="260" w:lineRule="exact"/>
              <w:textAlignment w:val="auto"/>
              <w:rPr>
                <w:rFonts w:hint="default" w:ascii="Times New Roman" w:hAnsi="Times New Roman" w:cs="Times New Roman"/>
                <w:bCs/>
                <w:color w:val="auto"/>
                <w:kern w:val="2"/>
                <w:szCs w:val="21"/>
              </w:rPr>
            </w:pPr>
          </w:p>
        </w:tc>
        <w:tc>
          <w:tcPr>
            <w:tcW w:w="925" w:type="pct"/>
            <w:vAlign w:val="center"/>
          </w:tcPr>
          <w:p w14:paraId="2369159C">
            <w:pPr>
              <w:pStyle w:val="87"/>
              <w:spacing w:line="280" w:lineRule="exact"/>
              <w:ind w:firstLine="0" w:firstLineChars="0"/>
              <w:jc w:val="center"/>
              <w:rPr>
                <w:rFonts w:hint="default" w:ascii="Times New Roman" w:hAnsi="Times New Roman" w:cs="Times New Roman"/>
                <w:bCs/>
                <w:color w:val="0000FF"/>
                <w:sz w:val="21"/>
                <w:szCs w:val="21"/>
                <w:shd w:val="clear" w:color="auto" w:fill="auto"/>
                <w:lang w:val="en-US" w:eastAsia="zh-CN"/>
              </w:rPr>
            </w:pPr>
            <w:r>
              <w:rPr>
                <w:rFonts w:hint="eastAsia" w:ascii="Times New Roman" w:hAnsi="Times New Roman" w:cs="Times New Roman"/>
                <w:bCs/>
                <w:color w:val="0000FF"/>
                <w:sz w:val="21"/>
                <w:szCs w:val="21"/>
                <w:shd w:val="clear" w:color="auto" w:fill="auto"/>
                <w:lang w:val="en-US" w:eastAsia="zh-CN"/>
              </w:rPr>
              <w:t>废布袋</w:t>
            </w:r>
          </w:p>
        </w:tc>
        <w:tc>
          <w:tcPr>
            <w:tcW w:w="514" w:type="pct"/>
            <w:vAlign w:val="center"/>
          </w:tcPr>
          <w:p w14:paraId="1D5C5CF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403" w:type="pct"/>
            <w:vAlign w:val="center"/>
          </w:tcPr>
          <w:p w14:paraId="0381F29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45" w:type="pct"/>
            <w:vAlign w:val="center"/>
          </w:tcPr>
          <w:p w14:paraId="2109584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84" w:type="pct"/>
            <w:vAlign w:val="center"/>
          </w:tcPr>
          <w:p w14:paraId="6935B61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cs="Times New Roman"/>
                <w:snapToGrid w:val="0"/>
                <w:color w:val="0000FF"/>
                <w:kern w:val="21"/>
                <w:szCs w:val="21"/>
                <w:lang w:val="en-US" w:eastAsia="zh-CN"/>
              </w:rPr>
            </w:pPr>
            <w:r>
              <w:rPr>
                <w:rFonts w:hint="eastAsia" w:cs="Times New Roman"/>
                <w:snapToGrid w:val="0"/>
                <w:color w:val="0000FF"/>
                <w:kern w:val="21"/>
                <w:szCs w:val="21"/>
                <w:lang w:val="en-US" w:eastAsia="zh-CN"/>
              </w:rPr>
              <w:t>0.05</w:t>
            </w:r>
            <w:r>
              <w:rPr>
                <w:rFonts w:hint="default" w:ascii="Times New Roman" w:hAnsi="Times New Roman" w:cs="Times New Roman"/>
                <w:snapToGrid w:val="0"/>
                <w:color w:val="0000FF"/>
                <w:kern w:val="21"/>
                <w:szCs w:val="21"/>
              </w:rPr>
              <w:t>t/a</w:t>
            </w:r>
          </w:p>
        </w:tc>
        <w:tc>
          <w:tcPr>
            <w:tcW w:w="561" w:type="pct"/>
            <w:vAlign w:val="center"/>
          </w:tcPr>
          <w:p w14:paraId="3A7AFCF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0000FF"/>
                <w:kern w:val="0"/>
                <w:szCs w:val="21"/>
              </w:rPr>
            </w:pPr>
            <w:r>
              <w:rPr>
                <w:rFonts w:hint="default" w:ascii="Times New Roman" w:hAnsi="Times New Roman" w:cs="Times New Roman"/>
                <w:color w:val="0000FF"/>
                <w:kern w:val="0"/>
                <w:szCs w:val="21"/>
              </w:rPr>
              <w:t>/</w:t>
            </w:r>
          </w:p>
        </w:tc>
        <w:tc>
          <w:tcPr>
            <w:tcW w:w="646" w:type="pct"/>
            <w:vAlign w:val="center"/>
          </w:tcPr>
          <w:p w14:paraId="6210E4D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cs="Times New Roman"/>
                <w:snapToGrid w:val="0"/>
                <w:color w:val="0000FF"/>
                <w:kern w:val="21"/>
                <w:szCs w:val="21"/>
                <w:lang w:val="en-US" w:eastAsia="zh-CN"/>
              </w:rPr>
            </w:pPr>
            <w:r>
              <w:rPr>
                <w:rFonts w:hint="eastAsia" w:cs="Times New Roman"/>
                <w:snapToGrid w:val="0"/>
                <w:color w:val="0000FF"/>
                <w:kern w:val="21"/>
                <w:szCs w:val="21"/>
                <w:lang w:val="en-US" w:eastAsia="zh-CN"/>
              </w:rPr>
              <w:t>0.05</w:t>
            </w:r>
            <w:r>
              <w:rPr>
                <w:rFonts w:hint="default" w:ascii="Times New Roman" w:hAnsi="Times New Roman" w:cs="Times New Roman"/>
                <w:snapToGrid w:val="0"/>
                <w:color w:val="0000FF"/>
                <w:kern w:val="21"/>
                <w:szCs w:val="21"/>
              </w:rPr>
              <w:t>t/a</w:t>
            </w:r>
          </w:p>
        </w:tc>
        <w:tc>
          <w:tcPr>
            <w:tcW w:w="409" w:type="pct"/>
            <w:vAlign w:val="center"/>
          </w:tcPr>
          <w:p w14:paraId="74414E8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0000FF"/>
                <w:kern w:val="0"/>
                <w:szCs w:val="21"/>
              </w:rPr>
              <w:t>/</w:t>
            </w:r>
          </w:p>
        </w:tc>
      </w:tr>
      <w:tr w14:paraId="20FD0B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 w:type="pct"/>
            <w:vMerge w:val="continue"/>
            <w:vAlign w:val="center"/>
          </w:tcPr>
          <w:p w14:paraId="51A4C9D7">
            <w:pPr>
              <w:pStyle w:val="47"/>
              <w:keepNext w:val="0"/>
              <w:keepLines w:val="0"/>
              <w:pageBreakBefore w:val="0"/>
              <w:widowControl w:val="0"/>
              <w:kinsoku/>
              <w:wordWrap/>
              <w:overflowPunct/>
              <w:topLinePunct w:val="0"/>
              <w:autoSpaceDE/>
              <w:autoSpaceDN/>
              <w:bidi w:val="0"/>
              <w:adjustRightInd w:val="0"/>
              <w:snapToGrid w:val="0"/>
              <w:spacing w:beforeLines="0" w:after="0" w:afterLines="0" w:line="260" w:lineRule="exact"/>
              <w:textAlignment w:val="auto"/>
              <w:rPr>
                <w:rFonts w:hint="default" w:ascii="Times New Roman" w:hAnsi="Times New Roman" w:cs="Times New Roman"/>
                <w:bCs/>
                <w:color w:val="auto"/>
                <w:kern w:val="2"/>
                <w:szCs w:val="21"/>
              </w:rPr>
            </w:pPr>
          </w:p>
        </w:tc>
        <w:tc>
          <w:tcPr>
            <w:tcW w:w="925" w:type="pct"/>
            <w:vAlign w:val="center"/>
          </w:tcPr>
          <w:p w14:paraId="2399C222">
            <w:pPr>
              <w:pStyle w:val="87"/>
              <w:spacing w:line="280" w:lineRule="exact"/>
              <w:ind w:firstLine="0" w:firstLineChars="0"/>
              <w:jc w:val="center"/>
              <w:rPr>
                <w:rFonts w:hint="eastAsia" w:ascii="Times New Roman" w:hAnsi="Times New Roman"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废边角料</w:t>
            </w:r>
          </w:p>
        </w:tc>
        <w:tc>
          <w:tcPr>
            <w:tcW w:w="514" w:type="pct"/>
            <w:vAlign w:val="center"/>
          </w:tcPr>
          <w:p w14:paraId="3F4834E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403" w:type="pct"/>
            <w:vAlign w:val="center"/>
          </w:tcPr>
          <w:p w14:paraId="2E53809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45" w:type="pct"/>
            <w:vAlign w:val="center"/>
          </w:tcPr>
          <w:p w14:paraId="127AF01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84" w:type="pct"/>
            <w:vAlign w:val="center"/>
          </w:tcPr>
          <w:p w14:paraId="138FE1C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cs="Times New Roman"/>
                <w:snapToGrid w:val="0"/>
                <w:color w:val="auto"/>
                <w:kern w:val="21"/>
                <w:szCs w:val="21"/>
                <w:lang w:val="en-US" w:eastAsia="zh-CN"/>
              </w:rPr>
            </w:pPr>
            <w:r>
              <w:rPr>
                <w:rFonts w:hint="default" w:ascii="Times New Roman" w:hAnsi="Times New Roman" w:cs="Times New Roman"/>
                <w:snapToGrid w:val="0"/>
                <w:color w:val="auto"/>
                <w:kern w:val="21"/>
                <w:szCs w:val="21"/>
              </w:rPr>
              <w:t>86.7</w:t>
            </w:r>
            <w:r>
              <w:rPr>
                <w:rFonts w:hint="eastAsia" w:cs="Times New Roman"/>
                <w:snapToGrid w:val="0"/>
                <w:color w:val="auto"/>
                <w:kern w:val="21"/>
                <w:szCs w:val="21"/>
                <w:lang w:val="en-US" w:eastAsia="zh-CN"/>
              </w:rPr>
              <w:t>36</w:t>
            </w:r>
            <w:r>
              <w:rPr>
                <w:rFonts w:hint="default" w:ascii="Times New Roman" w:hAnsi="Times New Roman" w:cs="Times New Roman"/>
                <w:snapToGrid w:val="0"/>
                <w:color w:val="auto"/>
                <w:kern w:val="21"/>
                <w:szCs w:val="21"/>
              </w:rPr>
              <w:t>t/a</w:t>
            </w:r>
          </w:p>
        </w:tc>
        <w:tc>
          <w:tcPr>
            <w:tcW w:w="561" w:type="pct"/>
            <w:shd w:val="clear" w:color="auto" w:fill="auto"/>
            <w:vAlign w:val="center"/>
          </w:tcPr>
          <w:p w14:paraId="6189EDC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646" w:type="pct"/>
            <w:shd w:val="clear" w:color="auto" w:fill="auto"/>
            <w:vAlign w:val="center"/>
          </w:tcPr>
          <w:p w14:paraId="79456D3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cs="Times New Roman"/>
                <w:snapToGrid w:val="0"/>
                <w:color w:val="auto"/>
                <w:kern w:val="21"/>
                <w:szCs w:val="21"/>
                <w:lang w:val="en-US" w:eastAsia="zh-CN"/>
              </w:rPr>
            </w:pPr>
            <w:r>
              <w:rPr>
                <w:rFonts w:hint="default" w:ascii="Times New Roman" w:hAnsi="Times New Roman" w:cs="Times New Roman"/>
                <w:snapToGrid w:val="0"/>
                <w:color w:val="auto"/>
                <w:kern w:val="21"/>
                <w:szCs w:val="21"/>
              </w:rPr>
              <w:t>86.7</w:t>
            </w:r>
            <w:r>
              <w:rPr>
                <w:rFonts w:hint="eastAsia" w:cs="Times New Roman"/>
                <w:snapToGrid w:val="0"/>
                <w:color w:val="auto"/>
                <w:kern w:val="21"/>
                <w:szCs w:val="21"/>
                <w:lang w:val="en-US" w:eastAsia="zh-CN"/>
              </w:rPr>
              <w:t>36</w:t>
            </w:r>
            <w:r>
              <w:rPr>
                <w:rFonts w:hint="default" w:ascii="Times New Roman" w:hAnsi="Times New Roman" w:cs="Times New Roman"/>
                <w:snapToGrid w:val="0"/>
                <w:color w:val="auto"/>
                <w:kern w:val="21"/>
                <w:szCs w:val="21"/>
              </w:rPr>
              <w:t>t/a</w:t>
            </w:r>
          </w:p>
        </w:tc>
        <w:tc>
          <w:tcPr>
            <w:tcW w:w="409" w:type="pct"/>
            <w:shd w:val="clear" w:color="auto" w:fill="auto"/>
            <w:vAlign w:val="center"/>
          </w:tcPr>
          <w:p w14:paraId="6518E70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r>
      <w:tr w14:paraId="79A97B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 w:type="pct"/>
            <w:vMerge w:val="continue"/>
            <w:vAlign w:val="center"/>
          </w:tcPr>
          <w:p w14:paraId="333FD6B9">
            <w:pPr>
              <w:pStyle w:val="47"/>
              <w:keepNext w:val="0"/>
              <w:keepLines w:val="0"/>
              <w:pageBreakBefore w:val="0"/>
              <w:widowControl w:val="0"/>
              <w:kinsoku/>
              <w:wordWrap/>
              <w:overflowPunct/>
              <w:topLinePunct w:val="0"/>
              <w:autoSpaceDE/>
              <w:autoSpaceDN/>
              <w:bidi w:val="0"/>
              <w:adjustRightInd w:val="0"/>
              <w:snapToGrid w:val="0"/>
              <w:spacing w:beforeLines="0" w:after="0" w:afterLines="0" w:line="260" w:lineRule="exact"/>
              <w:textAlignment w:val="auto"/>
              <w:rPr>
                <w:rFonts w:hint="default" w:ascii="Times New Roman" w:hAnsi="Times New Roman" w:cs="Times New Roman"/>
                <w:bCs/>
                <w:color w:val="auto"/>
                <w:kern w:val="2"/>
                <w:szCs w:val="21"/>
              </w:rPr>
            </w:pPr>
          </w:p>
        </w:tc>
        <w:tc>
          <w:tcPr>
            <w:tcW w:w="925" w:type="pct"/>
            <w:vAlign w:val="center"/>
          </w:tcPr>
          <w:p w14:paraId="6FC9068F">
            <w:pPr>
              <w:pStyle w:val="87"/>
              <w:spacing w:line="280" w:lineRule="exact"/>
              <w:ind w:firstLine="0" w:firstLineChars="0"/>
              <w:jc w:val="center"/>
              <w:rPr>
                <w:rFonts w:hint="default" w:ascii="Times New Roman" w:hAnsi="Times New Roman" w:eastAsia="宋体"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包装废料</w:t>
            </w:r>
          </w:p>
        </w:tc>
        <w:tc>
          <w:tcPr>
            <w:tcW w:w="514" w:type="pct"/>
            <w:vAlign w:val="center"/>
          </w:tcPr>
          <w:p w14:paraId="2EA6593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403" w:type="pct"/>
            <w:vAlign w:val="center"/>
          </w:tcPr>
          <w:p w14:paraId="0A10FB3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45" w:type="pct"/>
            <w:vAlign w:val="center"/>
          </w:tcPr>
          <w:p w14:paraId="74E7587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84" w:type="pct"/>
            <w:vAlign w:val="center"/>
          </w:tcPr>
          <w:p w14:paraId="75B8CE6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cs="Times New Roman"/>
                <w:snapToGrid w:val="0"/>
                <w:color w:val="auto"/>
                <w:kern w:val="21"/>
                <w:szCs w:val="21"/>
                <w:lang w:val="en-US" w:eastAsia="zh-CN"/>
              </w:rPr>
            </w:pPr>
            <w:r>
              <w:rPr>
                <w:rFonts w:hint="eastAsia" w:cs="Times New Roman"/>
                <w:snapToGrid w:val="0"/>
                <w:color w:val="auto"/>
                <w:kern w:val="21"/>
                <w:szCs w:val="21"/>
                <w:lang w:val="en-US" w:eastAsia="zh-CN"/>
              </w:rPr>
              <w:t>0.005</w:t>
            </w:r>
            <w:r>
              <w:rPr>
                <w:rFonts w:hint="default" w:ascii="Times New Roman" w:hAnsi="Times New Roman" w:cs="Times New Roman"/>
                <w:snapToGrid w:val="0"/>
                <w:color w:val="auto"/>
                <w:kern w:val="21"/>
                <w:szCs w:val="21"/>
              </w:rPr>
              <w:t>t/a</w:t>
            </w:r>
          </w:p>
        </w:tc>
        <w:tc>
          <w:tcPr>
            <w:tcW w:w="561" w:type="pct"/>
            <w:shd w:val="clear" w:color="auto" w:fill="auto"/>
            <w:vAlign w:val="center"/>
          </w:tcPr>
          <w:p w14:paraId="2E502A2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kern w:val="0"/>
                <w:szCs w:val="21"/>
              </w:rPr>
              <w:t>/</w:t>
            </w:r>
          </w:p>
        </w:tc>
        <w:tc>
          <w:tcPr>
            <w:tcW w:w="646" w:type="pct"/>
            <w:shd w:val="clear" w:color="auto" w:fill="auto"/>
            <w:vAlign w:val="center"/>
          </w:tcPr>
          <w:p w14:paraId="5FA3F75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snapToGrid w:val="0"/>
                <w:color w:val="auto"/>
                <w:kern w:val="2"/>
                <w:sz w:val="21"/>
                <w:szCs w:val="21"/>
                <w:lang w:val="en-US" w:eastAsia="zh-CN" w:bidi="ar-SA"/>
              </w:rPr>
            </w:pPr>
            <w:r>
              <w:rPr>
                <w:rFonts w:hint="eastAsia" w:cs="Times New Roman"/>
                <w:snapToGrid w:val="0"/>
                <w:color w:val="auto"/>
                <w:kern w:val="21"/>
                <w:szCs w:val="21"/>
                <w:lang w:val="en-US" w:eastAsia="zh-CN"/>
              </w:rPr>
              <w:t>0.005</w:t>
            </w:r>
            <w:r>
              <w:rPr>
                <w:rFonts w:hint="default" w:ascii="Times New Roman" w:hAnsi="Times New Roman" w:cs="Times New Roman"/>
                <w:snapToGrid w:val="0"/>
                <w:color w:val="auto"/>
                <w:kern w:val="21"/>
                <w:szCs w:val="21"/>
              </w:rPr>
              <w:t>t/a</w:t>
            </w:r>
          </w:p>
        </w:tc>
        <w:tc>
          <w:tcPr>
            <w:tcW w:w="409" w:type="pct"/>
            <w:shd w:val="clear" w:color="auto" w:fill="auto"/>
            <w:vAlign w:val="center"/>
          </w:tcPr>
          <w:p w14:paraId="757D874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kern w:val="0"/>
                <w:szCs w:val="21"/>
              </w:rPr>
              <w:t>/</w:t>
            </w:r>
          </w:p>
        </w:tc>
      </w:tr>
      <w:tr w14:paraId="5B2635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 w:type="pct"/>
            <w:vMerge w:val="continue"/>
            <w:vAlign w:val="center"/>
          </w:tcPr>
          <w:p w14:paraId="1B112134">
            <w:pPr>
              <w:pStyle w:val="47"/>
              <w:keepNext w:val="0"/>
              <w:keepLines w:val="0"/>
              <w:pageBreakBefore w:val="0"/>
              <w:widowControl w:val="0"/>
              <w:kinsoku/>
              <w:wordWrap/>
              <w:overflowPunct/>
              <w:topLinePunct w:val="0"/>
              <w:autoSpaceDE/>
              <w:autoSpaceDN/>
              <w:bidi w:val="0"/>
              <w:adjustRightInd w:val="0"/>
              <w:snapToGrid w:val="0"/>
              <w:spacing w:beforeLines="0" w:after="0" w:afterLines="0" w:line="260" w:lineRule="exact"/>
              <w:textAlignment w:val="auto"/>
              <w:rPr>
                <w:rFonts w:hint="default" w:ascii="Times New Roman" w:hAnsi="Times New Roman" w:cs="Times New Roman"/>
                <w:bCs/>
                <w:color w:val="auto"/>
                <w:kern w:val="2"/>
                <w:szCs w:val="21"/>
              </w:rPr>
            </w:pPr>
          </w:p>
        </w:tc>
        <w:tc>
          <w:tcPr>
            <w:tcW w:w="925" w:type="pct"/>
            <w:vAlign w:val="center"/>
          </w:tcPr>
          <w:p w14:paraId="119D2F55">
            <w:pPr>
              <w:pStyle w:val="87"/>
              <w:spacing w:line="280" w:lineRule="exact"/>
              <w:ind w:firstLine="0" w:firstLineChars="0"/>
              <w:jc w:val="center"/>
              <w:rPr>
                <w:rFonts w:hint="eastAsia" w:ascii="Times New Roman" w:hAnsi="Times New Roman"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废过滤网</w:t>
            </w:r>
          </w:p>
        </w:tc>
        <w:tc>
          <w:tcPr>
            <w:tcW w:w="514" w:type="pct"/>
            <w:vAlign w:val="center"/>
          </w:tcPr>
          <w:p w14:paraId="77EE20A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403" w:type="pct"/>
            <w:vAlign w:val="center"/>
          </w:tcPr>
          <w:p w14:paraId="1E05861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45" w:type="pct"/>
            <w:vAlign w:val="center"/>
          </w:tcPr>
          <w:p w14:paraId="2984C3F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84" w:type="pct"/>
            <w:vAlign w:val="center"/>
          </w:tcPr>
          <w:p w14:paraId="29460209">
            <w:pPr>
              <w:spacing w:line="240" w:lineRule="exact"/>
              <w:jc w:val="center"/>
              <w:rPr>
                <w:rFonts w:hint="eastAsia" w:cs="Times New Roman"/>
                <w:snapToGrid w:val="0"/>
                <w:color w:val="auto"/>
                <w:kern w:val="21"/>
                <w:szCs w:val="21"/>
                <w:lang w:val="en-US" w:eastAsia="zh-CN"/>
              </w:rPr>
            </w:pPr>
            <w:r>
              <w:rPr>
                <w:rFonts w:hint="eastAsia" w:cs="Times New Roman"/>
                <w:bCs/>
                <w:color w:val="000000" w:themeColor="text1"/>
                <w:sz w:val="21"/>
                <w:szCs w:val="21"/>
                <w:lang w:val="en-US" w:eastAsia="zh-CN"/>
                <w14:textFill>
                  <w14:solidFill>
                    <w14:schemeClr w14:val="tx1"/>
                  </w14:solidFill>
                </w14:textFill>
              </w:rPr>
              <w:t>0.3</w:t>
            </w:r>
            <w:r>
              <w:rPr>
                <w:rFonts w:hint="default" w:ascii="Times New Roman" w:hAnsi="Times New Roman" w:cs="Times New Roman"/>
                <w:snapToGrid w:val="0"/>
                <w:color w:val="auto"/>
                <w:kern w:val="21"/>
                <w:szCs w:val="21"/>
              </w:rPr>
              <w:t>t/a</w:t>
            </w:r>
          </w:p>
        </w:tc>
        <w:tc>
          <w:tcPr>
            <w:tcW w:w="561" w:type="pct"/>
            <w:shd w:val="clear" w:color="auto" w:fill="auto"/>
            <w:vAlign w:val="center"/>
          </w:tcPr>
          <w:p w14:paraId="453390E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646" w:type="pct"/>
            <w:shd w:val="clear" w:color="auto" w:fill="auto"/>
            <w:vAlign w:val="center"/>
          </w:tcPr>
          <w:p w14:paraId="0AFF334C">
            <w:pPr>
              <w:spacing w:line="240" w:lineRule="exact"/>
              <w:jc w:val="center"/>
              <w:rPr>
                <w:rFonts w:hint="eastAsia" w:cs="Times New Roman"/>
                <w:snapToGrid w:val="0"/>
                <w:color w:val="auto"/>
                <w:kern w:val="21"/>
                <w:szCs w:val="21"/>
                <w:lang w:val="en-US" w:eastAsia="zh-CN"/>
              </w:rPr>
            </w:pPr>
            <w:r>
              <w:rPr>
                <w:rFonts w:hint="eastAsia" w:cs="Times New Roman"/>
                <w:bCs/>
                <w:color w:val="000000" w:themeColor="text1"/>
                <w:sz w:val="21"/>
                <w:szCs w:val="21"/>
                <w:lang w:val="en-US" w:eastAsia="zh-CN"/>
                <w14:textFill>
                  <w14:solidFill>
                    <w14:schemeClr w14:val="tx1"/>
                  </w14:solidFill>
                </w14:textFill>
              </w:rPr>
              <w:t>0.3</w:t>
            </w:r>
            <w:r>
              <w:rPr>
                <w:rFonts w:hint="default" w:ascii="Times New Roman" w:hAnsi="Times New Roman" w:cs="Times New Roman"/>
                <w:snapToGrid w:val="0"/>
                <w:color w:val="auto"/>
                <w:kern w:val="21"/>
                <w:szCs w:val="21"/>
              </w:rPr>
              <w:t>t/a</w:t>
            </w:r>
          </w:p>
        </w:tc>
        <w:tc>
          <w:tcPr>
            <w:tcW w:w="409" w:type="pct"/>
            <w:shd w:val="clear" w:color="auto" w:fill="auto"/>
            <w:vAlign w:val="center"/>
          </w:tcPr>
          <w:p w14:paraId="31C17F3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r>
      <w:tr w14:paraId="015C10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 w:type="pct"/>
            <w:vAlign w:val="center"/>
          </w:tcPr>
          <w:p w14:paraId="3D744F1B">
            <w:pPr>
              <w:pStyle w:val="47"/>
              <w:keepNext w:val="0"/>
              <w:keepLines w:val="0"/>
              <w:pageBreakBefore w:val="0"/>
              <w:widowControl w:val="0"/>
              <w:kinsoku/>
              <w:wordWrap/>
              <w:overflowPunct/>
              <w:topLinePunct w:val="0"/>
              <w:autoSpaceDE/>
              <w:autoSpaceDN/>
              <w:bidi w:val="0"/>
              <w:adjustRightInd w:val="0"/>
              <w:snapToGrid w:val="0"/>
              <w:spacing w:beforeLines="0" w:after="0" w:afterLines="0" w:line="260" w:lineRule="exact"/>
              <w:textAlignment w:val="auto"/>
              <w:rPr>
                <w:rFonts w:hint="eastAsia" w:ascii="Times New Roman" w:hAnsi="Times New Roman" w:eastAsia="宋体" w:cs="Times New Roman"/>
                <w:bCs/>
                <w:color w:val="auto"/>
                <w:kern w:val="2"/>
                <w:szCs w:val="21"/>
                <w:lang w:eastAsia="zh-CN"/>
              </w:rPr>
            </w:pPr>
            <w:r>
              <w:rPr>
                <w:rFonts w:hint="eastAsia" w:ascii="Times New Roman" w:cs="Times New Roman"/>
                <w:bCs/>
                <w:color w:val="auto"/>
                <w:kern w:val="2"/>
                <w:szCs w:val="21"/>
                <w:lang w:eastAsia="zh-CN"/>
              </w:rPr>
              <w:t>—</w:t>
            </w:r>
          </w:p>
        </w:tc>
        <w:tc>
          <w:tcPr>
            <w:tcW w:w="925" w:type="pct"/>
            <w:vAlign w:val="center"/>
          </w:tcPr>
          <w:p w14:paraId="7C9A67CC">
            <w:pPr>
              <w:pStyle w:val="87"/>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center"/>
              <w:textAlignment w:val="auto"/>
              <w:rPr>
                <w:rFonts w:hint="eastAsia" w:cs="Times New Roman"/>
                <w:color w:val="auto"/>
                <w:sz w:val="21"/>
                <w:szCs w:val="21"/>
                <w:lang w:val="en-US" w:eastAsia="zh-CN"/>
              </w:rPr>
            </w:pPr>
            <w:r>
              <w:rPr>
                <w:rFonts w:hint="eastAsia"/>
                <w:color w:val="auto"/>
                <w:sz w:val="21"/>
                <w:szCs w:val="21"/>
              </w:rPr>
              <w:t>生活垃圾</w:t>
            </w:r>
          </w:p>
        </w:tc>
        <w:tc>
          <w:tcPr>
            <w:tcW w:w="514" w:type="pct"/>
            <w:vAlign w:val="center"/>
          </w:tcPr>
          <w:p w14:paraId="07A4BAC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403" w:type="pct"/>
            <w:vAlign w:val="center"/>
          </w:tcPr>
          <w:p w14:paraId="7631C7D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45" w:type="pct"/>
            <w:vAlign w:val="center"/>
          </w:tcPr>
          <w:p w14:paraId="215DB96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84" w:type="pct"/>
            <w:vAlign w:val="center"/>
          </w:tcPr>
          <w:p w14:paraId="739B4BB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cs="Times New Roman"/>
                <w:bCs/>
                <w:color w:val="auto"/>
                <w:sz w:val="21"/>
                <w:szCs w:val="21"/>
                <w:lang w:val="en-US" w:eastAsia="zh-CN"/>
              </w:rPr>
            </w:pPr>
            <w:r>
              <w:rPr>
                <w:rFonts w:hint="eastAsia" w:cs="Times New Roman"/>
                <w:snapToGrid w:val="0"/>
                <w:color w:val="auto"/>
                <w:kern w:val="21"/>
                <w:szCs w:val="21"/>
                <w:lang w:val="en-US" w:eastAsia="zh-CN"/>
              </w:rPr>
              <w:t>1.5</w:t>
            </w:r>
            <w:r>
              <w:rPr>
                <w:rFonts w:hint="default" w:ascii="Times New Roman" w:hAnsi="Times New Roman" w:cs="Times New Roman"/>
                <w:snapToGrid w:val="0"/>
                <w:color w:val="auto"/>
                <w:kern w:val="21"/>
                <w:szCs w:val="21"/>
              </w:rPr>
              <w:t>t/a</w:t>
            </w:r>
          </w:p>
        </w:tc>
        <w:tc>
          <w:tcPr>
            <w:tcW w:w="561" w:type="pct"/>
            <w:vAlign w:val="center"/>
          </w:tcPr>
          <w:p w14:paraId="6E18937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646" w:type="pct"/>
            <w:vAlign w:val="center"/>
          </w:tcPr>
          <w:p w14:paraId="7570DD0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cs="Times New Roman"/>
                <w:bCs/>
                <w:color w:val="auto"/>
                <w:sz w:val="21"/>
                <w:szCs w:val="21"/>
                <w:lang w:val="en-US" w:eastAsia="zh-CN"/>
              </w:rPr>
            </w:pPr>
            <w:r>
              <w:rPr>
                <w:rFonts w:hint="eastAsia" w:cs="Times New Roman"/>
                <w:snapToGrid w:val="0"/>
                <w:color w:val="auto"/>
                <w:kern w:val="21"/>
                <w:szCs w:val="21"/>
                <w:lang w:val="en-US" w:eastAsia="zh-CN"/>
              </w:rPr>
              <w:t>1.5</w:t>
            </w:r>
            <w:r>
              <w:rPr>
                <w:rFonts w:hint="default" w:ascii="Times New Roman" w:hAnsi="Times New Roman" w:cs="Times New Roman"/>
                <w:snapToGrid w:val="0"/>
                <w:color w:val="auto"/>
                <w:kern w:val="21"/>
                <w:szCs w:val="21"/>
              </w:rPr>
              <w:t>t/a</w:t>
            </w:r>
          </w:p>
        </w:tc>
        <w:tc>
          <w:tcPr>
            <w:tcW w:w="409" w:type="pct"/>
            <w:vAlign w:val="center"/>
          </w:tcPr>
          <w:p w14:paraId="0E1AE59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r>
      <w:tr w14:paraId="37DD20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 w:type="pct"/>
            <w:vMerge w:val="restart"/>
            <w:vAlign w:val="center"/>
          </w:tcPr>
          <w:p w14:paraId="68B354F9">
            <w:pPr>
              <w:pStyle w:val="47"/>
              <w:keepNext w:val="0"/>
              <w:keepLines w:val="0"/>
              <w:pageBreakBefore w:val="0"/>
              <w:widowControl w:val="0"/>
              <w:kinsoku/>
              <w:wordWrap/>
              <w:overflowPunct/>
              <w:topLinePunct w:val="0"/>
              <w:autoSpaceDE/>
              <w:autoSpaceDN/>
              <w:bidi w:val="0"/>
              <w:adjustRightInd w:val="0"/>
              <w:snapToGrid w:val="0"/>
              <w:spacing w:beforeLines="0" w:after="0" w:afterLines="0" w:line="260" w:lineRule="exact"/>
              <w:textAlignment w:val="auto"/>
              <w:rPr>
                <w:rFonts w:hint="default" w:ascii="Times New Roman" w:hAnsi="Times New Roman" w:cs="Times New Roman"/>
                <w:bCs/>
                <w:color w:val="auto"/>
                <w:kern w:val="2"/>
                <w:szCs w:val="21"/>
              </w:rPr>
            </w:pPr>
            <w:r>
              <w:rPr>
                <w:rFonts w:hint="default" w:ascii="Times New Roman" w:hAnsi="Times New Roman" w:cs="Times New Roman"/>
                <w:bCs/>
                <w:color w:val="auto"/>
                <w:kern w:val="2"/>
                <w:szCs w:val="21"/>
              </w:rPr>
              <w:t>危险废物</w:t>
            </w:r>
          </w:p>
        </w:tc>
        <w:tc>
          <w:tcPr>
            <w:tcW w:w="925" w:type="pct"/>
            <w:vAlign w:val="center"/>
          </w:tcPr>
          <w:p w14:paraId="211DC765">
            <w:pPr>
              <w:pStyle w:val="87"/>
              <w:spacing w:line="280" w:lineRule="exact"/>
              <w:ind w:firstLine="0" w:firstLineChars="0"/>
              <w:jc w:val="center"/>
              <w:rPr>
                <w:rFonts w:hint="default" w:ascii="Times New Roman" w:hAnsi="Times New Roman" w:cs="Times New Roman"/>
                <w:bCs/>
                <w:color w:val="000000" w:themeColor="text1"/>
                <w:sz w:val="21"/>
                <w:szCs w:val="21"/>
                <w:shd w:val="clear" w:color="auto" w:fill="auto"/>
                <w:lang w:val="en-US" w:eastAsia="zh-CN"/>
                <w14:textFill>
                  <w14:solidFill>
                    <w14:schemeClr w14:val="tx1"/>
                  </w14:solidFill>
                </w14:textFill>
              </w:rPr>
            </w:pPr>
            <w:r>
              <w:rPr>
                <w:rFonts w:hint="eastAsia" w:ascii="Times New Roman" w:hAnsi="Times New Roman" w:cs="Times New Roman"/>
                <w:bCs/>
                <w:color w:val="auto"/>
                <w:sz w:val="21"/>
                <w:szCs w:val="21"/>
                <w:shd w:val="clear" w:color="auto" w:fill="auto"/>
                <w:lang w:val="en-US" w:eastAsia="zh-CN"/>
              </w:rPr>
              <w:t>废过滤棉</w:t>
            </w:r>
          </w:p>
        </w:tc>
        <w:tc>
          <w:tcPr>
            <w:tcW w:w="514" w:type="pct"/>
            <w:vAlign w:val="center"/>
          </w:tcPr>
          <w:p w14:paraId="15AB52D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403" w:type="pct"/>
            <w:vAlign w:val="center"/>
          </w:tcPr>
          <w:p w14:paraId="77BF121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45" w:type="pct"/>
            <w:vAlign w:val="center"/>
          </w:tcPr>
          <w:p w14:paraId="5CF38D3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84" w:type="pct"/>
            <w:vAlign w:val="center"/>
          </w:tcPr>
          <w:p w14:paraId="016E0D18">
            <w:pPr>
              <w:spacing w:line="240" w:lineRule="exact"/>
              <w:jc w:val="center"/>
              <w:rPr>
                <w:rFonts w:hint="eastAsia" w:cs="Times New Roman"/>
                <w:bCs/>
                <w:color w:val="auto"/>
                <w:sz w:val="21"/>
                <w:szCs w:val="21"/>
                <w:lang w:val="en-US" w:eastAsia="zh-CN"/>
              </w:rPr>
            </w:pPr>
            <w:r>
              <w:rPr>
                <w:rFonts w:hint="eastAsia" w:cs="Times New Roman"/>
                <w:bCs/>
                <w:color w:val="000000" w:themeColor="text1"/>
                <w:sz w:val="21"/>
                <w:szCs w:val="21"/>
                <w:lang w:val="en-US" w:eastAsia="zh-CN"/>
                <w14:textFill>
                  <w14:solidFill>
                    <w14:schemeClr w14:val="tx1"/>
                  </w14:solidFill>
                </w14:textFill>
              </w:rPr>
              <w:t>0.05</w:t>
            </w:r>
            <w:r>
              <w:rPr>
                <w:rFonts w:hint="default" w:ascii="Times New Roman" w:hAnsi="Times New Roman" w:cs="Times New Roman"/>
                <w:snapToGrid w:val="0"/>
                <w:color w:val="auto"/>
                <w:kern w:val="21"/>
                <w:szCs w:val="21"/>
              </w:rPr>
              <w:t>t/a</w:t>
            </w:r>
          </w:p>
        </w:tc>
        <w:tc>
          <w:tcPr>
            <w:tcW w:w="561" w:type="pct"/>
            <w:vAlign w:val="center"/>
          </w:tcPr>
          <w:p w14:paraId="78175C3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646" w:type="pct"/>
            <w:vAlign w:val="center"/>
          </w:tcPr>
          <w:p w14:paraId="4CDCCB64">
            <w:pPr>
              <w:spacing w:line="240" w:lineRule="exact"/>
              <w:jc w:val="center"/>
              <w:rPr>
                <w:rFonts w:hint="eastAsia" w:cs="Times New Roman"/>
                <w:bCs/>
                <w:color w:val="auto"/>
                <w:sz w:val="21"/>
                <w:szCs w:val="21"/>
                <w:lang w:val="en-US" w:eastAsia="zh-CN"/>
              </w:rPr>
            </w:pPr>
            <w:r>
              <w:rPr>
                <w:rFonts w:hint="eastAsia" w:cs="Times New Roman"/>
                <w:bCs/>
                <w:color w:val="000000" w:themeColor="text1"/>
                <w:sz w:val="21"/>
                <w:szCs w:val="21"/>
                <w:lang w:val="en-US" w:eastAsia="zh-CN"/>
                <w14:textFill>
                  <w14:solidFill>
                    <w14:schemeClr w14:val="tx1"/>
                  </w14:solidFill>
                </w14:textFill>
              </w:rPr>
              <w:t>0.05</w:t>
            </w:r>
            <w:r>
              <w:rPr>
                <w:rFonts w:hint="default" w:ascii="Times New Roman" w:hAnsi="Times New Roman" w:cs="Times New Roman"/>
                <w:snapToGrid w:val="0"/>
                <w:color w:val="auto"/>
                <w:kern w:val="21"/>
                <w:szCs w:val="21"/>
              </w:rPr>
              <w:t>t/a</w:t>
            </w:r>
          </w:p>
        </w:tc>
        <w:tc>
          <w:tcPr>
            <w:tcW w:w="409" w:type="pct"/>
            <w:vAlign w:val="center"/>
          </w:tcPr>
          <w:p w14:paraId="4FBFFDF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r>
      <w:tr w14:paraId="02008B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 w:type="pct"/>
            <w:vMerge w:val="continue"/>
            <w:vAlign w:val="center"/>
          </w:tcPr>
          <w:p w14:paraId="685B3D04">
            <w:pPr>
              <w:pStyle w:val="47"/>
              <w:keepNext w:val="0"/>
              <w:keepLines w:val="0"/>
              <w:pageBreakBefore w:val="0"/>
              <w:widowControl w:val="0"/>
              <w:kinsoku/>
              <w:wordWrap/>
              <w:overflowPunct/>
              <w:topLinePunct w:val="0"/>
              <w:autoSpaceDE/>
              <w:autoSpaceDN/>
              <w:bidi w:val="0"/>
              <w:adjustRightInd w:val="0"/>
              <w:snapToGrid w:val="0"/>
              <w:spacing w:beforeLines="0" w:after="0" w:afterLines="0" w:line="260" w:lineRule="exact"/>
              <w:textAlignment w:val="auto"/>
              <w:rPr>
                <w:rFonts w:hint="default" w:ascii="Times New Roman" w:hAnsi="Times New Roman" w:cs="Times New Roman"/>
                <w:bCs/>
                <w:color w:val="auto"/>
                <w:kern w:val="2"/>
                <w:szCs w:val="21"/>
              </w:rPr>
            </w:pPr>
          </w:p>
        </w:tc>
        <w:tc>
          <w:tcPr>
            <w:tcW w:w="925" w:type="pct"/>
            <w:vAlign w:val="center"/>
          </w:tcPr>
          <w:p w14:paraId="4CBE862C">
            <w:pPr>
              <w:pStyle w:val="87"/>
              <w:spacing w:line="280" w:lineRule="exact"/>
              <w:ind w:firstLine="0" w:firstLineChars="0"/>
              <w:jc w:val="center"/>
              <w:rPr>
                <w:rFonts w:hint="default" w:ascii="Times New Roman" w:hAnsi="Times New Roman" w:cs="Times New Roman"/>
                <w:bCs/>
                <w:color w:val="000000" w:themeColor="text1"/>
                <w:sz w:val="21"/>
                <w:szCs w:val="21"/>
                <w:shd w:val="clear" w:color="auto" w:fill="auto"/>
                <w:lang w:val="en-US" w:eastAsia="zh-CN"/>
                <w14:textFill>
                  <w14:solidFill>
                    <w14:schemeClr w14:val="tx1"/>
                  </w14:solidFill>
                </w14:textFill>
              </w:rPr>
            </w:pPr>
            <w:r>
              <w:rPr>
                <w:rFonts w:hint="eastAsia" w:ascii="Times New Roman" w:hAnsi="Times New Roman" w:cs="Times New Roman"/>
                <w:bCs/>
                <w:color w:val="auto"/>
                <w:sz w:val="21"/>
                <w:szCs w:val="21"/>
                <w:shd w:val="clear" w:color="auto" w:fill="auto"/>
                <w:lang w:val="en-US" w:eastAsia="zh-CN"/>
              </w:rPr>
              <w:t>废活性炭</w:t>
            </w:r>
          </w:p>
        </w:tc>
        <w:tc>
          <w:tcPr>
            <w:tcW w:w="514" w:type="pct"/>
            <w:vAlign w:val="center"/>
          </w:tcPr>
          <w:p w14:paraId="79D2621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403" w:type="pct"/>
            <w:vAlign w:val="center"/>
          </w:tcPr>
          <w:p w14:paraId="51F5614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45" w:type="pct"/>
            <w:vAlign w:val="center"/>
          </w:tcPr>
          <w:p w14:paraId="5137BCD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84" w:type="pct"/>
            <w:vAlign w:val="center"/>
          </w:tcPr>
          <w:p w14:paraId="4ECEA94B">
            <w:pPr>
              <w:spacing w:line="240" w:lineRule="exact"/>
              <w:jc w:val="center"/>
              <w:rPr>
                <w:rFonts w:hint="eastAsia" w:cs="Times New Roman"/>
                <w:bCs/>
                <w:color w:val="auto"/>
                <w:sz w:val="21"/>
                <w:szCs w:val="21"/>
                <w:lang w:val="en-US" w:eastAsia="zh-CN"/>
              </w:rPr>
            </w:pPr>
            <w:r>
              <w:rPr>
                <w:rFonts w:hint="eastAsia" w:cs="Times New Roman"/>
                <w:bCs/>
                <w:color w:val="000000" w:themeColor="text1"/>
                <w:sz w:val="21"/>
                <w:szCs w:val="21"/>
                <w:lang w:val="en-US" w:eastAsia="zh-CN"/>
                <w14:textFill>
                  <w14:solidFill>
                    <w14:schemeClr w14:val="tx1"/>
                  </w14:solidFill>
                </w14:textFill>
              </w:rPr>
              <w:t>0.9</w:t>
            </w:r>
            <w:r>
              <w:rPr>
                <w:rFonts w:hint="default" w:ascii="Times New Roman" w:hAnsi="Times New Roman" w:cs="Times New Roman"/>
                <w:snapToGrid w:val="0"/>
                <w:color w:val="auto"/>
                <w:kern w:val="21"/>
                <w:szCs w:val="21"/>
              </w:rPr>
              <w:t>t/a</w:t>
            </w:r>
          </w:p>
        </w:tc>
        <w:tc>
          <w:tcPr>
            <w:tcW w:w="561" w:type="pct"/>
            <w:vAlign w:val="center"/>
          </w:tcPr>
          <w:p w14:paraId="30143FD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646" w:type="pct"/>
            <w:vAlign w:val="center"/>
          </w:tcPr>
          <w:p w14:paraId="689CAE7B">
            <w:pPr>
              <w:spacing w:line="240" w:lineRule="exact"/>
              <w:jc w:val="center"/>
              <w:rPr>
                <w:rFonts w:hint="eastAsia" w:cs="Times New Roman"/>
                <w:bCs/>
                <w:color w:val="auto"/>
                <w:sz w:val="21"/>
                <w:szCs w:val="21"/>
                <w:lang w:val="en-US" w:eastAsia="zh-CN"/>
              </w:rPr>
            </w:pPr>
            <w:r>
              <w:rPr>
                <w:rFonts w:hint="eastAsia" w:cs="Times New Roman"/>
                <w:bCs/>
                <w:color w:val="000000" w:themeColor="text1"/>
                <w:sz w:val="21"/>
                <w:szCs w:val="21"/>
                <w:lang w:val="en-US" w:eastAsia="zh-CN"/>
                <w14:textFill>
                  <w14:solidFill>
                    <w14:schemeClr w14:val="tx1"/>
                  </w14:solidFill>
                </w14:textFill>
              </w:rPr>
              <w:t>0.9</w:t>
            </w:r>
            <w:r>
              <w:rPr>
                <w:rFonts w:hint="default" w:ascii="Times New Roman" w:hAnsi="Times New Roman" w:cs="Times New Roman"/>
                <w:snapToGrid w:val="0"/>
                <w:color w:val="auto"/>
                <w:kern w:val="21"/>
                <w:szCs w:val="21"/>
              </w:rPr>
              <w:t>t/a</w:t>
            </w:r>
          </w:p>
        </w:tc>
        <w:tc>
          <w:tcPr>
            <w:tcW w:w="409" w:type="pct"/>
            <w:vAlign w:val="center"/>
          </w:tcPr>
          <w:p w14:paraId="57D48CF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r>
      <w:tr w14:paraId="01F42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 w:type="pct"/>
            <w:vMerge w:val="continue"/>
            <w:vAlign w:val="center"/>
          </w:tcPr>
          <w:p w14:paraId="63D630E7">
            <w:pPr>
              <w:pStyle w:val="47"/>
              <w:keepNext w:val="0"/>
              <w:keepLines w:val="0"/>
              <w:pageBreakBefore w:val="0"/>
              <w:widowControl w:val="0"/>
              <w:kinsoku/>
              <w:wordWrap/>
              <w:overflowPunct/>
              <w:topLinePunct w:val="0"/>
              <w:autoSpaceDE/>
              <w:autoSpaceDN/>
              <w:bidi w:val="0"/>
              <w:adjustRightInd w:val="0"/>
              <w:snapToGrid w:val="0"/>
              <w:spacing w:beforeLines="0" w:after="0" w:afterLines="0" w:line="260" w:lineRule="exact"/>
              <w:textAlignment w:val="auto"/>
              <w:rPr>
                <w:rFonts w:hint="default" w:ascii="Times New Roman" w:hAnsi="Times New Roman" w:cs="Times New Roman"/>
                <w:bCs/>
                <w:color w:val="auto"/>
                <w:kern w:val="2"/>
                <w:szCs w:val="21"/>
              </w:rPr>
            </w:pPr>
          </w:p>
        </w:tc>
        <w:tc>
          <w:tcPr>
            <w:tcW w:w="925" w:type="pct"/>
            <w:vAlign w:val="center"/>
          </w:tcPr>
          <w:p w14:paraId="07BC557F">
            <w:pPr>
              <w:pStyle w:val="87"/>
              <w:spacing w:line="280" w:lineRule="exact"/>
              <w:ind w:firstLine="0" w:firstLineChars="0"/>
              <w:jc w:val="center"/>
              <w:rPr>
                <w:rFonts w:hint="default" w:ascii="Times New Roman" w:hAnsi="Times New Roman" w:cs="Times New Roman"/>
                <w:bCs/>
                <w:color w:val="000000" w:themeColor="text1"/>
                <w:sz w:val="21"/>
                <w:szCs w:val="21"/>
                <w:shd w:val="clear" w:color="auto" w:fill="auto"/>
                <w:lang w:val="en-US" w:eastAsia="zh-CN"/>
                <w14:textFill>
                  <w14:solidFill>
                    <w14:schemeClr w14:val="tx1"/>
                  </w14:solidFill>
                </w14:textFill>
              </w:rPr>
            </w:pPr>
            <w:r>
              <w:rPr>
                <w:rFonts w:hint="eastAsia" w:ascii="Times New Roman" w:hAnsi="Times New Roman" w:cs="Times New Roman"/>
                <w:bCs/>
                <w:color w:val="auto"/>
                <w:sz w:val="21"/>
                <w:szCs w:val="21"/>
                <w:shd w:val="clear" w:color="auto" w:fill="auto"/>
                <w:lang w:val="en-US" w:eastAsia="zh-CN"/>
              </w:rPr>
              <w:t>废催化剂</w:t>
            </w:r>
          </w:p>
        </w:tc>
        <w:tc>
          <w:tcPr>
            <w:tcW w:w="514" w:type="pct"/>
            <w:vAlign w:val="center"/>
          </w:tcPr>
          <w:p w14:paraId="71C7262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403" w:type="pct"/>
            <w:vAlign w:val="center"/>
          </w:tcPr>
          <w:p w14:paraId="0D532E7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45" w:type="pct"/>
            <w:vAlign w:val="center"/>
          </w:tcPr>
          <w:p w14:paraId="4E3DD08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84" w:type="pct"/>
            <w:vAlign w:val="center"/>
          </w:tcPr>
          <w:p w14:paraId="4CAAA2FB">
            <w:pPr>
              <w:spacing w:line="240" w:lineRule="exact"/>
              <w:jc w:val="center"/>
              <w:rPr>
                <w:rFonts w:hint="eastAsia"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0.2</w:t>
            </w:r>
            <w:r>
              <w:rPr>
                <w:rFonts w:hint="eastAsia" w:cs="Times New Roman"/>
                <w:bCs/>
                <w:color w:val="auto"/>
                <w:sz w:val="21"/>
                <w:szCs w:val="21"/>
                <w:lang w:val="en-US" w:eastAsia="zh-CN"/>
              </w:rPr>
              <w:t>（3a）</w:t>
            </w:r>
            <w:r>
              <w:rPr>
                <w:rFonts w:hint="default" w:ascii="Times New Roman" w:hAnsi="Times New Roman" w:cs="Times New Roman"/>
                <w:snapToGrid w:val="0"/>
                <w:color w:val="auto"/>
                <w:kern w:val="21"/>
                <w:szCs w:val="21"/>
              </w:rPr>
              <w:t>t/a</w:t>
            </w:r>
          </w:p>
        </w:tc>
        <w:tc>
          <w:tcPr>
            <w:tcW w:w="561" w:type="pct"/>
            <w:vAlign w:val="center"/>
          </w:tcPr>
          <w:p w14:paraId="351D36C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646" w:type="pct"/>
            <w:vAlign w:val="center"/>
          </w:tcPr>
          <w:p w14:paraId="144703B0">
            <w:pPr>
              <w:spacing w:line="240" w:lineRule="exact"/>
              <w:jc w:val="center"/>
              <w:rPr>
                <w:rFonts w:hint="eastAsia"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0.2</w:t>
            </w:r>
            <w:r>
              <w:rPr>
                <w:rFonts w:hint="eastAsia" w:cs="Times New Roman"/>
                <w:bCs/>
                <w:color w:val="auto"/>
                <w:sz w:val="21"/>
                <w:szCs w:val="21"/>
                <w:lang w:val="en-US" w:eastAsia="zh-CN"/>
              </w:rPr>
              <w:t>（3a）</w:t>
            </w:r>
            <w:r>
              <w:rPr>
                <w:rFonts w:hint="default" w:ascii="Times New Roman" w:hAnsi="Times New Roman" w:cs="Times New Roman"/>
                <w:snapToGrid w:val="0"/>
                <w:color w:val="auto"/>
                <w:kern w:val="21"/>
                <w:szCs w:val="21"/>
              </w:rPr>
              <w:t>t/a</w:t>
            </w:r>
          </w:p>
        </w:tc>
        <w:tc>
          <w:tcPr>
            <w:tcW w:w="409" w:type="pct"/>
            <w:vAlign w:val="center"/>
          </w:tcPr>
          <w:p w14:paraId="40E7596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r>
      <w:tr w14:paraId="243DE8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 w:type="pct"/>
            <w:vMerge w:val="continue"/>
            <w:vAlign w:val="center"/>
          </w:tcPr>
          <w:p w14:paraId="0789DACE">
            <w:pPr>
              <w:pStyle w:val="47"/>
              <w:keepNext w:val="0"/>
              <w:keepLines w:val="0"/>
              <w:pageBreakBefore w:val="0"/>
              <w:widowControl w:val="0"/>
              <w:kinsoku/>
              <w:wordWrap/>
              <w:overflowPunct/>
              <w:topLinePunct w:val="0"/>
              <w:autoSpaceDE/>
              <w:autoSpaceDN/>
              <w:bidi w:val="0"/>
              <w:adjustRightInd w:val="0"/>
              <w:snapToGrid w:val="0"/>
              <w:spacing w:beforeLines="0" w:after="0" w:afterLines="0" w:line="260" w:lineRule="exact"/>
              <w:textAlignment w:val="auto"/>
              <w:rPr>
                <w:rFonts w:hint="default" w:ascii="Times New Roman" w:hAnsi="Times New Roman" w:cs="Times New Roman"/>
                <w:bCs/>
                <w:color w:val="auto"/>
                <w:kern w:val="2"/>
                <w:szCs w:val="21"/>
              </w:rPr>
            </w:pPr>
          </w:p>
        </w:tc>
        <w:tc>
          <w:tcPr>
            <w:tcW w:w="925" w:type="pct"/>
            <w:vAlign w:val="center"/>
          </w:tcPr>
          <w:p w14:paraId="68D36376">
            <w:pPr>
              <w:pStyle w:val="87"/>
              <w:spacing w:line="280" w:lineRule="exact"/>
              <w:ind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bCs/>
                <w:color w:val="auto"/>
                <w:sz w:val="21"/>
                <w:szCs w:val="21"/>
                <w:shd w:val="clear" w:color="auto" w:fill="auto"/>
                <w:lang w:val="en-US" w:eastAsia="zh-CN"/>
              </w:rPr>
              <w:t>废液压油</w:t>
            </w:r>
          </w:p>
        </w:tc>
        <w:tc>
          <w:tcPr>
            <w:tcW w:w="514" w:type="pct"/>
            <w:vAlign w:val="center"/>
          </w:tcPr>
          <w:p w14:paraId="741DB06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403" w:type="pct"/>
            <w:vAlign w:val="center"/>
          </w:tcPr>
          <w:p w14:paraId="0EAA81B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45" w:type="pct"/>
            <w:vAlign w:val="center"/>
          </w:tcPr>
          <w:p w14:paraId="7C70791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84" w:type="pct"/>
            <w:vAlign w:val="center"/>
          </w:tcPr>
          <w:p w14:paraId="0CE01C1C">
            <w:pPr>
              <w:spacing w:line="240" w:lineRule="exact"/>
              <w:jc w:val="center"/>
              <w:rPr>
                <w:rFonts w:hint="default" w:ascii="Times New Roman" w:hAnsi="Times New Roman" w:cs="Times New Roman"/>
                <w:color w:val="auto"/>
                <w:szCs w:val="21"/>
              </w:rPr>
            </w:pPr>
            <w:r>
              <w:rPr>
                <w:rFonts w:hint="default" w:cs="Times New Roman"/>
                <w:bCs/>
                <w:color w:val="000000" w:themeColor="text1"/>
                <w:sz w:val="21"/>
                <w:szCs w:val="21"/>
                <w:lang w:val="en-US" w:eastAsia="zh-CN"/>
                <w14:textFill>
                  <w14:solidFill>
                    <w14:schemeClr w14:val="tx1"/>
                  </w14:solidFill>
                </w14:textFill>
              </w:rPr>
              <w:t>0.004</w:t>
            </w:r>
            <w:r>
              <w:rPr>
                <w:rFonts w:hint="default" w:ascii="Times New Roman" w:hAnsi="Times New Roman" w:cs="Times New Roman"/>
                <w:snapToGrid w:val="0"/>
                <w:color w:val="auto"/>
                <w:kern w:val="21"/>
                <w:szCs w:val="21"/>
              </w:rPr>
              <w:t>t/a</w:t>
            </w:r>
          </w:p>
        </w:tc>
        <w:tc>
          <w:tcPr>
            <w:tcW w:w="561" w:type="pct"/>
            <w:vAlign w:val="center"/>
          </w:tcPr>
          <w:p w14:paraId="07BFE6D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snapToGrid w:val="0"/>
                <w:color w:val="auto"/>
                <w:szCs w:val="21"/>
              </w:rPr>
            </w:pPr>
            <w:r>
              <w:rPr>
                <w:rFonts w:hint="default" w:ascii="Times New Roman" w:hAnsi="Times New Roman" w:cs="Times New Roman"/>
                <w:color w:val="auto"/>
                <w:kern w:val="0"/>
                <w:szCs w:val="21"/>
              </w:rPr>
              <w:t>/</w:t>
            </w:r>
          </w:p>
        </w:tc>
        <w:tc>
          <w:tcPr>
            <w:tcW w:w="646" w:type="pct"/>
            <w:vAlign w:val="center"/>
          </w:tcPr>
          <w:p w14:paraId="20FF6DE6">
            <w:pPr>
              <w:spacing w:line="240" w:lineRule="exact"/>
              <w:jc w:val="center"/>
              <w:rPr>
                <w:rFonts w:hint="default" w:ascii="Times New Roman" w:hAnsi="Times New Roman" w:cs="Times New Roman"/>
                <w:color w:val="auto"/>
                <w:szCs w:val="21"/>
              </w:rPr>
            </w:pPr>
            <w:r>
              <w:rPr>
                <w:rFonts w:hint="default" w:cs="Times New Roman"/>
                <w:bCs/>
                <w:color w:val="000000" w:themeColor="text1"/>
                <w:sz w:val="21"/>
                <w:szCs w:val="21"/>
                <w:lang w:val="en-US" w:eastAsia="zh-CN"/>
                <w14:textFill>
                  <w14:solidFill>
                    <w14:schemeClr w14:val="tx1"/>
                  </w14:solidFill>
                </w14:textFill>
              </w:rPr>
              <w:t>0.004</w:t>
            </w:r>
            <w:r>
              <w:rPr>
                <w:rFonts w:hint="default" w:ascii="Times New Roman" w:hAnsi="Times New Roman" w:cs="Times New Roman"/>
                <w:snapToGrid w:val="0"/>
                <w:color w:val="auto"/>
                <w:kern w:val="21"/>
                <w:szCs w:val="21"/>
              </w:rPr>
              <w:t>t/a</w:t>
            </w:r>
          </w:p>
        </w:tc>
        <w:tc>
          <w:tcPr>
            <w:tcW w:w="409" w:type="pct"/>
            <w:vAlign w:val="center"/>
          </w:tcPr>
          <w:p w14:paraId="65D2D08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color w:val="auto"/>
                <w:szCs w:val="21"/>
                <w:lang w:val="en-US" w:eastAsia="zh-CN"/>
              </w:rPr>
            </w:pPr>
            <w:r>
              <w:rPr>
                <w:rFonts w:hint="default" w:ascii="Times New Roman" w:hAnsi="Times New Roman" w:cs="Times New Roman"/>
                <w:color w:val="auto"/>
                <w:kern w:val="0"/>
                <w:szCs w:val="21"/>
              </w:rPr>
              <w:t>/</w:t>
            </w:r>
          </w:p>
        </w:tc>
      </w:tr>
      <w:tr w14:paraId="085060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 w:type="pct"/>
            <w:vMerge w:val="continue"/>
            <w:vAlign w:val="center"/>
          </w:tcPr>
          <w:p w14:paraId="6B8DA3FE">
            <w:pPr>
              <w:pStyle w:val="47"/>
              <w:keepNext w:val="0"/>
              <w:keepLines w:val="0"/>
              <w:pageBreakBefore w:val="0"/>
              <w:widowControl w:val="0"/>
              <w:kinsoku/>
              <w:wordWrap/>
              <w:overflowPunct/>
              <w:topLinePunct w:val="0"/>
              <w:autoSpaceDE/>
              <w:autoSpaceDN/>
              <w:bidi w:val="0"/>
              <w:adjustRightInd w:val="0"/>
              <w:snapToGrid w:val="0"/>
              <w:spacing w:beforeLines="0" w:after="0" w:afterLines="0" w:line="260" w:lineRule="exact"/>
              <w:textAlignment w:val="auto"/>
              <w:rPr>
                <w:rFonts w:hint="default" w:ascii="Times New Roman" w:hAnsi="Times New Roman" w:cs="Times New Roman"/>
                <w:bCs/>
                <w:color w:val="auto"/>
                <w:kern w:val="2"/>
                <w:szCs w:val="21"/>
              </w:rPr>
            </w:pPr>
          </w:p>
        </w:tc>
        <w:tc>
          <w:tcPr>
            <w:tcW w:w="925" w:type="pct"/>
            <w:vAlign w:val="center"/>
          </w:tcPr>
          <w:p w14:paraId="6B913AFA">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default" w:ascii="Times New Roman" w:hAnsi="Times New Roman" w:cs="Times New Roman"/>
                <w:bCs/>
                <w:color w:val="auto"/>
                <w:sz w:val="21"/>
                <w:szCs w:val="21"/>
                <w:shd w:val="clear" w:color="auto" w:fill="auto"/>
                <w:lang w:val="en-US" w:eastAsia="zh-CN"/>
              </w:rPr>
              <w:t>废</w:t>
            </w:r>
            <w:r>
              <w:rPr>
                <w:rFonts w:hint="eastAsia" w:ascii="Times New Roman" w:hAnsi="Times New Roman" w:cs="Times New Roman"/>
                <w:bCs/>
                <w:color w:val="auto"/>
                <w:sz w:val="21"/>
                <w:szCs w:val="21"/>
                <w:shd w:val="clear" w:color="auto" w:fill="auto"/>
                <w:lang w:val="en-US" w:eastAsia="zh-CN"/>
              </w:rPr>
              <w:t>润滑油</w:t>
            </w:r>
          </w:p>
        </w:tc>
        <w:tc>
          <w:tcPr>
            <w:tcW w:w="514" w:type="pct"/>
            <w:vAlign w:val="center"/>
          </w:tcPr>
          <w:p w14:paraId="7EA88A9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403" w:type="pct"/>
            <w:vAlign w:val="center"/>
          </w:tcPr>
          <w:p w14:paraId="1A0FBFB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45" w:type="pct"/>
            <w:vAlign w:val="center"/>
          </w:tcPr>
          <w:p w14:paraId="72C386F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84" w:type="pct"/>
            <w:vAlign w:val="center"/>
          </w:tcPr>
          <w:p w14:paraId="1BCB3AA0">
            <w:pPr>
              <w:spacing w:line="240" w:lineRule="exact"/>
              <w:jc w:val="center"/>
              <w:rPr>
                <w:rFonts w:hint="default"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0.12</w:t>
            </w:r>
            <w:r>
              <w:rPr>
                <w:rFonts w:hint="default" w:ascii="Times New Roman" w:hAnsi="Times New Roman" w:cs="Times New Roman"/>
                <w:snapToGrid w:val="0"/>
                <w:color w:val="auto"/>
                <w:kern w:val="21"/>
                <w:szCs w:val="21"/>
              </w:rPr>
              <w:t>t/a</w:t>
            </w:r>
          </w:p>
        </w:tc>
        <w:tc>
          <w:tcPr>
            <w:tcW w:w="561" w:type="pct"/>
            <w:vAlign w:val="center"/>
          </w:tcPr>
          <w:p w14:paraId="285DBD6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646" w:type="pct"/>
            <w:vAlign w:val="center"/>
          </w:tcPr>
          <w:p w14:paraId="25472FCE">
            <w:pPr>
              <w:spacing w:line="240" w:lineRule="exact"/>
              <w:jc w:val="center"/>
              <w:rPr>
                <w:rFonts w:hint="default"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0.12</w:t>
            </w:r>
            <w:r>
              <w:rPr>
                <w:rFonts w:hint="default" w:ascii="Times New Roman" w:hAnsi="Times New Roman" w:cs="Times New Roman"/>
                <w:snapToGrid w:val="0"/>
                <w:color w:val="auto"/>
                <w:kern w:val="21"/>
                <w:szCs w:val="21"/>
              </w:rPr>
              <w:t>t/a</w:t>
            </w:r>
          </w:p>
        </w:tc>
        <w:tc>
          <w:tcPr>
            <w:tcW w:w="409" w:type="pct"/>
            <w:vAlign w:val="center"/>
          </w:tcPr>
          <w:p w14:paraId="3A9800C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r>
      <w:tr w14:paraId="3F033D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 w:type="pct"/>
            <w:vMerge w:val="continue"/>
            <w:vAlign w:val="center"/>
          </w:tcPr>
          <w:p w14:paraId="00B349BA">
            <w:pPr>
              <w:pStyle w:val="47"/>
              <w:keepNext w:val="0"/>
              <w:keepLines w:val="0"/>
              <w:pageBreakBefore w:val="0"/>
              <w:widowControl w:val="0"/>
              <w:kinsoku/>
              <w:wordWrap/>
              <w:overflowPunct/>
              <w:topLinePunct w:val="0"/>
              <w:autoSpaceDE/>
              <w:autoSpaceDN/>
              <w:bidi w:val="0"/>
              <w:adjustRightInd w:val="0"/>
              <w:snapToGrid w:val="0"/>
              <w:spacing w:beforeLines="0" w:after="0" w:afterLines="0" w:line="260" w:lineRule="exact"/>
              <w:textAlignment w:val="auto"/>
              <w:rPr>
                <w:rFonts w:hint="default" w:ascii="Times New Roman" w:hAnsi="Times New Roman" w:cs="Times New Roman"/>
                <w:bCs/>
                <w:color w:val="auto"/>
                <w:kern w:val="2"/>
                <w:szCs w:val="21"/>
              </w:rPr>
            </w:pPr>
          </w:p>
        </w:tc>
        <w:tc>
          <w:tcPr>
            <w:tcW w:w="925" w:type="pct"/>
            <w:vAlign w:val="center"/>
          </w:tcPr>
          <w:p w14:paraId="522600DD">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default" w:ascii="Times New Roman" w:hAnsi="Times New Roman" w:cs="Times New Roman"/>
                <w:bCs/>
                <w:color w:val="auto"/>
                <w:sz w:val="21"/>
                <w:szCs w:val="21"/>
                <w:shd w:val="clear" w:color="auto" w:fill="auto"/>
                <w:lang w:val="en-US" w:eastAsia="zh-CN"/>
              </w:rPr>
              <w:t>废油桶</w:t>
            </w:r>
          </w:p>
        </w:tc>
        <w:tc>
          <w:tcPr>
            <w:tcW w:w="514" w:type="pct"/>
            <w:vAlign w:val="center"/>
          </w:tcPr>
          <w:p w14:paraId="00101E2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403" w:type="pct"/>
            <w:vAlign w:val="center"/>
          </w:tcPr>
          <w:p w14:paraId="5A41A3B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45" w:type="pct"/>
            <w:vAlign w:val="center"/>
          </w:tcPr>
          <w:p w14:paraId="0C75B1A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84" w:type="pct"/>
            <w:vAlign w:val="center"/>
          </w:tcPr>
          <w:p w14:paraId="24335C3E">
            <w:pPr>
              <w:spacing w:line="240" w:lineRule="exact"/>
              <w:jc w:val="center"/>
              <w:rPr>
                <w:rFonts w:hint="default" w:cs="Times New Roman"/>
                <w:bCs/>
                <w:color w:val="000000" w:themeColor="text1"/>
                <w:sz w:val="21"/>
                <w:szCs w:val="21"/>
                <w:lang w:val="en-US" w:eastAsia="zh-CN"/>
                <w14:textFill>
                  <w14:solidFill>
                    <w14:schemeClr w14:val="tx1"/>
                  </w14:solidFill>
                </w14:textFill>
              </w:rPr>
            </w:pPr>
            <w:r>
              <w:rPr>
                <w:rFonts w:hint="default" w:cs="Times New Roman"/>
                <w:bCs/>
                <w:color w:val="000000" w:themeColor="text1"/>
                <w:sz w:val="21"/>
                <w:szCs w:val="21"/>
                <w:lang w:val="en-US" w:eastAsia="zh-CN"/>
                <w14:textFill>
                  <w14:solidFill>
                    <w14:schemeClr w14:val="tx1"/>
                  </w14:solidFill>
                </w14:textFill>
              </w:rPr>
              <w:t>0.0</w:t>
            </w:r>
            <w:r>
              <w:rPr>
                <w:rFonts w:hint="eastAsia" w:cs="Times New Roman"/>
                <w:bCs/>
                <w:color w:val="000000" w:themeColor="text1"/>
                <w:sz w:val="21"/>
                <w:szCs w:val="21"/>
                <w:lang w:val="en-US" w:eastAsia="zh-CN"/>
                <w14:textFill>
                  <w14:solidFill>
                    <w14:schemeClr w14:val="tx1"/>
                  </w14:solidFill>
                </w14:textFill>
              </w:rPr>
              <w:t>3</w:t>
            </w:r>
            <w:r>
              <w:rPr>
                <w:rFonts w:hint="default" w:ascii="Times New Roman" w:hAnsi="Times New Roman" w:cs="Times New Roman"/>
                <w:snapToGrid w:val="0"/>
                <w:color w:val="auto"/>
                <w:kern w:val="21"/>
                <w:szCs w:val="21"/>
              </w:rPr>
              <w:t>t/a</w:t>
            </w:r>
          </w:p>
        </w:tc>
        <w:tc>
          <w:tcPr>
            <w:tcW w:w="561" w:type="pct"/>
            <w:vAlign w:val="center"/>
          </w:tcPr>
          <w:p w14:paraId="64AAF8B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646" w:type="pct"/>
            <w:vAlign w:val="center"/>
          </w:tcPr>
          <w:p w14:paraId="5250F095">
            <w:pPr>
              <w:spacing w:line="240" w:lineRule="exact"/>
              <w:jc w:val="center"/>
              <w:rPr>
                <w:rFonts w:hint="default" w:cs="Times New Roman"/>
                <w:bCs/>
                <w:color w:val="000000" w:themeColor="text1"/>
                <w:sz w:val="21"/>
                <w:szCs w:val="21"/>
                <w:lang w:val="en-US" w:eastAsia="zh-CN"/>
                <w14:textFill>
                  <w14:solidFill>
                    <w14:schemeClr w14:val="tx1"/>
                  </w14:solidFill>
                </w14:textFill>
              </w:rPr>
            </w:pPr>
            <w:r>
              <w:rPr>
                <w:rFonts w:hint="default" w:cs="Times New Roman"/>
                <w:bCs/>
                <w:color w:val="000000" w:themeColor="text1"/>
                <w:sz w:val="21"/>
                <w:szCs w:val="21"/>
                <w:lang w:val="en-US" w:eastAsia="zh-CN"/>
                <w14:textFill>
                  <w14:solidFill>
                    <w14:schemeClr w14:val="tx1"/>
                  </w14:solidFill>
                </w14:textFill>
              </w:rPr>
              <w:t>0.0</w:t>
            </w:r>
            <w:r>
              <w:rPr>
                <w:rFonts w:hint="eastAsia" w:cs="Times New Roman"/>
                <w:bCs/>
                <w:color w:val="000000" w:themeColor="text1"/>
                <w:sz w:val="21"/>
                <w:szCs w:val="21"/>
                <w:lang w:val="en-US" w:eastAsia="zh-CN"/>
                <w14:textFill>
                  <w14:solidFill>
                    <w14:schemeClr w14:val="tx1"/>
                  </w14:solidFill>
                </w14:textFill>
              </w:rPr>
              <w:t>3</w:t>
            </w:r>
            <w:r>
              <w:rPr>
                <w:rFonts w:hint="default" w:ascii="Times New Roman" w:hAnsi="Times New Roman" w:cs="Times New Roman"/>
                <w:snapToGrid w:val="0"/>
                <w:color w:val="auto"/>
                <w:kern w:val="21"/>
                <w:szCs w:val="21"/>
              </w:rPr>
              <w:t>t/a</w:t>
            </w:r>
          </w:p>
        </w:tc>
        <w:tc>
          <w:tcPr>
            <w:tcW w:w="409" w:type="pct"/>
            <w:vAlign w:val="center"/>
          </w:tcPr>
          <w:p w14:paraId="054683E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r>
      <w:tr w14:paraId="7D9BDF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 w:type="pct"/>
            <w:vMerge w:val="continue"/>
            <w:vAlign w:val="center"/>
          </w:tcPr>
          <w:p w14:paraId="60ACB165">
            <w:pPr>
              <w:pStyle w:val="47"/>
              <w:keepNext w:val="0"/>
              <w:keepLines w:val="0"/>
              <w:pageBreakBefore w:val="0"/>
              <w:widowControl w:val="0"/>
              <w:kinsoku/>
              <w:wordWrap/>
              <w:overflowPunct/>
              <w:topLinePunct w:val="0"/>
              <w:autoSpaceDE/>
              <w:autoSpaceDN/>
              <w:bidi w:val="0"/>
              <w:adjustRightInd w:val="0"/>
              <w:snapToGrid w:val="0"/>
              <w:spacing w:beforeLines="0" w:after="0" w:afterLines="0" w:line="260" w:lineRule="exact"/>
              <w:textAlignment w:val="auto"/>
              <w:rPr>
                <w:rFonts w:hint="default" w:ascii="Times New Roman" w:hAnsi="Times New Roman" w:cs="Times New Roman"/>
                <w:bCs/>
                <w:color w:val="auto"/>
                <w:kern w:val="2"/>
                <w:szCs w:val="21"/>
              </w:rPr>
            </w:pPr>
          </w:p>
        </w:tc>
        <w:tc>
          <w:tcPr>
            <w:tcW w:w="925" w:type="pct"/>
            <w:vAlign w:val="center"/>
          </w:tcPr>
          <w:p w14:paraId="7736A978">
            <w:pPr>
              <w:pStyle w:val="87"/>
              <w:spacing w:line="280" w:lineRule="exact"/>
              <w:ind w:firstLine="0" w:firstLineChars="0"/>
              <w:jc w:val="center"/>
              <w:rPr>
                <w:rFonts w:hint="default" w:ascii="Times New Roman" w:hAnsi="Times New Roman" w:cs="Times New Roman"/>
                <w:bCs/>
                <w:color w:val="auto"/>
                <w:sz w:val="21"/>
                <w:szCs w:val="21"/>
                <w:shd w:val="clear" w:color="auto" w:fill="auto"/>
                <w:lang w:val="en-US" w:eastAsia="zh-CN"/>
              </w:rPr>
            </w:pPr>
            <w:r>
              <w:rPr>
                <w:rFonts w:hint="eastAsia" w:ascii="Times New Roman" w:hAnsi="Times New Roman" w:cs="Times New Roman"/>
                <w:bCs/>
                <w:color w:val="auto"/>
                <w:sz w:val="21"/>
                <w:szCs w:val="21"/>
                <w:shd w:val="clear" w:color="auto" w:fill="auto"/>
                <w:lang w:val="en-US" w:eastAsia="zh-CN"/>
              </w:rPr>
              <w:t>废含油抹布</w:t>
            </w:r>
          </w:p>
        </w:tc>
        <w:tc>
          <w:tcPr>
            <w:tcW w:w="514" w:type="pct"/>
            <w:vAlign w:val="center"/>
          </w:tcPr>
          <w:p w14:paraId="7C3DB07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403" w:type="pct"/>
            <w:vAlign w:val="center"/>
          </w:tcPr>
          <w:p w14:paraId="6C20FDC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45" w:type="pct"/>
            <w:vAlign w:val="center"/>
          </w:tcPr>
          <w:p w14:paraId="29B66D5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584" w:type="pct"/>
            <w:vAlign w:val="center"/>
          </w:tcPr>
          <w:p w14:paraId="2DC65339">
            <w:pPr>
              <w:spacing w:line="240" w:lineRule="exact"/>
              <w:jc w:val="center"/>
              <w:rPr>
                <w:rFonts w:hint="default"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0.012</w:t>
            </w:r>
            <w:r>
              <w:rPr>
                <w:rFonts w:hint="default" w:ascii="Times New Roman" w:hAnsi="Times New Roman" w:cs="Times New Roman"/>
                <w:snapToGrid w:val="0"/>
                <w:color w:val="auto"/>
                <w:kern w:val="21"/>
                <w:szCs w:val="21"/>
              </w:rPr>
              <w:t>t/a</w:t>
            </w:r>
          </w:p>
        </w:tc>
        <w:tc>
          <w:tcPr>
            <w:tcW w:w="561" w:type="pct"/>
            <w:vAlign w:val="center"/>
          </w:tcPr>
          <w:p w14:paraId="0C1BDCA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646" w:type="pct"/>
            <w:vAlign w:val="center"/>
          </w:tcPr>
          <w:p w14:paraId="17749BC1">
            <w:pPr>
              <w:spacing w:line="240" w:lineRule="exact"/>
              <w:jc w:val="center"/>
              <w:rPr>
                <w:rFonts w:hint="default"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0.012</w:t>
            </w:r>
            <w:r>
              <w:rPr>
                <w:rFonts w:hint="default" w:ascii="Times New Roman" w:hAnsi="Times New Roman" w:cs="Times New Roman"/>
                <w:snapToGrid w:val="0"/>
                <w:color w:val="auto"/>
                <w:kern w:val="21"/>
                <w:szCs w:val="21"/>
              </w:rPr>
              <w:t>t/a</w:t>
            </w:r>
          </w:p>
        </w:tc>
        <w:tc>
          <w:tcPr>
            <w:tcW w:w="409" w:type="pct"/>
            <w:vAlign w:val="center"/>
          </w:tcPr>
          <w:p w14:paraId="6B2C8FB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r>
    </w:tbl>
    <w:p w14:paraId="21D8E7EC">
      <w:pPr>
        <w:pStyle w:val="47"/>
        <w:spacing w:beforeLines="0" w:afterLines="0" w:line="240" w:lineRule="auto"/>
        <w:jc w:val="left"/>
        <w:rPr>
          <w:rFonts w:hint="default" w:ascii="Times New Roman" w:hAnsi="Times New Roman" w:cs="Times New Roman"/>
          <w:color w:val="auto"/>
        </w:rPr>
      </w:pPr>
      <w:r>
        <w:rPr>
          <w:rFonts w:hint="default" w:ascii="Times New Roman" w:hAnsi="Times New Roman" w:cs="Times New Roman"/>
          <w:snapToGrid w:val="0"/>
          <w:color w:val="auto"/>
          <w:kern w:val="21"/>
          <w:szCs w:val="21"/>
        </w:rPr>
        <w:t>注：</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3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③</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4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④</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5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⑤</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7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⑦</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p>
    <w:sectPr>
      <w:footerReference r:id="rId6"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1"/>
    <w:family w:val="roman"/>
    <w:pitch w:val="default"/>
    <w:sig w:usb0="00000000" w:usb1="00000000" w:usb2="00000000" w:usb3="00000000" w:csb0="00040001" w:csb1="00000000"/>
  </w:font>
  <w:font w:name="宋">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TimesNewRoman">
    <w:altName w:val="宋体"/>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TimesNewRomanPSMT">
    <w:altName w:val="Times New Roman"/>
    <w:panose1 w:val="00000000000000000000"/>
    <w:charset w:val="80"/>
    <w:family w:val="auto"/>
    <w:pitch w:val="default"/>
    <w:sig w:usb0="00000000" w:usb1="00000000" w:usb2="00000000" w:usb3="00000000" w:csb0="0002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30425">
    <w:pPr>
      <w:pStyle w:val="18"/>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E486D">
    <w:pPr>
      <w:pStyle w:val="18"/>
      <w:framePr w:wrap="around" w:vAnchor="text" w:hAnchor="margin" w:xAlign="center" w:y="1"/>
      <w:rPr>
        <w:rStyle w:val="32"/>
      </w:rPr>
    </w:pPr>
    <w:r>
      <w:fldChar w:fldCharType="begin"/>
    </w:r>
    <w:r>
      <w:rPr>
        <w:rStyle w:val="32"/>
      </w:rPr>
      <w:instrText xml:space="preserve">PAGE  </w:instrText>
    </w:r>
    <w:r>
      <w:fldChar w:fldCharType="end"/>
    </w:r>
  </w:p>
  <w:p w14:paraId="0C7D3A08">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88456">
    <w:pPr>
      <w:pStyle w:val="18"/>
      <w:ind w:right="360" w:firstLine="360"/>
      <w:jc w:val="center"/>
    </w:pPr>
    <w:r>
      <w:fldChar w:fldCharType="begin"/>
    </w:r>
    <w:r>
      <w:instrText xml:space="preserve">PAGE   \* MERGEFORMAT</w:instrText>
    </w:r>
    <w:r>
      <w:fldChar w:fldCharType="separate"/>
    </w:r>
    <w:r>
      <w:rPr>
        <w:lang w:val="zh-CN"/>
      </w:rPr>
      <w:t>70</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8D755">
    <w:pPr>
      <w:pStyle w:val="18"/>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txbx>
                      <w:txbxContent>
                        <w:p w14:paraId="3691B44E">
                          <w:pPr>
                            <w:pStyle w:val="18"/>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g1FMhzACAABVBAAADgAAAAAAAAABACAAAAAhAQAAZHJzL2Uyb0RvYy54bWxQSwUG&#10;AAAAAAYABgBZAQAAwwUAAAAA&#10;">
              <v:fill on="f" focussize="0,0"/>
              <v:stroke on="f" weight="0.5pt"/>
              <v:imagedata o:title=""/>
              <o:lock v:ext="edit" aspectratio="f"/>
              <v:textbox inset="0mm,0mm,0mm,0mm" style="mso-fit-shape-to-text:t;">
                <w:txbxContent>
                  <w:p w14:paraId="3691B44E">
                    <w:pPr>
                      <w:pStyle w:val="18"/>
                    </w:pPr>
                    <w:r>
                      <w:fldChar w:fldCharType="begin"/>
                    </w:r>
                    <w:r>
                      <w:instrText xml:space="preserve"> PAGE  \* MERGEFORMAT </w:instrText>
                    </w:r>
                    <w:r>
                      <w:fldChar w:fldCharType="separate"/>
                    </w:r>
                    <w:r>
                      <w:t>73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86F2C"/>
    <w:multiLevelType w:val="singleLevel"/>
    <w:tmpl w:val="12D86F2C"/>
    <w:lvl w:ilvl="0" w:tentative="0">
      <w:start w:val="3"/>
      <w:numFmt w:val="decimal"/>
      <w:suff w:val="nothing"/>
      <w:lvlText w:val="%1、"/>
      <w:lvlJc w:val="left"/>
    </w:lvl>
  </w:abstractNum>
  <w:abstractNum w:abstractNumId="1">
    <w:nsid w:val="2C1722FE"/>
    <w:multiLevelType w:val="multilevel"/>
    <w:tmpl w:val="2C1722FE"/>
    <w:lvl w:ilvl="0" w:tentative="0">
      <w:start w:val="1"/>
      <w:numFmt w:val="decimalEnclosedCircle"/>
      <w:lvlText w:val="%1"/>
      <w:lvlJc w:val="left"/>
      <w:pPr>
        <w:ind w:left="780" w:hanging="360"/>
      </w:pPr>
      <w:rPr>
        <w:rFonts w:hint="default" w:ascii="宋体" w:hAnsi="宋体" w:cs="宋体"/>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4C7B6EFD"/>
    <w:multiLevelType w:val="singleLevel"/>
    <w:tmpl w:val="4C7B6EFD"/>
    <w:lvl w:ilvl="0" w:tentative="0">
      <w:start w:val="1"/>
      <w:numFmt w:val="decimal"/>
      <w:suff w:val="nothing"/>
      <w:lvlText w:val="（%1）"/>
      <w:lvlJc w:val="left"/>
    </w:lvl>
  </w:abstractNum>
  <w:abstractNum w:abstractNumId="3">
    <w:nsid w:val="7BB597F4"/>
    <w:multiLevelType w:val="singleLevel"/>
    <w:tmpl w:val="7BB597F4"/>
    <w:lvl w:ilvl="0" w:tentative="0">
      <w:start w:val="2"/>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kMTZlZGRkYjI3ZGU1ZmQ0ODY0Y2FkMTcwY2EzMTMifQ=="/>
    <w:docVar w:name="KSO_WPS_MARK_KEY" w:val="be2c769b-11c8-44b7-bc9d-854d468f19ce"/>
  </w:docVars>
  <w:rsids>
    <w:rsidRoot w:val="00172A27"/>
    <w:rsid w:val="000010F6"/>
    <w:rsid w:val="00001413"/>
    <w:rsid w:val="00001DBE"/>
    <w:rsid w:val="0000220E"/>
    <w:rsid w:val="00003405"/>
    <w:rsid w:val="000035DB"/>
    <w:rsid w:val="00003A05"/>
    <w:rsid w:val="00004514"/>
    <w:rsid w:val="000051FB"/>
    <w:rsid w:val="00005CF7"/>
    <w:rsid w:val="00005F5A"/>
    <w:rsid w:val="00006439"/>
    <w:rsid w:val="000065BE"/>
    <w:rsid w:val="0000668B"/>
    <w:rsid w:val="000077AD"/>
    <w:rsid w:val="00007B49"/>
    <w:rsid w:val="00007EC3"/>
    <w:rsid w:val="00010009"/>
    <w:rsid w:val="0001077F"/>
    <w:rsid w:val="00010EB9"/>
    <w:rsid w:val="00010F23"/>
    <w:rsid w:val="000114FF"/>
    <w:rsid w:val="00011D31"/>
    <w:rsid w:val="000122BA"/>
    <w:rsid w:val="00012842"/>
    <w:rsid w:val="000128D5"/>
    <w:rsid w:val="00013591"/>
    <w:rsid w:val="0001411E"/>
    <w:rsid w:val="00014594"/>
    <w:rsid w:val="000147CC"/>
    <w:rsid w:val="00014B1B"/>
    <w:rsid w:val="00015839"/>
    <w:rsid w:val="00015A96"/>
    <w:rsid w:val="0001641D"/>
    <w:rsid w:val="00017CAE"/>
    <w:rsid w:val="000204A1"/>
    <w:rsid w:val="00020637"/>
    <w:rsid w:val="00020E28"/>
    <w:rsid w:val="000217FA"/>
    <w:rsid w:val="0002318A"/>
    <w:rsid w:val="000267C3"/>
    <w:rsid w:val="00027E2E"/>
    <w:rsid w:val="000303D6"/>
    <w:rsid w:val="0003040A"/>
    <w:rsid w:val="00030E51"/>
    <w:rsid w:val="00031097"/>
    <w:rsid w:val="00031D5F"/>
    <w:rsid w:val="000326C0"/>
    <w:rsid w:val="00032A54"/>
    <w:rsid w:val="00032DCE"/>
    <w:rsid w:val="00033AF0"/>
    <w:rsid w:val="00033CA5"/>
    <w:rsid w:val="00034105"/>
    <w:rsid w:val="0003491A"/>
    <w:rsid w:val="00035FFC"/>
    <w:rsid w:val="00037CCB"/>
    <w:rsid w:val="00040078"/>
    <w:rsid w:val="00040DC8"/>
    <w:rsid w:val="000419E8"/>
    <w:rsid w:val="0004228E"/>
    <w:rsid w:val="0004257D"/>
    <w:rsid w:val="00042792"/>
    <w:rsid w:val="00042BC0"/>
    <w:rsid w:val="00042EFA"/>
    <w:rsid w:val="00043B17"/>
    <w:rsid w:val="000445AD"/>
    <w:rsid w:val="00044603"/>
    <w:rsid w:val="0004470B"/>
    <w:rsid w:val="0004535F"/>
    <w:rsid w:val="0004557A"/>
    <w:rsid w:val="00045A92"/>
    <w:rsid w:val="00045D1E"/>
    <w:rsid w:val="00047912"/>
    <w:rsid w:val="00047AB1"/>
    <w:rsid w:val="00047AE2"/>
    <w:rsid w:val="00047D00"/>
    <w:rsid w:val="00050843"/>
    <w:rsid w:val="00051235"/>
    <w:rsid w:val="00052A18"/>
    <w:rsid w:val="000535B6"/>
    <w:rsid w:val="00053CB4"/>
    <w:rsid w:val="00053E3B"/>
    <w:rsid w:val="000542AF"/>
    <w:rsid w:val="0005594B"/>
    <w:rsid w:val="00055FA7"/>
    <w:rsid w:val="0005644B"/>
    <w:rsid w:val="000569EF"/>
    <w:rsid w:val="00056F47"/>
    <w:rsid w:val="00057A48"/>
    <w:rsid w:val="00057F22"/>
    <w:rsid w:val="0006006D"/>
    <w:rsid w:val="00060424"/>
    <w:rsid w:val="00060AD2"/>
    <w:rsid w:val="00061DA1"/>
    <w:rsid w:val="00061FFB"/>
    <w:rsid w:val="000620FA"/>
    <w:rsid w:val="00062252"/>
    <w:rsid w:val="00062486"/>
    <w:rsid w:val="000629E5"/>
    <w:rsid w:val="00063D9B"/>
    <w:rsid w:val="000640D6"/>
    <w:rsid w:val="000641B9"/>
    <w:rsid w:val="00064C32"/>
    <w:rsid w:val="00064DC1"/>
    <w:rsid w:val="000655F8"/>
    <w:rsid w:val="00066F57"/>
    <w:rsid w:val="00067412"/>
    <w:rsid w:val="00067483"/>
    <w:rsid w:val="000675FE"/>
    <w:rsid w:val="00067A40"/>
    <w:rsid w:val="00067C07"/>
    <w:rsid w:val="00067EC0"/>
    <w:rsid w:val="000705F4"/>
    <w:rsid w:val="00070B8E"/>
    <w:rsid w:val="000723F9"/>
    <w:rsid w:val="000730BD"/>
    <w:rsid w:val="00073C73"/>
    <w:rsid w:val="000757E3"/>
    <w:rsid w:val="0007645D"/>
    <w:rsid w:val="000772BA"/>
    <w:rsid w:val="00081512"/>
    <w:rsid w:val="00081966"/>
    <w:rsid w:val="00081C7F"/>
    <w:rsid w:val="000834DE"/>
    <w:rsid w:val="00083665"/>
    <w:rsid w:val="0008425F"/>
    <w:rsid w:val="00084262"/>
    <w:rsid w:val="00084E8E"/>
    <w:rsid w:val="00085173"/>
    <w:rsid w:val="00086B7A"/>
    <w:rsid w:val="0008703B"/>
    <w:rsid w:val="000874B4"/>
    <w:rsid w:val="00091275"/>
    <w:rsid w:val="00091AE6"/>
    <w:rsid w:val="00092231"/>
    <w:rsid w:val="00093746"/>
    <w:rsid w:val="000938C9"/>
    <w:rsid w:val="000941E5"/>
    <w:rsid w:val="00094DBB"/>
    <w:rsid w:val="0009542B"/>
    <w:rsid w:val="00095581"/>
    <w:rsid w:val="00097D08"/>
    <w:rsid w:val="000A01F9"/>
    <w:rsid w:val="000A0489"/>
    <w:rsid w:val="000A07C0"/>
    <w:rsid w:val="000A14C9"/>
    <w:rsid w:val="000A2CA4"/>
    <w:rsid w:val="000A3701"/>
    <w:rsid w:val="000A37E9"/>
    <w:rsid w:val="000A46D9"/>
    <w:rsid w:val="000A483F"/>
    <w:rsid w:val="000A4972"/>
    <w:rsid w:val="000A4E58"/>
    <w:rsid w:val="000A6224"/>
    <w:rsid w:val="000A6860"/>
    <w:rsid w:val="000A6AAA"/>
    <w:rsid w:val="000A726E"/>
    <w:rsid w:val="000A77C6"/>
    <w:rsid w:val="000A7988"/>
    <w:rsid w:val="000B0A2B"/>
    <w:rsid w:val="000B0FBA"/>
    <w:rsid w:val="000B1A6E"/>
    <w:rsid w:val="000B1C10"/>
    <w:rsid w:val="000B32C7"/>
    <w:rsid w:val="000B338A"/>
    <w:rsid w:val="000B4B29"/>
    <w:rsid w:val="000B5B90"/>
    <w:rsid w:val="000B63B6"/>
    <w:rsid w:val="000B7224"/>
    <w:rsid w:val="000B7366"/>
    <w:rsid w:val="000B73F6"/>
    <w:rsid w:val="000C02E1"/>
    <w:rsid w:val="000C13B6"/>
    <w:rsid w:val="000C1F53"/>
    <w:rsid w:val="000C4285"/>
    <w:rsid w:val="000C42AB"/>
    <w:rsid w:val="000C455F"/>
    <w:rsid w:val="000C4F30"/>
    <w:rsid w:val="000C56F2"/>
    <w:rsid w:val="000C5822"/>
    <w:rsid w:val="000C5D1D"/>
    <w:rsid w:val="000C754E"/>
    <w:rsid w:val="000C7FE2"/>
    <w:rsid w:val="000D0F34"/>
    <w:rsid w:val="000D1074"/>
    <w:rsid w:val="000D2112"/>
    <w:rsid w:val="000D2968"/>
    <w:rsid w:val="000D2B46"/>
    <w:rsid w:val="000D324B"/>
    <w:rsid w:val="000D37EE"/>
    <w:rsid w:val="000D3D41"/>
    <w:rsid w:val="000D46EB"/>
    <w:rsid w:val="000D5A95"/>
    <w:rsid w:val="000D6548"/>
    <w:rsid w:val="000D72B2"/>
    <w:rsid w:val="000D7BD4"/>
    <w:rsid w:val="000E049D"/>
    <w:rsid w:val="000E0DE8"/>
    <w:rsid w:val="000E0E74"/>
    <w:rsid w:val="000E201B"/>
    <w:rsid w:val="000E3EA6"/>
    <w:rsid w:val="000E3FC0"/>
    <w:rsid w:val="000E453E"/>
    <w:rsid w:val="000E4DEC"/>
    <w:rsid w:val="000E57EF"/>
    <w:rsid w:val="000E5E60"/>
    <w:rsid w:val="000E6283"/>
    <w:rsid w:val="000E7031"/>
    <w:rsid w:val="000E752E"/>
    <w:rsid w:val="000E780B"/>
    <w:rsid w:val="000F1371"/>
    <w:rsid w:val="000F13E5"/>
    <w:rsid w:val="000F1969"/>
    <w:rsid w:val="000F3370"/>
    <w:rsid w:val="000F3386"/>
    <w:rsid w:val="000F359A"/>
    <w:rsid w:val="000F41BB"/>
    <w:rsid w:val="000F4FD8"/>
    <w:rsid w:val="000F56A4"/>
    <w:rsid w:val="000F6083"/>
    <w:rsid w:val="000F72D7"/>
    <w:rsid w:val="000F7ABC"/>
    <w:rsid w:val="00100476"/>
    <w:rsid w:val="00102E70"/>
    <w:rsid w:val="00103F0A"/>
    <w:rsid w:val="00104C29"/>
    <w:rsid w:val="00104D7B"/>
    <w:rsid w:val="0010578B"/>
    <w:rsid w:val="0010586E"/>
    <w:rsid w:val="00105B41"/>
    <w:rsid w:val="00105BA5"/>
    <w:rsid w:val="00107268"/>
    <w:rsid w:val="001100CB"/>
    <w:rsid w:val="00111002"/>
    <w:rsid w:val="0011263C"/>
    <w:rsid w:val="00112E73"/>
    <w:rsid w:val="00112F0E"/>
    <w:rsid w:val="00112F5B"/>
    <w:rsid w:val="00113A0B"/>
    <w:rsid w:val="001144A0"/>
    <w:rsid w:val="0011465E"/>
    <w:rsid w:val="00114C5C"/>
    <w:rsid w:val="0011522B"/>
    <w:rsid w:val="001158B2"/>
    <w:rsid w:val="00116AE0"/>
    <w:rsid w:val="00116B64"/>
    <w:rsid w:val="0011790D"/>
    <w:rsid w:val="001217DB"/>
    <w:rsid w:val="00122010"/>
    <w:rsid w:val="00122BB4"/>
    <w:rsid w:val="00122FC1"/>
    <w:rsid w:val="00123C7C"/>
    <w:rsid w:val="00123DC9"/>
    <w:rsid w:val="00124646"/>
    <w:rsid w:val="00124B75"/>
    <w:rsid w:val="00124FCF"/>
    <w:rsid w:val="001252CD"/>
    <w:rsid w:val="001274C2"/>
    <w:rsid w:val="0013009B"/>
    <w:rsid w:val="00130DB7"/>
    <w:rsid w:val="00132316"/>
    <w:rsid w:val="0013302E"/>
    <w:rsid w:val="001337D9"/>
    <w:rsid w:val="00134301"/>
    <w:rsid w:val="00134374"/>
    <w:rsid w:val="00134B13"/>
    <w:rsid w:val="00135028"/>
    <w:rsid w:val="001351B4"/>
    <w:rsid w:val="001357C9"/>
    <w:rsid w:val="00136550"/>
    <w:rsid w:val="00136D77"/>
    <w:rsid w:val="0014005E"/>
    <w:rsid w:val="0014212F"/>
    <w:rsid w:val="00142375"/>
    <w:rsid w:val="001423A5"/>
    <w:rsid w:val="00143C48"/>
    <w:rsid w:val="00144592"/>
    <w:rsid w:val="0014483C"/>
    <w:rsid w:val="0014589A"/>
    <w:rsid w:val="00145CC4"/>
    <w:rsid w:val="00147EBE"/>
    <w:rsid w:val="0015050F"/>
    <w:rsid w:val="00150A59"/>
    <w:rsid w:val="00150EC3"/>
    <w:rsid w:val="001512B4"/>
    <w:rsid w:val="00151797"/>
    <w:rsid w:val="00151DCE"/>
    <w:rsid w:val="001527AE"/>
    <w:rsid w:val="00152947"/>
    <w:rsid w:val="00152DF9"/>
    <w:rsid w:val="0015328B"/>
    <w:rsid w:val="00153EA1"/>
    <w:rsid w:val="00154E63"/>
    <w:rsid w:val="00155C17"/>
    <w:rsid w:val="00155E52"/>
    <w:rsid w:val="00156534"/>
    <w:rsid w:val="00156877"/>
    <w:rsid w:val="00156945"/>
    <w:rsid w:val="00156972"/>
    <w:rsid w:val="0015713D"/>
    <w:rsid w:val="001573BA"/>
    <w:rsid w:val="001574E6"/>
    <w:rsid w:val="00160476"/>
    <w:rsid w:val="001609BB"/>
    <w:rsid w:val="00160BB0"/>
    <w:rsid w:val="00160FF0"/>
    <w:rsid w:val="001627B1"/>
    <w:rsid w:val="00163B04"/>
    <w:rsid w:val="00163B48"/>
    <w:rsid w:val="00163C99"/>
    <w:rsid w:val="00164324"/>
    <w:rsid w:val="001649E2"/>
    <w:rsid w:val="001657C4"/>
    <w:rsid w:val="00166192"/>
    <w:rsid w:val="00166B0F"/>
    <w:rsid w:val="001700EB"/>
    <w:rsid w:val="00173AE3"/>
    <w:rsid w:val="00173C03"/>
    <w:rsid w:val="00174090"/>
    <w:rsid w:val="00174C90"/>
    <w:rsid w:val="001759DC"/>
    <w:rsid w:val="00176160"/>
    <w:rsid w:val="00177625"/>
    <w:rsid w:val="00180062"/>
    <w:rsid w:val="0018057B"/>
    <w:rsid w:val="001805F0"/>
    <w:rsid w:val="001806DC"/>
    <w:rsid w:val="001825E9"/>
    <w:rsid w:val="001828C5"/>
    <w:rsid w:val="00182FC0"/>
    <w:rsid w:val="001836E2"/>
    <w:rsid w:val="00183D1C"/>
    <w:rsid w:val="00184AD5"/>
    <w:rsid w:val="00184F11"/>
    <w:rsid w:val="00185547"/>
    <w:rsid w:val="0018564A"/>
    <w:rsid w:val="00185FB8"/>
    <w:rsid w:val="0019035E"/>
    <w:rsid w:val="001903BD"/>
    <w:rsid w:val="00190ABE"/>
    <w:rsid w:val="00190EEA"/>
    <w:rsid w:val="001912E3"/>
    <w:rsid w:val="001918BA"/>
    <w:rsid w:val="00191C45"/>
    <w:rsid w:val="001930C6"/>
    <w:rsid w:val="0019340B"/>
    <w:rsid w:val="00193693"/>
    <w:rsid w:val="001936A7"/>
    <w:rsid w:val="001942A6"/>
    <w:rsid w:val="001946B5"/>
    <w:rsid w:val="00194E9E"/>
    <w:rsid w:val="00195380"/>
    <w:rsid w:val="00195AC4"/>
    <w:rsid w:val="00195D72"/>
    <w:rsid w:val="00196B90"/>
    <w:rsid w:val="0019746C"/>
    <w:rsid w:val="001975C4"/>
    <w:rsid w:val="00197FC4"/>
    <w:rsid w:val="001A2D2B"/>
    <w:rsid w:val="001A2E9F"/>
    <w:rsid w:val="001A3D43"/>
    <w:rsid w:val="001A4821"/>
    <w:rsid w:val="001A4A58"/>
    <w:rsid w:val="001A604C"/>
    <w:rsid w:val="001A6847"/>
    <w:rsid w:val="001A71CD"/>
    <w:rsid w:val="001A75C6"/>
    <w:rsid w:val="001A7716"/>
    <w:rsid w:val="001A7B0B"/>
    <w:rsid w:val="001B05D6"/>
    <w:rsid w:val="001B08CF"/>
    <w:rsid w:val="001B2193"/>
    <w:rsid w:val="001B2BAE"/>
    <w:rsid w:val="001B3171"/>
    <w:rsid w:val="001B327D"/>
    <w:rsid w:val="001B3D21"/>
    <w:rsid w:val="001B3D96"/>
    <w:rsid w:val="001B4E0B"/>
    <w:rsid w:val="001B59FC"/>
    <w:rsid w:val="001B5AB2"/>
    <w:rsid w:val="001B5B73"/>
    <w:rsid w:val="001B5E9F"/>
    <w:rsid w:val="001B5F43"/>
    <w:rsid w:val="001B6347"/>
    <w:rsid w:val="001B6D54"/>
    <w:rsid w:val="001B73B2"/>
    <w:rsid w:val="001B7477"/>
    <w:rsid w:val="001C0EE8"/>
    <w:rsid w:val="001C1494"/>
    <w:rsid w:val="001C1791"/>
    <w:rsid w:val="001C1CA0"/>
    <w:rsid w:val="001C27C9"/>
    <w:rsid w:val="001C2B11"/>
    <w:rsid w:val="001C2E20"/>
    <w:rsid w:val="001C321A"/>
    <w:rsid w:val="001C373C"/>
    <w:rsid w:val="001C3822"/>
    <w:rsid w:val="001C4160"/>
    <w:rsid w:val="001C429C"/>
    <w:rsid w:val="001C473D"/>
    <w:rsid w:val="001C512D"/>
    <w:rsid w:val="001C59AD"/>
    <w:rsid w:val="001C65D6"/>
    <w:rsid w:val="001C6C3B"/>
    <w:rsid w:val="001C7658"/>
    <w:rsid w:val="001D0698"/>
    <w:rsid w:val="001D0D98"/>
    <w:rsid w:val="001D0EAD"/>
    <w:rsid w:val="001D0F9B"/>
    <w:rsid w:val="001D1032"/>
    <w:rsid w:val="001D29BF"/>
    <w:rsid w:val="001D2AA9"/>
    <w:rsid w:val="001D2B33"/>
    <w:rsid w:val="001D41D2"/>
    <w:rsid w:val="001D4E8D"/>
    <w:rsid w:val="001D51E7"/>
    <w:rsid w:val="001D626C"/>
    <w:rsid w:val="001D6547"/>
    <w:rsid w:val="001D7316"/>
    <w:rsid w:val="001D768F"/>
    <w:rsid w:val="001D78C0"/>
    <w:rsid w:val="001E0A17"/>
    <w:rsid w:val="001E25AC"/>
    <w:rsid w:val="001E3E3C"/>
    <w:rsid w:val="001E441F"/>
    <w:rsid w:val="001E496D"/>
    <w:rsid w:val="001E6D63"/>
    <w:rsid w:val="001E6D7E"/>
    <w:rsid w:val="001E76B9"/>
    <w:rsid w:val="001F02C4"/>
    <w:rsid w:val="001F08DE"/>
    <w:rsid w:val="001F1A5C"/>
    <w:rsid w:val="001F240B"/>
    <w:rsid w:val="001F2581"/>
    <w:rsid w:val="001F25FD"/>
    <w:rsid w:val="001F3168"/>
    <w:rsid w:val="001F4F04"/>
    <w:rsid w:val="001F4FC8"/>
    <w:rsid w:val="001F5A67"/>
    <w:rsid w:val="001F5ED7"/>
    <w:rsid w:val="001F609E"/>
    <w:rsid w:val="001F627E"/>
    <w:rsid w:val="001F63D3"/>
    <w:rsid w:val="001F68CB"/>
    <w:rsid w:val="001F7289"/>
    <w:rsid w:val="001F7782"/>
    <w:rsid w:val="001F7956"/>
    <w:rsid w:val="001F797B"/>
    <w:rsid w:val="001F7B75"/>
    <w:rsid w:val="00200293"/>
    <w:rsid w:val="0020037C"/>
    <w:rsid w:val="0020190F"/>
    <w:rsid w:val="00201EFA"/>
    <w:rsid w:val="002026BD"/>
    <w:rsid w:val="00203768"/>
    <w:rsid w:val="00203848"/>
    <w:rsid w:val="00203912"/>
    <w:rsid w:val="0020414E"/>
    <w:rsid w:val="00205F73"/>
    <w:rsid w:val="00206009"/>
    <w:rsid w:val="0020675B"/>
    <w:rsid w:val="00207511"/>
    <w:rsid w:val="002079D5"/>
    <w:rsid w:val="00207CF1"/>
    <w:rsid w:val="002108A0"/>
    <w:rsid w:val="00211AD4"/>
    <w:rsid w:val="00212292"/>
    <w:rsid w:val="0021233C"/>
    <w:rsid w:val="00212D30"/>
    <w:rsid w:val="00213ED2"/>
    <w:rsid w:val="002142AC"/>
    <w:rsid w:val="0021536A"/>
    <w:rsid w:val="00215A06"/>
    <w:rsid w:val="00216472"/>
    <w:rsid w:val="00216E1C"/>
    <w:rsid w:val="00217776"/>
    <w:rsid w:val="0021790E"/>
    <w:rsid w:val="00217AF1"/>
    <w:rsid w:val="00217D89"/>
    <w:rsid w:val="002210D7"/>
    <w:rsid w:val="002217A2"/>
    <w:rsid w:val="00224CBB"/>
    <w:rsid w:val="002262AF"/>
    <w:rsid w:val="00226BBD"/>
    <w:rsid w:val="00227AA1"/>
    <w:rsid w:val="00227C63"/>
    <w:rsid w:val="0023017A"/>
    <w:rsid w:val="0023060F"/>
    <w:rsid w:val="002306EC"/>
    <w:rsid w:val="0023076B"/>
    <w:rsid w:val="00230ABF"/>
    <w:rsid w:val="00233368"/>
    <w:rsid w:val="00234C80"/>
    <w:rsid w:val="002356BC"/>
    <w:rsid w:val="002356EB"/>
    <w:rsid w:val="002365C4"/>
    <w:rsid w:val="0023756B"/>
    <w:rsid w:val="0023775B"/>
    <w:rsid w:val="0024007F"/>
    <w:rsid w:val="002410AE"/>
    <w:rsid w:val="002418E5"/>
    <w:rsid w:val="00241FFD"/>
    <w:rsid w:val="00243E63"/>
    <w:rsid w:val="00244219"/>
    <w:rsid w:val="002453B2"/>
    <w:rsid w:val="00245485"/>
    <w:rsid w:val="00246360"/>
    <w:rsid w:val="00250DDB"/>
    <w:rsid w:val="00251094"/>
    <w:rsid w:val="00251ABE"/>
    <w:rsid w:val="00251F91"/>
    <w:rsid w:val="00252B81"/>
    <w:rsid w:val="00253B83"/>
    <w:rsid w:val="00254AAC"/>
    <w:rsid w:val="00254B28"/>
    <w:rsid w:val="00254B5B"/>
    <w:rsid w:val="0025556D"/>
    <w:rsid w:val="002558E9"/>
    <w:rsid w:val="00255E58"/>
    <w:rsid w:val="002560A5"/>
    <w:rsid w:val="00256248"/>
    <w:rsid w:val="00256892"/>
    <w:rsid w:val="00256F69"/>
    <w:rsid w:val="00256FCB"/>
    <w:rsid w:val="002571CF"/>
    <w:rsid w:val="0025722E"/>
    <w:rsid w:val="002579B3"/>
    <w:rsid w:val="00260338"/>
    <w:rsid w:val="002603D5"/>
    <w:rsid w:val="00260457"/>
    <w:rsid w:val="002609EC"/>
    <w:rsid w:val="002610B8"/>
    <w:rsid w:val="00261144"/>
    <w:rsid w:val="00262F0C"/>
    <w:rsid w:val="00263757"/>
    <w:rsid w:val="00264154"/>
    <w:rsid w:val="002658BD"/>
    <w:rsid w:val="00265C34"/>
    <w:rsid w:val="00266407"/>
    <w:rsid w:val="00266AC2"/>
    <w:rsid w:val="00266D79"/>
    <w:rsid w:val="00267504"/>
    <w:rsid w:val="00270147"/>
    <w:rsid w:val="002701DD"/>
    <w:rsid w:val="00271558"/>
    <w:rsid w:val="002739EF"/>
    <w:rsid w:val="0027448B"/>
    <w:rsid w:val="002767B7"/>
    <w:rsid w:val="00280EA1"/>
    <w:rsid w:val="002816A7"/>
    <w:rsid w:val="00281C56"/>
    <w:rsid w:val="002820DA"/>
    <w:rsid w:val="0028227F"/>
    <w:rsid w:val="002822D5"/>
    <w:rsid w:val="002824CA"/>
    <w:rsid w:val="00283DCE"/>
    <w:rsid w:val="00285DC1"/>
    <w:rsid w:val="00285DF4"/>
    <w:rsid w:val="0028658B"/>
    <w:rsid w:val="00287058"/>
    <w:rsid w:val="00287A8F"/>
    <w:rsid w:val="00287C93"/>
    <w:rsid w:val="0029111F"/>
    <w:rsid w:val="00291249"/>
    <w:rsid w:val="00291E06"/>
    <w:rsid w:val="0029363A"/>
    <w:rsid w:val="00293664"/>
    <w:rsid w:val="002942C5"/>
    <w:rsid w:val="00295E77"/>
    <w:rsid w:val="00296131"/>
    <w:rsid w:val="00296707"/>
    <w:rsid w:val="00297799"/>
    <w:rsid w:val="002A1821"/>
    <w:rsid w:val="002A2A62"/>
    <w:rsid w:val="002A457C"/>
    <w:rsid w:val="002A58D1"/>
    <w:rsid w:val="002A6864"/>
    <w:rsid w:val="002A75D9"/>
    <w:rsid w:val="002A797C"/>
    <w:rsid w:val="002B0EB2"/>
    <w:rsid w:val="002B1976"/>
    <w:rsid w:val="002B262C"/>
    <w:rsid w:val="002B31D8"/>
    <w:rsid w:val="002B362C"/>
    <w:rsid w:val="002B3B48"/>
    <w:rsid w:val="002B4BED"/>
    <w:rsid w:val="002B4CAB"/>
    <w:rsid w:val="002B59F8"/>
    <w:rsid w:val="002B603A"/>
    <w:rsid w:val="002B6C58"/>
    <w:rsid w:val="002B7D24"/>
    <w:rsid w:val="002B7E1A"/>
    <w:rsid w:val="002C1696"/>
    <w:rsid w:val="002C1803"/>
    <w:rsid w:val="002C1E12"/>
    <w:rsid w:val="002C21A4"/>
    <w:rsid w:val="002C23A9"/>
    <w:rsid w:val="002C3EBF"/>
    <w:rsid w:val="002C4BDB"/>
    <w:rsid w:val="002C525B"/>
    <w:rsid w:val="002C57FE"/>
    <w:rsid w:val="002C5995"/>
    <w:rsid w:val="002C5CAD"/>
    <w:rsid w:val="002C60C4"/>
    <w:rsid w:val="002C688B"/>
    <w:rsid w:val="002C6BC0"/>
    <w:rsid w:val="002C7256"/>
    <w:rsid w:val="002C7606"/>
    <w:rsid w:val="002C7678"/>
    <w:rsid w:val="002D0706"/>
    <w:rsid w:val="002D0791"/>
    <w:rsid w:val="002D0D24"/>
    <w:rsid w:val="002D12A3"/>
    <w:rsid w:val="002D196A"/>
    <w:rsid w:val="002D3381"/>
    <w:rsid w:val="002D39F6"/>
    <w:rsid w:val="002D4F3A"/>
    <w:rsid w:val="002D56FA"/>
    <w:rsid w:val="002D5EA6"/>
    <w:rsid w:val="002D69FF"/>
    <w:rsid w:val="002D6BDB"/>
    <w:rsid w:val="002D6BF8"/>
    <w:rsid w:val="002D6C89"/>
    <w:rsid w:val="002D6D39"/>
    <w:rsid w:val="002D6FC5"/>
    <w:rsid w:val="002D743A"/>
    <w:rsid w:val="002D767B"/>
    <w:rsid w:val="002D7819"/>
    <w:rsid w:val="002D7DC6"/>
    <w:rsid w:val="002E08BA"/>
    <w:rsid w:val="002E0C9C"/>
    <w:rsid w:val="002E16E5"/>
    <w:rsid w:val="002E1986"/>
    <w:rsid w:val="002E1A94"/>
    <w:rsid w:val="002E294E"/>
    <w:rsid w:val="002E2C33"/>
    <w:rsid w:val="002E32B9"/>
    <w:rsid w:val="002E36B1"/>
    <w:rsid w:val="002E4116"/>
    <w:rsid w:val="002E536E"/>
    <w:rsid w:val="002E5A86"/>
    <w:rsid w:val="002E60A9"/>
    <w:rsid w:val="002E6BDF"/>
    <w:rsid w:val="002E6C09"/>
    <w:rsid w:val="002E7BDF"/>
    <w:rsid w:val="002E7D05"/>
    <w:rsid w:val="002F0118"/>
    <w:rsid w:val="002F01BF"/>
    <w:rsid w:val="002F1058"/>
    <w:rsid w:val="002F14C1"/>
    <w:rsid w:val="002F28D2"/>
    <w:rsid w:val="002F3381"/>
    <w:rsid w:val="002F37ED"/>
    <w:rsid w:val="002F3D8D"/>
    <w:rsid w:val="002F42BB"/>
    <w:rsid w:val="002F4FC6"/>
    <w:rsid w:val="002F50D0"/>
    <w:rsid w:val="002F67D5"/>
    <w:rsid w:val="002F6A72"/>
    <w:rsid w:val="002F7247"/>
    <w:rsid w:val="00301D8E"/>
    <w:rsid w:val="00302D16"/>
    <w:rsid w:val="00303B97"/>
    <w:rsid w:val="00303CA6"/>
    <w:rsid w:val="00304618"/>
    <w:rsid w:val="0030463A"/>
    <w:rsid w:val="003047A1"/>
    <w:rsid w:val="00304AAD"/>
    <w:rsid w:val="00305E18"/>
    <w:rsid w:val="00306CCE"/>
    <w:rsid w:val="00306E34"/>
    <w:rsid w:val="00306FEC"/>
    <w:rsid w:val="00307E49"/>
    <w:rsid w:val="003109D4"/>
    <w:rsid w:val="00310A2C"/>
    <w:rsid w:val="00311493"/>
    <w:rsid w:val="00311C74"/>
    <w:rsid w:val="00312897"/>
    <w:rsid w:val="003150AF"/>
    <w:rsid w:val="00315342"/>
    <w:rsid w:val="00315867"/>
    <w:rsid w:val="00315D10"/>
    <w:rsid w:val="00315DBA"/>
    <w:rsid w:val="0031652F"/>
    <w:rsid w:val="00316A1B"/>
    <w:rsid w:val="00317882"/>
    <w:rsid w:val="003179C6"/>
    <w:rsid w:val="00320018"/>
    <w:rsid w:val="0032010E"/>
    <w:rsid w:val="00321680"/>
    <w:rsid w:val="003219FA"/>
    <w:rsid w:val="00322618"/>
    <w:rsid w:val="00322968"/>
    <w:rsid w:val="00322CBD"/>
    <w:rsid w:val="00323920"/>
    <w:rsid w:val="00324754"/>
    <w:rsid w:val="00324E55"/>
    <w:rsid w:val="00325F59"/>
    <w:rsid w:val="003261BC"/>
    <w:rsid w:val="003267E5"/>
    <w:rsid w:val="00326923"/>
    <w:rsid w:val="0032695D"/>
    <w:rsid w:val="00326A86"/>
    <w:rsid w:val="00326EDD"/>
    <w:rsid w:val="00327642"/>
    <w:rsid w:val="00327740"/>
    <w:rsid w:val="00330C97"/>
    <w:rsid w:val="003318E3"/>
    <w:rsid w:val="0033395A"/>
    <w:rsid w:val="00333CB6"/>
    <w:rsid w:val="00333EA8"/>
    <w:rsid w:val="003342A5"/>
    <w:rsid w:val="00335D31"/>
    <w:rsid w:val="00335F01"/>
    <w:rsid w:val="003368BB"/>
    <w:rsid w:val="00336EA9"/>
    <w:rsid w:val="00337313"/>
    <w:rsid w:val="0033777B"/>
    <w:rsid w:val="0033789F"/>
    <w:rsid w:val="00340B73"/>
    <w:rsid w:val="00340BEE"/>
    <w:rsid w:val="00340E45"/>
    <w:rsid w:val="00341123"/>
    <w:rsid w:val="00341947"/>
    <w:rsid w:val="00341B35"/>
    <w:rsid w:val="0034237F"/>
    <w:rsid w:val="003423D3"/>
    <w:rsid w:val="003426C3"/>
    <w:rsid w:val="00342811"/>
    <w:rsid w:val="0034323C"/>
    <w:rsid w:val="003442E5"/>
    <w:rsid w:val="003442ED"/>
    <w:rsid w:val="00345650"/>
    <w:rsid w:val="003469C7"/>
    <w:rsid w:val="003502F3"/>
    <w:rsid w:val="00350BEC"/>
    <w:rsid w:val="00352850"/>
    <w:rsid w:val="00353444"/>
    <w:rsid w:val="00353D8D"/>
    <w:rsid w:val="00354F26"/>
    <w:rsid w:val="003560C1"/>
    <w:rsid w:val="00356A54"/>
    <w:rsid w:val="00357863"/>
    <w:rsid w:val="0036078B"/>
    <w:rsid w:val="00360C42"/>
    <w:rsid w:val="003617C0"/>
    <w:rsid w:val="00361ABA"/>
    <w:rsid w:val="00364CF1"/>
    <w:rsid w:val="003651CE"/>
    <w:rsid w:val="00365C32"/>
    <w:rsid w:val="003662AF"/>
    <w:rsid w:val="003664D4"/>
    <w:rsid w:val="00366F4E"/>
    <w:rsid w:val="0037087A"/>
    <w:rsid w:val="00370E93"/>
    <w:rsid w:val="00371240"/>
    <w:rsid w:val="0037171C"/>
    <w:rsid w:val="00371A49"/>
    <w:rsid w:val="00371AD7"/>
    <w:rsid w:val="00372540"/>
    <w:rsid w:val="0037319A"/>
    <w:rsid w:val="00373B52"/>
    <w:rsid w:val="00373BE5"/>
    <w:rsid w:val="003742AD"/>
    <w:rsid w:val="00374CFB"/>
    <w:rsid w:val="00375582"/>
    <w:rsid w:val="0037649D"/>
    <w:rsid w:val="003767A3"/>
    <w:rsid w:val="003768F2"/>
    <w:rsid w:val="003775C6"/>
    <w:rsid w:val="00377D27"/>
    <w:rsid w:val="003801E5"/>
    <w:rsid w:val="00380294"/>
    <w:rsid w:val="00380421"/>
    <w:rsid w:val="003808E7"/>
    <w:rsid w:val="003809AE"/>
    <w:rsid w:val="003818DC"/>
    <w:rsid w:val="0038240C"/>
    <w:rsid w:val="003827CF"/>
    <w:rsid w:val="00382B5F"/>
    <w:rsid w:val="00382F0C"/>
    <w:rsid w:val="003842CF"/>
    <w:rsid w:val="003851A6"/>
    <w:rsid w:val="00385A5A"/>
    <w:rsid w:val="00386CCD"/>
    <w:rsid w:val="0038743F"/>
    <w:rsid w:val="00387814"/>
    <w:rsid w:val="00387D0E"/>
    <w:rsid w:val="00387DAD"/>
    <w:rsid w:val="003901A2"/>
    <w:rsid w:val="00390818"/>
    <w:rsid w:val="00392C54"/>
    <w:rsid w:val="00393799"/>
    <w:rsid w:val="00394132"/>
    <w:rsid w:val="00395517"/>
    <w:rsid w:val="00395FBC"/>
    <w:rsid w:val="003966A2"/>
    <w:rsid w:val="0039795F"/>
    <w:rsid w:val="003A0081"/>
    <w:rsid w:val="003A0618"/>
    <w:rsid w:val="003A07FF"/>
    <w:rsid w:val="003A1127"/>
    <w:rsid w:val="003A13F4"/>
    <w:rsid w:val="003A1BBB"/>
    <w:rsid w:val="003A1E98"/>
    <w:rsid w:val="003A28FA"/>
    <w:rsid w:val="003A29B1"/>
    <w:rsid w:val="003A2C8A"/>
    <w:rsid w:val="003A4390"/>
    <w:rsid w:val="003A51A5"/>
    <w:rsid w:val="003A5697"/>
    <w:rsid w:val="003A57E4"/>
    <w:rsid w:val="003A5A84"/>
    <w:rsid w:val="003A5B76"/>
    <w:rsid w:val="003A65C2"/>
    <w:rsid w:val="003A6A60"/>
    <w:rsid w:val="003A6DC4"/>
    <w:rsid w:val="003A7CB8"/>
    <w:rsid w:val="003B083D"/>
    <w:rsid w:val="003B0AD7"/>
    <w:rsid w:val="003B25B6"/>
    <w:rsid w:val="003B25E2"/>
    <w:rsid w:val="003B2EF5"/>
    <w:rsid w:val="003B35C7"/>
    <w:rsid w:val="003B3B54"/>
    <w:rsid w:val="003B428A"/>
    <w:rsid w:val="003B45B1"/>
    <w:rsid w:val="003B5B78"/>
    <w:rsid w:val="003B795F"/>
    <w:rsid w:val="003C0D29"/>
    <w:rsid w:val="003C12F0"/>
    <w:rsid w:val="003C1691"/>
    <w:rsid w:val="003C1A5B"/>
    <w:rsid w:val="003C32AF"/>
    <w:rsid w:val="003C3DC9"/>
    <w:rsid w:val="003C3EB6"/>
    <w:rsid w:val="003C4A05"/>
    <w:rsid w:val="003C4DEB"/>
    <w:rsid w:val="003C508E"/>
    <w:rsid w:val="003C56A5"/>
    <w:rsid w:val="003C5903"/>
    <w:rsid w:val="003C5B7F"/>
    <w:rsid w:val="003D06FC"/>
    <w:rsid w:val="003D0B53"/>
    <w:rsid w:val="003D0C67"/>
    <w:rsid w:val="003D16FD"/>
    <w:rsid w:val="003D1D7B"/>
    <w:rsid w:val="003D2BAC"/>
    <w:rsid w:val="003D308F"/>
    <w:rsid w:val="003D32C3"/>
    <w:rsid w:val="003D33BD"/>
    <w:rsid w:val="003D37FB"/>
    <w:rsid w:val="003D3C4B"/>
    <w:rsid w:val="003D3D79"/>
    <w:rsid w:val="003D4918"/>
    <w:rsid w:val="003D4F88"/>
    <w:rsid w:val="003D503C"/>
    <w:rsid w:val="003D5190"/>
    <w:rsid w:val="003D5709"/>
    <w:rsid w:val="003D5B1B"/>
    <w:rsid w:val="003D6091"/>
    <w:rsid w:val="003D6B2A"/>
    <w:rsid w:val="003D7ED1"/>
    <w:rsid w:val="003E06D1"/>
    <w:rsid w:val="003E0C6F"/>
    <w:rsid w:val="003E2411"/>
    <w:rsid w:val="003E27BE"/>
    <w:rsid w:val="003E2E2F"/>
    <w:rsid w:val="003E2EF4"/>
    <w:rsid w:val="003E38C8"/>
    <w:rsid w:val="003E394E"/>
    <w:rsid w:val="003E4122"/>
    <w:rsid w:val="003E5346"/>
    <w:rsid w:val="003E5C8E"/>
    <w:rsid w:val="003E6155"/>
    <w:rsid w:val="003E63D1"/>
    <w:rsid w:val="003F0C5E"/>
    <w:rsid w:val="003F101E"/>
    <w:rsid w:val="003F1984"/>
    <w:rsid w:val="003F317A"/>
    <w:rsid w:val="003F330E"/>
    <w:rsid w:val="003F33D9"/>
    <w:rsid w:val="003F366D"/>
    <w:rsid w:val="003F3B63"/>
    <w:rsid w:val="003F5B99"/>
    <w:rsid w:val="003F6B37"/>
    <w:rsid w:val="003F718D"/>
    <w:rsid w:val="003F71B1"/>
    <w:rsid w:val="003F71DB"/>
    <w:rsid w:val="003F79FF"/>
    <w:rsid w:val="0040214A"/>
    <w:rsid w:val="004021AF"/>
    <w:rsid w:val="00402EAB"/>
    <w:rsid w:val="00402EBD"/>
    <w:rsid w:val="00404645"/>
    <w:rsid w:val="00404FC9"/>
    <w:rsid w:val="0040658D"/>
    <w:rsid w:val="0041076E"/>
    <w:rsid w:val="00410AD4"/>
    <w:rsid w:val="00411DAB"/>
    <w:rsid w:val="00412394"/>
    <w:rsid w:val="00413095"/>
    <w:rsid w:val="0041336A"/>
    <w:rsid w:val="00413379"/>
    <w:rsid w:val="004150C6"/>
    <w:rsid w:val="004155AC"/>
    <w:rsid w:val="00415793"/>
    <w:rsid w:val="00415A67"/>
    <w:rsid w:val="00415F8C"/>
    <w:rsid w:val="004168A7"/>
    <w:rsid w:val="0041778E"/>
    <w:rsid w:val="00417E55"/>
    <w:rsid w:val="0042043F"/>
    <w:rsid w:val="00421A35"/>
    <w:rsid w:val="00422800"/>
    <w:rsid w:val="004230D5"/>
    <w:rsid w:val="00423153"/>
    <w:rsid w:val="004247FB"/>
    <w:rsid w:val="00424997"/>
    <w:rsid w:val="0042519A"/>
    <w:rsid w:val="00425442"/>
    <w:rsid w:val="00425944"/>
    <w:rsid w:val="00425BF1"/>
    <w:rsid w:val="00426437"/>
    <w:rsid w:val="00427165"/>
    <w:rsid w:val="00430548"/>
    <w:rsid w:val="004335D7"/>
    <w:rsid w:val="004340EB"/>
    <w:rsid w:val="004347FC"/>
    <w:rsid w:val="004348BF"/>
    <w:rsid w:val="00434BC5"/>
    <w:rsid w:val="00435362"/>
    <w:rsid w:val="004369B0"/>
    <w:rsid w:val="00436A7D"/>
    <w:rsid w:val="0044097F"/>
    <w:rsid w:val="00440C3F"/>
    <w:rsid w:val="00440E7B"/>
    <w:rsid w:val="00441173"/>
    <w:rsid w:val="00442029"/>
    <w:rsid w:val="00442503"/>
    <w:rsid w:val="004427F3"/>
    <w:rsid w:val="00442CA4"/>
    <w:rsid w:val="004432CE"/>
    <w:rsid w:val="004452F0"/>
    <w:rsid w:val="0044621F"/>
    <w:rsid w:val="00446E03"/>
    <w:rsid w:val="00446F63"/>
    <w:rsid w:val="0045111B"/>
    <w:rsid w:val="00451523"/>
    <w:rsid w:val="00452A16"/>
    <w:rsid w:val="0045317B"/>
    <w:rsid w:val="00453587"/>
    <w:rsid w:val="00453A61"/>
    <w:rsid w:val="00455C11"/>
    <w:rsid w:val="00455F0B"/>
    <w:rsid w:val="00460A48"/>
    <w:rsid w:val="004616F9"/>
    <w:rsid w:val="00461974"/>
    <w:rsid w:val="0046284F"/>
    <w:rsid w:val="0046330C"/>
    <w:rsid w:val="004637B7"/>
    <w:rsid w:val="004645A6"/>
    <w:rsid w:val="00464A2D"/>
    <w:rsid w:val="0046564D"/>
    <w:rsid w:val="004660F2"/>
    <w:rsid w:val="00466CE8"/>
    <w:rsid w:val="004670E4"/>
    <w:rsid w:val="004672B7"/>
    <w:rsid w:val="00467CD6"/>
    <w:rsid w:val="0047065E"/>
    <w:rsid w:val="004708D1"/>
    <w:rsid w:val="004731D0"/>
    <w:rsid w:val="00474831"/>
    <w:rsid w:val="00474EBD"/>
    <w:rsid w:val="004753FC"/>
    <w:rsid w:val="00475470"/>
    <w:rsid w:val="0047582F"/>
    <w:rsid w:val="00475BCB"/>
    <w:rsid w:val="00476A42"/>
    <w:rsid w:val="004800AF"/>
    <w:rsid w:val="00480A3A"/>
    <w:rsid w:val="004811A4"/>
    <w:rsid w:val="00481FBE"/>
    <w:rsid w:val="004826FF"/>
    <w:rsid w:val="00482CEB"/>
    <w:rsid w:val="00482E1D"/>
    <w:rsid w:val="004843CC"/>
    <w:rsid w:val="0048608C"/>
    <w:rsid w:val="004861F7"/>
    <w:rsid w:val="0048642C"/>
    <w:rsid w:val="00486680"/>
    <w:rsid w:val="00487285"/>
    <w:rsid w:val="0048767D"/>
    <w:rsid w:val="004903CB"/>
    <w:rsid w:val="004905BF"/>
    <w:rsid w:val="00490A48"/>
    <w:rsid w:val="00491F0A"/>
    <w:rsid w:val="00491F76"/>
    <w:rsid w:val="004929AB"/>
    <w:rsid w:val="00493A6B"/>
    <w:rsid w:val="00493FEF"/>
    <w:rsid w:val="004942E2"/>
    <w:rsid w:val="00494F76"/>
    <w:rsid w:val="00495227"/>
    <w:rsid w:val="00495C66"/>
    <w:rsid w:val="00495FAF"/>
    <w:rsid w:val="004A0815"/>
    <w:rsid w:val="004A0CA6"/>
    <w:rsid w:val="004A22B6"/>
    <w:rsid w:val="004A2E57"/>
    <w:rsid w:val="004A395D"/>
    <w:rsid w:val="004A39FA"/>
    <w:rsid w:val="004A3BB9"/>
    <w:rsid w:val="004A3DB5"/>
    <w:rsid w:val="004A4919"/>
    <w:rsid w:val="004A4CD7"/>
    <w:rsid w:val="004A619B"/>
    <w:rsid w:val="004A7082"/>
    <w:rsid w:val="004B0495"/>
    <w:rsid w:val="004B0B20"/>
    <w:rsid w:val="004B1573"/>
    <w:rsid w:val="004B17F7"/>
    <w:rsid w:val="004B2079"/>
    <w:rsid w:val="004B24D6"/>
    <w:rsid w:val="004B2CD2"/>
    <w:rsid w:val="004B2D97"/>
    <w:rsid w:val="004B328C"/>
    <w:rsid w:val="004B3E6A"/>
    <w:rsid w:val="004B3F63"/>
    <w:rsid w:val="004B4730"/>
    <w:rsid w:val="004B496F"/>
    <w:rsid w:val="004B534C"/>
    <w:rsid w:val="004B5436"/>
    <w:rsid w:val="004B54A0"/>
    <w:rsid w:val="004B6305"/>
    <w:rsid w:val="004B6BA0"/>
    <w:rsid w:val="004B7269"/>
    <w:rsid w:val="004B777B"/>
    <w:rsid w:val="004B7A00"/>
    <w:rsid w:val="004C005B"/>
    <w:rsid w:val="004C039E"/>
    <w:rsid w:val="004C0F86"/>
    <w:rsid w:val="004C3152"/>
    <w:rsid w:val="004C41AA"/>
    <w:rsid w:val="004C4AFA"/>
    <w:rsid w:val="004C4D3B"/>
    <w:rsid w:val="004C4F0E"/>
    <w:rsid w:val="004C5AC3"/>
    <w:rsid w:val="004C5B41"/>
    <w:rsid w:val="004C6493"/>
    <w:rsid w:val="004C72C1"/>
    <w:rsid w:val="004C7966"/>
    <w:rsid w:val="004C7A80"/>
    <w:rsid w:val="004D00AD"/>
    <w:rsid w:val="004D0920"/>
    <w:rsid w:val="004D0D35"/>
    <w:rsid w:val="004D108A"/>
    <w:rsid w:val="004D10E3"/>
    <w:rsid w:val="004D13F7"/>
    <w:rsid w:val="004D157D"/>
    <w:rsid w:val="004D16A3"/>
    <w:rsid w:val="004D19B5"/>
    <w:rsid w:val="004D1B83"/>
    <w:rsid w:val="004D203C"/>
    <w:rsid w:val="004D245A"/>
    <w:rsid w:val="004D24C4"/>
    <w:rsid w:val="004D2895"/>
    <w:rsid w:val="004D313A"/>
    <w:rsid w:val="004D46A3"/>
    <w:rsid w:val="004D4ACF"/>
    <w:rsid w:val="004D7F9D"/>
    <w:rsid w:val="004E0B7B"/>
    <w:rsid w:val="004E0E7D"/>
    <w:rsid w:val="004E10D6"/>
    <w:rsid w:val="004E21D2"/>
    <w:rsid w:val="004E2F22"/>
    <w:rsid w:val="004E38C1"/>
    <w:rsid w:val="004E3BB5"/>
    <w:rsid w:val="004E45C2"/>
    <w:rsid w:val="004E4936"/>
    <w:rsid w:val="004E4DD0"/>
    <w:rsid w:val="004E602F"/>
    <w:rsid w:val="004E62F1"/>
    <w:rsid w:val="004E6909"/>
    <w:rsid w:val="004E6B3C"/>
    <w:rsid w:val="004E6EC0"/>
    <w:rsid w:val="004E73DD"/>
    <w:rsid w:val="004F1A25"/>
    <w:rsid w:val="004F210F"/>
    <w:rsid w:val="004F24FB"/>
    <w:rsid w:val="004F3838"/>
    <w:rsid w:val="004F4507"/>
    <w:rsid w:val="004F4D41"/>
    <w:rsid w:val="004F5239"/>
    <w:rsid w:val="004F526C"/>
    <w:rsid w:val="004F588F"/>
    <w:rsid w:val="004F63C8"/>
    <w:rsid w:val="004F6F68"/>
    <w:rsid w:val="004F73D2"/>
    <w:rsid w:val="005002F5"/>
    <w:rsid w:val="00500475"/>
    <w:rsid w:val="00500513"/>
    <w:rsid w:val="0050103A"/>
    <w:rsid w:val="00501C23"/>
    <w:rsid w:val="00502693"/>
    <w:rsid w:val="005036BA"/>
    <w:rsid w:val="00503DCD"/>
    <w:rsid w:val="00503DD2"/>
    <w:rsid w:val="0050406F"/>
    <w:rsid w:val="00504AEC"/>
    <w:rsid w:val="005058ED"/>
    <w:rsid w:val="00507597"/>
    <w:rsid w:val="00507BA9"/>
    <w:rsid w:val="00507CDB"/>
    <w:rsid w:val="00507DAE"/>
    <w:rsid w:val="00507EB5"/>
    <w:rsid w:val="0051148D"/>
    <w:rsid w:val="005114B6"/>
    <w:rsid w:val="00511EA1"/>
    <w:rsid w:val="00512C1B"/>
    <w:rsid w:val="00514FFB"/>
    <w:rsid w:val="00515316"/>
    <w:rsid w:val="005169A2"/>
    <w:rsid w:val="00517664"/>
    <w:rsid w:val="00517A47"/>
    <w:rsid w:val="00520549"/>
    <w:rsid w:val="005206C0"/>
    <w:rsid w:val="00520FC3"/>
    <w:rsid w:val="0052172B"/>
    <w:rsid w:val="00521739"/>
    <w:rsid w:val="005222C5"/>
    <w:rsid w:val="005223FB"/>
    <w:rsid w:val="00522409"/>
    <w:rsid w:val="0052296A"/>
    <w:rsid w:val="0052324D"/>
    <w:rsid w:val="00523B52"/>
    <w:rsid w:val="00523BDD"/>
    <w:rsid w:val="00523DB1"/>
    <w:rsid w:val="005241D8"/>
    <w:rsid w:val="00524964"/>
    <w:rsid w:val="005249B8"/>
    <w:rsid w:val="00525154"/>
    <w:rsid w:val="00525D6E"/>
    <w:rsid w:val="0052681E"/>
    <w:rsid w:val="00526FE2"/>
    <w:rsid w:val="00527000"/>
    <w:rsid w:val="00531680"/>
    <w:rsid w:val="00531B3B"/>
    <w:rsid w:val="00532755"/>
    <w:rsid w:val="00532B61"/>
    <w:rsid w:val="005333D3"/>
    <w:rsid w:val="00533944"/>
    <w:rsid w:val="00533EF3"/>
    <w:rsid w:val="00533FA0"/>
    <w:rsid w:val="00534191"/>
    <w:rsid w:val="00535384"/>
    <w:rsid w:val="00535829"/>
    <w:rsid w:val="00535DA5"/>
    <w:rsid w:val="00536280"/>
    <w:rsid w:val="00536327"/>
    <w:rsid w:val="00541183"/>
    <w:rsid w:val="00541858"/>
    <w:rsid w:val="00542711"/>
    <w:rsid w:val="005427B0"/>
    <w:rsid w:val="00542B26"/>
    <w:rsid w:val="00543C86"/>
    <w:rsid w:val="00545BF7"/>
    <w:rsid w:val="00545DAD"/>
    <w:rsid w:val="005467C3"/>
    <w:rsid w:val="0054703D"/>
    <w:rsid w:val="00547622"/>
    <w:rsid w:val="00547F53"/>
    <w:rsid w:val="005508D9"/>
    <w:rsid w:val="00550DD8"/>
    <w:rsid w:val="00550F8D"/>
    <w:rsid w:val="00551444"/>
    <w:rsid w:val="0055194C"/>
    <w:rsid w:val="00551CFD"/>
    <w:rsid w:val="005521DC"/>
    <w:rsid w:val="00552642"/>
    <w:rsid w:val="00552813"/>
    <w:rsid w:val="00556233"/>
    <w:rsid w:val="00556999"/>
    <w:rsid w:val="00557100"/>
    <w:rsid w:val="00557191"/>
    <w:rsid w:val="00557B1C"/>
    <w:rsid w:val="00557C01"/>
    <w:rsid w:val="00557D1F"/>
    <w:rsid w:val="00560794"/>
    <w:rsid w:val="00562E2F"/>
    <w:rsid w:val="00565306"/>
    <w:rsid w:val="00565F5E"/>
    <w:rsid w:val="005668CC"/>
    <w:rsid w:val="005668FC"/>
    <w:rsid w:val="005701AC"/>
    <w:rsid w:val="0057020C"/>
    <w:rsid w:val="00570901"/>
    <w:rsid w:val="005712D3"/>
    <w:rsid w:val="00571C3A"/>
    <w:rsid w:val="00571F30"/>
    <w:rsid w:val="00572356"/>
    <w:rsid w:val="00572F90"/>
    <w:rsid w:val="005733BF"/>
    <w:rsid w:val="00573983"/>
    <w:rsid w:val="0057403A"/>
    <w:rsid w:val="00574632"/>
    <w:rsid w:val="005747B1"/>
    <w:rsid w:val="005748CD"/>
    <w:rsid w:val="00575C5C"/>
    <w:rsid w:val="00575E4E"/>
    <w:rsid w:val="00576C61"/>
    <w:rsid w:val="00576FC5"/>
    <w:rsid w:val="00580B52"/>
    <w:rsid w:val="00580D7D"/>
    <w:rsid w:val="00581F04"/>
    <w:rsid w:val="00582FC1"/>
    <w:rsid w:val="00584E4D"/>
    <w:rsid w:val="0058597A"/>
    <w:rsid w:val="00585C90"/>
    <w:rsid w:val="00586F69"/>
    <w:rsid w:val="00587371"/>
    <w:rsid w:val="00587EB6"/>
    <w:rsid w:val="00590A14"/>
    <w:rsid w:val="00590D2F"/>
    <w:rsid w:val="00590FFD"/>
    <w:rsid w:val="005912E4"/>
    <w:rsid w:val="00591615"/>
    <w:rsid w:val="0059197E"/>
    <w:rsid w:val="00592723"/>
    <w:rsid w:val="00592AA4"/>
    <w:rsid w:val="00593914"/>
    <w:rsid w:val="00594228"/>
    <w:rsid w:val="00595E4B"/>
    <w:rsid w:val="005960BE"/>
    <w:rsid w:val="00596771"/>
    <w:rsid w:val="00596954"/>
    <w:rsid w:val="00596A01"/>
    <w:rsid w:val="00596E52"/>
    <w:rsid w:val="00597736"/>
    <w:rsid w:val="005978FC"/>
    <w:rsid w:val="00597DCE"/>
    <w:rsid w:val="00597E4E"/>
    <w:rsid w:val="00597FED"/>
    <w:rsid w:val="005A04D1"/>
    <w:rsid w:val="005A1758"/>
    <w:rsid w:val="005A18B4"/>
    <w:rsid w:val="005A2A2C"/>
    <w:rsid w:val="005A2CB7"/>
    <w:rsid w:val="005A2E0E"/>
    <w:rsid w:val="005A3683"/>
    <w:rsid w:val="005A536E"/>
    <w:rsid w:val="005A548D"/>
    <w:rsid w:val="005A5641"/>
    <w:rsid w:val="005A617E"/>
    <w:rsid w:val="005A6F9E"/>
    <w:rsid w:val="005A7006"/>
    <w:rsid w:val="005A7E6E"/>
    <w:rsid w:val="005B00B6"/>
    <w:rsid w:val="005B0725"/>
    <w:rsid w:val="005B1F16"/>
    <w:rsid w:val="005B2850"/>
    <w:rsid w:val="005B2BB6"/>
    <w:rsid w:val="005B2EAB"/>
    <w:rsid w:val="005B2F00"/>
    <w:rsid w:val="005B3FDC"/>
    <w:rsid w:val="005B4B66"/>
    <w:rsid w:val="005B6C4A"/>
    <w:rsid w:val="005B74B8"/>
    <w:rsid w:val="005B7637"/>
    <w:rsid w:val="005C1079"/>
    <w:rsid w:val="005C127D"/>
    <w:rsid w:val="005C14E5"/>
    <w:rsid w:val="005C248E"/>
    <w:rsid w:val="005C2558"/>
    <w:rsid w:val="005C2C45"/>
    <w:rsid w:val="005C2E83"/>
    <w:rsid w:val="005C36CE"/>
    <w:rsid w:val="005C395E"/>
    <w:rsid w:val="005C3A50"/>
    <w:rsid w:val="005C3BD4"/>
    <w:rsid w:val="005C48F1"/>
    <w:rsid w:val="005C4991"/>
    <w:rsid w:val="005C4A0C"/>
    <w:rsid w:val="005C5E11"/>
    <w:rsid w:val="005C688D"/>
    <w:rsid w:val="005C7006"/>
    <w:rsid w:val="005C7225"/>
    <w:rsid w:val="005C743B"/>
    <w:rsid w:val="005D18D4"/>
    <w:rsid w:val="005D1B31"/>
    <w:rsid w:val="005D2F72"/>
    <w:rsid w:val="005D3A98"/>
    <w:rsid w:val="005D3BE1"/>
    <w:rsid w:val="005D4650"/>
    <w:rsid w:val="005D46F4"/>
    <w:rsid w:val="005D48D3"/>
    <w:rsid w:val="005D50BF"/>
    <w:rsid w:val="005D522B"/>
    <w:rsid w:val="005D54F0"/>
    <w:rsid w:val="005D5642"/>
    <w:rsid w:val="005D5863"/>
    <w:rsid w:val="005D5CF1"/>
    <w:rsid w:val="005D5D90"/>
    <w:rsid w:val="005D5F8C"/>
    <w:rsid w:val="005D5FB8"/>
    <w:rsid w:val="005D65C5"/>
    <w:rsid w:val="005D6B04"/>
    <w:rsid w:val="005D74E5"/>
    <w:rsid w:val="005D7A0D"/>
    <w:rsid w:val="005E0711"/>
    <w:rsid w:val="005E2467"/>
    <w:rsid w:val="005E2D6C"/>
    <w:rsid w:val="005E3090"/>
    <w:rsid w:val="005E31FA"/>
    <w:rsid w:val="005E3AC9"/>
    <w:rsid w:val="005E5170"/>
    <w:rsid w:val="005E5E8A"/>
    <w:rsid w:val="005E6A07"/>
    <w:rsid w:val="005E77CB"/>
    <w:rsid w:val="005E790A"/>
    <w:rsid w:val="005F01FE"/>
    <w:rsid w:val="005F0B9D"/>
    <w:rsid w:val="005F234A"/>
    <w:rsid w:val="005F23E5"/>
    <w:rsid w:val="005F25A8"/>
    <w:rsid w:val="005F468D"/>
    <w:rsid w:val="005F493E"/>
    <w:rsid w:val="005F5172"/>
    <w:rsid w:val="005F5949"/>
    <w:rsid w:val="005F5ABB"/>
    <w:rsid w:val="005F639B"/>
    <w:rsid w:val="005F6A97"/>
    <w:rsid w:val="005F6D11"/>
    <w:rsid w:val="005F712B"/>
    <w:rsid w:val="005F7F82"/>
    <w:rsid w:val="00600D6C"/>
    <w:rsid w:val="00601BB9"/>
    <w:rsid w:val="006026C2"/>
    <w:rsid w:val="006033C7"/>
    <w:rsid w:val="00603520"/>
    <w:rsid w:val="00603AB5"/>
    <w:rsid w:val="00604345"/>
    <w:rsid w:val="006053A1"/>
    <w:rsid w:val="0060749C"/>
    <w:rsid w:val="0060782E"/>
    <w:rsid w:val="00611302"/>
    <w:rsid w:val="00611F13"/>
    <w:rsid w:val="0061210C"/>
    <w:rsid w:val="006142D7"/>
    <w:rsid w:val="00614C63"/>
    <w:rsid w:val="00615A34"/>
    <w:rsid w:val="00616193"/>
    <w:rsid w:val="00616371"/>
    <w:rsid w:val="00616475"/>
    <w:rsid w:val="0061651B"/>
    <w:rsid w:val="0061665C"/>
    <w:rsid w:val="00620632"/>
    <w:rsid w:val="006215A1"/>
    <w:rsid w:val="0062188B"/>
    <w:rsid w:val="00621D82"/>
    <w:rsid w:val="00622E1F"/>
    <w:rsid w:val="006236DB"/>
    <w:rsid w:val="0062390A"/>
    <w:rsid w:val="00623E90"/>
    <w:rsid w:val="00624471"/>
    <w:rsid w:val="00624FE6"/>
    <w:rsid w:val="00625593"/>
    <w:rsid w:val="00625B71"/>
    <w:rsid w:val="00626587"/>
    <w:rsid w:val="00626DF9"/>
    <w:rsid w:val="00627531"/>
    <w:rsid w:val="00630788"/>
    <w:rsid w:val="00630F5F"/>
    <w:rsid w:val="0063140A"/>
    <w:rsid w:val="006314A8"/>
    <w:rsid w:val="0063372B"/>
    <w:rsid w:val="0063423F"/>
    <w:rsid w:val="00635A1B"/>
    <w:rsid w:val="00635A99"/>
    <w:rsid w:val="00635C7D"/>
    <w:rsid w:val="00635EA8"/>
    <w:rsid w:val="006369A6"/>
    <w:rsid w:val="006400FA"/>
    <w:rsid w:val="006404C6"/>
    <w:rsid w:val="00640631"/>
    <w:rsid w:val="006407A1"/>
    <w:rsid w:val="006408C2"/>
    <w:rsid w:val="00641029"/>
    <w:rsid w:val="00641992"/>
    <w:rsid w:val="00641D11"/>
    <w:rsid w:val="00641DBA"/>
    <w:rsid w:val="0064222F"/>
    <w:rsid w:val="006425C0"/>
    <w:rsid w:val="006429B1"/>
    <w:rsid w:val="0064358F"/>
    <w:rsid w:val="0064359C"/>
    <w:rsid w:val="00643EBD"/>
    <w:rsid w:val="00644393"/>
    <w:rsid w:val="00644603"/>
    <w:rsid w:val="006468A6"/>
    <w:rsid w:val="00650533"/>
    <w:rsid w:val="0065068F"/>
    <w:rsid w:val="00650E6F"/>
    <w:rsid w:val="00650F42"/>
    <w:rsid w:val="0065194B"/>
    <w:rsid w:val="00652F5C"/>
    <w:rsid w:val="00653E5F"/>
    <w:rsid w:val="00655B17"/>
    <w:rsid w:val="00655C46"/>
    <w:rsid w:val="00655FF5"/>
    <w:rsid w:val="00657862"/>
    <w:rsid w:val="006608B3"/>
    <w:rsid w:val="00660E54"/>
    <w:rsid w:val="00661059"/>
    <w:rsid w:val="00661299"/>
    <w:rsid w:val="00661554"/>
    <w:rsid w:val="00661D4B"/>
    <w:rsid w:val="00661F9B"/>
    <w:rsid w:val="00662006"/>
    <w:rsid w:val="00662914"/>
    <w:rsid w:val="00663656"/>
    <w:rsid w:val="006641FE"/>
    <w:rsid w:val="00664AD5"/>
    <w:rsid w:val="00665984"/>
    <w:rsid w:val="0066667C"/>
    <w:rsid w:val="0066715C"/>
    <w:rsid w:val="00667598"/>
    <w:rsid w:val="0067056F"/>
    <w:rsid w:val="00670B4E"/>
    <w:rsid w:val="006710B0"/>
    <w:rsid w:val="00671606"/>
    <w:rsid w:val="00671E32"/>
    <w:rsid w:val="00673FDC"/>
    <w:rsid w:val="00674BB2"/>
    <w:rsid w:val="00674C4E"/>
    <w:rsid w:val="00676328"/>
    <w:rsid w:val="00676780"/>
    <w:rsid w:val="00676E3E"/>
    <w:rsid w:val="00677B69"/>
    <w:rsid w:val="006801BA"/>
    <w:rsid w:val="0068025B"/>
    <w:rsid w:val="00680B49"/>
    <w:rsid w:val="00680F24"/>
    <w:rsid w:val="00680F5C"/>
    <w:rsid w:val="006815CF"/>
    <w:rsid w:val="006821A6"/>
    <w:rsid w:val="006824F9"/>
    <w:rsid w:val="00683020"/>
    <w:rsid w:val="006830ED"/>
    <w:rsid w:val="00683C85"/>
    <w:rsid w:val="0068504F"/>
    <w:rsid w:val="00685240"/>
    <w:rsid w:val="0068567F"/>
    <w:rsid w:val="0068610C"/>
    <w:rsid w:val="00686668"/>
    <w:rsid w:val="00686D27"/>
    <w:rsid w:val="0068754E"/>
    <w:rsid w:val="00687A1B"/>
    <w:rsid w:val="00687C39"/>
    <w:rsid w:val="00690411"/>
    <w:rsid w:val="00690A5F"/>
    <w:rsid w:val="00691038"/>
    <w:rsid w:val="00691A88"/>
    <w:rsid w:val="00693E14"/>
    <w:rsid w:val="00694CA7"/>
    <w:rsid w:val="0069694F"/>
    <w:rsid w:val="00696C8A"/>
    <w:rsid w:val="00696FBD"/>
    <w:rsid w:val="006971AF"/>
    <w:rsid w:val="0069733F"/>
    <w:rsid w:val="006976D2"/>
    <w:rsid w:val="0069796F"/>
    <w:rsid w:val="006A0BAF"/>
    <w:rsid w:val="006A0D5C"/>
    <w:rsid w:val="006A4D73"/>
    <w:rsid w:val="006A4D88"/>
    <w:rsid w:val="006A4D9E"/>
    <w:rsid w:val="006A54DA"/>
    <w:rsid w:val="006A5EA1"/>
    <w:rsid w:val="006A6C08"/>
    <w:rsid w:val="006A6CE2"/>
    <w:rsid w:val="006A6D7C"/>
    <w:rsid w:val="006A790C"/>
    <w:rsid w:val="006B142B"/>
    <w:rsid w:val="006B1748"/>
    <w:rsid w:val="006B1B8C"/>
    <w:rsid w:val="006B2B04"/>
    <w:rsid w:val="006B2C7F"/>
    <w:rsid w:val="006B311D"/>
    <w:rsid w:val="006B39BA"/>
    <w:rsid w:val="006B3D68"/>
    <w:rsid w:val="006B4CF4"/>
    <w:rsid w:val="006B4DE0"/>
    <w:rsid w:val="006B567C"/>
    <w:rsid w:val="006B58DE"/>
    <w:rsid w:val="006B61A8"/>
    <w:rsid w:val="006B64B6"/>
    <w:rsid w:val="006B685B"/>
    <w:rsid w:val="006B72B1"/>
    <w:rsid w:val="006C017C"/>
    <w:rsid w:val="006C041B"/>
    <w:rsid w:val="006C14CE"/>
    <w:rsid w:val="006C2C90"/>
    <w:rsid w:val="006C44F8"/>
    <w:rsid w:val="006C4D7E"/>
    <w:rsid w:val="006C5765"/>
    <w:rsid w:val="006C5A44"/>
    <w:rsid w:val="006C667A"/>
    <w:rsid w:val="006C68E6"/>
    <w:rsid w:val="006C7AF1"/>
    <w:rsid w:val="006C7C10"/>
    <w:rsid w:val="006D03C7"/>
    <w:rsid w:val="006D040B"/>
    <w:rsid w:val="006D0B4B"/>
    <w:rsid w:val="006D15B8"/>
    <w:rsid w:val="006D2031"/>
    <w:rsid w:val="006D2510"/>
    <w:rsid w:val="006D2B3B"/>
    <w:rsid w:val="006D4838"/>
    <w:rsid w:val="006D50D3"/>
    <w:rsid w:val="006D5242"/>
    <w:rsid w:val="006D53B9"/>
    <w:rsid w:val="006D5C52"/>
    <w:rsid w:val="006D72EB"/>
    <w:rsid w:val="006E0854"/>
    <w:rsid w:val="006E0BCA"/>
    <w:rsid w:val="006E0CE4"/>
    <w:rsid w:val="006E138B"/>
    <w:rsid w:val="006E1E84"/>
    <w:rsid w:val="006E2179"/>
    <w:rsid w:val="006E21CA"/>
    <w:rsid w:val="006E23EF"/>
    <w:rsid w:val="006E2EC9"/>
    <w:rsid w:val="006E2F83"/>
    <w:rsid w:val="006E3B53"/>
    <w:rsid w:val="006E458E"/>
    <w:rsid w:val="006E4980"/>
    <w:rsid w:val="006E5285"/>
    <w:rsid w:val="006E6E09"/>
    <w:rsid w:val="006E6F27"/>
    <w:rsid w:val="006F0503"/>
    <w:rsid w:val="006F122B"/>
    <w:rsid w:val="006F152D"/>
    <w:rsid w:val="006F1C2C"/>
    <w:rsid w:val="006F1E27"/>
    <w:rsid w:val="006F32FF"/>
    <w:rsid w:val="006F39C8"/>
    <w:rsid w:val="006F41D7"/>
    <w:rsid w:val="006F51A9"/>
    <w:rsid w:val="006F57B1"/>
    <w:rsid w:val="006F5DBF"/>
    <w:rsid w:val="006F63FB"/>
    <w:rsid w:val="006F7364"/>
    <w:rsid w:val="006F7DFC"/>
    <w:rsid w:val="00700979"/>
    <w:rsid w:val="00700DF1"/>
    <w:rsid w:val="00701430"/>
    <w:rsid w:val="00701773"/>
    <w:rsid w:val="0070288F"/>
    <w:rsid w:val="00702B68"/>
    <w:rsid w:val="00702F5E"/>
    <w:rsid w:val="0070407D"/>
    <w:rsid w:val="0070413B"/>
    <w:rsid w:val="0070418F"/>
    <w:rsid w:val="007056C7"/>
    <w:rsid w:val="00705715"/>
    <w:rsid w:val="00705C21"/>
    <w:rsid w:val="00705CB3"/>
    <w:rsid w:val="00706596"/>
    <w:rsid w:val="007065EF"/>
    <w:rsid w:val="007066B0"/>
    <w:rsid w:val="0070701E"/>
    <w:rsid w:val="007103BA"/>
    <w:rsid w:val="00711014"/>
    <w:rsid w:val="00711B08"/>
    <w:rsid w:val="00712AB2"/>
    <w:rsid w:val="00713275"/>
    <w:rsid w:val="00713DBC"/>
    <w:rsid w:val="00715165"/>
    <w:rsid w:val="007159BC"/>
    <w:rsid w:val="00715EA5"/>
    <w:rsid w:val="00716EAD"/>
    <w:rsid w:val="00717CE1"/>
    <w:rsid w:val="007207F3"/>
    <w:rsid w:val="00720A21"/>
    <w:rsid w:val="007211B5"/>
    <w:rsid w:val="00721A55"/>
    <w:rsid w:val="00721E06"/>
    <w:rsid w:val="00722A9B"/>
    <w:rsid w:val="00723F27"/>
    <w:rsid w:val="00724BF9"/>
    <w:rsid w:val="00724C18"/>
    <w:rsid w:val="00724D1B"/>
    <w:rsid w:val="007250D0"/>
    <w:rsid w:val="0072544D"/>
    <w:rsid w:val="00725ACB"/>
    <w:rsid w:val="00726A6F"/>
    <w:rsid w:val="007278F8"/>
    <w:rsid w:val="007301CF"/>
    <w:rsid w:val="007304B8"/>
    <w:rsid w:val="0073050C"/>
    <w:rsid w:val="00730D40"/>
    <w:rsid w:val="00730FBC"/>
    <w:rsid w:val="00731666"/>
    <w:rsid w:val="007345CA"/>
    <w:rsid w:val="00734F0E"/>
    <w:rsid w:val="007369B1"/>
    <w:rsid w:val="00737103"/>
    <w:rsid w:val="0073759C"/>
    <w:rsid w:val="007376F7"/>
    <w:rsid w:val="00737A24"/>
    <w:rsid w:val="0074026E"/>
    <w:rsid w:val="00740325"/>
    <w:rsid w:val="00740AE3"/>
    <w:rsid w:val="00741935"/>
    <w:rsid w:val="00742F8F"/>
    <w:rsid w:val="00743AF0"/>
    <w:rsid w:val="0074457F"/>
    <w:rsid w:val="00744711"/>
    <w:rsid w:val="00744A4D"/>
    <w:rsid w:val="00744E80"/>
    <w:rsid w:val="007453CE"/>
    <w:rsid w:val="0074594E"/>
    <w:rsid w:val="00745B0F"/>
    <w:rsid w:val="00745DFE"/>
    <w:rsid w:val="0074661D"/>
    <w:rsid w:val="00746D96"/>
    <w:rsid w:val="00747481"/>
    <w:rsid w:val="00747720"/>
    <w:rsid w:val="007503B6"/>
    <w:rsid w:val="00750A1C"/>
    <w:rsid w:val="00751EFF"/>
    <w:rsid w:val="0075202A"/>
    <w:rsid w:val="00753FB7"/>
    <w:rsid w:val="00754C94"/>
    <w:rsid w:val="00754FAB"/>
    <w:rsid w:val="007556AE"/>
    <w:rsid w:val="00755AB5"/>
    <w:rsid w:val="00755BD1"/>
    <w:rsid w:val="00755DF0"/>
    <w:rsid w:val="007573EC"/>
    <w:rsid w:val="00760824"/>
    <w:rsid w:val="00760B09"/>
    <w:rsid w:val="007625AE"/>
    <w:rsid w:val="00763420"/>
    <w:rsid w:val="00763A46"/>
    <w:rsid w:val="007653F8"/>
    <w:rsid w:val="00765822"/>
    <w:rsid w:val="00765BB7"/>
    <w:rsid w:val="00765F31"/>
    <w:rsid w:val="007706AA"/>
    <w:rsid w:val="0077071C"/>
    <w:rsid w:val="00770786"/>
    <w:rsid w:val="007709F6"/>
    <w:rsid w:val="00770F6A"/>
    <w:rsid w:val="0077240C"/>
    <w:rsid w:val="00772688"/>
    <w:rsid w:val="00772733"/>
    <w:rsid w:val="00772982"/>
    <w:rsid w:val="00772BFE"/>
    <w:rsid w:val="00772F16"/>
    <w:rsid w:val="007735EA"/>
    <w:rsid w:val="0077392E"/>
    <w:rsid w:val="00773C7F"/>
    <w:rsid w:val="007747C5"/>
    <w:rsid w:val="0077528B"/>
    <w:rsid w:val="00775592"/>
    <w:rsid w:val="00775669"/>
    <w:rsid w:val="00775D10"/>
    <w:rsid w:val="007761FE"/>
    <w:rsid w:val="0077656B"/>
    <w:rsid w:val="00776D4A"/>
    <w:rsid w:val="007776D8"/>
    <w:rsid w:val="00780B2B"/>
    <w:rsid w:val="007813BA"/>
    <w:rsid w:val="00782D11"/>
    <w:rsid w:val="00783903"/>
    <w:rsid w:val="00783D0B"/>
    <w:rsid w:val="0078572A"/>
    <w:rsid w:val="00785B2E"/>
    <w:rsid w:val="00785F34"/>
    <w:rsid w:val="00786327"/>
    <w:rsid w:val="007865FD"/>
    <w:rsid w:val="0078737F"/>
    <w:rsid w:val="00787F0F"/>
    <w:rsid w:val="00790732"/>
    <w:rsid w:val="0079076D"/>
    <w:rsid w:val="00793975"/>
    <w:rsid w:val="00793E8B"/>
    <w:rsid w:val="00794A55"/>
    <w:rsid w:val="0079585B"/>
    <w:rsid w:val="00795C98"/>
    <w:rsid w:val="007962E6"/>
    <w:rsid w:val="00796ED6"/>
    <w:rsid w:val="00797813"/>
    <w:rsid w:val="00797D87"/>
    <w:rsid w:val="007A1583"/>
    <w:rsid w:val="007A1C75"/>
    <w:rsid w:val="007A37EB"/>
    <w:rsid w:val="007A3AA3"/>
    <w:rsid w:val="007A4360"/>
    <w:rsid w:val="007A51E9"/>
    <w:rsid w:val="007A5764"/>
    <w:rsid w:val="007A658C"/>
    <w:rsid w:val="007A7458"/>
    <w:rsid w:val="007B24DC"/>
    <w:rsid w:val="007B2F6F"/>
    <w:rsid w:val="007B46BE"/>
    <w:rsid w:val="007B489C"/>
    <w:rsid w:val="007B55A7"/>
    <w:rsid w:val="007B5917"/>
    <w:rsid w:val="007B63C3"/>
    <w:rsid w:val="007B6B4E"/>
    <w:rsid w:val="007B6CE3"/>
    <w:rsid w:val="007B73C0"/>
    <w:rsid w:val="007B7B31"/>
    <w:rsid w:val="007C07EB"/>
    <w:rsid w:val="007C1382"/>
    <w:rsid w:val="007C2E1A"/>
    <w:rsid w:val="007C3484"/>
    <w:rsid w:val="007C35BD"/>
    <w:rsid w:val="007C35C7"/>
    <w:rsid w:val="007C3B6A"/>
    <w:rsid w:val="007C3DEB"/>
    <w:rsid w:val="007C3E65"/>
    <w:rsid w:val="007C4132"/>
    <w:rsid w:val="007C442B"/>
    <w:rsid w:val="007C498E"/>
    <w:rsid w:val="007C4E5E"/>
    <w:rsid w:val="007C61E3"/>
    <w:rsid w:val="007C687E"/>
    <w:rsid w:val="007C731F"/>
    <w:rsid w:val="007C77DF"/>
    <w:rsid w:val="007C7D8F"/>
    <w:rsid w:val="007C7E5C"/>
    <w:rsid w:val="007D00A2"/>
    <w:rsid w:val="007D08D4"/>
    <w:rsid w:val="007D09D9"/>
    <w:rsid w:val="007D1D55"/>
    <w:rsid w:val="007D2A5E"/>
    <w:rsid w:val="007D3B78"/>
    <w:rsid w:val="007D4888"/>
    <w:rsid w:val="007D4A77"/>
    <w:rsid w:val="007D4D2D"/>
    <w:rsid w:val="007D5AAA"/>
    <w:rsid w:val="007D5C52"/>
    <w:rsid w:val="007D5EB1"/>
    <w:rsid w:val="007D67A3"/>
    <w:rsid w:val="007E02D8"/>
    <w:rsid w:val="007E0793"/>
    <w:rsid w:val="007E0BF9"/>
    <w:rsid w:val="007E0E42"/>
    <w:rsid w:val="007E1022"/>
    <w:rsid w:val="007E1589"/>
    <w:rsid w:val="007E1C18"/>
    <w:rsid w:val="007E1D24"/>
    <w:rsid w:val="007E281C"/>
    <w:rsid w:val="007F035B"/>
    <w:rsid w:val="007F109F"/>
    <w:rsid w:val="007F224C"/>
    <w:rsid w:val="007F2443"/>
    <w:rsid w:val="007F2CC3"/>
    <w:rsid w:val="007F3314"/>
    <w:rsid w:val="007F33A4"/>
    <w:rsid w:val="007F3736"/>
    <w:rsid w:val="007F38AD"/>
    <w:rsid w:val="007F3A2F"/>
    <w:rsid w:val="007F41DD"/>
    <w:rsid w:val="007F50A3"/>
    <w:rsid w:val="007F5758"/>
    <w:rsid w:val="007F581C"/>
    <w:rsid w:val="007F6E99"/>
    <w:rsid w:val="007F76CE"/>
    <w:rsid w:val="007F7DF9"/>
    <w:rsid w:val="0080029F"/>
    <w:rsid w:val="0080061F"/>
    <w:rsid w:val="00802585"/>
    <w:rsid w:val="0080278A"/>
    <w:rsid w:val="00802BD1"/>
    <w:rsid w:val="00803128"/>
    <w:rsid w:val="0080348C"/>
    <w:rsid w:val="0080390F"/>
    <w:rsid w:val="00803A7B"/>
    <w:rsid w:val="00804586"/>
    <w:rsid w:val="00804892"/>
    <w:rsid w:val="00805750"/>
    <w:rsid w:val="00806103"/>
    <w:rsid w:val="00806D51"/>
    <w:rsid w:val="008073BD"/>
    <w:rsid w:val="008106B4"/>
    <w:rsid w:val="00810A80"/>
    <w:rsid w:val="008111FD"/>
    <w:rsid w:val="00811A78"/>
    <w:rsid w:val="00811F17"/>
    <w:rsid w:val="008127A4"/>
    <w:rsid w:val="008128A3"/>
    <w:rsid w:val="00812D86"/>
    <w:rsid w:val="00812ED8"/>
    <w:rsid w:val="008133B7"/>
    <w:rsid w:val="008151B8"/>
    <w:rsid w:val="0081549B"/>
    <w:rsid w:val="00815726"/>
    <w:rsid w:val="00816D14"/>
    <w:rsid w:val="008173CE"/>
    <w:rsid w:val="0081755B"/>
    <w:rsid w:val="0081768E"/>
    <w:rsid w:val="008178BD"/>
    <w:rsid w:val="00817D40"/>
    <w:rsid w:val="00820B25"/>
    <w:rsid w:val="00820C49"/>
    <w:rsid w:val="00820CFE"/>
    <w:rsid w:val="00820DD4"/>
    <w:rsid w:val="00822075"/>
    <w:rsid w:val="00822DB5"/>
    <w:rsid w:val="008235A3"/>
    <w:rsid w:val="008248A5"/>
    <w:rsid w:val="00825A30"/>
    <w:rsid w:val="00825D08"/>
    <w:rsid w:val="00825ECA"/>
    <w:rsid w:val="00827158"/>
    <w:rsid w:val="00827711"/>
    <w:rsid w:val="0083078A"/>
    <w:rsid w:val="00830856"/>
    <w:rsid w:val="008308EB"/>
    <w:rsid w:val="008309D6"/>
    <w:rsid w:val="00830C8C"/>
    <w:rsid w:val="008327FF"/>
    <w:rsid w:val="008330EE"/>
    <w:rsid w:val="00833E0C"/>
    <w:rsid w:val="00834818"/>
    <w:rsid w:val="0083522D"/>
    <w:rsid w:val="008359A0"/>
    <w:rsid w:val="0083601F"/>
    <w:rsid w:val="008363E2"/>
    <w:rsid w:val="00836640"/>
    <w:rsid w:val="00837474"/>
    <w:rsid w:val="00837BC2"/>
    <w:rsid w:val="00840846"/>
    <w:rsid w:val="00840C96"/>
    <w:rsid w:val="008412D3"/>
    <w:rsid w:val="00841AF8"/>
    <w:rsid w:val="00844285"/>
    <w:rsid w:val="0084451A"/>
    <w:rsid w:val="008445DE"/>
    <w:rsid w:val="008464CD"/>
    <w:rsid w:val="00846BE6"/>
    <w:rsid w:val="00847E36"/>
    <w:rsid w:val="00851466"/>
    <w:rsid w:val="00852AB3"/>
    <w:rsid w:val="00853861"/>
    <w:rsid w:val="008538F8"/>
    <w:rsid w:val="00853D21"/>
    <w:rsid w:val="00854CF1"/>
    <w:rsid w:val="00855831"/>
    <w:rsid w:val="00855C80"/>
    <w:rsid w:val="008563F9"/>
    <w:rsid w:val="00856F50"/>
    <w:rsid w:val="00857173"/>
    <w:rsid w:val="00857B99"/>
    <w:rsid w:val="00860F7A"/>
    <w:rsid w:val="00861788"/>
    <w:rsid w:val="0086190D"/>
    <w:rsid w:val="00861DC3"/>
    <w:rsid w:val="0086207F"/>
    <w:rsid w:val="00862311"/>
    <w:rsid w:val="00862B02"/>
    <w:rsid w:val="0086329E"/>
    <w:rsid w:val="008632CE"/>
    <w:rsid w:val="00863353"/>
    <w:rsid w:val="00863550"/>
    <w:rsid w:val="008640D4"/>
    <w:rsid w:val="00870A07"/>
    <w:rsid w:val="00870CC8"/>
    <w:rsid w:val="008711A7"/>
    <w:rsid w:val="0087120C"/>
    <w:rsid w:val="008728F1"/>
    <w:rsid w:val="00873CF3"/>
    <w:rsid w:val="008740F9"/>
    <w:rsid w:val="00874A03"/>
    <w:rsid w:val="00874C3C"/>
    <w:rsid w:val="0087516F"/>
    <w:rsid w:val="0087568A"/>
    <w:rsid w:val="008761FC"/>
    <w:rsid w:val="008763E6"/>
    <w:rsid w:val="0087669C"/>
    <w:rsid w:val="0087671C"/>
    <w:rsid w:val="00876728"/>
    <w:rsid w:val="00876EB8"/>
    <w:rsid w:val="0087740F"/>
    <w:rsid w:val="00877BF9"/>
    <w:rsid w:val="00877EC4"/>
    <w:rsid w:val="00880335"/>
    <w:rsid w:val="00880455"/>
    <w:rsid w:val="00880E7D"/>
    <w:rsid w:val="008810BA"/>
    <w:rsid w:val="0088149A"/>
    <w:rsid w:val="00881A02"/>
    <w:rsid w:val="0088275C"/>
    <w:rsid w:val="00884C56"/>
    <w:rsid w:val="008855BA"/>
    <w:rsid w:val="00885C31"/>
    <w:rsid w:val="00886742"/>
    <w:rsid w:val="008868E5"/>
    <w:rsid w:val="008869AB"/>
    <w:rsid w:val="008873D7"/>
    <w:rsid w:val="008878DD"/>
    <w:rsid w:val="008903D4"/>
    <w:rsid w:val="008909BA"/>
    <w:rsid w:val="0089153D"/>
    <w:rsid w:val="008916DA"/>
    <w:rsid w:val="0089197F"/>
    <w:rsid w:val="00891D42"/>
    <w:rsid w:val="00892F3F"/>
    <w:rsid w:val="00893417"/>
    <w:rsid w:val="00893DB9"/>
    <w:rsid w:val="008944C5"/>
    <w:rsid w:val="00894870"/>
    <w:rsid w:val="00895238"/>
    <w:rsid w:val="00896264"/>
    <w:rsid w:val="0089659D"/>
    <w:rsid w:val="008967B4"/>
    <w:rsid w:val="00896AFB"/>
    <w:rsid w:val="00897008"/>
    <w:rsid w:val="00897548"/>
    <w:rsid w:val="00897AFB"/>
    <w:rsid w:val="008A103C"/>
    <w:rsid w:val="008A1074"/>
    <w:rsid w:val="008A1D88"/>
    <w:rsid w:val="008A1DDD"/>
    <w:rsid w:val="008A1E55"/>
    <w:rsid w:val="008A35FE"/>
    <w:rsid w:val="008A39E1"/>
    <w:rsid w:val="008A3BB2"/>
    <w:rsid w:val="008A445C"/>
    <w:rsid w:val="008A59E5"/>
    <w:rsid w:val="008A6161"/>
    <w:rsid w:val="008A6602"/>
    <w:rsid w:val="008A7061"/>
    <w:rsid w:val="008B2057"/>
    <w:rsid w:val="008B2F5E"/>
    <w:rsid w:val="008B403D"/>
    <w:rsid w:val="008B4ABE"/>
    <w:rsid w:val="008B5400"/>
    <w:rsid w:val="008B544C"/>
    <w:rsid w:val="008B5501"/>
    <w:rsid w:val="008B62BF"/>
    <w:rsid w:val="008B6587"/>
    <w:rsid w:val="008B662B"/>
    <w:rsid w:val="008B6C9E"/>
    <w:rsid w:val="008B7ABA"/>
    <w:rsid w:val="008B7F01"/>
    <w:rsid w:val="008C04DB"/>
    <w:rsid w:val="008C1DE3"/>
    <w:rsid w:val="008C22EF"/>
    <w:rsid w:val="008C530A"/>
    <w:rsid w:val="008C57DF"/>
    <w:rsid w:val="008C58AA"/>
    <w:rsid w:val="008C5D7D"/>
    <w:rsid w:val="008C5E4F"/>
    <w:rsid w:val="008C641A"/>
    <w:rsid w:val="008C6477"/>
    <w:rsid w:val="008C683C"/>
    <w:rsid w:val="008C69E2"/>
    <w:rsid w:val="008C6CFA"/>
    <w:rsid w:val="008C7305"/>
    <w:rsid w:val="008C7B0F"/>
    <w:rsid w:val="008D01A3"/>
    <w:rsid w:val="008D04F3"/>
    <w:rsid w:val="008D0521"/>
    <w:rsid w:val="008D057C"/>
    <w:rsid w:val="008D0A45"/>
    <w:rsid w:val="008D22A1"/>
    <w:rsid w:val="008D3861"/>
    <w:rsid w:val="008D3957"/>
    <w:rsid w:val="008D4847"/>
    <w:rsid w:val="008D4B9A"/>
    <w:rsid w:val="008D4EF6"/>
    <w:rsid w:val="008D5020"/>
    <w:rsid w:val="008D5C7F"/>
    <w:rsid w:val="008D5DE3"/>
    <w:rsid w:val="008D6343"/>
    <w:rsid w:val="008D63B5"/>
    <w:rsid w:val="008D7C8F"/>
    <w:rsid w:val="008E1545"/>
    <w:rsid w:val="008E1F13"/>
    <w:rsid w:val="008E2FBB"/>
    <w:rsid w:val="008E31BC"/>
    <w:rsid w:val="008E4105"/>
    <w:rsid w:val="008E44ED"/>
    <w:rsid w:val="008E4BDE"/>
    <w:rsid w:val="008E4C41"/>
    <w:rsid w:val="008E4E1B"/>
    <w:rsid w:val="008E4EEE"/>
    <w:rsid w:val="008E51F2"/>
    <w:rsid w:val="008E60B6"/>
    <w:rsid w:val="008E6DCE"/>
    <w:rsid w:val="008E6EA6"/>
    <w:rsid w:val="008E7053"/>
    <w:rsid w:val="008E73F9"/>
    <w:rsid w:val="008E7B1F"/>
    <w:rsid w:val="008E7FE8"/>
    <w:rsid w:val="008F040E"/>
    <w:rsid w:val="008F159B"/>
    <w:rsid w:val="008F1F67"/>
    <w:rsid w:val="008F2319"/>
    <w:rsid w:val="008F36E1"/>
    <w:rsid w:val="008F430A"/>
    <w:rsid w:val="008F5451"/>
    <w:rsid w:val="008F5EEE"/>
    <w:rsid w:val="008F5EF4"/>
    <w:rsid w:val="008F6C80"/>
    <w:rsid w:val="008F7FB7"/>
    <w:rsid w:val="00900F40"/>
    <w:rsid w:val="00901906"/>
    <w:rsid w:val="0090209C"/>
    <w:rsid w:val="00902942"/>
    <w:rsid w:val="00903D93"/>
    <w:rsid w:val="009046A5"/>
    <w:rsid w:val="00906B03"/>
    <w:rsid w:val="00906D46"/>
    <w:rsid w:val="00907105"/>
    <w:rsid w:val="00907606"/>
    <w:rsid w:val="0091040A"/>
    <w:rsid w:val="00910CB9"/>
    <w:rsid w:val="009112A6"/>
    <w:rsid w:val="00911C79"/>
    <w:rsid w:val="00911ECA"/>
    <w:rsid w:val="009122C3"/>
    <w:rsid w:val="0091262E"/>
    <w:rsid w:val="009132BD"/>
    <w:rsid w:val="009132F2"/>
    <w:rsid w:val="00913392"/>
    <w:rsid w:val="00913E91"/>
    <w:rsid w:val="00915240"/>
    <w:rsid w:val="0091548B"/>
    <w:rsid w:val="009157FD"/>
    <w:rsid w:val="00915BB5"/>
    <w:rsid w:val="00916669"/>
    <w:rsid w:val="00916D09"/>
    <w:rsid w:val="00917342"/>
    <w:rsid w:val="0091760D"/>
    <w:rsid w:val="0092030D"/>
    <w:rsid w:val="00920946"/>
    <w:rsid w:val="00920B0A"/>
    <w:rsid w:val="009215F2"/>
    <w:rsid w:val="009219A3"/>
    <w:rsid w:val="009227E9"/>
    <w:rsid w:val="00922E5F"/>
    <w:rsid w:val="00923C9A"/>
    <w:rsid w:val="00924302"/>
    <w:rsid w:val="00924527"/>
    <w:rsid w:val="00924575"/>
    <w:rsid w:val="00925D02"/>
    <w:rsid w:val="0092735C"/>
    <w:rsid w:val="009277AD"/>
    <w:rsid w:val="00927F7B"/>
    <w:rsid w:val="0093038B"/>
    <w:rsid w:val="009320DF"/>
    <w:rsid w:val="0093228B"/>
    <w:rsid w:val="00932517"/>
    <w:rsid w:val="00932E0D"/>
    <w:rsid w:val="0093303F"/>
    <w:rsid w:val="009342B2"/>
    <w:rsid w:val="00934674"/>
    <w:rsid w:val="00934BB7"/>
    <w:rsid w:val="009360D6"/>
    <w:rsid w:val="009361B6"/>
    <w:rsid w:val="00936CEA"/>
    <w:rsid w:val="009405B1"/>
    <w:rsid w:val="00940D34"/>
    <w:rsid w:val="009411E9"/>
    <w:rsid w:val="009436BF"/>
    <w:rsid w:val="009444BB"/>
    <w:rsid w:val="009452EA"/>
    <w:rsid w:val="00945582"/>
    <w:rsid w:val="00945A58"/>
    <w:rsid w:val="009461DC"/>
    <w:rsid w:val="009462BD"/>
    <w:rsid w:val="00950025"/>
    <w:rsid w:val="00950203"/>
    <w:rsid w:val="009508BC"/>
    <w:rsid w:val="00950BF1"/>
    <w:rsid w:val="00951543"/>
    <w:rsid w:val="0095185C"/>
    <w:rsid w:val="00952280"/>
    <w:rsid w:val="00952513"/>
    <w:rsid w:val="0095305B"/>
    <w:rsid w:val="0095373F"/>
    <w:rsid w:val="0095478B"/>
    <w:rsid w:val="00956F83"/>
    <w:rsid w:val="009570E4"/>
    <w:rsid w:val="0095718E"/>
    <w:rsid w:val="009573BA"/>
    <w:rsid w:val="00957A74"/>
    <w:rsid w:val="00961BD6"/>
    <w:rsid w:val="00961C20"/>
    <w:rsid w:val="00961EB0"/>
    <w:rsid w:val="00962D53"/>
    <w:rsid w:val="00962F1D"/>
    <w:rsid w:val="00964B98"/>
    <w:rsid w:val="009650AA"/>
    <w:rsid w:val="00965602"/>
    <w:rsid w:val="0096595A"/>
    <w:rsid w:val="00965F27"/>
    <w:rsid w:val="0096648B"/>
    <w:rsid w:val="00966C84"/>
    <w:rsid w:val="009672BE"/>
    <w:rsid w:val="00967A3F"/>
    <w:rsid w:val="00970776"/>
    <w:rsid w:val="00970C9A"/>
    <w:rsid w:val="00970CAD"/>
    <w:rsid w:val="00970F4D"/>
    <w:rsid w:val="009721DF"/>
    <w:rsid w:val="00972516"/>
    <w:rsid w:val="00972B85"/>
    <w:rsid w:val="00973448"/>
    <w:rsid w:val="009742BC"/>
    <w:rsid w:val="00974695"/>
    <w:rsid w:val="0097534F"/>
    <w:rsid w:val="009753C5"/>
    <w:rsid w:val="00975D98"/>
    <w:rsid w:val="00976C6F"/>
    <w:rsid w:val="00977085"/>
    <w:rsid w:val="009771A3"/>
    <w:rsid w:val="00977BB0"/>
    <w:rsid w:val="00977DED"/>
    <w:rsid w:val="00980A31"/>
    <w:rsid w:val="00980D5E"/>
    <w:rsid w:val="00981C44"/>
    <w:rsid w:val="00981CBE"/>
    <w:rsid w:val="00982E60"/>
    <w:rsid w:val="00983252"/>
    <w:rsid w:val="00983C0A"/>
    <w:rsid w:val="00983F64"/>
    <w:rsid w:val="00984C45"/>
    <w:rsid w:val="009853E2"/>
    <w:rsid w:val="00986643"/>
    <w:rsid w:val="0098702F"/>
    <w:rsid w:val="0099005C"/>
    <w:rsid w:val="00990FDD"/>
    <w:rsid w:val="00991061"/>
    <w:rsid w:val="009916C1"/>
    <w:rsid w:val="0099170C"/>
    <w:rsid w:val="009918F8"/>
    <w:rsid w:val="00992D28"/>
    <w:rsid w:val="00992E93"/>
    <w:rsid w:val="00993A1A"/>
    <w:rsid w:val="00995CF8"/>
    <w:rsid w:val="00995D95"/>
    <w:rsid w:val="00995FE0"/>
    <w:rsid w:val="0099634F"/>
    <w:rsid w:val="00996571"/>
    <w:rsid w:val="009965D3"/>
    <w:rsid w:val="0099671E"/>
    <w:rsid w:val="00997A5B"/>
    <w:rsid w:val="00997ADB"/>
    <w:rsid w:val="009A0900"/>
    <w:rsid w:val="009A0DCE"/>
    <w:rsid w:val="009A1B9F"/>
    <w:rsid w:val="009A2152"/>
    <w:rsid w:val="009A2544"/>
    <w:rsid w:val="009A2B6B"/>
    <w:rsid w:val="009A399D"/>
    <w:rsid w:val="009A497B"/>
    <w:rsid w:val="009A60FF"/>
    <w:rsid w:val="009A6F0F"/>
    <w:rsid w:val="009A6F74"/>
    <w:rsid w:val="009A7103"/>
    <w:rsid w:val="009A7188"/>
    <w:rsid w:val="009A71AA"/>
    <w:rsid w:val="009A7D48"/>
    <w:rsid w:val="009B0844"/>
    <w:rsid w:val="009B0F3F"/>
    <w:rsid w:val="009B13CC"/>
    <w:rsid w:val="009B22EA"/>
    <w:rsid w:val="009B2604"/>
    <w:rsid w:val="009B3256"/>
    <w:rsid w:val="009B3A26"/>
    <w:rsid w:val="009B4318"/>
    <w:rsid w:val="009B5264"/>
    <w:rsid w:val="009B528F"/>
    <w:rsid w:val="009B62D8"/>
    <w:rsid w:val="009B6B2D"/>
    <w:rsid w:val="009B6DBB"/>
    <w:rsid w:val="009C009A"/>
    <w:rsid w:val="009C045A"/>
    <w:rsid w:val="009C1244"/>
    <w:rsid w:val="009C141E"/>
    <w:rsid w:val="009C15CF"/>
    <w:rsid w:val="009C232A"/>
    <w:rsid w:val="009C2926"/>
    <w:rsid w:val="009C293D"/>
    <w:rsid w:val="009C343F"/>
    <w:rsid w:val="009C4906"/>
    <w:rsid w:val="009C512B"/>
    <w:rsid w:val="009C588E"/>
    <w:rsid w:val="009C5CA3"/>
    <w:rsid w:val="009C60F4"/>
    <w:rsid w:val="009C6997"/>
    <w:rsid w:val="009C73D6"/>
    <w:rsid w:val="009C75AA"/>
    <w:rsid w:val="009C7972"/>
    <w:rsid w:val="009C7FD0"/>
    <w:rsid w:val="009D0079"/>
    <w:rsid w:val="009D0ACF"/>
    <w:rsid w:val="009D0B60"/>
    <w:rsid w:val="009D0E9B"/>
    <w:rsid w:val="009D0FE0"/>
    <w:rsid w:val="009D16DF"/>
    <w:rsid w:val="009D194F"/>
    <w:rsid w:val="009D1D2C"/>
    <w:rsid w:val="009D24ED"/>
    <w:rsid w:val="009D2977"/>
    <w:rsid w:val="009D29F4"/>
    <w:rsid w:val="009D352A"/>
    <w:rsid w:val="009D4E60"/>
    <w:rsid w:val="009D5391"/>
    <w:rsid w:val="009D5776"/>
    <w:rsid w:val="009D57D1"/>
    <w:rsid w:val="009D57D3"/>
    <w:rsid w:val="009D5D89"/>
    <w:rsid w:val="009D611B"/>
    <w:rsid w:val="009D64E8"/>
    <w:rsid w:val="009D6F17"/>
    <w:rsid w:val="009E02CD"/>
    <w:rsid w:val="009E0411"/>
    <w:rsid w:val="009E0507"/>
    <w:rsid w:val="009E0F83"/>
    <w:rsid w:val="009E2188"/>
    <w:rsid w:val="009E29F3"/>
    <w:rsid w:val="009E2A5B"/>
    <w:rsid w:val="009E300B"/>
    <w:rsid w:val="009E4092"/>
    <w:rsid w:val="009E4410"/>
    <w:rsid w:val="009E4E76"/>
    <w:rsid w:val="009E5400"/>
    <w:rsid w:val="009E59CC"/>
    <w:rsid w:val="009E5F56"/>
    <w:rsid w:val="009E64E1"/>
    <w:rsid w:val="009E6715"/>
    <w:rsid w:val="009E74E1"/>
    <w:rsid w:val="009F1B24"/>
    <w:rsid w:val="009F1CF7"/>
    <w:rsid w:val="009F2FA9"/>
    <w:rsid w:val="009F3419"/>
    <w:rsid w:val="009F37CB"/>
    <w:rsid w:val="009F39F3"/>
    <w:rsid w:val="009F4345"/>
    <w:rsid w:val="009F4C53"/>
    <w:rsid w:val="009F5711"/>
    <w:rsid w:val="009F6D81"/>
    <w:rsid w:val="00A01068"/>
    <w:rsid w:val="00A01908"/>
    <w:rsid w:val="00A024D0"/>
    <w:rsid w:val="00A0293F"/>
    <w:rsid w:val="00A02ADE"/>
    <w:rsid w:val="00A02B37"/>
    <w:rsid w:val="00A02E7F"/>
    <w:rsid w:val="00A031AF"/>
    <w:rsid w:val="00A03749"/>
    <w:rsid w:val="00A05F96"/>
    <w:rsid w:val="00A07961"/>
    <w:rsid w:val="00A07B1C"/>
    <w:rsid w:val="00A07FB9"/>
    <w:rsid w:val="00A10993"/>
    <w:rsid w:val="00A10AF2"/>
    <w:rsid w:val="00A114B8"/>
    <w:rsid w:val="00A11AE0"/>
    <w:rsid w:val="00A11BB2"/>
    <w:rsid w:val="00A11C77"/>
    <w:rsid w:val="00A122B9"/>
    <w:rsid w:val="00A1380F"/>
    <w:rsid w:val="00A14FC7"/>
    <w:rsid w:val="00A1577A"/>
    <w:rsid w:val="00A15E22"/>
    <w:rsid w:val="00A160FB"/>
    <w:rsid w:val="00A1773F"/>
    <w:rsid w:val="00A205E6"/>
    <w:rsid w:val="00A21896"/>
    <w:rsid w:val="00A22332"/>
    <w:rsid w:val="00A2339B"/>
    <w:rsid w:val="00A23A39"/>
    <w:rsid w:val="00A24082"/>
    <w:rsid w:val="00A24E94"/>
    <w:rsid w:val="00A2541A"/>
    <w:rsid w:val="00A26027"/>
    <w:rsid w:val="00A27552"/>
    <w:rsid w:val="00A27822"/>
    <w:rsid w:val="00A27A28"/>
    <w:rsid w:val="00A27F97"/>
    <w:rsid w:val="00A30473"/>
    <w:rsid w:val="00A30D16"/>
    <w:rsid w:val="00A3121B"/>
    <w:rsid w:val="00A31763"/>
    <w:rsid w:val="00A31931"/>
    <w:rsid w:val="00A32776"/>
    <w:rsid w:val="00A33351"/>
    <w:rsid w:val="00A33451"/>
    <w:rsid w:val="00A34343"/>
    <w:rsid w:val="00A353C2"/>
    <w:rsid w:val="00A357EA"/>
    <w:rsid w:val="00A36892"/>
    <w:rsid w:val="00A37FB2"/>
    <w:rsid w:val="00A40124"/>
    <w:rsid w:val="00A402D9"/>
    <w:rsid w:val="00A40853"/>
    <w:rsid w:val="00A418D6"/>
    <w:rsid w:val="00A42501"/>
    <w:rsid w:val="00A4370C"/>
    <w:rsid w:val="00A43B47"/>
    <w:rsid w:val="00A43F12"/>
    <w:rsid w:val="00A4624D"/>
    <w:rsid w:val="00A467AB"/>
    <w:rsid w:val="00A4687B"/>
    <w:rsid w:val="00A46BE0"/>
    <w:rsid w:val="00A47B65"/>
    <w:rsid w:val="00A51D5E"/>
    <w:rsid w:val="00A51DC5"/>
    <w:rsid w:val="00A52281"/>
    <w:rsid w:val="00A53115"/>
    <w:rsid w:val="00A532CC"/>
    <w:rsid w:val="00A53798"/>
    <w:rsid w:val="00A54157"/>
    <w:rsid w:val="00A54715"/>
    <w:rsid w:val="00A550F7"/>
    <w:rsid w:val="00A55980"/>
    <w:rsid w:val="00A5700F"/>
    <w:rsid w:val="00A57512"/>
    <w:rsid w:val="00A5775C"/>
    <w:rsid w:val="00A578DC"/>
    <w:rsid w:val="00A578EF"/>
    <w:rsid w:val="00A57FFB"/>
    <w:rsid w:val="00A6019E"/>
    <w:rsid w:val="00A613E2"/>
    <w:rsid w:val="00A61B65"/>
    <w:rsid w:val="00A62229"/>
    <w:rsid w:val="00A62CC8"/>
    <w:rsid w:val="00A63D3B"/>
    <w:rsid w:val="00A641FB"/>
    <w:rsid w:val="00A653DF"/>
    <w:rsid w:val="00A65494"/>
    <w:rsid w:val="00A65932"/>
    <w:rsid w:val="00A664B1"/>
    <w:rsid w:val="00A66A23"/>
    <w:rsid w:val="00A67F83"/>
    <w:rsid w:val="00A70323"/>
    <w:rsid w:val="00A73135"/>
    <w:rsid w:val="00A7392D"/>
    <w:rsid w:val="00A73BAE"/>
    <w:rsid w:val="00A742C8"/>
    <w:rsid w:val="00A75E7F"/>
    <w:rsid w:val="00A769FE"/>
    <w:rsid w:val="00A76BF5"/>
    <w:rsid w:val="00A779FB"/>
    <w:rsid w:val="00A805F2"/>
    <w:rsid w:val="00A8087F"/>
    <w:rsid w:val="00A8089C"/>
    <w:rsid w:val="00A80922"/>
    <w:rsid w:val="00A8209B"/>
    <w:rsid w:val="00A823B5"/>
    <w:rsid w:val="00A83504"/>
    <w:rsid w:val="00A83DCE"/>
    <w:rsid w:val="00A840F2"/>
    <w:rsid w:val="00A849F5"/>
    <w:rsid w:val="00A84BD2"/>
    <w:rsid w:val="00A8591C"/>
    <w:rsid w:val="00A85A2C"/>
    <w:rsid w:val="00A8625E"/>
    <w:rsid w:val="00A86410"/>
    <w:rsid w:val="00A9092D"/>
    <w:rsid w:val="00A9175D"/>
    <w:rsid w:val="00A936C8"/>
    <w:rsid w:val="00A94533"/>
    <w:rsid w:val="00A94569"/>
    <w:rsid w:val="00A951C0"/>
    <w:rsid w:val="00A95A1B"/>
    <w:rsid w:val="00A96083"/>
    <w:rsid w:val="00A9734C"/>
    <w:rsid w:val="00A97801"/>
    <w:rsid w:val="00A97892"/>
    <w:rsid w:val="00AA3373"/>
    <w:rsid w:val="00AA33F9"/>
    <w:rsid w:val="00AA36B0"/>
    <w:rsid w:val="00AA4466"/>
    <w:rsid w:val="00AA507F"/>
    <w:rsid w:val="00AA58F7"/>
    <w:rsid w:val="00AA5C28"/>
    <w:rsid w:val="00AA5CF6"/>
    <w:rsid w:val="00AA6888"/>
    <w:rsid w:val="00AA7F76"/>
    <w:rsid w:val="00AB057E"/>
    <w:rsid w:val="00AB0874"/>
    <w:rsid w:val="00AB17FF"/>
    <w:rsid w:val="00AB18FE"/>
    <w:rsid w:val="00AB1B1C"/>
    <w:rsid w:val="00AB2557"/>
    <w:rsid w:val="00AB3936"/>
    <w:rsid w:val="00AB3D54"/>
    <w:rsid w:val="00AB42E5"/>
    <w:rsid w:val="00AB4E24"/>
    <w:rsid w:val="00AB5280"/>
    <w:rsid w:val="00AB6707"/>
    <w:rsid w:val="00AB678D"/>
    <w:rsid w:val="00AB67A4"/>
    <w:rsid w:val="00AB72F3"/>
    <w:rsid w:val="00AB73BF"/>
    <w:rsid w:val="00AC0084"/>
    <w:rsid w:val="00AC023A"/>
    <w:rsid w:val="00AC0308"/>
    <w:rsid w:val="00AC082A"/>
    <w:rsid w:val="00AC0D81"/>
    <w:rsid w:val="00AC176B"/>
    <w:rsid w:val="00AC1899"/>
    <w:rsid w:val="00AC1A88"/>
    <w:rsid w:val="00AC370C"/>
    <w:rsid w:val="00AC39EA"/>
    <w:rsid w:val="00AC3CAC"/>
    <w:rsid w:val="00AC4363"/>
    <w:rsid w:val="00AC4C09"/>
    <w:rsid w:val="00AC5924"/>
    <w:rsid w:val="00AC70A8"/>
    <w:rsid w:val="00AC7A6D"/>
    <w:rsid w:val="00AD1444"/>
    <w:rsid w:val="00AD1FB8"/>
    <w:rsid w:val="00AD23D3"/>
    <w:rsid w:val="00AD38DC"/>
    <w:rsid w:val="00AD4571"/>
    <w:rsid w:val="00AD4E3E"/>
    <w:rsid w:val="00AD5983"/>
    <w:rsid w:val="00AD5A51"/>
    <w:rsid w:val="00AD5B94"/>
    <w:rsid w:val="00AD641E"/>
    <w:rsid w:val="00AD67DB"/>
    <w:rsid w:val="00AE004B"/>
    <w:rsid w:val="00AE02F5"/>
    <w:rsid w:val="00AE053F"/>
    <w:rsid w:val="00AE0965"/>
    <w:rsid w:val="00AE0F59"/>
    <w:rsid w:val="00AE1AD3"/>
    <w:rsid w:val="00AE1E13"/>
    <w:rsid w:val="00AE287B"/>
    <w:rsid w:val="00AE2C9C"/>
    <w:rsid w:val="00AE3902"/>
    <w:rsid w:val="00AE476D"/>
    <w:rsid w:val="00AE497E"/>
    <w:rsid w:val="00AE4FC3"/>
    <w:rsid w:val="00AE5D3F"/>
    <w:rsid w:val="00AE62DF"/>
    <w:rsid w:val="00AE633E"/>
    <w:rsid w:val="00AE6420"/>
    <w:rsid w:val="00AF0747"/>
    <w:rsid w:val="00AF0E25"/>
    <w:rsid w:val="00AF1B66"/>
    <w:rsid w:val="00AF249B"/>
    <w:rsid w:val="00AF26DB"/>
    <w:rsid w:val="00AF2911"/>
    <w:rsid w:val="00AF4127"/>
    <w:rsid w:val="00AF4C39"/>
    <w:rsid w:val="00AF4C63"/>
    <w:rsid w:val="00AF6940"/>
    <w:rsid w:val="00B00382"/>
    <w:rsid w:val="00B00582"/>
    <w:rsid w:val="00B00761"/>
    <w:rsid w:val="00B00CF3"/>
    <w:rsid w:val="00B016EA"/>
    <w:rsid w:val="00B01CFB"/>
    <w:rsid w:val="00B02DBF"/>
    <w:rsid w:val="00B02F4A"/>
    <w:rsid w:val="00B049CE"/>
    <w:rsid w:val="00B04B0C"/>
    <w:rsid w:val="00B056F0"/>
    <w:rsid w:val="00B05DD1"/>
    <w:rsid w:val="00B063D2"/>
    <w:rsid w:val="00B07077"/>
    <w:rsid w:val="00B07421"/>
    <w:rsid w:val="00B076DB"/>
    <w:rsid w:val="00B1011D"/>
    <w:rsid w:val="00B115C4"/>
    <w:rsid w:val="00B11A4C"/>
    <w:rsid w:val="00B12202"/>
    <w:rsid w:val="00B12445"/>
    <w:rsid w:val="00B136D2"/>
    <w:rsid w:val="00B1449D"/>
    <w:rsid w:val="00B144EE"/>
    <w:rsid w:val="00B149E2"/>
    <w:rsid w:val="00B15478"/>
    <w:rsid w:val="00B1680E"/>
    <w:rsid w:val="00B16DC0"/>
    <w:rsid w:val="00B16F5F"/>
    <w:rsid w:val="00B17047"/>
    <w:rsid w:val="00B17095"/>
    <w:rsid w:val="00B176B2"/>
    <w:rsid w:val="00B204A7"/>
    <w:rsid w:val="00B20918"/>
    <w:rsid w:val="00B20BD5"/>
    <w:rsid w:val="00B2239D"/>
    <w:rsid w:val="00B22B59"/>
    <w:rsid w:val="00B241BC"/>
    <w:rsid w:val="00B243B8"/>
    <w:rsid w:val="00B24B96"/>
    <w:rsid w:val="00B25332"/>
    <w:rsid w:val="00B26367"/>
    <w:rsid w:val="00B268E6"/>
    <w:rsid w:val="00B26D86"/>
    <w:rsid w:val="00B27451"/>
    <w:rsid w:val="00B32990"/>
    <w:rsid w:val="00B33248"/>
    <w:rsid w:val="00B341B8"/>
    <w:rsid w:val="00B34E04"/>
    <w:rsid w:val="00B35ECC"/>
    <w:rsid w:val="00B3622F"/>
    <w:rsid w:val="00B3673E"/>
    <w:rsid w:val="00B36BF6"/>
    <w:rsid w:val="00B36C5C"/>
    <w:rsid w:val="00B36ECE"/>
    <w:rsid w:val="00B4031B"/>
    <w:rsid w:val="00B40E23"/>
    <w:rsid w:val="00B410B7"/>
    <w:rsid w:val="00B41D57"/>
    <w:rsid w:val="00B429B2"/>
    <w:rsid w:val="00B42AFE"/>
    <w:rsid w:val="00B43836"/>
    <w:rsid w:val="00B43862"/>
    <w:rsid w:val="00B43C02"/>
    <w:rsid w:val="00B45298"/>
    <w:rsid w:val="00B4539E"/>
    <w:rsid w:val="00B4567E"/>
    <w:rsid w:val="00B46060"/>
    <w:rsid w:val="00B46752"/>
    <w:rsid w:val="00B471A7"/>
    <w:rsid w:val="00B4731B"/>
    <w:rsid w:val="00B475C5"/>
    <w:rsid w:val="00B47B4F"/>
    <w:rsid w:val="00B47EC0"/>
    <w:rsid w:val="00B502FE"/>
    <w:rsid w:val="00B508F6"/>
    <w:rsid w:val="00B50B39"/>
    <w:rsid w:val="00B51233"/>
    <w:rsid w:val="00B51262"/>
    <w:rsid w:val="00B53706"/>
    <w:rsid w:val="00B54C6E"/>
    <w:rsid w:val="00B54E10"/>
    <w:rsid w:val="00B556A3"/>
    <w:rsid w:val="00B55B84"/>
    <w:rsid w:val="00B55C88"/>
    <w:rsid w:val="00B55E8F"/>
    <w:rsid w:val="00B561D3"/>
    <w:rsid w:val="00B56CFE"/>
    <w:rsid w:val="00B6025D"/>
    <w:rsid w:val="00B60721"/>
    <w:rsid w:val="00B60933"/>
    <w:rsid w:val="00B61199"/>
    <w:rsid w:val="00B61A60"/>
    <w:rsid w:val="00B628DC"/>
    <w:rsid w:val="00B638C2"/>
    <w:rsid w:val="00B64386"/>
    <w:rsid w:val="00B6468E"/>
    <w:rsid w:val="00B65265"/>
    <w:rsid w:val="00B65FF2"/>
    <w:rsid w:val="00B669A3"/>
    <w:rsid w:val="00B66E70"/>
    <w:rsid w:val="00B67CB0"/>
    <w:rsid w:val="00B7031F"/>
    <w:rsid w:val="00B70926"/>
    <w:rsid w:val="00B70BDD"/>
    <w:rsid w:val="00B71277"/>
    <w:rsid w:val="00B7139B"/>
    <w:rsid w:val="00B714C8"/>
    <w:rsid w:val="00B745FE"/>
    <w:rsid w:val="00B75707"/>
    <w:rsid w:val="00B7618E"/>
    <w:rsid w:val="00B778AE"/>
    <w:rsid w:val="00B77D9C"/>
    <w:rsid w:val="00B80304"/>
    <w:rsid w:val="00B80C49"/>
    <w:rsid w:val="00B811A6"/>
    <w:rsid w:val="00B815D9"/>
    <w:rsid w:val="00B81970"/>
    <w:rsid w:val="00B81FD5"/>
    <w:rsid w:val="00B826DC"/>
    <w:rsid w:val="00B82ADE"/>
    <w:rsid w:val="00B83DDF"/>
    <w:rsid w:val="00B84C69"/>
    <w:rsid w:val="00B84E29"/>
    <w:rsid w:val="00B8606B"/>
    <w:rsid w:val="00B861D0"/>
    <w:rsid w:val="00B90895"/>
    <w:rsid w:val="00B915EC"/>
    <w:rsid w:val="00B92123"/>
    <w:rsid w:val="00B9318C"/>
    <w:rsid w:val="00B93D0F"/>
    <w:rsid w:val="00B93FA3"/>
    <w:rsid w:val="00B94635"/>
    <w:rsid w:val="00B94906"/>
    <w:rsid w:val="00B949DE"/>
    <w:rsid w:val="00B96694"/>
    <w:rsid w:val="00B969E3"/>
    <w:rsid w:val="00B975C9"/>
    <w:rsid w:val="00B97971"/>
    <w:rsid w:val="00B979BF"/>
    <w:rsid w:val="00BA002B"/>
    <w:rsid w:val="00BA08C8"/>
    <w:rsid w:val="00BA27BD"/>
    <w:rsid w:val="00BA2A3A"/>
    <w:rsid w:val="00BA346F"/>
    <w:rsid w:val="00BA37F2"/>
    <w:rsid w:val="00BA3B81"/>
    <w:rsid w:val="00BA3C29"/>
    <w:rsid w:val="00BA3E31"/>
    <w:rsid w:val="00BA5138"/>
    <w:rsid w:val="00BA5642"/>
    <w:rsid w:val="00BA688B"/>
    <w:rsid w:val="00BB143E"/>
    <w:rsid w:val="00BB1D4C"/>
    <w:rsid w:val="00BB232A"/>
    <w:rsid w:val="00BB2461"/>
    <w:rsid w:val="00BB255A"/>
    <w:rsid w:val="00BB4CC2"/>
    <w:rsid w:val="00BB503C"/>
    <w:rsid w:val="00BB6658"/>
    <w:rsid w:val="00BB6B42"/>
    <w:rsid w:val="00BB7239"/>
    <w:rsid w:val="00BB77D1"/>
    <w:rsid w:val="00BB7D15"/>
    <w:rsid w:val="00BC03EB"/>
    <w:rsid w:val="00BC068E"/>
    <w:rsid w:val="00BC15C0"/>
    <w:rsid w:val="00BC23F0"/>
    <w:rsid w:val="00BC313F"/>
    <w:rsid w:val="00BC3686"/>
    <w:rsid w:val="00BC5AC0"/>
    <w:rsid w:val="00BC5DF1"/>
    <w:rsid w:val="00BC7045"/>
    <w:rsid w:val="00BC7656"/>
    <w:rsid w:val="00BC770D"/>
    <w:rsid w:val="00BC790C"/>
    <w:rsid w:val="00BC7B1E"/>
    <w:rsid w:val="00BD004B"/>
    <w:rsid w:val="00BD0833"/>
    <w:rsid w:val="00BD1B5C"/>
    <w:rsid w:val="00BD1C5A"/>
    <w:rsid w:val="00BD2207"/>
    <w:rsid w:val="00BD2EE5"/>
    <w:rsid w:val="00BD35C2"/>
    <w:rsid w:val="00BD3A69"/>
    <w:rsid w:val="00BD3FF1"/>
    <w:rsid w:val="00BD41EC"/>
    <w:rsid w:val="00BD4AF2"/>
    <w:rsid w:val="00BD5A23"/>
    <w:rsid w:val="00BD5B54"/>
    <w:rsid w:val="00BD5FA3"/>
    <w:rsid w:val="00BD63B8"/>
    <w:rsid w:val="00BD6443"/>
    <w:rsid w:val="00BD6A44"/>
    <w:rsid w:val="00BD70D6"/>
    <w:rsid w:val="00BE0C6C"/>
    <w:rsid w:val="00BE17F6"/>
    <w:rsid w:val="00BE1A62"/>
    <w:rsid w:val="00BE29C8"/>
    <w:rsid w:val="00BE2B98"/>
    <w:rsid w:val="00BE2DFB"/>
    <w:rsid w:val="00BE319F"/>
    <w:rsid w:val="00BE3D7C"/>
    <w:rsid w:val="00BE461B"/>
    <w:rsid w:val="00BE546F"/>
    <w:rsid w:val="00BE5B22"/>
    <w:rsid w:val="00BE5ED8"/>
    <w:rsid w:val="00BE61B2"/>
    <w:rsid w:val="00BE6D15"/>
    <w:rsid w:val="00BE734A"/>
    <w:rsid w:val="00BE74B6"/>
    <w:rsid w:val="00BE7C52"/>
    <w:rsid w:val="00BF1E4E"/>
    <w:rsid w:val="00BF2A91"/>
    <w:rsid w:val="00BF2D62"/>
    <w:rsid w:val="00BF2D9F"/>
    <w:rsid w:val="00BF3A59"/>
    <w:rsid w:val="00BF3F18"/>
    <w:rsid w:val="00BF417E"/>
    <w:rsid w:val="00BF424D"/>
    <w:rsid w:val="00BF47BB"/>
    <w:rsid w:val="00BF48FB"/>
    <w:rsid w:val="00BF4E31"/>
    <w:rsid w:val="00BF5C28"/>
    <w:rsid w:val="00BF6480"/>
    <w:rsid w:val="00BF73A8"/>
    <w:rsid w:val="00C000C3"/>
    <w:rsid w:val="00C00D7C"/>
    <w:rsid w:val="00C02F8A"/>
    <w:rsid w:val="00C04301"/>
    <w:rsid w:val="00C044C9"/>
    <w:rsid w:val="00C054CE"/>
    <w:rsid w:val="00C05D65"/>
    <w:rsid w:val="00C066A4"/>
    <w:rsid w:val="00C0690B"/>
    <w:rsid w:val="00C1079A"/>
    <w:rsid w:val="00C10CB6"/>
    <w:rsid w:val="00C113F0"/>
    <w:rsid w:val="00C119F6"/>
    <w:rsid w:val="00C11E3F"/>
    <w:rsid w:val="00C120D4"/>
    <w:rsid w:val="00C13076"/>
    <w:rsid w:val="00C14D25"/>
    <w:rsid w:val="00C152B3"/>
    <w:rsid w:val="00C15C04"/>
    <w:rsid w:val="00C15C77"/>
    <w:rsid w:val="00C16977"/>
    <w:rsid w:val="00C16BA0"/>
    <w:rsid w:val="00C17F12"/>
    <w:rsid w:val="00C20161"/>
    <w:rsid w:val="00C20C2F"/>
    <w:rsid w:val="00C20C90"/>
    <w:rsid w:val="00C21776"/>
    <w:rsid w:val="00C217F6"/>
    <w:rsid w:val="00C23536"/>
    <w:rsid w:val="00C23C83"/>
    <w:rsid w:val="00C2465F"/>
    <w:rsid w:val="00C24D16"/>
    <w:rsid w:val="00C260A6"/>
    <w:rsid w:val="00C2676F"/>
    <w:rsid w:val="00C26D50"/>
    <w:rsid w:val="00C271D1"/>
    <w:rsid w:val="00C276C5"/>
    <w:rsid w:val="00C27B15"/>
    <w:rsid w:val="00C3022D"/>
    <w:rsid w:val="00C302D4"/>
    <w:rsid w:val="00C31C0A"/>
    <w:rsid w:val="00C31E1E"/>
    <w:rsid w:val="00C3239E"/>
    <w:rsid w:val="00C32B86"/>
    <w:rsid w:val="00C32D86"/>
    <w:rsid w:val="00C334C4"/>
    <w:rsid w:val="00C33E51"/>
    <w:rsid w:val="00C346F0"/>
    <w:rsid w:val="00C352D1"/>
    <w:rsid w:val="00C36581"/>
    <w:rsid w:val="00C367A3"/>
    <w:rsid w:val="00C36AF6"/>
    <w:rsid w:val="00C36E40"/>
    <w:rsid w:val="00C3730E"/>
    <w:rsid w:val="00C37779"/>
    <w:rsid w:val="00C37C93"/>
    <w:rsid w:val="00C41B9F"/>
    <w:rsid w:val="00C426EA"/>
    <w:rsid w:val="00C42CE0"/>
    <w:rsid w:val="00C440C2"/>
    <w:rsid w:val="00C446C7"/>
    <w:rsid w:val="00C446E8"/>
    <w:rsid w:val="00C44D16"/>
    <w:rsid w:val="00C45256"/>
    <w:rsid w:val="00C4628B"/>
    <w:rsid w:val="00C46DC3"/>
    <w:rsid w:val="00C47B39"/>
    <w:rsid w:val="00C501CB"/>
    <w:rsid w:val="00C50628"/>
    <w:rsid w:val="00C5078C"/>
    <w:rsid w:val="00C50CEE"/>
    <w:rsid w:val="00C51D5B"/>
    <w:rsid w:val="00C51FFA"/>
    <w:rsid w:val="00C5269D"/>
    <w:rsid w:val="00C5276F"/>
    <w:rsid w:val="00C52EA0"/>
    <w:rsid w:val="00C5344E"/>
    <w:rsid w:val="00C53A81"/>
    <w:rsid w:val="00C54700"/>
    <w:rsid w:val="00C559A4"/>
    <w:rsid w:val="00C559BA"/>
    <w:rsid w:val="00C604E7"/>
    <w:rsid w:val="00C60D99"/>
    <w:rsid w:val="00C60DBE"/>
    <w:rsid w:val="00C61A5A"/>
    <w:rsid w:val="00C61C54"/>
    <w:rsid w:val="00C62039"/>
    <w:rsid w:val="00C624EC"/>
    <w:rsid w:val="00C62C48"/>
    <w:rsid w:val="00C62C8C"/>
    <w:rsid w:val="00C62D9B"/>
    <w:rsid w:val="00C63745"/>
    <w:rsid w:val="00C639B0"/>
    <w:rsid w:val="00C63B9B"/>
    <w:rsid w:val="00C63C6D"/>
    <w:rsid w:val="00C63E46"/>
    <w:rsid w:val="00C64606"/>
    <w:rsid w:val="00C648A6"/>
    <w:rsid w:val="00C656F1"/>
    <w:rsid w:val="00C65807"/>
    <w:rsid w:val="00C65BC2"/>
    <w:rsid w:val="00C663D4"/>
    <w:rsid w:val="00C67969"/>
    <w:rsid w:val="00C70F88"/>
    <w:rsid w:val="00C7138C"/>
    <w:rsid w:val="00C71505"/>
    <w:rsid w:val="00C7325E"/>
    <w:rsid w:val="00C735EB"/>
    <w:rsid w:val="00C73AE3"/>
    <w:rsid w:val="00C73B2F"/>
    <w:rsid w:val="00C743CD"/>
    <w:rsid w:val="00C74D57"/>
    <w:rsid w:val="00C755D2"/>
    <w:rsid w:val="00C7583D"/>
    <w:rsid w:val="00C75AFB"/>
    <w:rsid w:val="00C76565"/>
    <w:rsid w:val="00C7726A"/>
    <w:rsid w:val="00C77776"/>
    <w:rsid w:val="00C80590"/>
    <w:rsid w:val="00C80B1D"/>
    <w:rsid w:val="00C817DB"/>
    <w:rsid w:val="00C8213C"/>
    <w:rsid w:val="00C82A90"/>
    <w:rsid w:val="00C837B5"/>
    <w:rsid w:val="00C838B8"/>
    <w:rsid w:val="00C86B75"/>
    <w:rsid w:val="00C8710C"/>
    <w:rsid w:val="00C87D7F"/>
    <w:rsid w:val="00C909E0"/>
    <w:rsid w:val="00C90A77"/>
    <w:rsid w:val="00C90EB9"/>
    <w:rsid w:val="00C914E8"/>
    <w:rsid w:val="00C91624"/>
    <w:rsid w:val="00C91651"/>
    <w:rsid w:val="00C923EE"/>
    <w:rsid w:val="00C9281D"/>
    <w:rsid w:val="00C92C6C"/>
    <w:rsid w:val="00C92F2A"/>
    <w:rsid w:val="00C9361C"/>
    <w:rsid w:val="00C944CD"/>
    <w:rsid w:val="00C946F0"/>
    <w:rsid w:val="00C95E57"/>
    <w:rsid w:val="00C960D6"/>
    <w:rsid w:val="00C97641"/>
    <w:rsid w:val="00CA0402"/>
    <w:rsid w:val="00CA0A89"/>
    <w:rsid w:val="00CA0F25"/>
    <w:rsid w:val="00CA1077"/>
    <w:rsid w:val="00CA1210"/>
    <w:rsid w:val="00CA1810"/>
    <w:rsid w:val="00CA1EF9"/>
    <w:rsid w:val="00CA3FF7"/>
    <w:rsid w:val="00CA47EC"/>
    <w:rsid w:val="00CA49AD"/>
    <w:rsid w:val="00CA5492"/>
    <w:rsid w:val="00CA646F"/>
    <w:rsid w:val="00CA6D66"/>
    <w:rsid w:val="00CB0197"/>
    <w:rsid w:val="00CB04DE"/>
    <w:rsid w:val="00CB0721"/>
    <w:rsid w:val="00CB10E9"/>
    <w:rsid w:val="00CB159E"/>
    <w:rsid w:val="00CB1A60"/>
    <w:rsid w:val="00CB2567"/>
    <w:rsid w:val="00CB5B1F"/>
    <w:rsid w:val="00CB5EA0"/>
    <w:rsid w:val="00CB6AE1"/>
    <w:rsid w:val="00CB77BE"/>
    <w:rsid w:val="00CC08AD"/>
    <w:rsid w:val="00CC119B"/>
    <w:rsid w:val="00CC1A84"/>
    <w:rsid w:val="00CC2F8F"/>
    <w:rsid w:val="00CC3780"/>
    <w:rsid w:val="00CC3813"/>
    <w:rsid w:val="00CC3962"/>
    <w:rsid w:val="00CC396B"/>
    <w:rsid w:val="00CC3C38"/>
    <w:rsid w:val="00CC4148"/>
    <w:rsid w:val="00CC55A7"/>
    <w:rsid w:val="00CC5E74"/>
    <w:rsid w:val="00CC6683"/>
    <w:rsid w:val="00CC67F2"/>
    <w:rsid w:val="00CC68E4"/>
    <w:rsid w:val="00CC7C84"/>
    <w:rsid w:val="00CD046F"/>
    <w:rsid w:val="00CD0A65"/>
    <w:rsid w:val="00CD0AAC"/>
    <w:rsid w:val="00CD270F"/>
    <w:rsid w:val="00CD2DEF"/>
    <w:rsid w:val="00CD3F3A"/>
    <w:rsid w:val="00CD4629"/>
    <w:rsid w:val="00CD4663"/>
    <w:rsid w:val="00CD4746"/>
    <w:rsid w:val="00CD488C"/>
    <w:rsid w:val="00CD67BC"/>
    <w:rsid w:val="00CD6E82"/>
    <w:rsid w:val="00CD70C8"/>
    <w:rsid w:val="00CD7B41"/>
    <w:rsid w:val="00CE1301"/>
    <w:rsid w:val="00CE185F"/>
    <w:rsid w:val="00CE1A55"/>
    <w:rsid w:val="00CE1EFE"/>
    <w:rsid w:val="00CE1F91"/>
    <w:rsid w:val="00CE24C8"/>
    <w:rsid w:val="00CE3159"/>
    <w:rsid w:val="00CE3755"/>
    <w:rsid w:val="00CE3F2E"/>
    <w:rsid w:val="00CE4280"/>
    <w:rsid w:val="00CE4AC7"/>
    <w:rsid w:val="00CE4D11"/>
    <w:rsid w:val="00CE4E8E"/>
    <w:rsid w:val="00CE58E2"/>
    <w:rsid w:val="00CE5BA8"/>
    <w:rsid w:val="00CE6C00"/>
    <w:rsid w:val="00CE777C"/>
    <w:rsid w:val="00CE79D6"/>
    <w:rsid w:val="00CE7FCC"/>
    <w:rsid w:val="00CF07F1"/>
    <w:rsid w:val="00CF2A45"/>
    <w:rsid w:val="00CF39E0"/>
    <w:rsid w:val="00CF465F"/>
    <w:rsid w:val="00CF48E9"/>
    <w:rsid w:val="00CF4B41"/>
    <w:rsid w:val="00CF5BDA"/>
    <w:rsid w:val="00CF5CB0"/>
    <w:rsid w:val="00CF5F9E"/>
    <w:rsid w:val="00CF7DD4"/>
    <w:rsid w:val="00CF7E21"/>
    <w:rsid w:val="00D0017F"/>
    <w:rsid w:val="00D01034"/>
    <w:rsid w:val="00D017F2"/>
    <w:rsid w:val="00D02062"/>
    <w:rsid w:val="00D02F58"/>
    <w:rsid w:val="00D03975"/>
    <w:rsid w:val="00D0503D"/>
    <w:rsid w:val="00D05D53"/>
    <w:rsid w:val="00D06031"/>
    <w:rsid w:val="00D06E06"/>
    <w:rsid w:val="00D07857"/>
    <w:rsid w:val="00D07DBD"/>
    <w:rsid w:val="00D10AF9"/>
    <w:rsid w:val="00D10F44"/>
    <w:rsid w:val="00D11C1A"/>
    <w:rsid w:val="00D127F2"/>
    <w:rsid w:val="00D1282E"/>
    <w:rsid w:val="00D128C8"/>
    <w:rsid w:val="00D15709"/>
    <w:rsid w:val="00D16225"/>
    <w:rsid w:val="00D16C5B"/>
    <w:rsid w:val="00D1705B"/>
    <w:rsid w:val="00D20461"/>
    <w:rsid w:val="00D2049F"/>
    <w:rsid w:val="00D2052F"/>
    <w:rsid w:val="00D20756"/>
    <w:rsid w:val="00D21572"/>
    <w:rsid w:val="00D215AA"/>
    <w:rsid w:val="00D21C35"/>
    <w:rsid w:val="00D21CB0"/>
    <w:rsid w:val="00D225B7"/>
    <w:rsid w:val="00D24B6D"/>
    <w:rsid w:val="00D24D8D"/>
    <w:rsid w:val="00D25166"/>
    <w:rsid w:val="00D271DB"/>
    <w:rsid w:val="00D2743B"/>
    <w:rsid w:val="00D27656"/>
    <w:rsid w:val="00D276D2"/>
    <w:rsid w:val="00D27854"/>
    <w:rsid w:val="00D27FB9"/>
    <w:rsid w:val="00D307D9"/>
    <w:rsid w:val="00D3092F"/>
    <w:rsid w:val="00D30E42"/>
    <w:rsid w:val="00D30E73"/>
    <w:rsid w:val="00D31887"/>
    <w:rsid w:val="00D318F8"/>
    <w:rsid w:val="00D31C08"/>
    <w:rsid w:val="00D31F06"/>
    <w:rsid w:val="00D32BFF"/>
    <w:rsid w:val="00D332A6"/>
    <w:rsid w:val="00D3374D"/>
    <w:rsid w:val="00D33ED3"/>
    <w:rsid w:val="00D3404C"/>
    <w:rsid w:val="00D34EB4"/>
    <w:rsid w:val="00D351F0"/>
    <w:rsid w:val="00D3573B"/>
    <w:rsid w:val="00D35F40"/>
    <w:rsid w:val="00D37464"/>
    <w:rsid w:val="00D402FB"/>
    <w:rsid w:val="00D41486"/>
    <w:rsid w:val="00D42710"/>
    <w:rsid w:val="00D42D2E"/>
    <w:rsid w:val="00D42D3F"/>
    <w:rsid w:val="00D430B7"/>
    <w:rsid w:val="00D43405"/>
    <w:rsid w:val="00D44511"/>
    <w:rsid w:val="00D44529"/>
    <w:rsid w:val="00D44657"/>
    <w:rsid w:val="00D46B7A"/>
    <w:rsid w:val="00D47159"/>
    <w:rsid w:val="00D47BA8"/>
    <w:rsid w:val="00D5020B"/>
    <w:rsid w:val="00D510D6"/>
    <w:rsid w:val="00D51C46"/>
    <w:rsid w:val="00D53380"/>
    <w:rsid w:val="00D5358C"/>
    <w:rsid w:val="00D536C8"/>
    <w:rsid w:val="00D55494"/>
    <w:rsid w:val="00D55BAA"/>
    <w:rsid w:val="00D56131"/>
    <w:rsid w:val="00D5722A"/>
    <w:rsid w:val="00D60058"/>
    <w:rsid w:val="00D6014F"/>
    <w:rsid w:val="00D60623"/>
    <w:rsid w:val="00D60B5D"/>
    <w:rsid w:val="00D60E71"/>
    <w:rsid w:val="00D61872"/>
    <w:rsid w:val="00D61972"/>
    <w:rsid w:val="00D62A73"/>
    <w:rsid w:val="00D6325D"/>
    <w:rsid w:val="00D640A5"/>
    <w:rsid w:val="00D642BE"/>
    <w:rsid w:val="00D6445D"/>
    <w:rsid w:val="00D652CC"/>
    <w:rsid w:val="00D65444"/>
    <w:rsid w:val="00D65C5F"/>
    <w:rsid w:val="00D66804"/>
    <w:rsid w:val="00D67B54"/>
    <w:rsid w:val="00D67E73"/>
    <w:rsid w:val="00D7008F"/>
    <w:rsid w:val="00D70B2B"/>
    <w:rsid w:val="00D70DAF"/>
    <w:rsid w:val="00D72069"/>
    <w:rsid w:val="00D72FB3"/>
    <w:rsid w:val="00D73105"/>
    <w:rsid w:val="00D74B9C"/>
    <w:rsid w:val="00D761BB"/>
    <w:rsid w:val="00D76B57"/>
    <w:rsid w:val="00D76D4F"/>
    <w:rsid w:val="00D77B19"/>
    <w:rsid w:val="00D803F2"/>
    <w:rsid w:val="00D83E4D"/>
    <w:rsid w:val="00D83F1E"/>
    <w:rsid w:val="00D85736"/>
    <w:rsid w:val="00D8702F"/>
    <w:rsid w:val="00D87A50"/>
    <w:rsid w:val="00D90782"/>
    <w:rsid w:val="00D90BD6"/>
    <w:rsid w:val="00D90DF7"/>
    <w:rsid w:val="00D918C1"/>
    <w:rsid w:val="00D92563"/>
    <w:rsid w:val="00D9383E"/>
    <w:rsid w:val="00D940CC"/>
    <w:rsid w:val="00D94622"/>
    <w:rsid w:val="00D9479C"/>
    <w:rsid w:val="00D9672B"/>
    <w:rsid w:val="00D96ADD"/>
    <w:rsid w:val="00D971E9"/>
    <w:rsid w:val="00D97A3F"/>
    <w:rsid w:val="00DA0880"/>
    <w:rsid w:val="00DA2BFD"/>
    <w:rsid w:val="00DA2E6C"/>
    <w:rsid w:val="00DA2ED1"/>
    <w:rsid w:val="00DA499B"/>
    <w:rsid w:val="00DA4C03"/>
    <w:rsid w:val="00DA5024"/>
    <w:rsid w:val="00DA5206"/>
    <w:rsid w:val="00DA53E7"/>
    <w:rsid w:val="00DA55F1"/>
    <w:rsid w:val="00DA6419"/>
    <w:rsid w:val="00DA7816"/>
    <w:rsid w:val="00DA79A6"/>
    <w:rsid w:val="00DA7C0F"/>
    <w:rsid w:val="00DA7CCE"/>
    <w:rsid w:val="00DB0341"/>
    <w:rsid w:val="00DB26AA"/>
    <w:rsid w:val="00DB33D2"/>
    <w:rsid w:val="00DB34C8"/>
    <w:rsid w:val="00DB4740"/>
    <w:rsid w:val="00DB6565"/>
    <w:rsid w:val="00DB684A"/>
    <w:rsid w:val="00DB6B83"/>
    <w:rsid w:val="00DB6B8D"/>
    <w:rsid w:val="00DB6C77"/>
    <w:rsid w:val="00DC2AF3"/>
    <w:rsid w:val="00DC350B"/>
    <w:rsid w:val="00DC3D9A"/>
    <w:rsid w:val="00DC51FC"/>
    <w:rsid w:val="00DC53DA"/>
    <w:rsid w:val="00DC5D5A"/>
    <w:rsid w:val="00DC606D"/>
    <w:rsid w:val="00DC64C6"/>
    <w:rsid w:val="00DC7FBE"/>
    <w:rsid w:val="00DD0813"/>
    <w:rsid w:val="00DD0CC6"/>
    <w:rsid w:val="00DD1004"/>
    <w:rsid w:val="00DD176D"/>
    <w:rsid w:val="00DD1C43"/>
    <w:rsid w:val="00DD2CEF"/>
    <w:rsid w:val="00DD2D86"/>
    <w:rsid w:val="00DD306A"/>
    <w:rsid w:val="00DD4269"/>
    <w:rsid w:val="00DD7519"/>
    <w:rsid w:val="00DD7759"/>
    <w:rsid w:val="00DD79E7"/>
    <w:rsid w:val="00DE02D9"/>
    <w:rsid w:val="00DE082A"/>
    <w:rsid w:val="00DE0F45"/>
    <w:rsid w:val="00DE3416"/>
    <w:rsid w:val="00DE3C04"/>
    <w:rsid w:val="00DE474B"/>
    <w:rsid w:val="00DE5A50"/>
    <w:rsid w:val="00DE5F28"/>
    <w:rsid w:val="00DE6988"/>
    <w:rsid w:val="00DE6FF0"/>
    <w:rsid w:val="00DF02A0"/>
    <w:rsid w:val="00DF0318"/>
    <w:rsid w:val="00DF0654"/>
    <w:rsid w:val="00DF0F5E"/>
    <w:rsid w:val="00DF143C"/>
    <w:rsid w:val="00DF23E7"/>
    <w:rsid w:val="00DF2755"/>
    <w:rsid w:val="00DF38E3"/>
    <w:rsid w:val="00DF51AC"/>
    <w:rsid w:val="00DF597F"/>
    <w:rsid w:val="00DF5994"/>
    <w:rsid w:val="00DF6176"/>
    <w:rsid w:val="00DF61DA"/>
    <w:rsid w:val="00DF621C"/>
    <w:rsid w:val="00DF77E4"/>
    <w:rsid w:val="00DF7923"/>
    <w:rsid w:val="00DF7FD2"/>
    <w:rsid w:val="00E005BA"/>
    <w:rsid w:val="00E00E29"/>
    <w:rsid w:val="00E01D0F"/>
    <w:rsid w:val="00E0298D"/>
    <w:rsid w:val="00E03732"/>
    <w:rsid w:val="00E03CD8"/>
    <w:rsid w:val="00E041FE"/>
    <w:rsid w:val="00E04D6F"/>
    <w:rsid w:val="00E05256"/>
    <w:rsid w:val="00E05CDB"/>
    <w:rsid w:val="00E06910"/>
    <w:rsid w:val="00E07ED9"/>
    <w:rsid w:val="00E10A31"/>
    <w:rsid w:val="00E11508"/>
    <w:rsid w:val="00E128ED"/>
    <w:rsid w:val="00E12BEC"/>
    <w:rsid w:val="00E1339E"/>
    <w:rsid w:val="00E13486"/>
    <w:rsid w:val="00E13592"/>
    <w:rsid w:val="00E13969"/>
    <w:rsid w:val="00E13BAC"/>
    <w:rsid w:val="00E146B7"/>
    <w:rsid w:val="00E147D7"/>
    <w:rsid w:val="00E14CC2"/>
    <w:rsid w:val="00E1542E"/>
    <w:rsid w:val="00E1647A"/>
    <w:rsid w:val="00E165F7"/>
    <w:rsid w:val="00E16D1E"/>
    <w:rsid w:val="00E170A8"/>
    <w:rsid w:val="00E178E4"/>
    <w:rsid w:val="00E17AE7"/>
    <w:rsid w:val="00E20616"/>
    <w:rsid w:val="00E209F3"/>
    <w:rsid w:val="00E213F2"/>
    <w:rsid w:val="00E21521"/>
    <w:rsid w:val="00E215C7"/>
    <w:rsid w:val="00E218CF"/>
    <w:rsid w:val="00E218FC"/>
    <w:rsid w:val="00E21945"/>
    <w:rsid w:val="00E21DDA"/>
    <w:rsid w:val="00E229D6"/>
    <w:rsid w:val="00E22F9E"/>
    <w:rsid w:val="00E232D1"/>
    <w:rsid w:val="00E23670"/>
    <w:rsid w:val="00E23FEA"/>
    <w:rsid w:val="00E25667"/>
    <w:rsid w:val="00E25BC3"/>
    <w:rsid w:val="00E26340"/>
    <w:rsid w:val="00E26E57"/>
    <w:rsid w:val="00E27A46"/>
    <w:rsid w:val="00E27D26"/>
    <w:rsid w:val="00E30DB8"/>
    <w:rsid w:val="00E30F90"/>
    <w:rsid w:val="00E311F7"/>
    <w:rsid w:val="00E31963"/>
    <w:rsid w:val="00E32380"/>
    <w:rsid w:val="00E34881"/>
    <w:rsid w:val="00E3702B"/>
    <w:rsid w:val="00E37143"/>
    <w:rsid w:val="00E37F6D"/>
    <w:rsid w:val="00E4000B"/>
    <w:rsid w:val="00E407C5"/>
    <w:rsid w:val="00E41178"/>
    <w:rsid w:val="00E41186"/>
    <w:rsid w:val="00E4193A"/>
    <w:rsid w:val="00E42E0D"/>
    <w:rsid w:val="00E42F57"/>
    <w:rsid w:val="00E43153"/>
    <w:rsid w:val="00E4324E"/>
    <w:rsid w:val="00E433E4"/>
    <w:rsid w:val="00E44A7B"/>
    <w:rsid w:val="00E44CB1"/>
    <w:rsid w:val="00E44F21"/>
    <w:rsid w:val="00E45489"/>
    <w:rsid w:val="00E457F7"/>
    <w:rsid w:val="00E464EF"/>
    <w:rsid w:val="00E4698E"/>
    <w:rsid w:val="00E469C2"/>
    <w:rsid w:val="00E46D6E"/>
    <w:rsid w:val="00E46EFB"/>
    <w:rsid w:val="00E47445"/>
    <w:rsid w:val="00E47A61"/>
    <w:rsid w:val="00E47C73"/>
    <w:rsid w:val="00E47E30"/>
    <w:rsid w:val="00E47ED7"/>
    <w:rsid w:val="00E5010B"/>
    <w:rsid w:val="00E50F93"/>
    <w:rsid w:val="00E5147B"/>
    <w:rsid w:val="00E51D84"/>
    <w:rsid w:val="00E51F58"/>
    <w:rsid w:val="00E529E6"/>
    <w:rsid w:val="00E53D3B"/>
    <w:rsid w:val="00E5477F"/>
    <w:rsid w:val="00E54B90"/>
    <w:rsid w:val="00E54D22"/>
    <w:rsid w:val="00E55673"/>
    <w:rsid w:val="00E5634A"/>
    <w:rsid w:val="00E5707B"/>
    <w:rsid w:val="00E5747C"/>
    <w:rsid w:val="00E6099F"/>
    <w:rsid w:val="00E60B9B"/>
    <w:rsid w:val="00E618E0"/>
    <w:rsid w:val="00E61973"/>
    <w:rsid w:val="00E61E2E"/>
    <w:rsid w:val="00E62D01"/>
    <w:rsid w:val="00E65FF6"/>
    <w:rsid w:val="00E662AB"/>
    <w:rsid w:val="00E6715E"/>
    <w:rsid w:val="00E67322"/>
    <w:rsid w:val="00E675AA"/>
    <w:rsid w:val="00E70456"/>
    <w:rsid w:val="00E70D7F"/>
    <w:rsid w:val="00E71131"/>
    <w:rsid w:val="00E714EE"/>
    <w:rsid w:val="00E72004"/>
    <w:rsid w:val="00E727F3"/>
    <w:rsid w:val="00E735D8"/>
    <w:rsid w:val="00E745A6"/>
    <w:rsid w:val="00E7482F"/>
    <w:rsid w:val="00E75204"/>
    <w:rsid w:val="00E75792"/>
    <w:rsid w:val="00E75A36"/>
    <w:rsid w:val="00E760EC"/>
    <w:rsid w:val="00E77586"/>
    <w:rsid w:val="00E80698"/>
    <w:rsid w:val="00E81ACF"/>
    <w:rsid w:val="00E81EC5"/>
    <w:rsid w:val="00E8237A"/>
    <w:rsid w:val="00E83DF4"/>
    <w:rsid w:val="00E84168"/>
    <w:rsid w:val="00E844D7"/>
    <w:rsid w:val="00E84593"/>
    <w:rsid w:val="00E84B23"/>
    <w:rsid w:val="00E84B80"/>
    <w:rsid w:val="00E84D19"/>
    <w:rsid w:val="00E84DA8"/>
    <w:rsid w:val="00E84F37"/>
    <w:rsid w:val="00E8568D"/>
    <w:rsid w:val="00E86175"/>
    <w:rsid w:val="00E86E8F"/>
    <w:rsid w:val="00E87970"/>
    <w:rsid w:val="00E87BCE"/>
    <w:rsid w:val="00E87D2F"/>
    <w:rsid w:val="00E87D64"/>
    <w:rsid w:val="00E91DD7"/>
    <w:rsid w:val="00E923BF"/>
    <w:rsid w:val="00E92BB3"/>
    <w:rsid w:val="00E940A4"/>
    <w:rsid w:val="00E94230"/>
    <w:rsid w:val="00E942BE"/>
    <w:rsid w:val="00E95941"/>
    <w:rsid w:val="00E95F3E"/>
    <w:rsid w:val="00E95F40"/>
    <w:rsid w:val="00E9658F"/>
    <w:rsid w:val="00E96C00"/>
    <w:rsid w:val="00EA0021"/>
    <w:rsid w:val="00EA0491"/>
    <w:rsid w:val="00EA084A"/>
    <w:rsid w:val="00EA301A"/>
    <w:rsid w:val="00EA323C"/>
    <w:rsid w:val="00EA5A3C"/>
    <w:rsid w:val="00EA6973"/>
    <w:rsid w:val="00EB0BAB"/>
    <w:rsid w:val="00EB0FC3"/>
    <w:rsid w:val="00EB1363"/>
    <w:rsid w:val="00EB16B2"/>
    <w:rsid w:val="00EB19B3"/>
    <w:rsid w:val="00EB2693"/>
    <w:rsid w:val="00EB2F86"/>
    <w:rsid w:val="00EB343D"/>
    <w:rsid w:val="00EB36C8"/>
    <w:rsid w:val="00EB3E70"/>
    <w:rsid w:val="00EB3F00"/>
    <w:rsid w:val="00EB40E5"/>
    <w:rsid w:val="00EB489C"/>
    <w:rsid w:val="00EB5CC1"/>
    <w:rsid w:val="00EB5CCF"/>
    <w:rsid w:val="00EB61D1"/>
    <w:rsid w:val="00EB63FE"/>
    <w:rsid w:val="00EB651A"/>
    <w:rsid w:val="00EB6E58"/>
    <w:rsid w:val="00EB7FCF"/>
    <w:rsid w:val="00EC095E"/>
    <w:rsid w:val="00EC0F0C"/>
    <w:rsid w:val="00EC1CBB"/>
    <w:rsid w:val="00EC24F9"/>
    <w:rsid w:val="00EC2974"/>
    <w:rsid w:val="00EC3D85"/>
    <w:rsid w:val="00EC54C2"/>
    <w:rsid w:val="00EC56EA"/>
    <w:rsid w:val="00EC7156"/>
    <w:rsid w:val="00EC7796"/>
    <w:rsid w:val="00ED057B"/>
    <w:rsid w:val="00ED1F77"/>
    <w:rsid w:val="00ED26FE"/>
    <w:rsid w:val="00ED3161"/>
    <w:rsid w:val="00ED33D4"/>
    <w:rsid w:val="00ED4F48"/>
    <w:rsid w:val="00ED5076"/>
    <w:rsid w:val="00ED5631"/>
    <w:rsid w:val="00ED5801"/>
    <w:rsid w:val="00ED582A"/>
    <w:rsid w:val="00ED5C8F"/>
    <w:rsid w:val="00ED684A"/>
    <w:rsid w:val="00ED6BFC"/>
    <w:rsid w:val="00ED7395"/>
    <w:rsid w:val="00ED7E9C"/>
    <w:rsid w:val="00EE051D"/>
    <w:rsid w:val="00EE1A78"/>
    <w:rsid w:val="00EE2C17"/>
    <w:rsid w:val="00EE3669"/>
    <w:rsid w:val="00EE48D9"/>
    <w:rsid w:val="00EE4FBD"/>
    <w:rsid w:val="00EE54E9"/>
    <w:rsid w:val="00EE5579"/>
    <w:rsid w:val="00EF17A2"/>
    <w:rsid w:val="00EF1C92"/>
    <w:rsid w:val="00EF29C9"/>
    <w:rsid w:val="00EF3739"/>
    <w:rsid w:val="00EF3B4F"/>
    <w:rsid w:val="00EF3F06"/>
    <w:rsid w:val="00EF419A"/>
    <w:rsid w:val="00EF58B3"/>
    <w:rsid w:val="00EF74F7"/>
    <w:rsid w:val="00EF7696"/>
    <w:rsid w:val="00EF775F"/>
    <w:rsid w:val="00EF7DB7"/>
    <w:rsid w:val="00EF7FE2"/>
    <w:rsid w:val="00F006FE"/>
    <w:rsid w:val="00F009A5"/>
    <w:rsid w:val="00F00BD3"/>
    <w:rsid w:val="00F00DF0"/>
    <w:rsid w:val="00F01128"/>
    <w:rsid w:val="00F020AD"/>
    <w:rsid w:val="00F02846"/>
    <w:rsid w:val="00F03005"/>
    <w:rsid w:val="00F030C2"/>
    <w:rsid w:val="00F038C5"/>
    <w:rsid w:val="00F04039"/>
    <w:rsid w:val="00F049F2"/>
    <w:rsid w:val="00F0516A"/>
    <w:rsid w:val="00F057B9"/>
    <w:rsid w:val="00F06037"/>
    <w:rsid w:val="00F0707E"/>
    <w:rsid w:val="00F072FC"/>
    <w:rsid w:val="00F0745E"/>
    <w:rsid w:val="00F07D79"/>
    <w:rsid w:val="00F101E6"/>
    <w:rsid w:val="00F10D36"/>
    <w:rsid w:val="00F10F10"/>
    <w:rsid w:val="00F113E3"/>
    <w:rsid w:val="00F1203B"/>
    <w:rsid w:val="00F1238A"/>
    <w:rsid w:val="00F12EA3"/>
    <w:rsid w:val="00F14B6F"/>
    <w:rsid w:val="00F14D54"/>
    <w:rsid w:val="00F151ED"/>
    <w:rsid w:val="00F15D0A"/>
    <w:rsid w:val="00F15F07"/>
    <w:rsid w:val="00F15FB5"/>
    <w:rsid w:val="00F160AC"/>
    <w:rsid w:val="00F16ED9"/>
    <w:rsid w:val="00F17C33"/>
    <w:rsid w:val="00F203C7"/>
    <w:rsid w:val="00F20AC0"/>
    <w:rsid w:val="00F20E00"/>
    <w:rsid w:val="00F21081"/>
    <w:rsid w:val="00F2143B"/>
    <w:rsid w:val="00F2164E"/>
    <w:rsid w:val="00F21E6D"/>
    <w:rsid w:val="00F23ED8"/>
    <w:rsid w:val="00F24F24"/>
    <w:rsid w:val="00F25DC4"/>
    <w:rsid w:val="00F26C75"/>
    <w:rsid w:val="00F2763B"/>
    <w:rsid w:val="00F30480"/>
    <w:rsid w:val="00F306D5"/>
    <w:rsid w:val="00F30803"/>
    <w:rsid w:val="00F30BA6"/>
    <w:rsid w:val="00F31BA4"/>
    <w:rsid w:val="00F31BEE"/>
    <w:rsid w:val="00F32BD9"/>
    <w:rsid w:val="00F32F07"/>
    <w:rsid w:val="00F3308D"/>
    <w:rsid w:val="00F334CC"/>
    <w:rsid w:val="00F33807"/>
    <w:rsid w:val="00F33B91"/>
    <w:rsid w:val="00F35166"/>
    <w:rsid w:val="00F371EC"/>
    <w:rsid w:val="00F375A8"/>
    <w:rsid w:val="00F376E5"/>
    <w:rsid w:val="00F377BC"/>
    <w:rsid w:val="00F405AB"/>
    <w:rsid w:val="00F40BE1"/>
    <w:rsid w:val="00F41042"/>
    <w:rsid w:val="00F420DC"/>
    <w:rsid w:val="00F42A66"/>
    <w:rsid w:val="00F43212"/>
    <w:rsid w:val="00F43338"/>
    <w:rsid w:val="00F447A9"/>
    <w:rsid w:val="00F45904"/>
    <w:rsid w:val="00F45E4A"/>
    <w:rsid w:val="00F46A6A"/>
    <w:rsid w:val="00F476BC"/>
    <w:rsid w:val="00F50924"/>
    <w:rsid w:val="00F50C58"/>
    <w:rsid w:val="00F520F7"/>
    <w:rsid w:val="00F5307F"/>
    <w:rsid w:val="00F5364C"/>
    <w:rsid w:val="00F53CF6"/>
    <w:rsid w:val="00F53DD7"/>
    <w:rsid w:val="00F53F5A"/>
    <w:rsid w:val="00F541D3"/>
    <w:rsid w:val="00F55780"/>
    <w:rsid w:val="00F560CC"/>
    <w:rsid w:val="00F56281"/>
    <w:rsid w:val="00F5638F"/>
    <w:rsid w:val="00F5722A"/>
    <w:rsid w:val="00F5725B"/>
    <w:rsid w:val="00F577E6"/>
    <w:rsid w:val="00F57DE5"/>
    <w:rsid w:val="00F60A72"/>
    <w:rsid w:val="00F6187C"/>
    <w:rsid w:val="00F61F2F"/>
    <w:rsid w:val="00F6218D"/>
    <w:rsid w:val="00F623E2"/>
    <w:rsid w:val="00F62EF3"/>
    <w:rsid w:val="00F63933"/>
    <w:rsid w:val="00F63C9C"/>
    <w:rsid w:val="00F65DF8"/>
    <w:rsid w:val="00F66C0E"/>
    <w:rsid w:val="00F67A69"/>
    <w:rsid w:val="00F7085E"/>
    <w:rsid w:val="00F70FA4"/>
    <w:rsid w:val="00F740F2"/>
    <w:rsid w:val="00F74805"/>
    <w:rsid w:val="00F748BF"/>
    <w:rsid w:val="00F7498D"/>
    <w:rsid w:val="00F75DFD"/>
    <w:rsid w:val="00F7641B"/>
    <w:rsid w:val="00F7685C"/>
    <w:rsid w:val="00F76BC0"/>
    <w:rsid w:val="00F77052"/>
    <w:rsid w:val="00F77BD3"/>
    <w:rsid w:val="00F800F0"/>
    <w:rsid w:val="00F8060D"/>
    <w:rsid w:val="00F8092E"/>
    <w:rsid w:val="00F80A04"/>
    <w:rsid w:val="00F8155D"/>
    <w:rsid w:val="00F81DA7"/>
    <w:rsid w:val="00F81FA0"/>
    <w:rsid w:val="00F8234A"/>
    <w:rsid w:val="00F83899"/>
    <w:rsid w:val="00F83907"/>
    <w:rsid w:val="00F84456"/>
    <w:rsid w:val="00F84DD6"/>
    <w:rsid w:val="00F84FCB"/>
    <w:rsid w:val="00F85029"/>
    <w:rsid w:val="00F85656"/>
    <w:rsid w:val="00F85FE9"/>
    <w:rsid w:val="00F8626C"/>
    <w:rsid w:val="00F86B7B"/>
    <w:rsid w:val="00F86EE8"/>
    <w:rsid w:val="00F87760"/>
    <w:rsid w:val="00F90726"/>
    <w:rsid w:val="00F92393"/>
    <w:rsid w:val="00F9337E"/>
    <w:rsid w:val="00F935EC"/>
    <w:rsid w:val="00F9486C"/>
    <w:rsid w:val="00F95C17"/>
    <w:rsid w:val="00F95ECB"/>
    <w:rsid w:val="00F9613D"/>
    <w:rsid w:val="00F973A0"/>
    <w:rsid w:val="00FA22FB"/>
    <w:rsid w:val="00FA279A"/>
    <w:rsid w:val="00FA28EF"/>
    <w:rsid w:val="00FA476E"/>
    <w:rsid w:val="00FA48EB"/>
    <w:rsid w:val="00FA53BE"/>
    <w:rsid w:val="00FA54D0"/>
    <w:rsid w:val="00FA6ACF"/>
    <w:rsid w:val="00FA6E92"/>
    <w:rsid w:val="00FA7DDC"/>
    <w:rsid w:val="00FB0072"/>
    <w:rsid w:val="00FB0EC4"/>
    <w:rsid w:val="00FB1EF2"/>
    <w:rsid w:val="00FB291D"/>
    <w:rsid w:val="00FB352C"/>
    <w:rsid w:val="00FB3986"/>
    <w:rsid w:val="00FB42A3"/>
    <w:rsid w:val="00FB43F4"/>
    <w:rsid w:val="00FB4475"/>
    <w:rsid w:val="00FB6DF5"/>
    <w:rsid w:val="00FB7743"/>
    <w:rsid w:val="00FB7EFA"/>
    <w:rsid w:val="00FC17DA"/>
    <w:rsid w:val="00FC1EF1"/>
    <w:rsid w:val="00FC1F38"/>
    <w:rsid w:val="00FC25E0"/>
    <w:rsid w:val="00FC2972"/>
    <w:rsid w:val="00FC2C6E"/>
    <w:rsid w:val="00FC3703"/>
    <w:rsid w:val="00FC4810"/>
    <w:rsid w:val="00FC4D27"/>
    <w:rsid w:val="00FC6204"/>
    <w:rsid w:val="00FC68FA"/>
    <w:rsid w:val="00FC7DDE"/>
    <w:rsid w:val="00FC7E32"/>
    <w:rsid w:val="00FD07F2"/>
    <w:rsid w:val="00FD0AFC"/>
    <w:rsid w:val="00FD0EF8"/>
    <w:rsid w:val="00FD11AA"/>
    <w:rsid w:val="00FD15E0"/>
    <w:rsid w:val="00FD1868"/>
    <w:rsid w:val="00FD1E08"/>
    <w:rsid w:val="00FD1EAD"/>
    <w:rsid w:val="00FD1FF7"/>
    <w:rsid w:val="00FD29E1"/>
    <w:rsid w:val="00FD336C"/>
    <w:rsid w:val="00FD5745"/>
    <w:rsid w:val="00FD5A51"/>
    <w:rsid w:val="00FD6EF2"/>
    <w:rsid w:val="00FE0075"/>
    <w:rsid w:val="00FE0743"/>
    <w:rsid w:val="00FE08CE"/>
    <w:rsid w:val="00FE0B3C"/>
    <w:rsid w:val="00FE18FF"/>
    <w:rsid w:val="00FE2F3D"/>
    <w:rsid w:val="00FE2FC0"/>
    <w:rsid w:val="00FE336F"/>
    <w:rsid w:val="00FE340B"/>
    <w:rsid w:val="00FE5259"/>
    <w:rsid w:val="00FE5AA6"/>
    <w:rsid w:val="00FE5DFB"/>
    <w:rsid w:val="00FE66F7"/>
    <w:rsid w:val="00FE72B3"/>
    <w:rsid w:val="00FF1986"/>
    <w:rsid w:val="00FF4926"/>
    <w:rsid w:val="00FF6849"/>
    <w:rsid w:val="00FF6C9F"/>
    <w:rsid w:val="00FF6E91"/>
    <w:rsid w:val="01015B45"/>
    <w:rsid w:val="010518C3"/>
    <w:rsid w:val="01055032"/>
    <w:rsid w:val="0105592A"/>
    <w:rsid w:val="010A6538"/>
    <w:rsid w:val="010B24CF"/>
    <w:rsid w:val="010C3886"/>
    <w:rsid w:val="0119296A"/>
    <w:rsid w:val="011C50FD"/>
    <w:rsid w:val="01201069"/>
    <w:rsid w:val="01283170"/>
    <w:rsid w:val="01292C9B"/>
    <w:rsid w:val="012F0613"/>
    <w:rsid w:val="01305BC2"/>
    <w:rsid w:val="01307899"/>
    <w:rsid w:val="0131560C"/>
    <w:rsid w:val="01386B4B"/>
    <w:rsid w:val="0139109B"/>
    <w:rsid w:val="013B2A40"/>
    <w:rsid w:val="013E11C4"/>
    <w:rsid w:val="01435D27"/>
    <w:rsid w:val="01475225"/>
    <w:rsid w:val="015123B9"/>
    <w:rsid w:val="01565C22"/>
    <w:rsid w:val="016F5A4D"/>
    <w:rsid w:val="01785B98"/>
    <w:rsid w:val="01807093"/>
    <w:rsid w:val="018536CA"/>
    <w:rsid w:val="018F2C53"/>
    <w:rsid w:val="01944054"/>
    <w:rsid w:val="01A30D62"/>
    <w:rsid w:val="01A76149"/>
    <w:rsid w:val="01AC10AE"/>
    <w:rsid w:val="01B3780D"/>
    <w:rsid w:val="01B979D0"/>
    <w:rsid w:val="01BC5F17"/>
    <w:rsid w:val="01C006BA"/>
    <w:rsid w:val="01C11711"/>
    <w:rsid w:val="01C34939"/>
    <w:rsid w:val="01C56903"/>
    <w:rsid w:val="01C963F3"/>
    <w:rsid w:val="01D336F5"/>
    <w:rsid w:val="01D373F9"/>
    <w:rsid w:val="01DB746B"/>
    <w:rsid w:val="01EE2BD1"/>
    <w:rsid w:val="01F43BCF"/>
    <w:rsid w:val="020304C1"/>
    <w:rsid w:val="02033AC7"/>
    <w:rsid w:val="02046D1A"/>
    <w:rsid w:val="02056CB6"/>
    <w:rsid w:val="020574C9"/>
    <w:rsid w:val="0209129A"/>
    <w:rsid w:val="020A32D4"/>
    <w:rsid w:val="02100824"/>
    <w:rsid w:val="021B6523"/>
    <w:rsid w:val="021C04F8"/>
    <w:rsid w:val="021C1D66"/>
    <w:rsid w:val="022167A2"/>
    <w:rsid w:val="022B520E"/>
    <w:rsid w:val="022C1452"/>
    <w:rsid w:val="022C2F7F"/>
    <w:rsid w:val="022E73B0"/>
    <w:rsid w:val="02324D1F"/>
    <w:rsid w:val="023B282D"/>
    <w:rsid w:val="024742D8"/>
    <w:rsid w:val="02580A05"/>
    <w:rsid w:val="0258652D"/>
    <w:rsid w:val="025D5903"/>
    <w:rsid w:val="025D7095"/>
    <w:rsid w:val="026A36D4"/>
    <w:rsid w:val="026B2D01"/>
    <w:rsid w:val="027619AC"/>
    <w:rsid w:val="027A76EE"/>
    <w:rsid w:val="028440C8"/>
    <w:rsid w:val="02874A65"/>
    <w:rsid w:val="02896266"/>
    <w:rsid w:val="028C5C3E"/>
    <w:rsid w:val="028F0155"/>
    <w:rsid w:val="029049EE"/>
    <w:rsid w:val="02951F95"/>
    <w:rsid w:val="029711EA"/>
    <w:rsid w:val="029D143F"/>
    <w:rsid w:val="02A26DB4"/>
    <w:rsid w:val="02AE70A0"/>
    <w:rsid w:val="02B0633F"/>
    <w:rsid w:val="02B074AC"/>
    <w:rsid w:val="02C41F3C"/>
    <w:rsid w:val="02D3588D"/>
    <w:rsid w:val="02D82FE7"/>
    <w:rsid w:val="02D95FAB"/>
    <w:rsid w:val="02E32D09"/>
    <w:rsid w:val="02ED2EED"/>
    <w:rsid w:val="03012514"/>
    <w:rsid w:val="030901C4"/>
    <w:rsid w:val="030E2BD4"/>
    <w:rsid w:val="03127926"/>
    <w:rsid w:val="031520CA"/>
    <w:rsid w:val="03262B24"/>
    <w:rsid w:val="03277942"/>
    <w:rsid w:val="03326279"/>
    <w:rsid w:val="03393794"/>
    <w:rsid w:val="033E071B"/>
    <w:rsid w:val="034321D6"/>
    <w:rsid w:val="034628E9"/>
    <w:rsid w:val="034A79BA"/>
    <w:rsid w:val="034E4899"/>
    <w:rsid w:val="0350044F"/>
    <w:rsid w:val="0350418E"/>
    <w:rsid w:val="035148F2"/>
    <w:rsid w:val="03522419"/>
    <w:rsid w:val="03561B8E"/>
    <w:rsid w:val="03567318"/>
    <w:rsid w:val="038853C4"/>
    <w:rsid w:val="038D3451"/>
    <w:rsid w:val="03AD318B"/>
    <w:rsid w:val="03B24E15"/>
    <w:rsid w:val="03BD2E05"/>
    <w:rsid w:val="03C339D1"/>
    <w:rsid w:val="03C63524"/>
    <w:rsid w:val="03CC2236"/>
    <w:rsid w:val="03CC4739"/>
    <w:rsid w:val="03CE3441"/>
    <w:rsid w:val="03DE490C"/>
    <w:rsid w:val="03DE647D"/>
    <w:rsid w:val="03E96EAA"/>
    <w:rsid w:val="03ED775C"/>
    <w:rsid w:val="03EF4FB9"/>
    <w:rsid w:val="03F059F0"/>
    <w:rsid w:val="03F602A2"/>
    <w:rsid w:val="03FF1DA7"/>
    <w:rsid w:val="04077DEB"/>
    <w:rsid w:val="04095085"/>
    <w:rsid w:val="040A00F4"/>
    <w:rsid w:val="040A22EA"/>
    <w:rsid w:val="041660FA"/>
    <w:rsid w:val="041B151E"/>
    <w:rsid w:val="042027A3"/>
    <w:rsid w:val="04251495"/>
    <w:rsid w:val="04254B16"/>
    <w:rsid w:val="042E3685"/>
    <w:rsid w:val="0438160E"/>
    <w:rsid w:val="043C1C43"/>
    <w:rsid w:val="044113EE"/>
    <w:rsid w:val="044E283E"/>
    <w:rsid w:val="04611D17"/>
    <w:rsid w:val="046B19E4"/>
    <w:rsid w:val="046C453A"/>
    <w:rsid w:val="0472418F"/>
    <w:rsid w:val="047E532D"/>
    <w:rsid w:val="047E7AA0"/>
    <w:rsid w:val="047F3D95"/>
    <w:rsid w:val="04851331"/>
    <w:rsid w:val="04855674"/>
    <w:rsid w:val="04926F71"/>
    <w:rsid w:val="04955ADF"/>
    <w:rsid w:val="0499725D"/>
    <w:rsid w:val="04AB4D5E"/>
    <w:rsid w:val="04AC5911"/>
    <w:rsid w:val="04B866DA"/>
    <w:rsid w:val="04B936A3"/>
    <w:rsid w:val="04BB7034"/>
    <w:rsid w:val="04C37355"/>
    <w:rsid w:val="04D00436"/>
    <w:rsid w:val="04DD2009"/>
    <w:rsid w:val="04EE7F1F"/>
    <w:rsid w:val="04F71C42"/>
    <w:rsid w:val="04FE1AD3"/>
    <w:rsid w:val="05091C94"/>
    <w:rsid w:val="050A7FC2"/>
    <w:rsid w:val="0512765A"/>
    <w:rsid w:val="05181AAD"/>
    <w:rsid w:val="051E6A56"/>
    <w:rsid w:val="052367B8"/>
    <w:rsid w:val="05381474"/>
    <w:rsid w:val="053E28D5"/>
    <w:rsid w:val="053F6C5B"/>
    <w:rsid w:val="05452DA4"/>
    <w:rsid w:val="05496377"/>
    <w:rsid w:val="055A659F"/>
    <w:rsid w:val="05671C6C"/>
    <w:rsid w:val="056E422F"/>
    <w:rsid w:val="0576374F"/>
    <w:rsid w:val="057D6BA7"/>
    <w:rsid w:val="0587097A"/>
    <w:rsid w:val="059A6453"/>
    <w:rsid w:val="059F1187"/>
    <w:rsid w:val="05A84797"/>
    <w:rsid w:val="05B4400E"/>
    <w:rsid w:val="05B92B88"/>
    <w:rsid w:val="05BA5CA4"/>
    <w:rsid w:val="05BE6B16"/>
    <w:rsid w:val="05C02052"/>
    <w:rsid w:val="05C0214F"/>
    <w:rsid w:val="05C40BF1"/>
    <w:rsid w:val="05C56ED2"/>
    <w:rsid w:val="05C70D97"/>
    <w:rsid w:val="05C90155"/>
    <w:rsid w:val="05D56A00"/>
    <w:rsid w:val="05D7237A"/>
    <w:rsid w:val="05DB791D"/>
    <w:rsid w:val="05F21666"/>
    <w:rsid w:val="05F445B2"/>
    <w:rsid w:val="0611273D"/>
    <w:rsid w:val="06180CE1"/>
    <w:rsid w:val="06190FCC"/>
    <w:rsid w:val="0626434D"/>
    <w:rsid w:val="06291CC7"/>
    <w:rsid w:val="062956B3"/>
    <w:rsid w:val="063026EF"/>
    <w:rsid w:val="063409FE"/>
    <w:rsid w:val="063C7C97"/>
    <w:rsid w:val="06403B93"/>
    <w:rsid w:val="06415F02"/>
    <w:rsid w:val="06447EA3"/>
    <w:rsid w:val="06454F71"/>
    <w:rsid w:val="06467EC4"/>
    <w:rsid w:val="064B5071"/>
    <w:rsid w:val="06510AAB"/>
    <w:rsid w:val="06574B97"/>
    <w:rsid w:val="066160DF"/>
    <w:rsid w:val="06616243"/>
    <w:rsid w:val="06624721"/>
    <w:rsid w:val="0668645E"/>
    <w:rsid w:val="06721E12"/>
    <w:rsid w:val="068252FE"/>
    <w:rsid w:val="06856661"/>
    <w:rsid w:val="0691471E"/>
    <w:rsid w:val="06925215"/>
    <w:rsid w:val="069D2831"/>
    <w:rsid w:val="069D7D61"/>
    <w:rsid w:val="06A05249"/>
    <w:rsid w:val="06A663EE"/>
    <w:rsid w:val="06A934A4"/>
    <w:rsid w:val="06B44BDE"/>
    <w:rsid w:val="06B65283"/>
    <w:rsid w:val="06BB33DD"/>
    <w:rsid w:val="06C05703"/>
    <w:rsid w:val="06C67CB1"/>
    <w:rsid w:val="06C87E09"/>
    <w:rsid w:val="06C96433"/>
    <w:rsid w:val="06CE5D4B"/>
    <w:rsid w:val="06D02AE7"/>
    <w:rsid w:val="06D105D3"/>
    <w:rsid w:val="06D20720"/>
    <w:rsid w:val="06E302E5"/>
    <w:rsid w:val="06EB37D6"/>
    <w:rsid w:val="06EE681A"/>
    <w:rsid w:val="06EF5F08"/>
    <w:rsid w:val="06F60E06"/>
    <w:rsid w:val="06F76CE2"/>
    <w:rsid w:val="06FF4665"/>
    <w:rsid w:val="0708176C"/>
    <w:rsid w:val="07122EB9"/>
    <w:rsid w:val="07172F45"/>
    <w:rsid w:val="071835C2"/>
    <w:rsid w:val="071B0F54"/>
    <w:rsid w:val="07242DF8"/>
    <w:rsid w:val="072A76FB"/>
    <w:rsid w:val="072E2772"/>
    <w:rsid w:val="073257FC"/>
    <w:rsid w:val="074765E8"/>
    <w:rsid w:val="074A56CD"/>
    <w:rsid w:val="07510AFB"/>
    <w:rsid w:val="075D4B24"/>
    <w:rsid w:val="076E4577"/>
    <w:rsid w:val="07757A9A"/>
    <w:rsid w:val="07977552"/>
    <w:rsid w:val="079C7A7E"/>
    <w:rsid w:val="07A00509"/>
    <w:rsid w:val="07A121DD"/>
    <w:rsid w:val="07AC392E"/>
    <w:rsid w:val="07AF3D9E"/>
    <w:rsid w:val="07B32A0D"/>
    <w:rsid w:val="07BE30B9"/>
    <w:rsid w:val="07C072F0"/>
    <w:rsid w:val="07C212D9"/>
    <w:rsid w:val="07D17360"/>
    <w:rsid w:val="07D26996"/>
    <w:rsid w:val="07E01DA1"/>
    <w:rsid w:val="07E85E83"/>
    <w:rsid w:val="07F14DC4"/>
    <w:rsid w:val="07F150FE"/>
    <w:rsid w:val="07F6698E"/>
    <w:rsid w:val="07F724B1"/>
    <w:rsid w:val="07FA0816"/>
    <w:rsid w:val="08020134"/>
    <w:rsid w:val="08024A69"/>
    <w:rsid w:val="08032CF7"/>
    <w:rsid w:val="08141144"/>
    <w:rsid w:val="08144FD7"/>
    <w:rsid w:val="08156254"/>
    <w:rsid w:val="081F30B1"/>
    <w:rsid w:val="08261F52"/>
    <w:rsid w:val="082D12C3"/>
    <w:rsid w:val="083000F8"/>
    <w:rsid w:val="08345D51"/>
    <w:rsid w:val="083B49A8"/>
    <w:rsid w:val="084008FF"/>
    <w:rsid w:val="08410F44"/>
    <w:rsid w:val="0847166C"/>
    <w:rsid w:val="0852260E"/>
    <w:rsid w:val="085249DB"/>
    <w:rsid w:val="08583037"/>
    <w:rsid w:val="08587665"/>
    <w:rsid w:val="08634B82"/>
    <w:rsid w:val="08655FD9"/>
    <w:rsid w:val="086635D8"/>
    <w:rsid w:val="0869623A"/>
    <w:rsid w:val="087A68AF"/>
    <w:rsid w:val="08844FF6"/>
    <w:rsid w:val="08860BBB"/>
    <w:rsid w:val="089040E4"/>
    <w:rsid w:val="089519AD"/>
    <w:rsid w:val="08982EB9"/>
    <w:rsid w:val="089F7EAE"/>
    <w:rsid w:val="08A233EB"/>
    <w:rsid w:val="08A54D99"/>
    <w:rsid w:val="08AD59EF"/>
    <w:rsid w:val="08B3670C"/>
    <w:rsid w:val="08BD6586"/>
    <w:rsid w:val="08C43471"/>
    <w:rsid w:val="08CB4018"/>
    <w:rsid w:val="08D31906"/>
    <w:rsid w:val="08D9530C"/>
    <w:rsid w:val="08DE0640"/>
    <w:rsid w:val="08E154F7"/>
    <w:rsid w:val="08E20A74"/>
    <w:rsid w:val="08E612E2"/>
    <w:rsid w:val="08E91891"/>
    <w:rsid w:val="08EA6BC3"/>
    <w:rsid w:val="08ED08C9"/>
    <w:rsid w:val="08F90480"/>
    <w:rsid w:val="08FA7CD2"/>
    <w:rsid w:val="08FB4D11"/>
    <w:rsid w:val="08FF310E"/>
    <w:rsid w:val="09022F66"/>
    <w:rsid w:val="090F7533"/>
    <w:rsid w:val="091153B4"/>
    <w:rsid w:val="09191EFF"/>
    <w:rsid w:val="09232307"/>
    <w:rsid w:val="092439DE"/>
    <w:rsid w:val="09273BB2"/>
    <w:rsid w:val="093B45C2"/>
    <w:rsid w:val="09407193"/>
    <w:rsid w:val="09486ED7"/>
    <w:rsid w:val="094F411D"/>
    <w:rsid w:val="094F42BD"/>
    <w:rsid w:val="09516567"/>
    <w:rsid w:val="09612054"/>
    <w:rsid w:val="0968455A"/>
    <w:rsid w:val="096B1B3E"/>
    <w:rsid w:val="096C097D"/>
    <w:rsid w:val="097013BE"/>
    <w:rsid w:val="09723964"/>
    <w:rsid w:val="09782B27"/>
    <w:rsid w:val="097A2016"/>
    <w:rsid w:val="09815AA0"/>
    <w:rsid w:val="09825C2E"/>
    <w:rsid w:val="0986701A"/>
    <w:rsid w:val="098C1B39"/>
    <w:rsid w:val="099736E1"/>
    <w:rsid w:val="09973E14"/>
    <w:rsid w:val="0998057E"/>
    <w:rsid w:val="099830C4"/>
    <w:rsid w:val="099A50DE"/>
    <w:rsid w:val="099B3052"/>
    <w:rsid w:val="09A15F28"/>
    <w:rsid w:val="09A712E3"/>
    <w:rsid w:val="09AC250E"/>
    <w:rsid w:val="09AC6D3D"/>
    <w:rsid w:val="09B554AF"/>
    <w:rsid w:val="09B61236"/>
    <w:rsid w:val="09B67F30"/>
    <w:rsid w:val="09BE29CD"/>
    <w:rsid w:val="09C57AF9"/>
    <w:rsid w:val="09CD0199"/>
    <w:rsid w:val="09CD2D46"/>
    <w:rsid w:val="09CD6D06"/>
    <w:rsid w:val="09CE26ED"/>
    <w:rsid w:val="09D37A01"/>
    <w:rsid w:val="09DB6AD2"/>
    <w:rsid w:val="09DC0C8E"/>
    <w:rsid w:val="09E43207"/>
    <w:rsid w:val="09EA0C98"/>
    <w:rsid w:val="09FB3C98"/>
    <w:rsid w:val="0A07229F"/>
    <w:rsid w:val="0A0A1357"/>
    <w:rsid w:val="0A0C1573"/>
    <w:rsid w:val="0A1977EC"/>
    <w:rsid w:val="0A264B9C"/>
    <w:rsid w:val="0A2C751F"/>
    <w:rsid w:val="0A2D5046"/>
    <w:rsid w:val="0A304C73"/>
    <w:rsid w:val="0A38092C"/>
    <w:rsid w:val="0A397811"/>
    <w:rsid w:val="0A3E25D7"/>
    <w:rsid w:val="0A4965B5"/>
    <w:rsid w:val="0A4C5C9D"/>
    <w:rsid w:val="0A4C5E14"/>
    <w:rsid w:val="0A4C7EC4"/>
    <w:rsid w:val="0A526C05"/>
    <w:rsid w:val="0A5B4750"/>
    <w:rsid w:val="0A5F3595"/>
    <w:rsid w:val="0A622F41"/>
    <w:rsid w:val="0A6619CE"/>
    <w:rsid w:val="0A6E5D8A"/>
    <w:rsid w:val="0A7415E7"/>
    <w:rsid w:val="0A7C6626"/>
    <w:rsid w:val="0A8F5D00"/>
    <w:rsid w:val="0A9652E1"/>
    <w:rsid w:val="0A9674CC"/>
    <w:rsid w:val="0A9830D0"/>
    <w:rsid w:val="0A9C7B20"/>
    <w:rsid w:val="0AA51080"/>
    <w:rsid w:val="0AAD24CE"/>
    <w:rsid w:val="0AC27FD5"/>
    <w:rsid w:val="0ACD365B"/>
    <w:rsid w:val="0ACD5079"/>
    <w:rsid w:val="0ACF3F26"/>
    <w:rsid w:val="0AD0752B"/>
    <w:rsid w:val="0AD60094"/>
    <w:rsid w:val="0ADD3CCF"/>
    <w:rsid w:val="0AE15723"/>
    <w:rsid w:val="0AEF6C55"/>
    <w:rsid w:val="0AF10B2A"/>
    <w:rsid w:val="0AF57460"/>
    <w:rsid w:val="0AF64AAC"/>
    <w:rsid w:val="0B0C0CA6"/>
    <w:rsid w:val="0B1126D0"/>
    <w:rsid w:val="0B18222F"/>
    <w:rsid w:val="0B19569F"/>
    <w:rsid w:val="0B1F0E32"/>
    <w:rsid w:val="0B1F0F74"/>
    <w:rsid w:val="0B2F670C"/>
    <w:rsid w:val="0B301B2A"/>
    <w:rsid w:val="0B391823"/>
    <w:rsid w:val="0B3D575C"/>
    <w:rsid w:val="0B413381"/>
    <w:rsid w:val="0B496B71"/>
    <w:rsid w:val="0B4B3C00"/>
    <w:rsid w:val="0B514297"/>
    <w:rsid w:val="0B5C290B"/>
    <w:rsid w:val="0B5F02B1"/>
    <w:rsid w:val="0B720954"/>
    <w:rsid w:val="0B7C40A9"/>
    <w:rsid w:val="0B866A2E"/>
    <w:rsid w:val="0B9469E8"/>
    <w:rsid w:val="0B9C4268"/>
    <w:rsid w:val="0BAD5E50"/>
    <w:rsid w:val="0BAF708A"/>
    <w:rsid w:val="0BB05F2E"/>
    <w:rsid w:val="0BBF21A9"/>
    <w:rsid w:val="0BC823BA"/>
    <w:rsid w:val="0BD53A21"/>
    <w:rsid w:val="0BD56058"/>
    <w:rsid w:val="0BE300B2"/>
    <w:rsid w:val="0BE32BC0"/>
    <w:rsid w:val="0BEF4CA9"/>
    <w:rsid w:val="0BFD5645"/>
    <w:rsid w:val="0C00517C"/>
    <w:rsid w:val="0C0369A6"/>
    <w:rsid w:val="0C0A1AE2"/>
    <w:rsid w:val="0C186DD5"/>
    <w:rsid w:val="0C1A35F5"/>
    <w:rsid w:val="0C1C053D"/>
    <w:rsid w:val="0C204075"/>
    <w:rsid w:val="0C2A43D0"/>
    <w:rsid w:val="0C3061FC"/>
    <w:rsid w:val="0C376DFB"/>
    <w:rsid w:val="0C3E37CD"/>
    <w:rsid w:val="0C475168"/>
    <w:rsid w:val="0C4F3999"/>
    <w:rsid w:val="0C5765E5"/>
    <w:rsid w:val="0C5E68E2"/>
    <w:rsid w:val="0C640078"/>
    <w:rsid w:val="0C6545C7"/>
    <w:rsid w:val="0C686809"/>
    <w:rsid w:val="0C6E0FB5"/>
    <w:rsid w:val="0C712EE4"/>
    <w:rsid w:val="0C751D51"/>
    <w:rsid w:val="0C804136"/>
    <w:rsid w:val="0C8A4249"/>
    <w:rsid w:val="0C9F76A0"/>
    <w:rsid w:val="0CA2595C"/>
    <w:rsid w:val="0CA57A5D"/>
    <w:rsid w:val="0CBC0FDF"/>
    <w:rsid w:val="0CC06645"/>
    <w:rsid w:val="0CCA71E5"/>
    <w:rsid w:val="0CD67280"/>
    <w:rsid w:val="0CD817B9"/>
    <w:rsid w:val="0CDA4929"/>
    <w:rsid w:val="0CDD2D53"/>
    <w:rsid w:val="0CE2480D"/>
    <w:rsid w:val="0CE91632"/>
    <w:rsid w:val="0CED409F"/>
    <w:rsid w:val="0CF9148A"/>
    <w:rsid w:val="0CFC0008"/>
    <w:rsid w:val="0CFD33F5"/>
    <w:rsid w:val="0D047DFC"/>
    <w:rsid w:val="0D0C53E6"/>
    <w:rsid w:val="0D16005D"/>
    <w:rsid w:val="0D161838"/>
    <w:rsid w:val="0D186E20"/>
    <w:rsid w:val="0D1D5845"/>
    <w:rsid w:val="0D2C3786"/>
    <w:rsid w:val="0D366956"/>
    <w:rsid w:val="0D3D7C96"/>
    <w:rsid w:val="0D4A5F0F"/>
    <w:rsid w:val="0D50086B"/>
    <w:rsid w:val="0D543195"/>
    <w:rsid w:val="0D6042DF"/>
    <w:rsid w:val="0D6327B2"/>
    <w:rsid w:val="0D6B6E05"/>
    <w:rsid w:val="0D6C1D4D"/>
    <w:rsid w:val="0D72754B"/>
    <w:rsid w:val="0D7659BC"/>
    <w:rsid w:val="0D771033"/>
    <w:rsid w:val="0D811A48"/>
    <w:rsid w:val="0D930938"/>
    <w:rsid w:val="0D95362E"/>
    <w:rsid w:val="0D9A6DE2"/>
    <w:rsid w:val="0D9F2404"/>
    <w:rsid w:val="0D9F41AB"/>
    <w:rsid w:val="0DA00B06"/>
    <w:rsid w:val="0DA41AC3"/>
    <w:rsid w:val="0DA4204A"/>
    <w:rsid w:val="0DAC17A5"/>
    <w:rsid w:val="0DB90FBD"/>
    <w:rsid w:val="0DC075F1"/>
    <w:rsid w:val="0DC67C8B"/>
    <w:rsid w:val="0DCD565F"/>
    <w:rsid w:val="0DCF1FD4"/>
    <w:rsid w:val="0DE03500"/>
    <w:rsid w:val="0DEC2769"/>
    <w:rsid w:val="0DEE3334"/>
    <w:rsid w:val="0DF02F5A"/>
    <w:rsid w:val="0DF27BC2"/>
    <w:rsid w:val="0DF54FD8"/>
    <w:rsid w:val="0DFE7425"/>
    <w:rsid w:val="0E024E89"/>
    <w:rsid w:val="0E025D26"/>
    <w:rsid w:val="0E027E44"/>
    <w:rsid w:val="0E084076"/>
    <w:rsid w:val="0E1355A4"/>
    <w:rsid w:val="0E272FF5"/>
    <w:rsid w:val="0E274886"/>
    <w:rsid w:val="0E2A1447"/>
    <w:rsid w:val="0E2A413A"/>
    <w:rsid w:val="0E336FD1"/>
    <w:rsid w:val="0E371D50"/>
    <w:rsid w:val="0E384AA4"/>
    <w:rsid w:val="0E410A9C"/>
    <w:rsid w:val="0E654EFC"/>
    <w:rsid w:val="0E6624D1"/>
    <w:rsid w:val="0E702BB1"/>
    <w:rsid w:val="0E77482B"/>
    <w:rsid w:val="0E7831F5"/>
    <w:rsid w:val="0E7D1D9C"/>
    <w:rsid w:val="0E7F2142"/>
    <w:rsid w:val="0E8872EF"/>
    <w:rsid w:val="0E8B4384"/>
    <w:rsid w:val="0E8C2737"/>
    <w:rsid w:val="0E8D5817"/>
    <w:rsid w:val="0E9002FB"/>
    <w:rsid w:val="0E943C10"/>
    <w:rsid w:val="0E981627"/>
    <w:rsid w:val="0E982619"/>
    <w:rsid w:val="0E9C485F"/>
    <w:rsid w:val="0E9E740E"/>
    <w:rsid w:val="0EA63FB9"/>
    <w:rsid w:val="0EAA2176"/>
    <w:rsid w:val="0EAA4F55"/>
    <w:rsid w:val="0EB11F05"/>
    <w:rsid w:val="0EB22522"/>
    <w:rsid w:val="0EBE296F"/>
    <w:rsid w:val="0EC20257"/>
    <w:rsid w:val="0EE3050D"/>
    <w:rsid w:val="0EE94C89"/>
    <w:rsid w:val="0EED3DA9"/>
    <w:rsid w:val="0EF00ED3"/>
    <w:rsid w:val="0EF158F2"/>
    <w:rsid w:val="0EF31B42"/>
    <w:rsid w:val="0EF62BE4"/>
    <w:rsid w:val="0EF85ABB"/>
    <w:rsid w:val="0EF92D78"/>
    <w:rsid w:val="0EFF28DA"/>
    <w:rsid w:val="0F000941"/>
    <w:rsid w:val="0F12065F"/>
    <w:rsid w:val="0F1238B5"/>
    <w:rsid w:val="0F1312E8"/>
    <w:rsid w:val="0F1E2CCB"/>
    <w:rsid w:val="0F21196A"/>
    <w:rsid w:val="0F256C33"/>
    <w:rsid w:val="0F2D7FC5"/>
    <w:rsid w:val="0F302661"/>
    <w:rsid w:val="0F366DE8"/>
    <w:rsid w:val="0F42176A"/>
    <w:rsid w:val="0F470D89"/>
    <w:rsid w:val="0F492922"/>
    <w:rsid w:val="0F4F2AA6"/>
    <w:rsid w:val="0F5441BB"/>
    <w:rsid w:val="0F5635CF"/>
    <w:rsid w:val="0F611119"/>
    <w:rsid w:val="0F624EB2"/>
    <w:rsid w:val="0F62509F"/>
    <w:rsid w:val="0F6B6D3C"/>
    <w:rsid w:val="0F710342"/>
    <w:rsid w:val="0F7E456A"/>
    <w:rsid w:val="0F8370F0"/>
    <w:rsid w:val="0F864220"/>
    <w:rsid w:val="0F872B92"/>
    <w:rsid w:val="0F887C45"/>
    <w:rsid w:val="0F8A2DEC"/>
    <w:rsid w:val="0F9022FF"/>
    <w:rsid w:val="0F930C8B"/>
    <w:rsid w:val="0F9869DA"/>
    <w:rsid w:val="0F9E742D"/>
    <w:rsid w:val="0FB415E6"/>
    <w:rsid w:val="0FC4531D"/>
    <w:rsid w:val="0FD0460B"/>
    <w:rsid w:val="0FD055D6"/>
    <w:rsid w:val="0FD31E61"/>
    <w:rsid w:val="0FD46E1C"/>
    <w:rsid w:val="0FD5177A"/>
    <w:rsid w:val="0FD55D9F"/>
    <w:rsid w:val="0FD73768"/>
    <w:rsid w:val="0FDA7CFD"/>
    <w:rsid w:val="0FED7751"/>
    <w:rsid w:val="0FF4734C"/>
    <w:rsid w:val="0FFA29D2"/>
    <w:rsid w:val="0FFC202D"/>
    <w:rsid w:val="1002041D"/>
    <w:rsid w:val="10087E85"/>
    <w:rsid w:val="100C3B9F"/>
    <w:rsid w:val="10111F3F"/>
    <w:rsid w:val="101B4BB2"/>
    <w:rsid w:val="101C2D44"/>
    <w:rsid w:val="101D62EF"/>
    <w:rsid w:val="101E3DAE"/>
    <w:rsid w:val="10207243"/>
    <w:rsid w:val="10215121"/>
    <w:rsid w:val="10256062"/>
    <w:rsid w:val="102962AF"/>
    <w:rsid w:val="102B6241"/>
    <w:rsid w:val="10326002"/>
    <w:rsid w:val="104142FE"/>
    <w:rsid w:val="104A6DFD"/>
    <w:rsid w:val="105C0F69"/>
    <w:rsid w:val="106468B9"/>
    <w:rsid w:val="10694D1C"/>
    <w:rsid w:val="107855C8"/>
    <w:rsid w:val="107D44CD"/>
    <w:rsid w:val="108C1A1F"/>
    <w:rsid w:val="10A230D0"/>
    <w:rsid w:val="10A53E50"/>
    <w:rsid w:val="10D17073"/>
    <w:rsid w:val="10D658FE"/>
    <w:rsid w:val="10DC65A3"/>
    <w:rsid w:val="10E13985"/>
    <w:rsid w:val="10ED7131"/>
    <w:rsid w:val="10F275B7"/>
    <w:rsid w:val="10F84056"/>
    <w:rsid w:val="10FF1B94"/>
    <w:rsid w:val="110A1274"/>
    <w:rsid w:val="1110186D"/>
    <w:rsid w:val="111D0F60"/>
    <w:rsid w:val="11214C7B"/>
    <w:rsid w:val="112659AE"/>
    <w:rsid w:val="11280FC5"/>
    <w:rsid w:val="112847B9"/>
    <w:rsid w:val="11317CA3"/>
    <w:rsid w:val="11326028"/>
    <w:rsid w:val="11374A61"/>
    <w:rsid w:val="114428A3"/>
    <w:rsid w:val="11496C09"/>
    <w:rsid w:val="1155683E"/>
    <w:rsid w:val="1157799E"/>
    <w:rsid w:val="115C3CFE"/>
    <w:rsid w:val="11657F8A"/>
    <w:rsid w:val="116E4D2D"/>
    <w:rsid w:val="1173012A"/>
    <w:rsid w:val="117968ED"/>
    <w:rsid w:val="118015A5"/>
    <w:rsid w:val="1189484A"/>
    <w:rsid w:val="11990174"/>
    <w:rsid w:val="11A073B9"/>
    <w:rsid w:val="11AC0F46"/>
    <w:rsid w:val="11BB03D1"/>
    <w:rsid w:val="11BC2AE2"/>
    <w:rsid w:val="11C32C62"/>
    <w:rsid w:val="11CC15E8"/>
    <w:rsid w:val="11CC3396"/>
    <w:rsid w:val="11D566EF"/>
    <w:rsid w:val="11DA5A71"/>
    <w:rsid w:val="11E06DEF"/>
    <w:rsid w:val="11E50F51"/>
    <w:rsid w:val="11F34F17"/>
    <w:rsid w:val="1202500A"/>
    <w:rsid w:val="12082001"/>
    <w:rsid w:val="12086339"/>
    <w:rsid w:val="120D40DA"/>
    <w:rsid w:val="12150B26"/>
    <w:rsid w:val="121C2EA0"/>
    <w:rsid w:val="121C431D"/>
    <w:rsid w:val="122E282B"/>
    <w:rsid w:val="123179E8"/>
    <w:rsid w:val="123B4095"/>
    <w:rsid w:val="123C209F"/>
    <w:rsid w:val="12426330"/>
    <w:rsid w:val="124F5BF2"/>
    <w:rsid w:val="12524E17"/>
    <w:rsid w:val="125D0E29"/>
    <w:rsid w:val="125E6D90"/>
    <w:rsid w:val="125E7500"/>
    <w:rsid w:val="1263045E"/>
    <w:rsid w:val="1275586F"/>
    <w:rsid w:val="127B3147"/>
    <w:rsid w:val="12877679"/>
    <w:rsid w:val="128E47CA"/>
    <w:rsid w:val="12BE0D17"/>
    <w:rsid w:val="12D33A9A"/>
    <w:rsid w:val="12DD78C3"/>
    <w:rsid w:val="12ED3ED2"/>
    <w:rsid w:val="12ED414D"/>
    <w:rsid w:val="12F0502E"/>
    <w:rsid w:val="12F63398"/>
    <w:rsid w:val="12FB4929"/>
    <w:rsid w:val="12FD49AA"/>
    <w:rsid w:val="13015FC2"/>
    <w:rsid w:val="13180F89"/>
    <w:rsid w:val="131D56A4"/>
    <w:rsid w:val="131E37BA"/>
    <w:rsid w:val="132F03A4"/>
    <w:rsid w:val="13387E13"/>
    <w:rsid w:val="13431A4F"/>
    <w:rsid w:val="13433B2C"/>
    <w:rsid w:val="13446A22"/>
    <w:rsid w:val="134C60AF"/>
    <w:rsid w:val="13520775"/>
    <w:rsid w:val="135E1C2D"/>
    <w:rsid w:val="135E549A"/>
    <w:rsid w:val="136066FF"/>
    <w:rsid w:val="13672A13"/>
    <w:rsid w:val="136C6BDF"/>
    <w:rsid w:val="136D385D"/>
    <w:rsid w:val="1374267F"/>
    <w:rsid w:val="137476CE"/>
    <w:rsid w:val="1379100D"/>
    <w:rsid w:val="137F1066"/>
    <w:rsid w:val="1384217A"/>
    <w:rsid w:val="138A175B"/>
    <w:rsid w:val="1391159B"/>
    <w:rsid w:val="1391316A"/>
    <w:rsid w:val="13915D72"/>
    <w:rsid w:val="13926231"/>
    <w:rsid w:val="13981879"/>
    <w:rsid w:val="139C13E5"/>
    <w:rsid w:val="13A554EB"/>
    <w:rsid w:val="13B41A13"/>
    <w:rsid w:val="13B7528C"/>
    <w:rsid w:val="13B827F1"/>
    <w:rsid w:val="13BE59BA"/>
    <w:rsid w:val="13C712EB"/>
    <w:rsid w:val="13CA32A5"/>
    <w:rsid w:val="13CC397B"/>
    <w:rsid w:val="13DB5AB5"/>
    <w:rsid w:val="13DE0A72"/>
    <w:rsid w:val="13DE7BF1"/>
    <w:rsid w:val="13EA2123"/>
    <w:rsid w:val="13F41DC8"/>
    <w:rsid w:val="13F42133"/>
    <w:rsid w:val="13FB3295"/>
    <w:rsid w:val="13FB35C9"/>
    <w:rsid w:val="13FF3EF7"/>
    <w:rsid w:val="14023103"/>
    <w:rsid w:val="140961E4"/>
    <w:rsid w:val="140F477C"/>
    <w:rsid w:val="140F7DA7"/>
    <w:rsid w:val="1414465A"/>
    <w:rsid w:val="14187EE0"/>
    <w:rsid w:val="142B0AE4"/>
    <w:rsid w:val="144813FA"/>
    <w:rsid w:val="14490FE8"/>
    <w:rsid w:val="14581214"/>
    <w:rsid w:val="1461426A"/>
    <w:rsid w:val="146143A3"/>
    <w:rsid w:val="146769F0"/>
    <w:rsid w:val="14713A7A"/>
    <w:rsid w:val="14804F24"/>
    <w:rsid w:val="148104BD"/>
    <w:rsid w:val="148F4197"/>
    <w:rsid w:val="14913D0A"/>
    <w:rsid w:val="14920A7E"/>
    <w:rsid w:val="14933EE7"/>
    <w:rsid w:val="149B4248"/>
    <w:rsid w:val="149E65E1"/>
    <w:rsid w:val="149F4D92"/>
    <w:rsid w:val="14A420FD"/>
    <w:rsid w:val="14AF0127"/>
    <w:rsid w:val="14B1341A"/>
    <w:rsid w:val="14B7657F"/>
    <w:rsid w:val="14BF1AEC"/>
    <w:rsid w:val="14D44255"/>
    <w:rsid w:val="14DF1632"/>
    <w:rsid w:val="14E45904"/>
    <w:rsid w:val="14E97D67"/>
    <w:rsid w:val="14EC1C59"/>
    <w:rsid w:val="14EC24D9"/>
    <w:rsid w:val="14F011CA"/>
    <w:rsid w:val="14F94CC0"/>
    <w:rsid w:val="14FD3553"/>
    <w:rsid w:val="150A6F54"/>
    <w:rsid w:val="15123475"/>
    <w:rsid w:val="15150AA8"/>
    <w:rsid w:val="151C6E5F"/>
    <w:rsid w:val="152359AD"/>
    <w:rsid w:val="152E2E60"/>
    <w:rsid w:val="15301815"/>
    <w:rsid w:val="15437887"/>
    <w:rsid w:val="15472EB5"/>
    <w:rsid w:val="154E7DC4"/>
    <w:rsid w:val="154F1D37"/>
    <w:rsid w:val="155030AC"/>
    <w:rsid w:val="15520F4C"/>
    <w:rsid w:val="155A29E2"/>
    <w:rsid w:val="15610F03"/>
    <w:rsid w:val="15642B3C"/>
    <w:rsid w:val="15673B02"/>
    <w:rsid w:val="156F2530"/>
    <w:rsid w:val="15765806"/>
    <w:rsid w:val="157B1387"/>
    <w:rsid w:val="157F142D"/>
    <w:rsid w:val="157F52EF"/>
    <w:rsid w:val="15836462"/>
    <w:rsid w:val="158747D0"/>
    <w:rsid w:val="158800BE"/>
    <w:rsid w:val="15886692"/>
    <w:rsid w:val="15890BC6"/>
    <w:rsid w:val="158F12AA"/>
    <w:rsid w:val="15982206"/>
    <w:rsid w:val="15997A33"/>
    <w:rsid w:val="159C2C1F"/>
    <w:rsid w:val="159F4B1E"/>
    <w:rsid w:val="15A06322"/>
    <w:rsid w:val="15A22D5D"/>
    <w:rsid w:val="15A57D2A"/>
    <w:rsid w:val="15B43662"/>
    <w:rsid w:val="15B9644E"/>
    <w:rsid w:val="15BF4DD9"/>
    <w:rsid w:val="15C27CB6"/>
    <w:rsid w:val="15C63980"/>
    <w:rsid w:val="15CE05F2"/>
    <w:rsid w:val="15D65000"/>
    <w:rsid w:val="15DA4676"/>
    <w:rsid w:val="15DC2D0B"/>
    <w:rsid w:val="15E1262B"/>
    <w:rsid w:val="15E93209"/>
    <w:rsid w:val="15EA7CB0"/>
    <w:rsid w:val="15EE0C6D"/>
    <w:rsid w:val="15F32497"/>
    <w:rsid w:val="15FE5845"/>
    <w:rsid w:val="160F5BBE"/>
    <w:rsid w:val="16102B6C"/>
    <w:rsid w:val="16135A37"/>
    <w:rsid w:val="16146E06"/>
    <w:rsid w:val="16156C65"/>
    <w:rsid w:val="16175EB9"/>
    <w:rsid w:val="16185A03"/>
    <w:rsid w:val="16341CFD"/>
    <w:rsid w:val="16481B85"/>
    <w:rsid w:val="16517016"/>
    <w:rsid w:val="16571DC8"/>
    <w:rsid w:val="16693416"/>
    <w:rsid w:val="16766311"/>
    <w:rsid w:val="1679775E"/>
    <w:rsid w:val="167D15EC"/>
    <w:rsid w:val="16833A6F"/>
    <w:rsid w:val="16842491"/>
    <w:rsid w:val="1684623E"/>
    <w:rsid w:val="168C1E9C"/>
    <w:rsid w:val="16900E36"/>
    <w:rsid w:val="16927414"/>
    <w:rsid w:val="1694136E"/>
    <w:rsid w:val="169413B5"/>
    <w:rsid w:val="169B3314"/>
    <w:rsid w:val="16A30B6E"/>
    <w:rsid w:val="16AC30DF"/>
    <w:rsid w:val="16B20DAC"/>
    <w:rsid w:val="16BC0170"/>
    <w:rsid w:val="16BE3014"/>
    <w:rsid w:val="16BF14F6"/>
    <w:rsid w:val="16C805D0"/>
    <w:rsid w:val="16CA07EC"/>
    <w:rsid w:val="16D2144F"/>
    <w:rsid w:val="16D26B7A"/>
    <w:rsid w:val="16D831AB"/>
    <w:rsid w:val="16DB11C5"/>
    <w:rsid w:val="16DD4BF0"/>
    <w:rsid w:val="16E0654E"/>
    <w:rsid w:val="16E11692"/>
    <w:rsid w:val="16E30568"/>
    <w:rsid w:val="16E53A5F"/>
    <w:rsid w:val="16EA17B8"/>
    <w:rsid w:val="16F0172E"/>
    <w:rsid w:val="16F07E98"/>
    <w:rsid w:val="16F34BAC"/>
    <w:rsid w:val="16F74E2A"/>
    <w:rsid w:val="170222AE"/>
    <w:rsid w:val="17075397"/>
    <w:rsid w:val="17085D94"/>
    <w:rsid w:val="17174FC4"/>
    <w:rsid w:val="17195D16"/>
    <w:rsid w:val="171E7323"/>
    <w:rsid w:val="17215D5D"/>
    <w:rsid w:val="17223FB8"/>
    <w:rsid w:val="172A5607"/>
    <w:rsid w:val="173105C7"/>
    <w:rsid w:val="1733774A"/>
    <w:rsid w:val="17444B5E"/>
    <w:rsid w:val="17465999"/>
    <w:rsid w:val="17616948"/>
    <w:rsid w:val="17656C4D"/>
    <w:rsid w:val="17727A04"/>
    <w:rsid w:val="177703A5"/>
    <w:rsid w:val="177B79B8"/>
    <w:rsid w:val="17880471"/>
    <w:rsid w:val="179023A7"/>
    <w:rsid w:val="17963071"/>
    <w:rsid w:val="17981331"/>
    <w:rsid w:val="179974E4"/>
    <w:rsid w:val="179B3E3E"/>
    <w:rsid w:val="179B3E73"/>
    <w:rsid w:val="179D1145"/>
    <w:rsid w:val="17AB1339"/>
    <w:rsid w:val="17AD5A18"/>
    <w:rsid w:val="17B46DA6"/>
    <w:rsid w:val="17B86896"/>
    <w:rsid w:val="17CE7E68"/>
    <w:rsid w:val="17D524EB"/>
    <w:rsid w:val="17D925E9"/>
    <w:rsid w:val="17ED2F79"/>
    <w:rsid w:val="17F35DD9"/>
    <w:rsid w:val="17F95A7B"/>
    <w:rsid w:val="17FC1091"/>
    <w:rsid w:val="17FD1372"/>
    <w:rsid w:val="18001FEB"/>
    <w:rsid w:val="18093D0F"/>
    <w:rsid w:val="180D2B4D"/>
    <w:rsid w:val="181008F8"/>
    <w:rsid w:val="18124544"/>
    <w:rsid w:val="18194A65"/>
    <w:rsid w:val="181B63E6"/>
    <w:rsid w:val="182A4EC1"/>
    <w:rsid w:val="182D0AFE"/>
    <w:rsid w:val="18386280"/>
    <w:rsid w:val="183A54FD"/>
    <w:rsid w:val="184878B4"/>
    <w:rsid w:val="184F6E1C"/>
    <w:rsid w:val="1859722A"/>
    <w:rsid w:val="1861202D"/>
    <w:rsid w:val="187A4A52"/>
    <w:rsid w:val="187E08EA"/>
    <w:rsid w:val="18822A00"/>
    <w:rsid w:val="188744BB"/>
    <w:rsid w:val="18891FE1"/>
    <w:rsid w:val="188977EB"/>
    <w:rsid w:val="188E3427"/>
    <w:rsid w:val="18901A43"/>
    <w:rsid w:val="18922B1B"/>
    <w:rsid w:val="1892494E"/>
    <w:rsid w:val="189340A4"/>
    <w:rsid w:val="189B0D7D"/>
    <w:rsid w:val="18AB3315"/>
    <w:rsid w:val="18AD3F21"/>
    <w:rsid w:val="18AF5078"/>
    <w:rsid w:val="18B03A11"/>
    <w:rsid w:val="18B14413"/>
    <w:rsid w:val="18C005ED"/>
    <w:rsid w:val="18C06ED6"/>
    <w:rsid w:val="18C164EC"/>
    <w:rsid w:val="18C204A0"/>
    <w:rsid w:val="18D45952"/>
    <w:rsid w:val="18E34134"/>
    <w:rsid w:val="18E51F2B"/>
    <w:rsid w:val="18E86AB3"/>
    <w:rsid w:val="18E87099"/>
    <w:rsid w:val="18E92A80"/>
    <w:rsid w:val="18ED07C2"/>
    <w:rsid w:val="18ED431E"/>
    <w:rsid w:val="18F953B8"/>
    <w:rsid w:val="19002AD9"/>
    <w:rsid w:val="19081158"/>
    <w:rsid w:val="1909797B"/>
    <w:rsid w:val="19176CCB"/>
    <w:rsid w:val="191B4DCF"/>
    <w:rsid w:val="19243CD2"/>
    <w:rsid w:val="192D032A"/>
    <w:rsid w:val="19374580"/>
    <w:rsid w:val="193C52A5"/>
    <w:rsid w:val="19404081"/>
    <w:rsid w:val="19407327"/>
    <w:rsid w:val="195720DF"/>
    <w:rsid w:val="195F404F"/>
    <w:rsid w:val="19657016"/>
    <w:rsid w:val="19662A69"/>
    <w:rsid w:val="19721A8F"/>
    <w:rsid w:val="1977452F"/>
    <w:rsid w:val="197817DF"/>
    <w:rsid w:val="197921FA"/>
    <w:rsid w:val="198B069D"/>
    <w:rsid w:val="198B1421"/>
    <w:rsid w:val="19953277"/>
    <w:rsid w:val="199E1D2C"/>
    <w:rsid w:val="199F25F1"/>
    <w:rsid w:val="19A06A37"/>
    <w:rsid w:val="19AB606B"/>
    <w:rsid w:val="19AF2A09"/>
    <w:rsid w:val="19B269D6"/>
    <w:rsid w:val="19B26D58"/>
    <w:rsid w:val="19CA465F"/>
    <w:rsid w:val="19CA66D5"/>
    <w:rsid w:val="19D2179B"/>
    <w:rsid w:val="19DA36AB"/>
    <w:rsid w:val="19DE1AAB"/>
    <w:rsid w:val="19DE4BCB"/>
    <w:rsid w:val="19DF509A"/>
    <w:rsid w:val="19DF52A1"/>
    <w:rsid w:val="19E82EA9"/>
    <w:rsid w:val="19EC4B3A"/>
    <w:rsid w:val="19F97867"/>
    <w:rsid w:val="1A04207E"/>
    <w:rsid w:val="1A045DC3"/>
    <w:rsid w:val="1A07140F"/>
    <w:rsid w:val="1A137FDF"/>
    <w:rsid w:val="1A2473A4"/>
    <w:rsid w:val="1A345D8A"/>
    <w:rsid w:val="1A374821"/>
    <w:rsid w:val="1A383CBF"/>
    <w:rsid w:val="1A3E6E2D"/>
    <w:rsid w:val="1A4A6A80"/>
    <w:rsid w:val="1A4B1C44"/>
    <w:rsid w:val="1A5056E4"/>
    <w:rsid w:val="1A537937"/>
    <w:rsid w:val="1A546ADC"/>
    <w:rsid w:val="1A5E69E7"/>
    <w:rsid w:val="1A5F1A81"/>
    <w:rsid w:val="1A6159A9"/>
    <w:rsid w:val="1A684881"/>
    <w:rsid w:val="1A6C1BBA"/>
    <w:rsid w:val="1A79135B"/>
    <w:rsid w:val="1A7C183E"/>
    <w:rsid w:val="1A7C336C"/>
    <w:rsid w:val="1A7E7B4E"/>
    <w:rsid w:val="1A802B39"/>
    <w:rsid w:val="1A8446CF"/>
    <w:rsid w:val="1A845156"/>
    <w:rsid w:val="1A9371B4"/>
    <w:rsid w:val="1A964030"/>
    <w:rsid w:val="1A9E4AB4"/>
    <w:rsid w:val="1AA66FBB"/>
    <w:rsid w:val="1AB3614F"/>
    <w:rsid w:val="1ABF23C4"/>
    <w:rsid w:val="1AC07A12"/>
    <w:rsid w:val="1AC10469"/>
    <w:rsid w:val="1AC94917"/>
    <w:rsid w:val="1AD4620A"/>
    <w:rsid w:val="1AD81199"/>
    <w:rsid w:val="1AD851E1"/>
    <w:rsid w:val="1ADA79A5"/>
    <w:rsid w:val="1ADB5D79"/>
    <w:rsid w:val="1ADC19D0"/>
    <w:rsid w:val="1ADC3950"/>
    <w:rsid w:val="1AE749EA"/>
    <w:rsid w:val="1AEB589C"/>
    <w:rsid w:val="1AFF1051"/>
    <w:rsid w:val="1B12552F"/>
    <w:rsid w:val="1B2738A4"/>
    <w:rsid w:val="1B384051"/>
    <w:rsid w:val="1B3A5C69"/>
    <w:rsid w:val="1B430B6D"/>
    <w:rsid w:val="1B4319E9"/>
    <w:rsid w:val="1B474FE8"/>
    <w:rsid w:val="1B4D0AF2"/>
    <w:rsid w:val="1B5A6D7F"/>
    <w:rsid w:val="1B5F4441"/>
    <w:rsid w:val="1B6100ED"/>
    <w:rsid w:val="1B612E5D"/>
    <w:rsid w:val="1B6C6DFB"/>
    <w:rsid w:val="1B722C0B"/>
    <w:rsid w:val="1B751AA3"/>
    <w:rsid w:val="1B756DB1"/>
    <w:rsid w:val="1B7F7424"/>
    <w:rsid w:val="1BAA0BEC"/>
    <w:rsid w:val="1BB02B21"/>
    <w:rsid w:val="1BB67BD4"/>
    <w:rsid w:val="1BCB4E03"/>
    <w:rsid w:val="1BD150FD"/>
    <w:rsid w:val="1BD35868"/>
    <w:rsid w:val="1BD70DD5"/>
    <w:rsid w:val="1BD820E3"/>
    <w:rsid w:val="1BD9327F"/>
    <w:rsid w:val="1BE32C15"/>
    <w:rsid w:val="1BE340FE"/>
    <w:rsid w:val="1BEA6EC0"/>
    <w:rsid w:val="1BF108D7"/>
    <w:rsid w:val="1C015C32"/>
    <w:rsid w:val="1C045344"/>
    <w:rsid w:val="1C056400"/>
    <w:rsid w:val="1C0721EF"/>
    <w:rsid w:val="1C0E2307"/>
    <w:rsid w:val="1C0F4455"/>
    <w:rsid w:val="1C1D7211"/>
    <w:rsid w:val="1C27559D"/>
    <w:rsid w:val="1C2C458D"/>
    <w:rsid w:val="1C2D7E0E"/>
    <w:rsid w:val="1C303B4B"/>
    <w:rsid w:val="1C305C4F"/>
    <w:rsid w:val="1C340B88"/>
    <w:rsid w:val="1C36222F"/>
    <w:rsid w:val="1C3E1651"/>
    <w:rsid w:val="1C4117C8"/>
    <w:rsid w:val="1C4151F1"/>
    <w:rsid w:val="1C521D6E"/>
    <w:rsid w:val="1C56037C"/>
    <w:rsid w:val="1C5635E9"/>
    <w:rsid w:val="1C601B68"/>
    <w:rsid w:val="1C6A7CC6"/>
    <w:rsid w:val="1C71396A"/>
    <w:rsid w:val="1C7865F4"/>
    <w:rsid w:val="1C802A3B"/>
    <w:rsid w:val="1C8431EB"/>
    <w:rsid w:val="1C85693C"/>
    <w:rsid w:val="1C862F82"/>
    <w:rsid w:val="1C9C0C70"/>
    <w:rsid w:val="1C9E76A5"/>
    <w:rsid w:val="1C9E7A34"/>
    <w:rsid w:val="1CA17FB7"/>
    <w:rsid w:val="1CA6642C"/>
    <w:rsid w:val="1CAB4996"/>
    <w:rsid w:val="1CAF639D"/>
    <w:rsid w:val="1CB91376"/>
    <w:rsid w:val="1CC06FAA"/>
    <w:rsid w:val="1CC601F8"/>
    <w:rsid w:val="1CCB2BC8"/>
    <w:rsid w:val="1CCE1269"/>
    <w:rsid w:val="1CD039BD"/>
    <w:rsid w:val="1CD33722"/>
    <w:rsid w:val="1CD557F5"/>
    <w:rsid w:val="1CDF66C2"/>
    <w:rsid w:val="1CE00EEA"/>
    <w:rsid w:val="1CE036BC"/>
    <w:rsid w:val="1CE03E00"/>
    <w:rsid w:val="1CE125DD"/>
    <w:rsid w:val="1CE75C04"/>
    <w:rsid w:val="1CF86B6F"/>
    <w:rsid w:val="1CFA4C43"/>
    <w:rsid w:val="1D08188D"/>
    <w:rsid w:val="1D140CA6"/>
    <w:rsid w:val="1D17645C"/>
    <w:rsid w:val="1D1E6D51"/>
    <w:rsid w:val="1D291FA4"/>
    <w:rsid w:val="1D2A3F17"/>
    <w:rsid w:val="1D32189D"/>
    <w:rsid w:val="1D331712"/>
    <w:rsid w:val="1D484444"/>
    <w:rsid w:val="1D4E538A"/>
    <w:rsid w:val="1D5E1C8E"/>
    <w:rsid w:val="1D5F1562"/>
    <w:rsid w:val="1D711EF6"/>
    <w:rsid w:val="1D7C075C"/>
    <w:rsid w:val="1D8566B6"/>
    <w:rsid w:val="1D873BD4"/>
    <w:rsid w:val="1D8A2A83"/>
    <w:rsid w:val="1D910B01"/>
    <w:rsid w:val="1D9831C8"/>
    <w:rsid w:val="1D99003E"/>
    <w:rsid w:val="1D9B6DB3"/>
    <w:rsid w:val="1D9C56BE"/>
    <w:rsid w:val="1DA916FD"/>
    <w:rsid w:val="1DAE1BE1"/>
    <w:rsid w:val="1DB418AE"/>
    <w:rsid w:val="1DB54E57"/>
    <w:rsid w:val="1DD67C67"/>
    <w:rsid w:val="1DE21808"/>
    <w:rsid w:val="1DE56E67"/>
    <w:rsid w:val="1DED0F10"/>
    <w:rsid w:val="1DF66FA4"/>
    <w:rsid w:val="1E067C30"/>
    <w:rsid w:val="1E0C5F9A"/>
    <w:rsid w:val="1E1010DF"/>
    <w:rsid w:val="1E130D8D"/>
    <w:rsid w:val="1E1F1B0C"/>
    <w:rsid w:val="1E2A36E0"/>
    <w:rsid w:val="1E2C09BA"/>
    <w:rsid w:val="1E304CF4"/>
    <w:rsid w:val="1E37428D"/>
    <w:rsid w:val="1E396257"/>
    <w:rsid w:val="1E426EBA"/>
    <w:rsid w:val="1E431586"/>
    <w:rsid w:val="1E5266B0"/>
    <w:rsid w:val="1E5949FF"/>
    <w:rsid w:val="1E5F57EF"/>
    <w:rsid w:val="1E645A95"/>
    <w:rsid w:val="1E6844DD"/>
    <w:rsid w:val="1E6C5B5A"/>
    <w:rsid w:val="1E6F1C79"/>
    <w:rsid w:val="1E75089B"/>
    <w:rsid w:val="1E7E7ACB"/>
    <w:rsid w:val="1E7F46AC"/>
    <w:rsid w:val="1E8A62F6"/>
    <w:rsid w:val="1E8C294B"/>
    <w:rsid w:val="1E9A6F10"/>
    <w:rsid w:val="1E9B6A6C"/>
    <w:rsid w:val="1EA75F71"/>
    <w:rsid w:val="1EAD5612"/>
    <w:rsid w:val="1EAE7FBE"/>
    <w:rsid w:val="1EB2002F"/>
    <w:rsid w:val="1EB311F8"/>
    <w:rsid w:val="1EB66B60"/>
    <w:rsid w:val="1EB94E2C"/>
    <w:rsid w:val="1EBB7AB9"/>
    <w:rsid w:val="1EC024D4"/>
    <w:rsid w:val="1ECE699F"/>
    <w:rsid w:val="1ED815CC"/>
    <w:rsid w:val="1EE2406C"/>
    <w:rsid w:val="1EEB272A"/>
    <w:rsid w:val="1EF02DBA"/>
    <w:rsid w:val="1EFC630A"/>
    <w:rsid w:val="1EFF1794"/>
    <w:rsid w:val="1F0609E2"/>
    <w:rsid w:val="1F0A121C"/>
    <w:rsid w:val="1F0B3131"/>
    <w:rsid w:val="1F0B6D8C"/>
    <w:rsid w:val="1F0E1F13"/>
    <w:rsid w:val="1F1F251B"/>
    <w:rsid w:val="1F252A0B"/>
    <w:rsid w:val="1F2D7B6A"/>
    <w:rsid w:val="1F3031B6"/>
    <w:rsid w:val="1F31582B"/>
    <w:rsid w:val="1F3527C5"/>
    <w:rsid w:val="1F38206B"/>
    <w:rsid w:val="1F3C45CD"/>
    <w:rsid w:val="1F494278"/>
    <w:rsid w:val="1F5C7A0F"/>
    <w:rsid w:val="1F6376CF"/>
    <w:rsid w:val="1F707A57"/>
    <w:rsid w:val="1F742488"/>
    <w:rsid w:val="1F782608"/>
    <w:rsid w:val="1F812EE6"/>
    <w:rsid w:val="1F824067"/>
    <w:rsid w:val="1F8C2C22"/>
    <w:rsid w:val="1F8C2C29"/>
    <w:rsid w:val="1F930A9A"/>
    <w:rsid w:val="1F95570F"/>
    <w:rsid w:val="1F9918F2"/>
    <w:rsid w:val="1F9A0F77"/>
    <w:rsid w:val="1F9C3F12"/>
    <w:rsid w:val="1F9D6372"/>
    <w:rsid w:val="1FA0658E"/>
    <w:rsid w:val="1FA63478"/>
    <w:rsid w:val="1FA809B8"/>
    <w:rsid w:val="1FA958D3"/>
    <w:rsid w:val="1FB06288"/>
    <w:rsid w:val="1FBD2086"/>
    <w:rsid w:val="1FC214A6"/>
    <w:rsid w:val="1FC251FC"/>
    <w:rsid w:val="1FC26A0A"/>
    <w:rsid w:val="1FCB5E26"/>
    <w:rsid w:val="1FCC6BF3"/>
    <w:rsid w:val="1FE00127"/>
    <w:rsid w:val="1FED690A"/>
    <w:rsid w:val="1FF05D4C"/>
    <w:rsid w:val="1FF676DA"/>
    <w:rsid w:val="1FF82C18"/>
    <w:rsid w:val="1FFA4EF4"/>
    <w:rsid w:val="20012DA5"/>
    <w:rsid w:val="20050AA2"/>
    <w:rsid w:val="20140859"/>
    <w:rsid w:val="20182410"/>
    <w:rsid w:val="2026783D"/>
    <w:rsid w:val="202A19A5"/>
    <w:rsid w:val="20314E16"/>
    <w:rsid w:val="203926DE"/>
    <w:rsid w:val="20405D90"/>
    <w:rsid w:val="204C0178"/>
    <w:rsid w:val="205634FB"/>
    <w:rsid w:val="205D4C87"/>
    <w:rsid w:val="205E123C"/>
    <w:rsid w:val="205F3E0C"/>
    <w:rsid w:val="2062790D"/>
    <w:rsid w:val="206E5E5F"/>
    <w:rsid w:val="206F55C8"/>
    <w:rsid w:val="20715295"/>
    <w:rsid w:val="207417C9"/>
    <w:rsid w:val="207D2F13"/>
    <w:rsid w:val="208103FB"/>
    <w:rsid w:val="20816E1D"/>
    <w:rsid w:val="208270BF"/>
    <w:rsid w:val="20846533"/>
    <w:rsid w:val="208D3F08"/>
    <w:rsid w:val="2094616F"/>
    <w:rsid w:val="209C5B03"/>
    <w:rsid w:val="209E7660"/>
    <w:rsid w:val="20A43E5C"/>
    <w:rsid w:val="20AC5A2A"/>
    <w:rsid w:val="20B059DD"/>
    <w:rsid w:val="20B6486E"/>
    <w:rsid w:val="20C2567F"/>
    <w:rsid w:val="20CB1B51"/>
    <w:rsid w:val="20D858B3"/>
    <w:rsid w:val="20DB1879"/>
    <w:rsid w:val="20DB48F9"/>
    <w:rsid w:val="20E16AFA"/>
    <w:rsid w:val="20E41120"/>
    <w:rsid w:val="20FC3987"/>
    <w:rsid w:val="20FF4597"/>
    <w:rsid w:val="2107263D"/>
    <w:rsid w:val="21091F11"/>
    <w:rsid w:val="2111588A"/>
    <w:rsid w:val="2117078A"/>
    <w:rsid w:val="211C60E8"/>
    <w:rsid w:val="211E52D6"/>
    <w:rsid w:val="211F34E2"/>
    <w:rsid w:val="2124508D"/>
    <w:rsid w:val="21255777"/>
    <w:rsid w:val="212A6253"/>
    <w:rsid w:val="212B1125"/>
    <w:rsid w:val="212F33B9"/>
    <w:rsid w:val="21404625"/>
    <w:rsid w:val="21494A03"/>
    <w:rsid w:val="214C3356"/>
    <w:rsid w:val="21532BAD"/>
    <w:rsid w:val="2159212F"/>
    <w:rsid w:val="215A6963"/>
    <w:rsid w:val="215E5248"/>
    <w:rsid w:val="216A3D88"/>
    <w:rsid w:val="219C4B33"/>
    <w:rsid w:val="21A433E1"/>
    <w:rsid w:val="21B87B55"/>
    <w:rsid w:val="21BC2EC2"/>
    <w:rsid w:val="21C76170"/>
    <w:rsid w:val="21D62039"/>
    <w:rsid w:val="21E309B4"/>
    <w:rsid w:val="21F05C1D"/>
    <w:rsid w:val="21F55CD5"/>
    <w:rsid w:val="2200397A"/>
    <w:rsid w:val="22032E04"/>
    <w:rsid w:val="22096CC9"/>
    <w:rsid w:val="220D028A"/>
    <w:rsid w:val="2210107D"/>
    <w:rsid w:val="22121299"/>
    <w:rsid w:val="22134C39"/>
    <w:rsid w:val="221D7414"/>
    <w:rsid w:val="222110F6"/>
    <w:rsid w:val="223863B4"/>
    <w:rsid w:val="223979A5"/>
    <w:rsid w:val="22412004"/>
    <w:rsid w:val="224955D6"/>
    <w:rsid w:val="22511C60"/>
    <w:rsid w:val="2251411C"/>
    <w:rsid w:val="22540279"/>
    <w:rsid w:val="225E3BC5"/>
    <w:rsid w:val="225F470B"/>
    <w:rsid w:val="2261128B"/>
    <w:rsid w:val="22621F6C"/>
    <w:rsid w:val="22645EEA"/>
    <w:rsid w:val="22721D38"/>
    <w:rsid w:val="227C78B1"/>
    <w:rsid w:val="227F5A78"/>
    <w:rsid w:val="228038E6"/>
    <w:rsid w:val="228201CD"/>
    <w:rsid w:val="2282370F"/>
    <w:rsid w:val="229A51B6"/>
    <w:rsid w:val="229E5EAD"/>
    <w:rsid w:val="22B0652E"/>
    <w:rsid w:val="22B94F50"/>
    <w:rsid w:val="22C82F51"/>
    <w:rsid w:val="22DF49A0"/>
    <w:rsid w:val="22DF73CD"/>
    <w:rsid w:val="22E66A2F"/>
    <w:rsid w:val="22E76282"/>
    <w:rsid w:val="22E83DA8"/>
    <w:rsid w:val="22EE4687"/>
    <w:rsid w:val="22F94D29"/>
    <w:rsid w:val="22FB0090"/>
    <w:rsid w:val="22FF72CE"/>
    <w:rsid w:val="2309757B"/>
    <w:rsid w:val="23102B50"/>
    <w:rsid w:val="231A1041"/>
    <w:rsid w:val="2322375E"/>
    <w:rsid w:val="2322550C"/>
    <w:rsid w:val="23302A4F"/>
    <w:rsid w:val="2334321F"/>
    <w:rsid w:val="2337207D"/>
    <w:rsid w:val="233F60BE"/>
    <w:rsid w:val="23455745"/>
    <w:rsid w:val="234750CE"/>
    <w:rsid w:val="23505E00"/>
    <w:rsid w:val="23592E57"/>
    <w:rsid w:val="235D5854"/>
    <w:rsid w:val="235D7895"/>
    <w:rsid w:val="236A545E"/>
    <w:rsid w:val="236D2C2B"/>
    <w:rsid w:val="237370D0"/>
    <w:rsid w:val="237E7C89"/>
    <w:rsid w:val="238175BD"/>
    <w:rsid w:val="238654DF"/>
    <w:rsid w:val="2388497A"/>
    <w:rsid w:val="23A1553E"/>
    <w:rsid w:val="23A61C99"/>
    <w:rsid w:val="23AB72AF"/>
    <w:rsid w:val="23BE6882"/>
    <w:rsid w:val="23C211AB"/>
    <w:rsid w:val="23CA0447"/>
    <w:rsid w:val="23DF0D4D"/>
    <w:rsid w:val="23E32EED"/>
    <w:rsid w:val="23F67E58"/>
    <w:rsid w:val="23F733BD"/>
    <w:rsid w:val="23FC2C09"/>
    <w:rsid w:val="240801E4"/>
    <w:rsid w:val="240B5FA0"/>
    <w:rsid w:val="24105AFD"/>
    <w:rsid w:val="24124646"/>
    <w:rsid w:val="24160185"/>
    <w:rsid w:val="24183DE7"/>
    <w:rsid w:val="241A1A02"/>
    <w:rsid w:val="24294554"/>
    <w:rsid w:val="243058A3"/>
    <w:rsid w:val="243F3223"/>
    <w:rsid w:val="245A0EA1"/>
    <w:rsid w:val="245E4322"/>
    <w:rsid w:val="24631DDF"/>
    <w:rsid w:val="246368E1"/>
    <w:rsid w:val="24664007"/>
    <w:rsid w:val="24700077"/>
    <w:rsid w:val="24795B48"/>
    <w:rsid w:val="247C3E7E"/>
    <w:rsid w:val="24951117"/>
    <w:rsid w:val="24977834"/>
    <w:rsid w:val="249D1927"/>
    <w:rsid w:val="24A0580F"/>
    <w:rsid w:val="24AF305E"/>
    <w:rsid w:val="24B226C9"/>
    <w:rsid w:val="24BC54EC"/>
    <w:rsid w:val="24BE74B6"/>
    <w:rsid w:val="24C236A3"/>
    <w:rsid w:val="24C353E2"/>
    <w:rsid w:val="24CD48B3"/>
    <w:rsid w:val="24DE1D85"/>
    <w:rsid w:val="24DE6C90"/>
    <w:rsid w:val="24E7519E"/>
    <w:rsid w:val="24F46793"/>
    <w:rsid w:val="24F843BF"/>
    <w:rsid w:val="24F904EE"/>
    <w:rsid w:val="24FE19AB"/>
    <w:rsid w:val="24FE630D"/>
    <w:rsid w:val="25016236"/>
    <w:rsid w:val="251204D1"/>
    <w:rsid w:val="25154D41"/>
    <w:rsid w:val="25181B83"/>
    <w:rsid w:val="252437BD"/>
    <w:rsid w:val="25312C17"/>
    <w:rsid w:val="25312C49"/>
    <w:rsid w:val="25337FBE"/>
    <w:rsid w:val="25453733"/>
    <w:rsid w:val="25496AA7"/>
    <w:rsid w:val="255C3572"/>
    <w:rsid w:val="2561335D"/>
    <w:rsid w:val="256B132D"/>
    <w:rsid w:val="25726211"/>
    <w:rsid w:val="2580111C"/>
    <w:rsid w:val="25981AB5"/>
    <w:rsid w:val="25AE5C8C"/>
    <w:rsid w:val="25AE752B"/>
    <w:rsid w:val="25B616E4"/>
    <w:rsid w:val="25B66310"/>
    <w:rsid w:val="25B9087F"/>
    <w:rsid w:val="25BC3124"/>
    <w:rsid w:val="25BD5EF1"/>
    <w:rsid w:val="25C32FD6"/>
    <w:rsid w:val="25CC2A71"/>
    <w:rsid w:val="25DF58EA"/>
    <w:rsid w:val="25DF5C80"/>
    <w:rsid w:val="25E14E16"/>
    <w:rsid w:val="25F31178"/>
    <w:rsid w:val="25FC7E3F"/>
    <w:rsid w:val="26013992"/>
    <w:rsid w:val="26086C3B"/>
    <w:rsid w:val="2609194F"/>
    <w:rsid w:val="26092ADA"/>
    <w:rsid w:val="26133BDB"/>
    <w:rsid w:val="26147575"/>
    <w:rsid w:val="261A071C"/>
    <w:rsid w:val="261A6E77"/>
    <w:rsid w:val="26211B75"/>
    <w:rsid w:val="262301D1"/>
    <w:rsid w:val="26262948"/>
    <w:rsid w:val="26283EAB"/>
    <w:rsid w:val="26296BB1"/>
    <w:rsid w:val="262D7EC8"/>
    <w:rsid w:val="263F1594"/>
    <w:rsid w:val="26402B1C"/>
    <w:rsid w:val="2640308D"/>
    <w:rsid w:val="2643090E"/>
    <w:rsid w:val="2646473C"/>
    <w:rsid w:val="264F5B79"/>
    <w:rsid w:val="265C3B44"/>
    <w:rsid w:val="265E685B"/>
    <w:rsid w:val="266201AA"/>
    <w:rsid w:val="26667AB0"/>
    <w:rsid w:val="266A16A4"/>
    <w:rsid w:val="266B4E93"/>
    <w:rsid w:val="266B5B75"/>
    <w:rsid w:val="2672643F"/>
    <w:rsid w:val="26781FF4"/>
    <w:rsid w:val="26787BDF"/>
    <w:rsid w:val="267E514F"/>
    <w:rsid w:val="2684246D"/>
    <w:rsid w:val="268555A9"/>
    <w:rsid w:val="26895ED9"/>
    <w:rsid w:val="268E1E11"/>
    <w:rsid w:val="269B7AAF"/>
    <w:rsid w:val="269C2517"/>
    <w:rsid w:val="269F440D"/>
    <w:rsid w:val="26A60926"/>
    <w:rsid w:val="26A67367"/>
    <w:rsid w:val="26A930B9"/>
    <w:rsid w:val="26AA4E34"/>
    <w:rsid w:val="26C35C3E"/>
    <w:rsid w:val="26D11723"/>
    <w:rsid w:val="26DB177F"/>
    <w:rsid w:val="26E36D60"/>
    <w:rsid w:val="26E707D7"/>
    <w:rsid w:val="26E87F4D"/>
    <w:rsid w:val="26F8097C"/>
    <w:rsid w:val="26FD7919"/>
    <w:rsid w:val="27001AC5"/>
    <w:rsid w:val="27087F64"/>
    <w:rsid w:val="27207FB4"/>
    <w:rsid w:val="27272152"/>
    <w:rsid w:val="272730F1"/>
    <w:rsid w:val="272B74A8"/>
    <w:rsid w:val="272F5AD3"/>
    <w:rsid w:val="27355E14"/>
    <w:rsid w:val="27426661"/>
    <w:rsid w:val="274C1CCB"/>
    <w:rsid w:val="274D1D43"/>
    <w:rsid w:val="27643E60"/>
    <w:rsid w:val="27661341"/>
    <w:rsid w:val="2766626B"/>
    <w:rsid w:val="276746BE"/>
    <w:rsid w:val="27685C37"/>
    <w:rsid w:val="276A45A0"/>
    <w:rsid w:val="277213FE"/>
    <w:rsid w:val="27733B7B"/>
    <w:rsid w:val="27747818"/>
    <w:rsid w:val="27804804"/>
    <w:rsid w:val="27836551"/>
    <w:rsid w:val="27844313"/>
    <w:rsid w:val="27AB70C6"/>
    <w:rsid w:val="27AC1A85"/>
    <w:rsid w:val="27B10FE8"/>
    <w:rsid w:val="27B478BA"/>
    <w:rsid w:val="27B84691"/>
    <w:rsid w:val="27B95FC7"/>
    <w:rsid w:val="27E15995"/>
    <w:rsid w:val="27E93D2B"/>
    <w:rsid w:val="27EA323B"/>
    <w:rsid w:val="27EA5D8C"/>
    <w:rsid w:val="27F774F3"/>
    <w:rsid w:val="27F93BE7"/>
    <w:rsid w:val="27FC0EF3"/>
    <w:rsid w:val="281523B6"/>
    <w:rsid w:val="281C1CAE"/>
    <w:rsid w:val="281C2BC6"/>
    <w:rsid w:val="282F3D38"/>
    <w:rsid w:val="28372030"/>
    <w:rsid w:val="283D139A"/>
    <w:rsid w:val="283F26BC"/>
    <w:rsid w:val="28445F24"/>
    <w:rsid w:val="2851785B"/>
    <w:rsid w:val="285A28BE"/>
    <w:rsid w:val="285D771A"/>
    <w:rsid w:val="28602F17"/>
    <w:rsid w:val="28671357"/>
    <w:rsid w:val="286F49AE"/>
    <w:rsid w:val="287E7274"/>
    <w:rsid w:val="28934F19"/>
    <w:rsid w:val="28941C2E"/>
    <w:rsid w:val="289A596C"/>
    <w:rsid w:val="289B3BCF"/>
    <w:rsid w:val="28A00E25"/>
    <w:rsid w:val="28B17255"/>
    <w:rsid w:val="28B22E8E"/>
    <w:rsid w:val="28B24E3D"/>
    <w:rsid w:val="28B829D3"/>
    <w:rsid w:val="28C34192"/>
    <w:rsid w:val="28C9272D"/>
    <w:rsid w:val="28D43941"/>
    <w:rsid w:val="28DC45B8"/>
    <w:rsid w:val="28DD034A"/>
    <w:rsid w:val="28E0632C"/>
    <w:rsid w:val="28E079FB"/>
    <w:rsid w:val="28E16D6A"/>
    <w:rsid w:val="28F654A7"/>
    <w:rsid w:val="2908671D"/>
    <w:rsid w:val="290871C4"/>
    <w:rsid w:val="290D24E8"/>
    <w:rsid w:val="290F6865"/>
    <w:rsid w:val="291B0A33"/>
    <w:rsid w:val="291E276A"/>
    <w:rsid w:val="291F08F2"/>
    <w:rsid w:val="29200DB1"/>
    <w:rsid w:val="292562FD"/>
    <w:rsid w:val="292D7AB7"/>
    <w:rsid w:val="293211E1"/>
    <w:rsid w:val="29383F83"/>
    <w:rsid w:val="293A0A51"/>
    <w:rsid w:val="293C59FF"/>
    <w:rsid w:val="293E2974"/>
    <w:rsid w:val="29403771"/>
    <w:rsid w:val="294B72B9"/>
    <w:rsid w:val="2954726E"/>
    <w:rsid w:val="2956280D"/>
    <w:rsid w:val="29577588"/>
    <w:rsid w:val="29615848"/>
    <w:rsid w:val="29631B1C"/>
    <w:rsid w:val="2967786B"/>
    <w:rsid w:val="29685E76"/>
    <w:rsid w:val="2978253F"/>
    <w:rsid w:val="29801E18"/>
    <w:rsid w:val="2998639A"/>
    <w:rsid w:val="299C3135"/>
    <w:rsid w:val="29A405EE"/>
    <w:rsid w:val="29A44ECD"/>
    <w:rsid w:val="29A84428"/>
    <w:rsid w:val="29A900C7"/>
    <w:rsid w:val="29B92991"/>
    <w:rsid w:val="29BA2225"/>
    <w:rsid w:val="29BE15B9"/>
    <w:rsid w:val="29C56A17"/>
    <w:rsid w:val="29C64750"/>
    <w:rsid w:val="29C810F2"/>
    <w:rsid w:val="29CC24EA"/>
    <w:rsid w:val="29D15596"/>
    <w:rsid w:val="29D506B5"/>
    <w:rsid w:val="29D64C45"/>
    <w:rsid w:val="29DB15AD"/>
    <w:rsid w:val="29DE7BFA"/>
    <w:rsid w:val="29E74E33"/>
    <w:rsid w:val="29ED0D1A"/>
    <w:rsid w:val="29ED358B"/>
    <w:rsid w:val="29EE083B"/>
    <w:rsid w:val="29FC2850"/>
    <w:rsid w:val="2A0449A5"/>
    <w:rsid w:val="2A0B4CC0"/>
    <w:rsid w:val="2A1669CF"/>
    <w:rsid w:val="2A2030E5"/>
    <w:rsid w:val="2A3914BE"/>
    <w:rsid w:val="2A45769B"/>
    <w:rsid w:val="2A557F75"/>
    <w:rsid w:val="2A5749AB"/>
    <w:rsid w:val="2A5A3A75"/>
    <w:rsid w:val="2A621291"/>
    <w:rsid w:val="2A6308E4"/>
    <w:rsid w:val="2A6401B8"/>
    <w:rsid w:val="2A731317"/>
    <w:rsid w:val="2A7C19A5"/>
    <w:rsid w:val="2A8D2697"/>
    <w:rsid w:val="2A8F0956"/>
    <w:rsid w:val="2A936345"/>
    <w:rsid w:val="2A9D14C2"/>
    <w:rsid w:val="2AA63C3D"/>
    <w:rsid w:val="2AA64C74"/>
    <w:rsid w:val="2AA84BA0"/>
    <w:rsid w:val="2AA91689"/>
    <w:rsid w:val="2AAD10FE"/>
    <w:rsid w:val="2AAD1B5F"/>
    <w:rsid w:val="2AAD6003"/>
    <w:rsid w:val="2AB210D5"/>
    <w:rsid w:val="2AB62958"/>
    <w:rsid w:val="2AB949A8"/>
    <w:rsid w:val="2AC4388C"/>
    <w:rsid w:val="2AC63505"/>
    <w:rsid w:val="2AC72A75"/>
    <w:rsid w:val="2ACD4850"/>
    <w:rsid w:val="2AD94755"/>
    <w:rsid w:val="2ADF2AEB"/>
    <w:rsid w:val="2AE5579D"/>
    <w:rsid w:val="2AE63AB1"/>
    <w:rsid w:val="2AE97885"/>
    <w:rsid w:val="2AE979A8"/>
    <w:rsid w:val="2AF404DD"/>
    <w:rsid w:val="2AF7795E"/>
    <w:rsid w:val="2AFA0B1C"/>
    <w:rsid w:val="2AFA4E3F"/>
    <w:rsid w:val="2B081AFA"/>
    <w:rsid w:val="2B084A07"/>
    <w:rsid w:val="2B0971E3"/>
    <w:rsid w:val="2B097AAF"/>
    <w:rsid w:val="2B0E0A7B"/>
    <w:rsid w:val="2B164C3A"/>
    <w:rsid w:val="2B167D81"/>
    <w:rsid w:val="2B2362C5"/>
    <w:rsid w:val="2B283C3E"/>
    <w:rsid w:val="2B34785E"/>
    <w:rsid w:val="2B364614"/>
    <w:rsid w:val="2B3D3A1F"/>
    <w:rsid w:val="2B491EB8"/>
    <w:rsid w:val="2B4D3EA0"/>
    <w:rsid w:val="2B504399"/>
    <w:rsid w:val="2B524826"/>
    <w:rsid w:val="2B604E23"/>
    <w:rsid w:val="2B644202"/>
    <w:rsid w:val="2B6571DB"/>
    <w:rsid w:val="2B7B7D2D"/>
    <w:rsid w:val="2B7E00FF"/>
    <w:rsid w:val="2B903AB8"/>
    <w:rsid w:val="2B965640"/>
    <w:rsid w:val="2B9B3244"/>
    <w:rsid w:val="2BA907F6"/>
    <w:rsid w:val="2BA9515B"/>
    <w:rsid w:val="2BB07578"/>
    <w:rsid w:val="2BB0798E"/>
    <w:rsid w:val="2BBD23A7"/>
    <w:rsid w:val="2BC03B14"/>
    <w:rsid w:val="2BC929C8"/>
    <w:rsid w:val="2BDB1DB2"/>
    <w:rsid w:val="2BE35102"/>
    <w:rsid w:val="2BE43EA2"/>
    <w:rsid w:val="2BE912BD"/>
    <w:rsid w:val="2BEC1FDE"/>
    <w:rsid w:val="2BF54528"/>
    <w:rsid w:val="2BF86879"/>
    <w:rsid w:val="2C0330BA"/>
    <w:rsid w:val="2C037F12"/>
    <w:rsid w:val="2C0954BB"/>
    <w:rsid w:val="2C0D3538"/>
    <w:rsid w:val="2C0F2079"/>
    <w:rsid w:val="2C1E2D2E"/>
    <w:rsid w:val="2C2015A4"/>
    <w:rsid w:val="2C2C5DF6"/>
    <w:rsid w:val="2C3D29A4"/>
    <w:rsid w:val="2C3D7B4E"/>
    <w:rsid w:val="2C3E7A5D"/>
    <w:rsid w:val="2C417B4E"/>
    <w:rsid w:val="2C43127C"/>
    <w:rsid w:val="2C4A13E4"/>
    <w:rsid w:val="2C4C35F9"/>
    <w:rsid w:val="2C526CAC"/>
    <w:rsid w:val="2C5D65F6"/>
    <w:rsid w:val="2C622E1D"/>
    <w:rsid w:val="2C6439F5"/>
    <w:rsid w:val="2C7A024C"/>
    <w:rsid w:val="2C7D60C4"/>
    <w:rsid w:val="2C82344E"/>
    <w:rsid w:val="2C933279"/>
    <w:rsid w:val="2C9D5B7C"/>
    <w:rsid w:val="2CA954AE"/>
    <w:rsid w:val="2CB10E42"/>
    <w:rsid w:val="2CB47196"/>
    <w:rsid w:val="2CBA36C9"/>
    <w:rsid w:val="2CC31E47"/>
    <w:rsid w:val="2CD35498"/>
    <w:rsid w:val="2CD64DFC"/>
    <w:rsid w:val="2CE44DB3"/>
    <w:rsid w:val="2CE627E5"/>
    <w:rsid w:val="2CE82A13"/>
    <w:rsid w:val="2CEC320D"/>
    <w:rsid w:val="2CEE1408"/>
    <w:rsid w:val="2CF73565"/>
    <w:rsid w:val="2D001100"/>
    <w:rsid w:val="2D091F12"/>
    <w:rsid w:val="2D09346A"/>
    <w:rsid w:val="2D1879E3"/>
    <w:rsid w:val="2D1F273E"/>
    <w:rsid w:val="2D2105E2"/>
    <w:rsid w:val="2D252356"/>
    <w:rsid w:val="2D363D79"/>
    <w:rsid w:val="2D3D74AF"/>
    <w:rsid w:val="2D3D763E"/>
    <w:rsid w:val="2D4A00B5"/>
    <w:rsid w:val="2D4C7C99"/>
    <w:rsid w:val="2D592B06"/>
    <w:rsid w:val="2D5C7052"/>
    <w:rsid w:val="2D5D4D6E"/>
    <w:rsid w:val="2D5F1D77"/>
    <w:rsid w:val="2D7713C9"/>
    <w:rsid w:val="2D7B2DF4"/>
    <w:rsid w:val="2D883C2C"/>
    <w:rsid w:val="2D9151F4"/>
    <w:rsid w:val="2D932657"/>
    <w:rsid w:val="2DA07759"/>
    <w:rsid w:val="2DA31185"/>
    <w:rsid w:val="2DB76B15"/>
    <w:rsid w:val="2DB80C92"/>
    <w:rsid w:val="2DC84A3C"/>
    <w:rsid w:val="2DD24C15"/>
    <w:rsid w:val="2DD41AF8"/>
    <w:rsid w:val="2DD6761F"/>
    <w:rsid w:val="2DD90793"/>
    <w:rsid w:val="2DD90BA8"/>
    <w:rsid w:val="2DDD661B"/>
    <w:rsid w:val="2DDE66A7"/>
    <w:rsid w:val="2DEA079E"/>
    <w:rsid w:val="2DEC7614"/>
    <w:rsid w:val="2DF9317C"/>
    <w:rsid w:val="2DFA39A4"/>
    <w:rsid w:val="2DFA790D"/>
    <w:rsid w:val="2DFC2F3E"/>
    <w:rsid w:val="2E00115A"/>
    <w:rsid w:val="2E090C53"/>
    <w:rsid w:val="2E0A7141"/>
    <w:rsid w:val="2E0C1292"/>
    <w:rsid w:val="2E0D7FA5"/>
    <w:rsid w:val="2E1020BD"/>
    <w:rsid w:val="2E1D6FFC"/>
    <w:rsid w:val="2E1E1718"/>
    <w:rsid w:val="2E271C28"/>
    <w:rsid w:val="2E2759C5"/>
    <w:rsid w:val="2E28036D"/>
    <w:rsid w:val="2E2C723F"/>
    <w:rsid w:val="2E2E7364"/>
    <w:rsid w:val="2E352597"/>
    <w:rsid w:val="2E505CC5"/>
    <w:rsid w:val="2E522F82"/>
    <w:rsid w:val="2E531634"/>
    <w:rsid w:val="2E5F45A1"/>
    <w:rsid w:val="2E627104"/>
    <w:rsid w:val="2E69336A"/>
    <w:rsid w:val="2E6B39F4"/>
    <w:rsid w:val="2E6B4234"/>
    <w:rsid w:val="2E71165A"/>
    <w:rsid w:val="2E717347"/>
    <w:rsid w:val="2E7453C4"/>
    <w:rsid w:val="2E76640E"/>
    <w:rsid w:val="2E7E251B"/>
    <w:rsid w:val="2E84673B"/>
    <w:rsid w:val="2E895931"/>
    <w:rsid w:val="2E8B67EF"/>
    <w:rsid w:val="2E960B5C"/>
    <w:rsid w:val="2EA17266"/>
    <w:rsid w:val="2EA7226A"/>
    <w:rsid w:val="2EAB2859"/>
    <w:rsid w:val="2EB14E5B"/>
    <w:rsid w:val="2EB24CEE"/>
    <w:rsid w:val="2EB906F2"/>
    <w:rsid w:val="2EB9650A"/>
    <w:rsid w:val="2EC21951"/>
    <w:rsid w:val="2EC8340B"/>
    <w:rsid w:val="2ECD7A15"/>
    <w:rsid w:val="2ED00488"/>
    <w:rsid w:val="2ED46715"/>
    <w:rsid w:val="2EED0614"/>
    <w:rsid w:val="2EED53AE"/>
    <w:rsid w:val="2EEE0998"/>
    <w:rsid w:val="2EFC7BC0"/>
    <w:rsid w:val="2EFD0D8F"/>
    <w:rsid w:val="2F0039EF"/>
    <w:rsid w:val="2F032745"/>
    <w:rsid w:val="2F072F10"/>
    <w:rsid w:val="2F1368C6"/>
    <w:rsid w:val="2F15583E"/>
    <w:rsid w:val="2F19534A"/>
    <w:rsid w:val="2F1E6A16"/>
    <w:rsid w:val="2F261EE0"/>
    <w:rsid w:val="2F2C048C"/>
    <w:rsid w:val="2F305389"/>
    <w:rsid w:val="2F3544B3"/>
    <w:rsid w:val="2F3E547B"/>
    <w:rsid w:val="2F4800A8"/>
    <w:rsid w:val="2F4B22FC"/>
    <w:rsid w:val="2F5A438D"/>
    <w:rsid w:val="2F5C7FF7"/>
    <w:rsid w:val="2F5F6EB7"/>
    <w:rsid w:val="2F6B7596"/>
    <w:rsid w:val="2F7647D9"/>
    <w:rsid w:val="2F8103FF"/>
    <w:rsid w:val="2F925327"/>
    <w:rsid w:val="2F925B34"/>
    <w:rsid w:val="2F9D180A"/>
    <w:rsid w:val="2FAA48BF"/>
    <w:rsid w:val="2FAA68DE"/>
    <w:rsid w:val="2FAE3821"/>
    <w:rsid w:val="2FB00E5B"/>
    <w:rsid w:val="2FB2753E"/>
    <w:rsid w:val="2FB53FB7"/>
    <w:rsid w:val="2FB9524A"/>
    <w:rsid w:val="2FC94C09"/>
    <w:rsid w:val="2FCF0725"/>
    <w:rsid w:val="2FDB4D1E"/>
    <w:rsid w:val="2FDE4429"/>
    <w:rsid w:val="2FEE7ECC"/>
    <w:rsid w:val="2FF355C0"/>
    <w:rsid w:val="2FF73F9A"/>
    <w:rsid w:val="30037C34"/>
    <w:rsid w:val="30076F8B"/>
    <w:rsid w:val="300F720F"/>
    <w:rsid w:val="301F01E4"/>
    <w:rsid w:val="302E54F0"/>
    <w:rsid w:val="303B23EA"/>
    <w:rsid w:val="303B3FFC"/>
    <w:rsid w:val="303D562F"/>
    <w:rsid w:val="303E5B5D"/>
    <w:rsid w:val="30436F08"/>
    <w:rsid w:val="30473295"/>
    <w:rsid w:val="30474804"/>
    <w:rsid w:val="304E7386"/>
    <w:rsid w:val="30500A7F"/>
    <w:rsid w:val="306312A8"/>
    <w:rsid w:val="30640F12"/>
    <w:rsid w:val="30655AB2"/>
    <w:rsid w:val="30672761"/>
    <w:rsid w:val="30680BF8"/>
    <w:rsid w:val="30777B4C"/>
    <w:rsid w:val="307C7AE0"/>
    <w:rsid w:val="30913C98"/>
    <w:rsid w:val="30965A4E"/>
    <w:rsid w:val="309F2759"/>
    <w:rsid w:val="30C03473"/>
    <w:rsid w:val="30D60C41"/>
    <w:rsid w:val="30DA71E4"/>
    <w:rsid w:val="30E22214"/>
    <w:rsid w:val="30E23B5B"/>
    <w:rsid w:val="30EC627D"/>
    <w:rsid w:val="30F1651D"/>
    <w:rsid w:val="30F40AB0"/>
    <w:rsid w:val="30FC775F"/>
    <w:rsid w:val="31045B9B"/>
    <w:rsid w:val="31091FC9"/>
    <w:rsid w:val="310B68DC"/>
    <w:rsid w:val="311441D7"/>
    <w:rsid w:val="311833CA"/>
    <w:rsid w:val="312718EE"/>
    <w:rsid w:val="312A26EA"/>
    <w:rsid w:val="3131682B"/>
    <w:rsid w:val="31327262"/>
    <w:rsid w:val="313E791C"/>
    <w:rsid w:val="31405100"/>
    <w:rsid w:val="31526842"/>
    <w:rsid w:val="31537605"/>
    <w:rsid w:val="315528DF"/>
    <w:rsid w:val="31592E80"/>
    <w:rsid w:val="315A60C7"/>
    <w:rsid w:val="31646008"/>
    <w:rsid w:val="316F4A45"/>
    <w:rsid w:val="31776A98"/>
    <w:rsid w:val="317A2C3F"/>
    <w:rsid w:val="317D40AC"/>
    <w:rsid w:val="31845C15"/>
    <w:rsid w:val="31846DBA"/>
    <w:rsid w:val="31864EB8"/>
    <w:rsid w:val="318C429D"/>
    <w:rsid w:val="31AA405E"/>
    <w:rsid w:val="31B616AB"/>
    <w:rsid w:val="31B80491"/>
    <w:rsid w:val="31BC4712"/>
    <w:rsid w:val="31C6505D"/>
    <w:rsid w:val="31C80C10"/>
    <w:rsid w:val="31D326F4"/>
    <w:rsid w:val="31D408AB"/>
    <w:rsid w:val="31D41C9F"/>
    <w:rsid w:val="31E3013A"/>
    <w:rsid w:val="31E6292F"/>
    <w:rsid w:val="31E843A3"/>
    <w:rsid w:val="31EA18EB"/>
    <w:rsid w:val="31FB7A3B"/>
    <w:rsid w:val="320F5A2E"/>
    <w:rsid w:val="3219737C"/>
    <w:rsid w:val="321B1713"/>
    <w:rsid w:val="321E350E"/>
    <w:rsid w:val="321F2F55"/>
    <w:rsid w:val="322425CE"/>
    <w:rsid w:val="322965E3"/>
    <w:rsid w:val="322D543F"/>
    <w:rsid w:val="32342661"/>
    <w:rsid w:val="32360A60"/>
    <w:rsid w:val="324817A9"/>
    <w:rsid w:val="324F2DDA"/>
    <w:rsid w:val="32560D2E"/>
    <w:rsid w:val="32584ADD"/>
    <w:rsid w:val="325968DD"/>
    <w:rsid w:val="325A00D3"/>
    <w:rsid w:val="325C5261"/>
    <w:rsid w:val="325D3E6B"/>
    <w:rsid w:val="32651B17"/>
    <w:rsid w:val="326F7DA6"/>
    <w:rsid w:val="32701DFC"/>
    <w:rsid w:val="327249B9"/>
    <w:rsid w:val="32734BF6"/>
    <w:rsid w:val="327F0EE4"/>
    <w:rsid w:val="328C7768"/>
    <w:rsid w:val="32931F82"/>
    <w:rsid w:val="329A2FD2"/>
    <w:rsid w:val="329D695D"/>
    <w:rsid w:val="329E6B24"/>
    <w:rsid w:val="329E6F2D"/>
    <w:rsid w:val="32A45FDC"/>
    <w:rsid w:val="32AA2E28"/>
    <w:rsid w:val="32B06D0D"/>
    <w:rsid w:val="32B2494A"/>
    <w:rsid w:val="32B617CD"/>
    <w:rsid w:val="32B83797"/>
    <w:rsid w:val="32BA5F1D"/>
    <w:rsid w:val="32BE6F71"/>
    <w:rsid w:val="32C62CC9"/>
    <w:rsid w:val="32CD6C34"/>
    <w:rsid w:val="32CE3DA7"/>
    <w:rsid w:val="32D16607"/>
    <w:rsid w:val="32D16B2C"/>
    <w:rsid w:val="32D81743"/>
    <w:rsid w:val="32D87175"/>
    <w:rsid w:val="32E63B2A"/>
    <w:rsid w:val="32F574E1"/>
    <w:rsid w:val="32FD3082"/>
    <w:rsid w:val="32FE389F"/>
    <w:rsid w:val="33004968"/>
    <w:rsid w:val="33030EB6"/>
    <w:rsid w:val="3305533D"/>
    <w:rsid w:val="33106B0D"/>
    <w:rsid w:val="3314262D"/>
    <w:rsid w:val="33142DE7"/>
    <w:rsid w:val="331A4224"/>
    <w:rsid w:val="331E320A"/>
    <w:rsid w:val="331F59D6"/>
    <w:rsid w:val="332E66BC"/>
    <w:rsid w:val="333B0438"/>
    <w:rsid w:val="3347028B"/>
    <w:rsid w:val="33472F1F"/>
    <w:rsid w:val="335144FD"/>
    <w:rsid w:val="33664093"/>
    <w:rsid w:val="33673D2D"/>
    <w:rsid w:val="336F02F9"/>
    <w:rsid w:val="336F0DD7"/>
    <w:rsid w:val="33743B62"/>
    <w:rsid w:val="337739D1"/>
    <w:rsid w:val="33785481"/>
    <w:rsid w:val="338021DA"/>
    <w:rsid w:val="338120A0"/>
    <w:rsid w:val="3381450C"/>
    <w:rsid w:val="33977B03"/>
    <w:rsid w:val="339A2416"/>
    <w:rsid w:val="33A100AA"/>
    <w:rsid w:val="33A146B4"/>
    <w:rsid w:val="33A41A3E"/>
    <w:rsid w:val="33A640B5"/>
    <w:rsid w:val="33A745AD"/>
    <w:rsid w:val="33A87100"/>
    <w:rsid w:val="33A9382A"/>
    <w:rsid w:val="33AC42A2"/>
    <w:rsid w:val="33B724AA"/>
    <w:rsid w:val="33B73FCB"/>
    <w:rsid w:val="33BC1065"/>
    <w:rsid w:val="33CB6951"/>
    <w:rsid w:val="33CE6F60"/>
    <w:rsid w:val="33D24445"/>
    <w:rsid w:val="33D91D62"/>
    <w:rsid w:val="33DF6B01"/>
    <w:rsid w:val="33E050FA"/>
    <w:rsid w:val="33E95936"/>
    <w:rsid w:val="33EC443C"/>
    <w:rsid w:val="33F26834"/>
    <w:rsid w:val="33FE6671"/>
    <w:rsid w:val="340237B1"/>
    <w:rsid w:val="340B78F6"/>
    <w:rsid w:val="340F51C1"/>
    <w:rsid w:val="34146A50"/>
    <w:rsid w:val="3416020B"/>
    <w:rsid w:val="34161065"/>
    <w:rsid w:val="341C66C5"/>
    <w:rsid w:val="34242CB0"/>
    <w:rsid w:val="342A00B4"/>
    <w:rsid w:val="343C5064"/>
    <w:rsid w:val="343C6BEA"/>
    <w:rsid w:val="344A4612"/>
    <w:rsid w:val="344A60FE"/>
    <w:rsid w:val="344C063B"/>
    <w:rsid w:val="344F2BB1"/>
    <w:rsid w:val="344F5A73"/>
    <w:rsid w:val="3454514A"/>
    <w:rsid w:val="34642CCC"/>
    <w:rsid w:val="34655608"/>
    <w:rsid w:val="346C2A8B"/>
    <w:rsid w:val="346C65E7"/>
    <w:rsid w:val="34773ABA"/>
    <w:rsid w:val="347F27BE"/>
    <w:rsid w:val="347F6207"/>
    <w:rsid w:val="348113DF"/>
    <w:rsid w:val="34901BE6"/>
    <w:rsid w:val="3490456A"/>
    <w:rsid w:val="34927B38"/>
    <w:rsid w:val="34A55C57"/>
    <w:rsid w:val="34A642E1"/>
    <w:rsid w:val="34AC732B"/>
    <w:rsid w:val="34B5373F"/>
    <w:rsid w:val="34BA37F6"/>
    <w:rsid w:val="34C46423"/>
    <w:rsid w:val="34CF7969"/>
    <w:rsid w:val="34E43A6C"/>
    <w:rsid w:val="34E66A72"/>
    <w:rsid w:val="34F07218"/>
    <w:rsid w:val="34F14A6C"/>
    <w:rsid w:val="34FD789F"/>
    <w:rsid w:val="34FE199C"/>
    <w:rsid w:val="350201B9"/>
    <w:rsid w:val="35020CF9"/>
    <w:rsid w:val="35047BD8"/>
    <w:rsid w:val="35056A4A"/>
    <w:rsid w:val="351B0E88"/>
    <w:rsid w:val="3522139B"/>
    <w:rsid w:val="35285C34"/>
    <w:rsid w:val="352A7494"/>
    <w:rsid w:val="353510CF"/>
    <w:rsid w:val="353F3CFB"/>
    <w:rsid w:val="35490A83"/>
    <w:rsid w:val="35521AB9"/>
    <w:rsid w:val="355358FA"/>
    <w:rsid w:val="35535C24"/>
    <w:rsid w:val="3558300F"/>
    <w:rsid w:val="355C17E7"/>
    <w:rsid w:val="35606022"/>
    <w:rsid w:val="35611EC4"/>
    <w:rsid w:val="3568700F"/>
    <w:rsid w:val="3570587E"/>
    <w:rsid w:val="35731BF7"/>
    <w:rsid w:val="358226D1"/>
    <w:rsid w:val="358A6C10"/>
    <w:rsid w:val="358C3BA0"/>
    <w:rsid w:val="359A7184"/>
    <w:rsid w:val="35A11C58"/>
    <w:rsid w:val="35A50814"/>
    <w:rsid w:val="35A91E72"/>
    <w:rsid w:val="35AB2712"/>
    <w:rsid w:val="35B50293"/>
    <w:rsid w:val="35B54086"/>
    <w:rsid w:val="35C01D57"/>
    <w:rsid w:val="35C30488"/>
    <w:rsid w:val="35D475AA"/>
    <w:rsid w:val="35DA7707"/>
    <w:rsid w:val="35DB5EC1"/>
    <w:rsid w:val="35DE54D7"/>
    <w:rsid w:val="35E17FBD"/>
    <w:rsid w:val="35EB79DF"/>
    <w:rsid w:val="35F46869"/>
    <w:rsid w:val="35F64504"/>
    <w:rsid w:val="35FB1672"/>
    <w:rsid w:val="35FC6DF9"/>
    <w:rsid w:val="35FC7E3E"/>
    <w:rsid w:val="35FE09AD"/>
    <w:rsid w:val="361433DA"/>
    <w:rsid w:val="3615446A"/>
    <w:rsid w:val="361E20FE"/>
    <w:rsid w:val="36202EC8"/>
    <w:rsid w:val="36235C32"/>
    <w:rsid w:val="36276456"/>
    <w:rsid w:val="362C0724"/>
    <w:rsid w:val="362F13A5"/>
    <w:rsid w:val="36304ACE"/>
    <w:rsid w:val="36375989"/>
    <w:rsid w:val="3638723F"/>
    <w:rsid w:val="364155DE"/>
    <w:rsid w:val="3646712A"/>
    <w:rsid w:val="3647730B"/>
    <w:rsid w:val="36506BF6"/>
    <w:rsid w:val="36527A5E"/>
    <w:rsid w:val="366143E5"/>
    <w:rsid w:val="366F18A1"/>
    <w:rsid w:val="36764FA9"/>
    <w:rsid w:val="367A0EC7"/>
    <w:rsid w:val="367B4CFB"/>
    <w:rsid w:val="36826596"/>
    <w:rsid w:val="36910587"/>
    <w:rsid w:val="36940077"/>
    <w:rsid w:val="3699568D"/>
    <w:rsid w:val="3699743B"/>
    <w:rsid w:val="369D6990"/>
    <w:rsid w:val="36C344B8"/>
    <w:rsid w:val="36CD05C3"/>
    <w:rsid w:val="36CD76D6"/>
    <w:rsid w:val="36CE3589"/>
    <w:rsid w:val="36CF41CB"/>
    <w:rsid w:val="36D10777"/>
    <w:rsid w:val="36DD0389"/>
    <w:rsid w:val="36EB68C6"/>
    <w:rsid w:val="36EC5E60"/>
    <w:rsid w:val="36F62AE0"/>
    <w:rsid w:val="37024FE0"/>
    <w:rsid w:val="37040871"/>
    <w:rsid w:val="37052D23"/>
    <w:rsid w:val="370A0339"/>
    <w:rsid w:val="371767E7"/>
    <w:rsid w:val="371C0798"/>
    <w:rsid w:val="371F5B92"/>
    <w:rsid w:val="3727419A"/>
    <w:rsid w:val="37326AB0"/>
    <w:rsid w:val="373830F8"/>
    <w:rsid w:val="373B4E4A"/>
    <w:rsid w:val="373C00A7"/>
    <w:rsid w:val="373D1B83"/>
    <w:rsid w:val="373F72B6"/>
    <w:rsid w:val="374357D3"/>
    <w:rsid w:val="374F2AF7"/>
    <w:rsid w:val="3761655D"/>
    <w:rsid w:val="37677539"/>
    <w:rsid w:val="376B76AD"/>
    <w:rsid w:val="377207C1"/>
    <w:rsid w:val="37746325"/>
    <w:rsid w:val="37937C8E"/>
    <w:rsid w:val="379555D2"/>
    <w:rsid w:val="3796009E"/>
    <w:rsid w:val="37990A07"/>
    <w:rsid w:val="379E52A2"/>
    <w:rsid w:val="37A06A6C"/>
    <w:rsid w:val="37A1025A"/>
    <w:rsid w:val="37AE594E"/>
    <w:rsid w:val="37B214A3"/>
    <w:rsid w:val="37CB02E8"/>
    <w:rsid w:val="37CB079C"/>
    <w:rsid w:val="37CC5BCA"/>
    <w:rsid w:val="37DA60EB"/>
    <w:rsid w:val="37E02016"/>
    <w:rsid w:val="37E1553E"/>
    <w:rsid w:val="37E3406F"/>
    <w:rsid w:val="37E611FD"/>
    <w:rsid w:val="37E87464"/>
    <w:rsid w:val="37EF0CAF"/>
    <w:rsid w:val="37FC04AB"/>
    <w:rsid w:val="380007C0"/>
    <w:rsid w:val="380123C2"/>
    <w:rsid w:val="3801529B"/>
    <w:rsid w:val="38036F64"/>
    <w:rsid w:val="380562C5"/>
    <w:rsid w:val="380A2E1E"/>
    <w:rsid w:val="380B1CCC"/>
    <w:rsid w:val="380F20AB"/>
    <w:rsid w:val="3810197F"/>
    <w:rsid w:val="38163B28"/>
    <w:rsid w:val="38194528"/>
    <w:rsid w:val="381E38D4"/>
    <w:rsid w:val="383513E6"/>
    <w:rsid w:val="383660B0"/>
    <w:rsid w:val="3837680B"/>
    <w:rsid w:val="383E3BD9"/>
    <w:rsid w:val="38427FB5"/>
    <w:rsid w:val="3851595A"/>
    <w:rsid w:val="385C7544"/>
    <w:rsid w:val="38644F9F"/>
    <w:rsid w:val="3865390C"/>
    <w:rsid w:val="386A7B46"/>
    <w:rsid w:val="38733598"/>
    <w:rsid w:val="38772160"/>
    <w:rsid w:val="38797524"/>
    <w:rsid w:val="387B329C"/>
    <w:rsid w:val="387C1043"/>
    <w:rsid w:val="387D5D44"/>
    <w:rsid w:val="38892672"/>
    <w:rsid w:val="389D51C5"/>
    <w:rsid w:val="38A734FB"/>
    <w:rsid w:val="38A9114A"/>
    <w:rsid w:val="38B96A22"/>
    <w:rsid w:val="38C3715B"/>
    <w:rsid w:val="38CC3AF8"/>
    <w:rsid w:val="38CD7870"/>
    <w:rsid w:val="38D40BFF"/>
    <w:rsid w:val="38D56A7C"/>
    <w:rsid w:val="38DB043F"/>
    <w:rsid w:val="38DD5D05"/>
    <w:rsid w:val="38E63ECB"/>
    <w:rsid w:val="38F35B9E"/>
    <w:rsid w:val="38FF3F16"/>
    <w:rsid w:val="39050DB8"/>
    <w:rsid w:val="39060CDE"/>
    <w:rsid w:val="390A39E8"/>
    <w:rsid w:val="390B0737"/>
    <w:rsid w:val="390E3734"/>
    <w:rsid w:val="391C0DB0"/>
    <w:rsid w:val="391E1E7A"/>
    <w:rsid w:val="391E67C2"/>
    <w:rsid w:val="392806B2"/>
    <w:rsid w:val="392A3A18"/>
    <w:rsid w:val="392B404E"/>
    <w:rsid w:val="392F4087"/>
    <w:rsid w:val="39330953"/>
    <w:rsid w:val="39387C75"/>
    <w:rsid w:val="394967A2"/>
    <w:rsid w:val="394D47A1"/>
    <w:rsid w:val="394F125E"/>
    <w:rsid w:val="39543D68"/>
    <w:rsid w:val="395861D2"/>
    <w:rsid w:val="395A75CE"/>
    <w:rsid w:val="3962764B"/>
    <w:rsid w:val="39677CC5"/>
    <w:rsid w:val="396A61BC"/>
    <w:rsid w:val="397062F1"/>
    <w:rsid w:val="397C551E"/>
    <w:rsid w:val="399D6C51"/>
    <w:rsid w:val="39A8340E"/>
    <w:rsid w:val="39A93AB3"/>
    <w:rsid w:val="39B1568D"/>
    <w:rsid w:val="39B53EBF"/>
    <w:rsid w:val="39B90520"/>
    <w:rsid w:val="39BC268B"/>
    <w:rsid w:val="39BF25C1"/>
    <w:rsid w:val="39C232A9"/>
    <w:rsid w:val="39C252CF"/>
    <w:rsid w:val="39D47F7C"/>
    <w:rsid w:val="39DA4A0D"/>
    <w:rsid w:val="39E123ED"/>
    <w:rsid w:val="39E902C9"/>
    <w:rsid w:val="39F41558"/>
    <w:rsid w:val="3A026844"/>
    <w:rsid w:val="3A076A91"/>
    <w:rsid w:val="3A115F0D"/>
    <w:rsid w:val="3A1160D9"/>
    <w:rsid w:val="3A170A02"/>
    <w:rsid w:val="3A1F12E5"/>
    <w:rsid w:val="3A221FB6"/>
    <w:rsid w:val="3A225EFD"/>
    <w:rsid w:val="3A24522B"/>
    <w:rsid w:val="3A262326"/>
    <w:rsid w:val="3A263FEC"/>
    <w:rsid w:val="3A30455A"/>
    <w:rsid w:val="3A396B2D"/>
    <w:rsid w:val="3A3D0BDE"/>
    <w:rsid w:val="3A42289C"/>
    <w:rsid w:val="3A496CD8"/>
    <w:rsid w:val="3A4A7330"/>
    <w:rsid w:val="3A4D60E4"/>
    <w:rsid w:val="3A5164BC"/>
    <w:rsid w:val="3A523949"/>
    <w:rsid w:val="3A525877"/>
    <w:rsid w:val="3A5D52BF"/>
    <w:rsid w:val="3A6366DE"/>
    <w:rsid w:val="3A645547"/>
    <w:rsid w:val="3A6C7FD0"/>
    <w:rsid w:val="3A6F0BDF"/>
    <w:rsid w:val="3A6F2BAF"/>
    <w:rsid w:val="3A766D7F"/>
    <w:rsid w:val="3A7822EE"/>
    <w:rsid w:val="3A787589"/>
    <w:rsid w:val="3A7C31D7"/>
    <w:rsid w:val="3A82349F"/>
    <w:rsid w:val="3A8735DD"/>
    <w:rsid w:val="3A8A4437"/>
    <w:rsid w:val="3A9054B2"/>
    <w:rsid w:val="3A934555"/>
    <w:rsid w:val="3A9F16BA"/>
    <w:rsid w:val="3AA06EC0"/>
    <w:rsid w:val="3AA37F19"/>
    <w:rsid w:val="3AB313DC"/>
    <w:rsid w:val="3AB40F57"/>
    <w:rsid w:val="3AB82612"/>
    <w:rsid w:val="3AB93BAB"/>
    <w:rsid w:val="3AC32CD9"/>
    <w:rsid w:val="3AD06C9E"/>
    <w:rsid w:val="3AD3060E"/>
    <w:rsid w:val="3AD91AA7"/>
    <w:rsid w:val="3ADB7A46"/>
    <w:rsid w:val="3AE44248"/>
    <w:rsid w:val="3AE95DB6"/>
    <w:rsid w:val="3AF35977"/>
    <w:rsid w:val="3AFD6F0B"/>
    <w:rsid w:val="3B057795"/>
    <w:rsid w:val="3B0A02FF"/>
    <w:rsid w:val="3B0E664A"/>
    <w:rsid w:val="3B101A52"/>
    <w:rsid w:val="3B190DDC"/>
    <w:rsid w:val="3B1F04E1"/>
    <w:rsid w:val="3B2140A6"/>
    <w:rsid w:val="3B24471D"/>
    <w:rsid w:val="3B261BB7"/>
    <w:rsid w:val="3B2C4D22"/>
    <w:rsid w:val="3B304812"/>
    <w:rsid w:val="3B36724D"/>
    <w:rsid w:val="3B3911ED"/>
    <w:rsid w:val="3B3E0E9A"/>
    <w:rsid w:val="3B3F7410"/>
    <w:rsid w:val="3B413267"/>
    <w:rsid w:val="3B41596A"/>
    <w:rsid w:val="3B426F9B"/>
    <w:rsid w:val="3B4C2944"/>
    <w:rsid w:val="3B4F27BE"/>
    <w:rsid w:val="3B5247E8"/>
    <w:rsid w:val="3B54341B"/>
    <w:rsid w:val="3B554FCE"/>
    <w:rsid w:val="3B610AF1"/>
    <w:rsid w:val="3B611ADD"/>
    <w:rsid w:val="3B637CA5"/>
    <w:rsid w:val="3B74739E"/>
    <w:rsid w:val="3B7703BC"/>
    <w:rsid w:val="3B775A4E"/>
    <w:rsid w:val="3B833FB4"/>
    <w:rsid w:val="3B8E4509"/>
    <w:rsid w:val="3B91318D"/>
    <w:rsid w:val="3B9364AC"/>
    <w:rsid w:val="3BA73C48"/>
    <w:rsid w:val="3BB10A37"/>
    <w:rsid w:val="3BB52A86"/>
    <w:rsid w:val="3BB57E26"/>
    <w:rsid w:val="3BB70A8F"/>
    <w:rsid w:val="3BB86349"/>
    <w:rsid w:val="3BBD597A"/>
    <w:rsid w:val="3BC211E2"/>
    <w:rsid w:val="3BC3282D"/>
    <w:rsid w:val="3BC57995"/>
    <w:rsid w:val="3BC57EFE"/>
    <w:rsid w:val="3BC753F1"/>
    <w:rsid w:val="3BC952FF"/>
    <w:rsid w:val="3BD11C54"/>
    <w:rsid w:val="3BDE7862"/>
    <w:rsid w:val="3BE062FC"/>
    <w:rsid w:val="3BF87D26"/>
    <w:rsid w:val="3C020EEA"/>
    <w:rsid w:val="3C057788"/>
    <w:rsid w:val="3C073355"/>
    <w:rsid w:val="3C082C07"/>
    <w:rsid w:val="3C131A3E"/>
    <w:rsid w:val="3C13256B"/>
    <w:rsid w:val="3C1964FD"/>
    <w:rsid w:val="3C1C0EB1"/>
    <w:rsid w:val="3C215F09"/>
    <w:rsid w:val="3C247413"/>
    <w:rsid w:val="3C373022"/>
    <w:rsid w:val="3C3A460A"/>
    <w:rsid w:val="3C3A5BBB"/>
    <w:rsid w:val="3C3F5AD9"/>
    <w:rsid w:val="3C434E21"/>
    <w:rsid w:val="3C4936B2"/>
    <w:rsid w:val="3C4F6F1A"/>
    <w:rsid w:val="3C521D35"/>
    <w:rsid w:val="3C535433"/>
    <w:rsid w:val="3C550BE1"/>
    <w:rsid w:val="3C5A58BF"/>
    <w:rsid w:val="3C5F2E13"/>
    <w:rsid w:val="3C611042"/>
    <w:rsid w:val="3C677D0F"/>
    <w:rsid w:val="3C6A44B1"/>
    <w:rsid w:val="3C6D1289"/>
    <w:rsid w:val="3C7567B9"/>
    <w:rsid w:val="3C7A29F2"/>
    <w:rsid w:val="3C7A4DFC"/>
    <w:rsid w:val="3C7B0F48"/>
    <w:rsid w:val="3C844A80"/>
    <w:rsid w:val="3C9B7B96"/>
    <w:rsid w:val="3C9E44CA"/>
    <w:rsid w:val="3CA1042E"/>
    <w:rsid w:val="3CBC002D"/>
    <w:rsid w:val="3CCD0302"/>
    <w:rsid w:val="3CD64F45"/>
    <w:rsid w:val="3CDE7AA2"/>
    <w:rsid w:val="3CE54F82"/>
    <w:rsid w:val="3CEC1B39"/>
    <w:rsid w:val="3CEC50FB"/>
    <w:rsid w:val="3CF370EE"/>
    <w:rsid w:val="3CF97D20"/>
    <w:rsid w:val="3D003A66"/>
    <w:rsid w:val="3D12713E"/>
    <w:rsid w:val="3D157111"/>
    <w:rsid w:val="3D23044C"/>
    <w:rsid w:val="3D291F64"/>
    <w:rsid w:val="3D294956"/>
    <w:rsid w:val="3D2D0B07"/>
    <w:rsid w:val="3D374610"/>
    <w:rsid w:val="3D3C2ED2"/>
    <w:rsid w:val="3D406863"/>
    <w:rsid w:val="3D4178D1"/>
    <w:rsid w:val="3D4358D5"/>
    <w:rsid w:val="3D4E55D6"/>
    <w:rsid w:val="3D513A3F"/>
    <w:rsid w:val="3D522A89"/>
    <w:rsid w:val="3D541763"/>
    <w:rsid w:val="3D591FD8"/>
    <w:rsid w:val="3D5D603F"/>
    <w:rsid w:val="3D5F7FA5"/>
    <w:rsid w:val="3D61413E"/>
    <w:rsid w:val="3D63117E"/>
    <w:rsid w:val="3D6A06DA"/>
    <w:rsid w:val="3D6D1EAE"/>
    <w:rsid w:val="3D6D5118"/>
    <w:rsid w:val="3D835F67"/>
    <w:rsid w:val="3D8500BB"/>
    <w:rsid w:val="3D85696B"/>
    <w:rsid w:val="3D8B1980"/>
    <w:rsid w:val="3D8E6C83"/>
    <w:rsid w:val="3D912CF3"/>
    <w:rsid w:val="3D987DA5"/>
    <w:rsid w:val="3D9D1F66"/>
    <w:rsid w:val="3DA422FC"/>
    <w:rsid w:val="3DA82902"/>
    <w:rsid w:val="3DA83664"/>
    <w:rsid w:val="3DAC5CA6"/>
    <w:rsid w:val="3DBB7569"/>
    <w:rsid w:val="3DBF00CF"/>
    <w:rsid w:val="3DBF497D"/>
    <w:rsid w:val="3DBF59D9"/>
    <w:rsid w:val="3DC53C0E"/>
    <w:rsid w:val="3DCC459A"/>
    <w:rsid w:val="3DDA6CB7"/>
    <w:rsid w:val="3DDC47DD"/>
    <w:rsid w:val="3DEF08E1"/>
    <w:rsid w:val="3DF15DAF"/>
    <w:rsid w:val="3DFB3C81"/>
    <w:rsid w:val="3DFC4B02"/>
    <w:rsid w:val="3E056F84"/>
    <w:rsid w:val="3E067AAC"/>
    <w:rsid w:val="3E135D5D"/>
    <w:rsid w:val="3E196FEC"/>
    <w:rsid w:val="3E1E1BA1"/>
    <w:rsid w:val="3E221C70"/>
    <w:rsid w:val="3E23272F"/>
    <w:rsid w:val="3E290A46"/>
    <w:rsid w:val="3E2D5039"/>
    <w:rsid w:val="3E2F75FF"/>
    <w:rsid w:val="3E375A15"/>
    <w:rsid w:val="3E394E4C"/>
    <w:rsid w:val="3E3E133A"/>
    <w:rsid w:val="3E506F79"/>
    <w:rsid w:val="3E5138A9"/>
    <w:rsid w:val="3E5C243D"/>
    <w:rsid w:val="3E63205A"/>
    <w:rsid w:val="3E645B54"/>
    <w:rsid w:val="3E71568B"/>
    <w:rsid w:val="3E740947"/>
    <w:rsid w:val="3E854E75"/>
    <w:rsid w:val="3E8804C1"/>
    <w:rsid w:val="3E8D6DA2"/>
    <w:rsid w:val="3E8F3986"/>
    <w:rsid w:val="3E9911BA"/>
    <w:rsid w:val="3E9E1755"/>
    <w:rsid w:val="3EA562D9"/>
    <w:rsid w:val="3EA64DEB"/>
    <w:rsid w:val="3EB64A9D"/>
    <w:rsid w:val="3EB85E94"/>
    <w:rsid w:val="3EBB3A87"/>
    <w:rsid w:val="3EBC79BB"/>
    <w:rsid w:val="3EC65D5F"/>
    <w:rsid w:val="3ECA0988"/>
    <w:rsid w:val="3ECD5DEB"/>
    <w:rsid w:val="3ED13738"/>
    <w:rsid w:val="3EE01C29"/>
    <w:rsid w:val="3EE15BAD"/>
    <w:rsid w:val="3EE36E7F"/>
    <w:rsid w:val="3EE403CC"/>
    <w:rsid w:val="3EE413D5"/>
    <w:rsid w:val="3EE75AAB"/>
    <w:rsid w:val="3EE95BDE"/>
    <w:rsid w:val="3EEE458E"/>
    <w:rsid w:val="3EF23B8C"/>
    <w:rsid w:val="3EF53D0A"/>
    <w:rsid w:val="3EF618CF"/>
    <w:rsid w:val="3EF773F3"/>
    <w:rsid w:val="3EFE1D51"/>
    <w:rsid w:val="3F1976BF"/>
    <w:rsid w:val="3F2C504B"/>
    <w:rsid w:val="3F39027B"/>
    <w:rsid w:val="3F4D5C14"/>
    <w:rsid w:val="3F597B0C"/>
    <w:rsid w:val="3F5B3839"/>
    <w:rsid w:val="3F5C5347"/>
    <w:rsid w:val="3F5F72A6"/>
    <w:rsid w:val="3F6405C0"/>
    <w:rsid w:val="3F6438B9"/>
    <w:rsid w:val="3F68472A"/>
    <w:rsid w:val="3F70123B"/>
    <w:rsid w:val="3F7E1BE7"/>
    <w:rsid w:val="3F897562"/>
    <w:rsid w:val="3F8E71D9"/>
    <w:rsid w:val="3F97055B"/>
    <w:rsid w:val="3F997BC1"/>
    <w:rsid w:val="3FA23805"/>
    <w:rsid w:val="3FA25C30"/>
    <w:rsid w:val="3FA63F82"/>
    <w:rsid w:val="3FAD2CBD"/>
    <w:rsid w:val="3FB13A48"/>
    <w:rsid w:val="3FBE399E"/>
    <w:rsid w:val="3FC17179"/>
    <w:rsid w:val="3FC213C7"/>
    <w:rsid w:val="3FC32B63"/>
    <w:rsid w:val="3FC52C55"/>
    <w:rsid w:val="3FCE1ACC"/>
    <w:rsid w:val="3FD03B57"/>
    <w:rsid w:val="3FD5420F"/>
    <w:rsid w:val="3FD55988"/>
    <w:rsid w:val="3FD73FFA"/>
    <w:rsid w:val="3FD7580E"/>
    <w:rsid w:val="3FD87116"/>
    <w:rsid w:val="3FE67B95"/>
    <w:rsid w:val="3FE77DA2"/>
    <w:rsid w:val="3FEA6F47"/>
    <w:rsid w:val="3FF05489"/>
    <w:rsid w:val="3FF440FD"/>
    <w:rsid w:val="40010EF3"/>
    <w:rsid w:val="40050F26"/>
    <w:rsid w:val="400650D9"/>
    <w:rsid w:val="40095919"/>
    <w:rsid w:val="400B3158"/>
    <w:rsid w:val="4024246B"/>
    <w:rsid w:val="402874F8"/>
    <w:rsid w:val="402B1A4C"/>
    <w:rsid w:val="402D7E6B"/>
    <w:rsid w:val="402F3B9F"/>
    <w:rsid w:val="403D734C"/>
    <w:rsid w:val="40445BF0"/>
    <w:rsid w:val="404B540D"/>
    <w:rsid w:val="405513E3"/>
    <w:rsid w:val="405A11D4"/>
    <w:rsid w:val="406D5BC1"/>
    <w:rsid w:val="40703849"/>
    <w:rsid w:val="40743897"/>
    <w:rsid w:val="407A208B"/>
    <w:rsid w:val="407C3466"/>
    <w:rsid w:val="407E06C1"/>
    <w:rsid w:val="408B7D18"/>
    <w:rsid w:val="40957207"/>
    <w:rsid w:val="409969B6"/>
    <w:rsid w:val="409E5D7F"/>
    <w:rsid w:val="40B21825"/>
    <w:rsid w:val="40BD13BA"/>
    <w:rsid w:val="40BF049C"/>
    <w:rsid w:val="40C30E75"/>
    <w:rsid w:val="40C7355C"/>
    <w:rsid w:val="40D13611"/>
    <w:rsid w:val="40D216E8"/>
    <w:rsid w:val="40D97653"/>
    <w:rsid w:val="40EA50CF"/>
    <w:rsid w:val="40EB11DB"/>
    <w:rsid w:val="40F622A1"/>
    <w:rsid w:val="40FA321D"/>
    <w:rsid w:val="40FC5C65"/>
    <w:rsid w:val="41001C7E"/>
    <w:rsid w:val="41067FED"/>
    <w:rsid w:val="411059EC"/>
    <w:rsid w:val="41232BDB"/>
    <w:rsid w:val="412A35F5"/>
    <w:rsid w:val="41374C62"/>
    <w:rsid w:val="413A3806"/>
    <w:rsid w:val="413D1A37"/>
    <w:rsid w:val="41407292"/>
    <w:rsid w:val="415536F1"/>
    <w:rsid w:val="41577611"/>
    <w:rsid w:val="415D385D"/>
    <w:rsid w:val="415F7AD7"/>
    <w:rsid w:val="4165084E"/>
    <w:rsid w:val="416D181E"/>
    <w:rsid w:val="416F3801"/>
    <w:rsid w:val="4172536B"/>
    <w:rsid w:val="417604CA"/>
    <w:rsid w:val="41765DD5"/>
    <w:rsid w:val="41782A6F"/>
    <w:rsid w:val="417D6DA0"/>
    <w:rsid w:val="418E1749"/>
    <w:rsid w:val="418E2CE1"/>
    <w:rsid w:val="419406F3"/>
    <w:rsid w:val="41960E6F"/>
    <w:rsid w:val="41964B2C"/>
    <w:rsid w:val="419A2C86"/>
    <w:rsid w:val="419B79D8"/>
    <w:rsid w:val="419D5E30"/>
    <w:rsid w:val="419D633E"/>
    <w:rsid w:val="41A2335D"/>
    <w:rsid w:val="41A361FB"/>
    <w:rsid w:val="41A505B7"/>
    <w:rsid w:val="41A63871"/>
    <w:rsid w:val="41AB59A4"/>
    <w:rsid w:val="41AD23D1"/>
    <w:rsid w:val="41C018DB"/>
    <w:rsid w:val="41C06739"/>
    <w:rsid w:val="41C53BF2"/>
    <w:rsid w:val="41CE3596"/>
    <w:rsid w:val="41CE6B33"/>
    <w:rsid w:val="41CF2217"/>
    <w:rsid w:val="41D6104E"/>
    <w:rsid w:val="41D659E7"/>
    <w:rsid w:val="41F3414B"/>
    <w:rsid w:val="41F70C2B"/>
    <w:rsid w:val="41F83BB0"/>
    <w:rsid w:val="42000D07"/>
    <w:rsid w:val="420620C3"/>
    <w:rsid w:val="42081F3C"/>
    <w:rsid w:val="420A5691"/>
    <w:rsid w:val="420D0B7B"/>
    <w:rsid w:val="420F0880"/>
    <w:rsid w:val="421C2CB7"/>
    <w:rsid w:val="4237620D"/>
    <w:rsid w:val="423B11D1"/>
    <w:rsid w:val="4242307D"/>
    <w:rsid w:val="42550C5E"/>
    <w:rsid w:val="42606D11"/>
    <w:rsid w:val="42612451"/>
    <w:rsid w:val="42616234"/>
    <w:rsid w:val="42662934"/>
    <w:rsid w:val="42663B1B"/>
    <w:rsid w:val="428931FE"/>
    <w:rsid w:val="42896ABB"/>
    <w:rsid w:val="428E080F"/>
    <w:rsid w:val="428E7F40"/>
    <w:rsid w:val="42AC5044"/>
    <w:rsid w:val="42C663B3"/>
    <w:rsid w:val="42C83582"/>
    <w:rsid w:val="42F252AC"/>
    <w:rsid w:val="42F97C2B"/>
    <w:rsid w:val="42FC322C"/>
    <w:rsid w:val="430345BA"/>
    <w:rsid w:val="4308674D"/>
    <w:rsid w:val="4309370A"/>
    <w:rsid w:val="431B52E5"/>
    <w:rsid w:val="431F44BE"/>
    <w:rsid w:val="43216BBE"/>
    <w:rsid w:val="43343709"/>
    <w:rsid w:val="433E55F2"/>
    <w:rsid w:val="43461D9D"/>
    <w:rsid w:val="434B5F61"/>
    <w:rsid w:val="434D32D2"/>
    <w:rsid w:val="43513400"/>
    <w:rsid w:val="435E77EC"/>
    <w:rsid w:val="4365796C"/>
    <w:rsid w:val="43672D9B"/>
    <w:rsid w:val="438A39E0"/>
    <w:rsid w:val="438F3077"/>
    <w:rsid w:val="43921EAF"/>
    <w:rsid w:val="439E0787"/>
    <w:rsid w:val="43AB384C"/>
    <w:rsid w:val="43AD756F"/>
    <w:rsid w:val="43AE7184"/>
    <w:rsid w:val="43BA7D9A"/>
    <w:rsid w:val="43BD6E5F"/>
    <w:rsid w:val="43C502F5"/>
    <w:rsid w:val="43D046C7"/>
    <w:rsid w:val="43D66F99"/>
    <w:rsid w:val="43DE7464"/>
    <w:rsid w:val="43DF2185"/>
    <w:rsid w:val="43E30839"/>
    <w:rsid w:val="43EC3745"/>
    <w:rsid w:val="43F96848"/>
    <w:rsid w:val="43FB38A6"/>
    <w:rsid w:val="440D1C56"/>
    <w:rsid w:val="440D6263"/>
    <w:rsid w:val="44105B6D"/>
    <w:rsid w:val="44111269"/>
    <w:rsid w:val="44120AC8"/>
    <w:rsid w:val="441610DC"/>
    <w:rsid w:val="44284C90"/>
    <w:rsid w:val="44297D26"/>
    <w:rsid w:val="443133A9"/>
    <w:rsid w:val="4432576B"/>
    <w:rsid w:val="44352C90"/>
    <w:rsid w:val="443D198F"/>
    <w:rsid w:val="443F35D0"/>
    <w:rsid w:val="44431A00"/>
    <w:rsid w:val="44446C38"/>
    <w:rsid w:val="44463727"/>
    <w:rsid w:val="444924A1"/>
    <w:rsid w:val="445B3272"/>
    <w:rsid w:val="446017B4"/>
    <w:rsid w:val="44675AEB"/>
    <w:rsid w:val="446D6D8C"/>
    <w:rsid w:val="44703ED1"/>
    <w:rsid w:val="44731A31"/>
    <w:rsid w:val="447C0B7F"/>
    <w:rsid w:val="448E1240"/>
    <w:rsid w:val="449D65EC"/>
    <w:rsid w:val="44A0729C"/>
    <w:rsid w:val="44A57E57"/>
    <w:rsid w:val="44AF5FE2"/>
    <w:rsid w:val="44C41036"/>
    <w:rsid w:val="44D02BC2"/>
    <w:rsid w:val="44D10283"/>
    <w:rsid w:val="44D533DB"/>
    <w:rsid w:val="44DB3415"/>
    <w:rsid w:val="44DB69BA"/>
    <w:rsid w:val="44DC6E79"/>
    <w:rsid w:val="44DE1066"/>
    <w:rsid w:val="44DF5FC8"/>
    <w:rsid w:val="44E36EBE"/>
    <w:rsid w:val="44F3240C"/>
    <w:rsid w:val="44F62859"/>
    <w:rsid w:val="450105BC"/>
    <w:rsid w:val="45014B29"/>
    <w:rsid w:val="4504286C"/>
    <w:rsid w:val="45050A08"/>
    <w:rsid w:val="45074F41"/>
    <w:rsid w:val="45112F65"/>
    <w:rsid w:val="45184F88"/>
    <w:rsid w:val="451D0C9B"/>
    <w:rsid w:val="451F222F"/>
    <w:rsid w:val="45281F9E"/>
    <w:rsid w:val="452B1BA6"/>
    <w:rsid w:val="45300BCC"/>
    <w:rsid w:val="45425A76"/>
    <w:rsid w:val="454431DC"/>
    <w:rsid w:val="454F3AE7"/>
    <w:rsid w:val="4550160D"/>
    <w:rsid w:val="45594965"/>
    <w:rsid w:val="456127CF"/>
    <w:rsid w:val="4563538E"/>
    <w:rsid w:val="456E2445"/>
    <w:rsid w:val="456F4189"/>
    <w:rsid w:val="4571691C"/>
    <w:rsid w:val="457A1327"/>
    <w:rsid w:val="457A3984"/>
    <w:rsid w:val="45877B6F"/>
    <w:rsid w:val="458B0897"/>
    <w:rsid w:val="458E4869"/>
    <w:rsid w:val="45937A59"/>
    <w:rsid w:val="459C04D0"/>
    <w:rsid w:val="459F39B4"/>
    <w:rsid w:val="45AB1BD9"/>
    <w:rsid w:val="45B47105"/>
    <w:rsid w:val="45B943A8"/>
    <w:rsid w:val="45C235AE"/>
    <w:rsid w:val="45C8747C"/>
    <w:rsid w:val="45CC15DB"/>
    <w:rsid w:val="45E4398E"/>
    <w:rsid w:val="45E43C16"/>
    <w:rsid w:val="45E43CB8"/>
    <w:rsid w:val="45E701C3"/>
    <w:rsid w:val="45ED6AF1"/>
    <w:rsid w:val="45F02A29"/>
    <w:rsid w:val="45FD0987"/>
    <w:rsid w:val="45FD3DD3"/>
    <w:rsid w:val="460A487E"/>
    <w:rsid w:val="46113C77"/>
    <w:rsid w:val="46130DF1"/>
    <w:rsid w:val="4613720A"/>
    <w:rsid w:val="461C153A"/>
    <w:rsid w:val="461C3CD9"/>
    <w:rsid w:val="461D69BA"/>
    <w:rsid w:val="461F1936"/>
    <w:rsid w:val="4633242C"/>
    <w:rsid w:val="46372D2E"/>
    <w:rsid w:val="46377F79"/>
    <w:rsid w:val="463F6F92"/>
    <w:rsid w:val="464B0472"/>
    <w:rsid w:val="465B3584"/>
    <w:rsid w:val="4662582C"/>
    <w:rsid w:val="4666134F"/>
    <w:rsid w:val="46685D61"/>
    <w:rsid w:val="46726EFA"/>
    <w:rsid w:val="46751107"/>
    <w:rsid w:val="46753ABF"/>
    <w:rsid w:val="46785B64"/>
    <w:rsid w:val="467B6C41"/>
    <w:rsid w:val="467E3F21"/>
    <w:rsid w:val="4681264A"/>
    <w:rsid w:val="468455CD"/>
    <w:rsid w:val="46927902"/>
    <w:rsid w:val="469B1347"/>
    <w:rsid w:val="469E0423"/>
    <w:rsid w:val="46AA0D41"/>
    <w:rsid w:val="46B30EAB"/>
    <w:rsid w:val="46B60A23"/>
    <w:rsid w:val="46B8390E"/>
    <w:rsid w:val="46C1540E"/>
    <w:rsid w:val="46C40AF9"/>
    <w:rsid w:val="46C768C8"/>
    <w:rsid w:val="46D14E7F"/>
    <w:rsid w:val="46D240D1"/>
    <w:rsid w:val="46D364BA"/>
    <w:rsid w:val="46E60791"/>
    <w:rsid w:val="46EA78F9"/>
    <w:rsid w:val="46EC14D1"/>
    <w:rsid w:val="46F53C68"/>
    <w:rsid w:val="46F75D6B"/>
    <w:rsid w:val="46FD2B4D"/>
    <w:rsid w:val="47037319"/>
    <w:rsid w:val="470B1ABC"/>
    <w:rsid w:val="470B4F53"/>
    <w:rsid w:val="47185BF0"/>
    <w:rsid w:val="471C7438"/>
    <w:rsid w:val="471D19C3"/>
    <w:rsid w:val="47266AC9"/>
    <w:rsid w:val="473138E7"/>
    <w:rsid w:val="47323FA6"/>
    <w:rsid w:val="473616A7"/>
    <w:rsid w:val="4738294A"/>
    <w:rsid w:val="473A3344"/>
    <w:rsid w:val="47422ABB"/>
    <w:rsid w:val="47426A8E"/>
    <w:rsid w:val="47486A40"/>
    <w:rsid w:val="474D7C19"/>
    <w:rsid w:val="47522851"/>
    <w:rsid w:val="477E4B57"/>
    <w:rsid w:val="478723EC"/>
    <w:rsid w:val="47965436"/>
    <w:rsid w:val="479B6F43"/>
    <w:rsid w:val="47AB3081"/>
    <w:rsid w:val="47AB7BDC"/>
    <w:rsid w:val="47C85DD2"/>
    <w:rsid w:val="47C91FC9"/>
    <w:rsid w:val="47C93D0D"/>
    <w:rsid w:val="47CF33D4"/>
    <w:rsid w:val="47D56B52"/>
    <w:rsid w:val="47D8273E"/>
    <w:rsid w:val="47DB4066"/>
    <w:rsid w:val="47E15CDC"/>
    <w:rsid w:val="47E36696"/>
    <w:rsid w:val="47EE0275"/>
    <w:rsid w:val="47F01948"/>
    <w:rsid w:val="47F204AB"/>
    <w:rsid w:val="47F659E0"/>
    <w:rsid w:val="480A7364"/>
    <w:rsid w:val="480E3A09"/>
    <w:rsid w:val="480F1B2D"/>
    <w:rsid w:val="481E3C65"/>
    <w:rsid w:val="482346E9"/>
    <w:rsid w:val="48276EB5"/>
    <w:rsid w:val="48282395"/>
    <w:rsid w:val="48301FE8"/>
    <w:rsid w:val="48365477"/>
    <w:rsid w:val="4838486A"/>
    <w:rsid w:val="485223D2"/>
    <w:rsid w:val="486060D9"/>
    <w:rsid w:val="48653881"/>
    <w:rsid w:val="486F44A0"/>
    <w:rsid w:val="48706549"/>
    <w:rsid w:val="487A531F"/>
    <w:rsid w:val="489B4F97"/>
    <w:rsid w:val="489D725F"/>
    <w:rsid w:val="489E030A"/>
    <w:rsid w:val="48A55A8B"/>
    <w:rsid w:val="48C40C2C"/>
    <w:rsid w:val="48C66B22"/>
    <w:rsid w:val="48CD5689"/>
    <w:rsid w:val="48D6741F"/>
    <w:rsid w:val="48DE4DA9"/>
    <w:rsid w:val="48F07CD0"/>
    <w:rsid w:val="48F5640F"/>
    <w:rsid w:val="48FE7967"/>
    <w:rsid w:val="4901586A"/>
    <w:rsid w:val="490543BA"/>
    <w:rsid w:val="490E58AF"/>
    <w:rsid w:val="491E01B3"/>
    <w:rsid w:val="492E2E51"/>
    <w:rsid w:val="493125DA"/>
    <w:rsid w:val="49373210"/>
    <w:rsid w:val="4938307D"/>
    <w:rsid w:val="493B5141"/>
    <w:rsid w:val="493E377D"/>
    <w:rsid w:val="493F22A5"/>
    <w:rsid w:val="49521DF7"/>
    <w:rsid w:val="495602F5"/>
    <w:rsid w:val="4959362F"/>
    <w:rsid w:val="496643FB"/>
    <w:rsid w:val="49697141"/>
    <w:rsid w:val="497266D3"/>
    <w:rsid w:val="497862E6"/>
    <w:rsid w:val="49816239"/>
    <w:rsid w:val="49860A1D"/>
    <w:rsid w:val="49883A47"/>
    <w:rsid w:val="49910EC5"/>
    <w:rsid w:val="49923C21"/>
    <w:rsid w:val="49932A9D"/>
    <w:rsid w:val="4995645B"/>
    <w:rsid w:val="49983CBF"/>
    <w:rsid w:val="499B7313"/>
    <w:rsid w:val="499E44F2"/>
    <w:rsid w:val="49A540DA"/>
    <w:rsid w:val="49A62990"/>
    <w:rsid w:val="49B8055E"/>
    <w:rsid w:val="49BC1967"/>
    <w:rsid w:val="49C1200D"/>
    <w:rsid w:val="49C2612B"/>
    <w:rsid w:val="49D123EE"/>
    <w:rsid w:val="49D20295"/>
    <w:rsid w:val="49D21754"/>
    <w:rsid w:val="49DB4573"/>
    <w:rsid w:val="49DC3DB7"/>
    <w:rsid w:val="49DD13BD"/>
    <w:rsid w:val="49E22A33"/>
    <w:rsid w:val="49E44349"/>
    <w:rsid w:val="49EC5F81"/>
    <w:rsid w:val="49F23C71"/>
    <w:rsid w:val="49F31694"/>
    <w:rsid w:val="4A0155CC"/>
    <w:rsid w:val="4A0D3601"/>
    <w:rsid w:val="4A0E0239"/>
    <w:rsid w:val="4A101CC2"/>
    <w:rsid w:val="4A135D12"/>
    <w:rsid w:val="4A194261"/>
    <w:rsid w:val="4A2007B4"/>
    <w:rsid w:val="4A2D16C3"/>
    <w:rsid w:val="4A2F0584"/>
    <w:rsid w:val="4A307330"/>
    <w:rsid w:val="4A3E65E1"/>
    <w:rsid w:val="4A3F11DA"/>
    <w:rsid w:val="4A422587"/>
    <w:rsid w:val="4A422FDE"/>
    <w:rsid w:val="4A42304C"/>
    <w:rsid w:val="4A4453C6"/>
    <w:rsid w:val="4A4658C7"/>
    <w:rsid w:val="4A466CE4"/>
    <w:rsid w:val="4A4C628D"/>
    <w:rsid w:val="4A574735"/>
    <w:rsid w:val="4A5C22AE"/>
    <w:rsid w:val="4A693E0D"/>
    <w:rsid w:val="4A7045EA"/>
    <w:rsid w:val="4A70519B"/>
    <w:rsid w:val="4A7B1B33"/>
    <w:rsid w:val="4A7F12EE"/>
    <w:rsid w:val="4A7F685E"/>
    <w:rsid w:val="4A8817D5"/>
    <w:rsid w:val="4A8C27CC"/>
    <w:rsid w:val="4A8D7BAB"/>
    <w:rsid w:val="4A910CE8"/>
    <w:rsid w:val="4A987734"/>
    <w:rsid w:val="4AA35854"/>
    <w:rsid w:val="4AAD7A66"/>
    <w:rsid w:val="4AB3334D"/>
    <w:rsid w:val="4ABE2576"/>
    <w:rsid w:val="4ABF1C77"/>
    <w:rsid w:val="4ABF37D4"/>
    <w:rsid w:val="4AC00E41"/>
    <w:rsid w:val="4ADF3B64"/>
    <w:rsid w:val="4ADF52C2"/>
    <w:rsid w:val="4AE24321"/>
    <w:rsid w:val="4AE44CD1"/>
    <w:rsid w:val="4AEC509A"/>
    <w:rsid w:val="4AFF7C5A"/>
    <w:rsid w:val="4B090BDC"/>
    <w:rsid w:val="4B09298A"/>
    <w:rsid w:val="4B110DC4"/>
    <w:rsid w:val="4B111EB1"/>
    <w:rsid w:val="4B1F02AC"/>
    <w:rsid w:val="4B250027"/>
    <w:rsid w:val="4B296B88"/>
    <w:rsid w:val="4B321EE0"/>
    <w:rsid w:val="4B3A6927"/>
    <w:rsid w:val="4B3B55EC"/>
    <w:rsid w:val="4B3D6AD7"/>
    <w:rsid w:val="4B406EC3"/>
    <w:rsid w:val="4B4B6AFE"/>
    <w:rsid w:val="4B4C1D10"/>
    <w:rsid w:val="4B5300A9"/>
    <w:rsid w:val="4B6634AF"/>
    <w:rsid w:val="4B6761F6"/>
    <w:rsid w:val="4B754C54"/>
    <w:rsid w:val="4B804CF7"/>
    <w:rsid w:val="4B846A4B"/>
    <w:rsid w:val="4B8B6121"/>
    <w:rsid w:val="4B980339"/>
    <w:rsid w:val="4B9A6C11"/>
    <w:rsid w:val="4B9E106B"/>
    <w:rsid w:val="4BA426B2"/>
    <w:rsid w:val="4BAC568B"/>
    <w:rsid w:val="4BAC5D42"/>
    <w:rsid w:val="4BB36341"/>
    <w:rsid w:val="4BBA4596"/>
    <w:rsid w:val="4BBF201F"/>
    <w:rsid w:val="4BC40B5F"/>
    <w:rsid w:val="4BC80EDC"/>
    <w:rsid w:val="4BCA4542"/>
    <w:rsid w:val="4BCA4BBE"/>
    <w:rsid w:val="4BCB0102"/>
    <w:rsid w:val="4BD62A64"/>
    <w:rsid w:val="4BDA60D4"/>
    <w:rsid w:val="4BDE0179"/>
    <w:rsid w:val="4BE67981"/>
    <w:rsid w:val="4BEA0AB3"/>
    <w:rsid w:val="4BED67DE"/>
    <w:rsid w:val="4BEF4C0F"/>
    <w:rsid w:val="4BF661AB"/>
    <w:rsid w:val="4BF9168F"/>
    <w:rsid w:val="4C0203A7"/>
    <w:rsid w:val="4C024A9D"/>
    <w:rsid w:val="4C09762F"/>
    <w:rsid w:val="4C0A0516"/>
    <w:rsid w:val="4C0A630C"/>
    <w:rsid w:val="4C0E057B"/>
    <w:rsid w:val="4C2E4FC9"/>
    <w:rsid w:val="4C2F6B1C"/>
    <w:rsid w:val="4C334537"/>
    <w:rsid w:val="4C391A7B"/>
    <w:rsid w:val="4C3B7127"/>
    <w:rsid w:val="4C3D6159"/>
    <w:rsid w:val="4C3E46A8"/>
    <w:rsid w:val="4C45358B"/>
    <w:rsid w:val="4C4F6AC2"/>
    <w:rsid w:val="4C52620E"/>
    <w:rsid w:val="4C564399"/>
    <w:rsid w:val="4C5702FD"/>
    <w:rsid w:val="4C5A0CCB"/>
    <w:rsid w:val="4C5A3A1A"/>
    <w:rsid w:val="4C5C5FE1"/>
    <w:rsid w:val="4C6258E2"/>
    <w:rsid w:val="4C6F71FC"/>
    <w:rsid w:val="4C70022A"/>
    <w:rsid w:val="4C7327B1"/>
    <w:rsid w:val="4C746E4A"/>
    <w:rsid w:val="4C750F14"/>
    <w:rsid w:val="4C8D1398"/>
    <w:rsid w:val="4C9216A6"/>
    <w:rsid w:val="4C952F46"/>
    <w:rsid w:val="4CB71D05"/>
    <w:rsid w:val="4CB862A5"/>
    <w:rsid w:val="4CC61D2C"/>
    <w:rsid w:val="4CC817BB"/>
    <w:rsid w:val="4CE318D3"/>
    <w:rsid w:val="4CEE1B0D"/>
    <w:rsid w:val="4CF45FCD"/>
    <w:rsid w:val="4CF478FE"/>
    <w:rsid w:val="4CFB27A6"/>
    <w:rsid w:val="4CFE4613"/>
    <w:rsid w:val="4D027D3E"/>
    <w:rsid w:val="4D045777"/>
    <w:rsid w:val="4D075A08"/>
    <w:rsid w:val="4D124247"/>
    <w:rsid w:val="4D193597"/>
    <w:rsid w:val="4D1A5EC5"/>
    <w:rsid w:val="4D1C2677"/>
    <w:rsid w:val="4D2512AF"/>
    <w:rsid w:val="4D253CE2"/>
    <w:rsid w:val="4D3A018C"/>
    <w:rsid w:val="4D3C22FE"/>
    <w:rsid w:val="4D46724C"/>
    <w:rsid w:val="4D4D1805"/>
    <w:rsid w:val="4D594B1C"/>
    <w:rsid w:val="4D5974C2"/>
    <w:rsid w:val="4D5B40E5"/>
    <w:rsid w:val="4D5D0D6B"/>
    <w:rsid w:val="4D5D3683"/>
    <w:rsid w:val="4D65747A"/>
    <w:rsid w:val="4D7541A8"/>
    <w:rsid w:val="4D806595"/>
    <w:rsid w:val="4D8F2172"/>
    <w:rsid w:val="4D9B0602"/>
    <w:rsid w:val="4D9B543E"/>
    <w:rsid w:val="4DAC3CEA"/>
    <w:rsid w:val="4DAD1CF2"/>
    <w:rsid w:val="4DB30C1D"/>
    <w:rsid w:val="4DBD2B9F"/>
    <w:rsid w:val="4DC22930"/>
    <w:rsid w:val="4DCE12A5"/>
    <w:rsid w:val="4DCE2F6D"/>
    <w:rsid w:val="4DCF7B07"/>
    <w:rsid w:val="4DD21733"/>
    <w:rsid w:val="4DD71E90"/>
    <w:rsid w:val="4DD92141"/>
    <w:rsid w:val="4DDF5C24"/>
    <w:rsid w:val="4DE22F1E"/>
    <w:rsid w:val="4DE3276F"/>
    <w:rsid w:val="4DE56AEF"/>
    <w:rsid w:val="4DE72F2C"/>
    <w:rsid w:val="4DE90596"/>
    <w:rsid w:val="4DEB6845"/>
    <w:rsid w:val="4DF623E3"/>
    <w:rsid w:val="4DF76071"/>
    <w:rsid w:val="4DF9095E"/>
    <w:rsid w:val="4DF91CDA"/>
    <w:rsid w:val="4E027D04"/>
    <w:rsid w:val="4E093322"/>
    <w:rsid w:val="4E1220FE"/>
    <w:rsid w:val="4E1754DA"/>
    <w:rsid w:val="4E1B4CE6"/>
    <w:rsid w:val="4E214E6B"/>
    <w:rsid w:val="4E2A5615"/>
    <w:rsid w:val="4E361CE8"/>
    <w:rsid w:val="4E364E01"/>
    <w:rsid w:val="4E3D4ECD"/>
    <w:rsid w:val="4E400149"/>
    <w:rsid w:val="4E41427F"/>
    <w:rsid w:val="4E485577"/>
    <w:rsid w:val="4E48798B"/>
    <w:rsid w:val="4E533960"/>
    <w:rsid w:val="4E5C054E"/>
    <w:rsid w:val="4E5D4877"/>
    <w:rsid w:val="4E603763"/>
    <w:rsid w:val="4E610774"/>
    <w:rsid w:val="4E6B74B7"/>
    <w:rsid w:val="4E6B7606"/>
    <w:rsid w:val="4E6D2DB5"/>
    <w:rsid w:val="4E6F5674"/>
    <w:rsid w:val="4E70333D"/>
    <w:rsid w:val="4E7B63D2"/>
    <w:rsid w:val="4E8073CC"/>
    <w:rsid w:val="4E813751"/>
    <w:rsid w:val="4E832A53"/>
    <w:rsid w:val="4E8A791D"/>
    <w:rsid w:val="4E8B43FB"/>
    <w:rsid w:val="4E8E43C1"/>
    <w:rsid w:val="4E9114F6"/>
    <w:rsid w:val="4E9C1023"/>
    <w:rsid w:val="4EA07161"/>
    <w:rsid w:val="4EA80B96"/>
    <w:rsid w:val="4EA92EFE"/>
    <w:rsid w:val="4EB10C7C"/>
    <w:rsid w:val="4EB276C9"/>
    <w:rsid w:val="4EB31C62"/>
    <w:rsid w:val="4EB52F18"/>
    <w:rsid w:val="4EBE7F2F"/>
    <w:rsid w:val="4ECA68D4"/>
    <w:rsid w:val="4ED17D1F"/>
    <w:rsid w:val="4ED50D55"/>
    <w:rsid w:val="4EDF0AA1"/>
    <w:rsid w:val="4EE23E83"/>
    <w:rsid w:val="4EEF1E97"/>
    <w:rsid w:val="4EFB1815"/>
    <w:rsid w:val="4EFF1209"/>
    <w:rsid w:val="4F041DE6"/>
    <w:rsid w:val="4F0B4D51"/>
    <w:rsid w:val="4F0F60F1"/>
    <w:rsid w:val="4F236249"/>
    <w:rsid w:val="4F2558B8"/>
    <w:rsid w:val="4F2A1CF5"/>
    <w:rsid w:val="4F326468"/>
    <w:rsid w:val="4F365C5E"/>
    <w:rsid w:val="4F381A8F"/>
    <w:rsid w:val="4F3E2ECC"/>
    <w:rsid w:val="4F4146CD"/>
    <w:rsid w:val="4F460F53"/>
    <w:rsid w:val="4F4F0DDD"/>
    <w:rsid w:val="4F4F21A0"/>
    <w:rsid w:val="4F587AEE"/>
    <w:rsid w:val="4F652159"/>
    <w:rsid w:val="4F672656"/>
    <w:rsid w:val="4F793461"/>
    <w:rsid w:val="4F8847C5"/>
    <w:rsid w:val="4F8C7586"/>
    <w:rsid w:val="4F8F7C28"/>
    <w:rsid w:val="4F9220E5"/>
    <w:rsid w:val="4F9312DC"/>
    <w:rsid w:val="4F9909AF"/>
    <w:rsid w:val="4FA229FE"/>
    <w:rsid w:val="4FA52172"/>
    <w:rsid w:val="4FA55A00"/>
    <w:rsid w:val="4FA7250F"/>
    <w:rsid w:val="4FAB1C62"/>
    <w:rsid w:val="4FAB502D"/>
    <w:rsid w:val="4FAC5499"/>
    <w:rsid w:val="4FAF111C"/>
    <w:rsid w:val="4FBA1CB4"/>
    <w:rsid w:val="4FBC5C63"/>
    <w:rsid w:val="4FBD7B94"/>
    <w:rsid w:val="4FC210D4"/>
    <w:rsid w:val="4FC22B1A"/>
    <w:rsid w:val="4FCB6BF8"/>
    <w:rsid w:val="4FCF6DD3"/>
    <w:rsid w:val="4FD25A40"/>
    <w:rsid w:val="4FD42D8C"/>
    <w:rsid w:val="4FDD4EE8"/>
    <w:rsid w:val="4FE131BE"/>
    <w:rsid w:val="4FF508FB"/>
    <w:rsid w:val="500D2532"/>
    <w:rsid w:val="50122176"/>
    <w:rsid w:val="501408D0"/>
    <w:rsid w:val="501F0CE0"/>
    <w:rsid w:val="502E124B"/>
    <w:rsid w:val="503069BE"/>
    <w:rsid w:val="503F5C36"/>
    <w:rsid w:val="50406313"/>
    <w:rsid w:val="504336E7"/>
    <w:rsid w:val="50447FC0"/>
    <w:rsid w:val="504B3C17"/>
    <w:rsid w:val="50595A82"/>
    <w:rsid w:val="5065033B"/>
    <w:rsid w:val="50660A80"/>
    <w:rsid w:val="507E0E8F"/>
    <w:rsid w:val="507F4C3B"/>
    <w:rsid w:val="50816453"/>
    <w:rsid w:val="508D7A0F"/>
    <w:rsid w:val="508E77C1"/>
    <w:rsid w:val="50997EB3"/>
    <w:rsid w:val="509F6E6F"/>
    <w:rsid w:val="50A54F03"/>
    <w:rsid w:val="50AC229D"/>
    <w:rsid w:val="50B12E21"/>
    <w:rsid w:val="50B50195"/>
    <w:rsid w:val="50B52C6C"/>
    <w:rsid w:val="50B909AE"/>
    <w:rsid w:val="50BF5E83"/>
    <w:rsid w:val="50C02C62"/>
    <w:rsid w:val="50C255AE"/>
    <w:rsid w:val="50C25AB5"/>
    <w:rsid w:val="50C44A74"/>
    <w:rsid w:val="50CB6D53"/>
    <w:rsid w:val="50CD23AF"/>
    <w:rsid w:val="50D01E93"/>
    <w:rsid w:val="50DD28EE"/>
    <w:rsid w:val="50DF36C7"/>
    <w:rsid w:val="50E31CC1"/>
    <w:rsid w:val="50F43794"/>
    <w:rsid w:val="50FC2CE4"/>
    <w:rsid w:val="51037C15"/>
    <w:rsid w:val="510876A2"/>
    <w:rsid w:val="510908C5"/>
    <w:rsid w:val="510D1B1D"/>
    <w:rsid w:val="511E4C13"/>
    <w:rsid w:val="51202052"/>
    <w:rsid w:val="512409B7"/>
    <w:rsid w:val="512424AD"/>
    <w:rsid w:val="512A4267"/>
    <w:rsid w:val="5136430E"/>
    <w:rsid w:val="51382590"/>
    <w:rsid w:val="5139564B"/>
    <w:rsid w:val="513E445E"/>
    <w:rsid w:val="5144220A"/>
    <w:rsid w:val="5148678B"/>
    <w:rsid w:val="514F3D35"/>
    <w:rsid w:val="5153685E"/>
    <w:rsid w:val="51571E03"/>
    <w:rsid w:val="51597A1E"/>
    <w:rsid w:val="515E264E"/>
    <w:rsid w:val="51636D7C"/>
    <w:rsid w:val="5168122D"/>
    <w:rsid w:val="516A26E1"/>
    <w:rsid w:val="516B13F2"/>
    <w:rsid w:val="51856AE2"/>
    <w:rsid w:val="51864580"/>
    <w:rsid w:val="518D4CEA"/>
    <w:rsid w:val="51943AC9"/>
    <w:rsid w:val="51976F41"/>
    <w:rsid w:val="51993809"/>
    <w:rsid w:val="51A241C7"/>
    <w:rsid w:val="51A87DD0"/>
    <w:rsid w:val="51B0094E"/>
    <w:rsid w:val="51BD002A"/>
    <w:rsid w:val="51C21ECF"/>
    <w:rsid w:val="51C5087F"/>
    <w:rsid w:val="51C94C21"/>
    <w:rsid w:val="51CC31B2"/>
    <w:rsid w:val="51DD623B"/>
    <w:rsid w:val="51E02573"/>
    <w:rsid w:val="51E86C3E"/>
    <w:rsid w:val="51ED0FBC"/>
    <w:rsid w:val="51F2311B"/>
    <w:rsid w:val="52087043"/>
    <w:rsid w:val="520C405D"/>
    <w:rsid w:val="521C354E"/>
    <w:rsid w:val="52233D77"/>
    <w:rsid w:val="52284D9A"/>
    <w:rsid w:val="522D51B0"/>
    <w:rsid w:val="522E2CD6"/>
    <w:rsid w:val="523D3796"/>
    <w:rsid w:val="524A0DA0"/>
    <w:rsid w:val="524A3DB8"/>
    <w:rsid w:val="525B6486"/>
    <w:rsid w:val="52640CAB"/>
    <w:rsid w:val="526B5CD8"/>
    <w:rsid w:val="527D677D"/>
    <w:rsid w:val="527F4518"/>
    <w:rsid w:val="528178A1"/>
    <w:rsid w:val="52900EEF"/>
    <w:rsid w:val="52941373"/>
    <w:rsid w:val="52964ADB"/>
    <w:rsid w:val="52AA4A52"/>
    <w:rsid w:val="52AD6B4F"/>
    <w:rsid w:val="52AE0622"/>
    <w:rsid w:val="52B10A1D"/>
    <w:rsid w:val="52B50668"/>
    <w:rsid w:val="52B83452"/>
    <w:rsid w:val="52BE634B"/>
    <w:rsid w:val="52C32770"/>
    <w:rsid w:val="52C8137C"/>
    <w:rsid w:val="52CA1893"/>
    <w:rsid w:val="52D1012A"/>
    <w:rsid w:val="52D23FA9"/>
    <w:rsid w:val="52D40346"/>
    <w:rsid w:val="52DA5170"/>
    <w:rsid w:val="52DF5DA7"/>
    <w:rsid w:val="52EA364F"/>
    <w:rsid w:val="52EC0217"/>
    <w:rsid w:val="52FB05DD"/>
    <w:rsid w:val="52FF6DEF"/>
    <w:rsid w:val="530075B5"/>
    <w:rsid w:val="53082824"/>
    <w:rsid w:val="53085EA7"/>
    <w:rsid w:val="53217C7A"/>
    <w:rsid w:val="53220E17"/>
    <w:rsid w:val="53234CBD"/>
    <w:rsid w:val="532759FE"/>
    <w:rsid w:val="53276F3F"/>
    <w:rsid w:val="53365D7A"/>
    <w:rsid w:val="533C66E3"/>
    <w:rsid w:val="534A3B3F"/>
    <w:rsid w:val="535452E8"/>
    <w:rsid w:val="5361159C"/>
    <w:rsid w:val="53635489"/>
    <w:rsid w:val="53654E1D"/>
    <w:rsid w:val="53660458"/>
    <w:rsid w:val="536A41E2"/>
    <w:rsid w:val="537A7080"/>
    <w:rsid w:val="537D4134"/>
    <w:rsid w:val="537F16E9"/>
    <w:rsid w:val="538A1F26"/>
    <w:rsid w:val="538D7C23"/>
    <w:rsid w:val="538F4226"/>
    <w:rsid w:val="53933738"/>
    <w:rsid w:val="539D6365"/>
    <w:rsid w:val="539F6BFC"/>
    <w:rsid w:val="53A05CFE"/>
    <w:rsid w:val="53A476F3"/>
    <w:rsid w:val="53AA44F2"/>
    <w:rsid w:val="53B0505A"/>
    <w:rsid w:val="53B549A3"/>
    <w:rsid w:val="53BA6DE3"/>
    <w:rsid w:val="53C90F08"/>
    <w:rsid w:val="53DF24DA"/>
    <w:rsid w:val="53E07DD8"/>
    <w:rsid w:val="53EA3583"/>
    <w:rsid w:val="53F7071D"/>
    <w:rsid w:val="53F81FB0"/>
    <w:rsid w:val="53FA2AFB"/>
    <w:rsid w:val="53FD2AD0"/>
    <w:rsid w:val="53FE3D89"/>
    <w:rsid w:val="54060FC8"/>
    <w:rsid w:val="54090033"/>
    <w:rsid w:val="540B0B46"/>
    <w:rsid w:val="540B3B85"/>
    <w:rsid w:val="540B4EFD"/>
    <w:rsid w:val="54136626"/>
    <w:rsid w:val="541505F1"/>
    <w:rsid w:val="54162508"/>
    <w:rsid w:val="54172F83"/>
    <w:rsid w:val="541E0EF6"/>
    <w:rsid w:val="54212CE2"/>
    <w:rsid w:val="542D7083"/>
    <w:rsid w:val="54317F9C"/>
    <w:rsid w:val="54341197"/>
    <w:rsid w:val="54351A65"/>
    <w:rsid w:val="54363906"/>
    <w:rsid w:val="543A3BB4"/>
    <w:rsid w:val="544113E6"/>
    <w:rsid w:val="54413C25"/>
    <w:rsid w:val="54467585"/>
    <w:rsid w:val="54484523"/>
    <w:rsid w:val="545C08D7"/>
    <w:rsid w:val="54603722"/>
    <w:rsid w:val="54610F36"/>
    <w:rsid w:val="5462025C"/>
    <w:rsid w:val="54626882"/>
    <w:rsid w:val="54663B73"/>
    <w:rsid w:val="54680D80"/>
    <w:rsid w:val="546C58F3"/>
    <w:rsid w:val="546D6470"/>
    <w:rsid w:val="5470697C"/>
    <w:rsid w:val="547E3838"/>
    <w:rsid w:val="54825801"/>
    <w:rsid w:val="54875AEE"/>
    <w:rsid w:val="548A5AB8"/>
    <w:rsid w:val="548B08B3"/>
    <w:rsid w:val="549332C4"/>
    <w:rsid w:val="54941C9D"/>
    <w:rsid w:val="549D1F36"/>
    <w:rsid w:val="54AD51C0"/>
    <w:rsid w:val="54AF1A2A"/>
    <w:rsid w:val="54C64BF0"/>
    <w:rsid w:val="54C9493B"/>
    <w:rsid w:val="54CE79BB"/>
    <w:rsid w:val="54D1489E"/>
    <w:rsid w:val="54E029AD"/>
    <w:rsid w:val="54E85C1C"/>
    <w:rsid w:val="54EA382C"/>
    <w:rsid w:val="54F4189B"/>
    <w:rsid w:val="54FA1E84"/>
    <w:rsid w:val="54FB52E2"/>
    <w:rsid w:val="55050666"/>
    <w:rsid w:val="55094971"/>
    <w:rsid w:val="551262E2"/>
    <w:rsid w:val="55166CC0"/>
    <w:rsid w:val="551705B2"/>
    <w:rsid w:val="55185040"/>
    <w:rsid w:val="55244B1D"/>
    <w:rsid w:val="55266AEE"/>
    <w:rsid w:val="552B174F"/>
    <w:rsid w:val="552C1582"/>
    <w:rsid w:val="552F3B91"/>
    <w:rsid w:val="55304B61"/>
    <w:rsid w:val="553A12E2"/>
    <w:rsid w:val="553C52A5"/>
    <w:rsid w:val="553E49E6"/>
    <w:rsid w:val="5540344C"/>
    <w:rsid w:val="55464C7B"/>
    <w:rsid w:val="55483B1D"/>
    <w:rsid w:val="55524F2D"/>
    <w:rsid w:val="555316CD"/>
    <w:rsid w:val="555458E9"/>
    <w:rsid w:val="555C0933"/>
    <w:rsid w:val="555F5D1A"/>
    <w:rsid w:val="55676C2B"/>
    <w:rsid w:val="556E2F41"/>
    <w:rsid w:val="556F017C"/>
    <w:rsid w:val="55705558"/>
    <w:rsid w:val="558846B5"/>
    <w:rsid w:val="558A372D"/>
    <w:rsid w:val="559227E3"/>
    <w:rsid w:val="55941FCF"/>
    <w:rsid w:val="55992B5C"/>
    <w:rsid w:val="559B4E20"/>
    <w:rsid w:val="559D7FEA"/>
    <w:rsid w:val="559F6BEE"/>
    <w:rsid w:val="55A3155D"/>
    <w:rsid w:val="55A34556"/>
    <w:rsid w:val="55A42AD9"/>
    <w:rsid w:val="55A94E8E"/>
    <w:rsid w:val="55B37840"/>
    <w:rsid w:val="55BC4962"/>
    <w:rsid w:val="55BC6DAF"/>
    <w:rsid w:val="55BD2CEE"/>
    <w:rsid w:val="55BD676B"/>
    <w:rsid w:val="55CD0483"/>
    <w:rsid w:val="55CD77C4"/>
    <w:rsid w:val="55D55FF0"/>
    <w:rsid w:val="55DB1078"/>
    <w:rsid w:val="55E3357A"/>
    <w:rsid w:val="55E8309D"/>
    <w:rsid w:val="55EE4FED"/>
    <w:rsid w:val="560F0B3B"/>
    <w:rsid w:val="56127BD4"/>
    <w:rsid w:val="561A3C05"/>
    <w:rsid w:val="561D09F2"/>
    <w:rsid w:val="56231BB6"/>
    <w:rsid w:val="56291788"/>
    <w:rsid w:val="564C32D6"/>
    <w:rsid w:val="564F6F71"/>
    <w:rsid w:val="56502307"/>
    <w:rsid w:val="56555BD6"/>
    <w:rsid w:val="56633896"/>
    <w:rsid w:val="56651CC5"/>
    <w:rsid w:val="56672B2B"/>
    <w:rsid w:val="56756E32"/>
    <w:rsid w:val="567C0974"/>
    <w:rsid w:val="567D0318"/>
    <w:rsid w:val="567D247D"/>
    <w:rsid w:val="567E5D3D"/>
    <w:rsid w:val="567F1378"/>
    <w:rsid w:val="568122B8"/>
    <w:rsid w:val="568461BA"/>
    <w:rsid w:val="56885759"/>
    <w:rsid w:val="568E0FE2"/>
    <w:rsid w:val="569F1693"/>
    <w:rsid w:val="56A1677B"/>
    <w:rsid w:val="56A56296"/>
    <w:rsid w:val="56A8115B"/>
    <w:rsid w:val="56A859F9"/>
    <w:rsid w:val="56B47867"/>
    <w:rsid w:val="56B85264"/>
    <w:rsid w:val="56B93D48"/>
    <w:rsid w:val="56BA4939"/>
    <w:rsid w:val="56BC7408"/>
    <w:rsid w:val="56BF7379"/>
    <w:rsid w:val="56C540E1"/>
    <w:rsid w:val="56CA4AAF"/>
    <w:rsid w:val="56D335A6"/>
    <w:rsid w:val="56DA30C0"/>
    <w:rsid w:val="56DB78D0"/>
    <w:rsid w:val="56DE63BA"/>
    <w:rsid w:val="56E16569"/>
    <w:rsid w:val="56E214E7"/>
    <w:rsid w:val="56E61E33"/>
    <w:rsid w:val="56F56189"/>
    <w:rsid w:val="56F61183"/>
    <w:rsid w:val="570404A9"/>
    <w:rsid w:val="570A2DD6"/>
    <w:rsid w:val="57100E59"/>
    <w:rsid w:val="5714693E"/>
    <w:rsid w:val="571D0275"/>
    <w:rsid w:val="5721031C"/>
    <w:rsid w:val="57241605"/>
    <w:rsid w:val="572428B3"/>
    <w:rsid w:val="572A2212"/>
    <w:rsid w:val="573E0336"/>
    <w:rsid w:val="57490EE0"/>
    <w:rsid w:val="574C257C"/>
    <w:rsid w:val="574C60A0"/>
    <w:rsid w:val="575E0158"/>
    <w:rsid w:val="575E1FBA"/>
    <w:rsid w:val="576353F3"/>
    <w:rsid w:val="57641364"/>
    <w:rsid w:val="576F48E4"/>
    <w:rsid w:val="577273FE"/>
    <w:rsid w:val="577A5954"/>
    <w:rsid w:val="577C2642"/>
    <w:rsid w:val="577E40B2"/>
    <w:rsid w:val="57875362"/>
    <w:rsid w:val="57907E1B"/>
    <w:rsid w:val="57A05D06"/>
    <w:rsid w:val="57A34426"/>
    <w:rsid w:val="57AD28EF"/>
    <w:rsid w:val="57B57870"/>
    <w:rsid w:val="57B65C47"/>
    <w:rsid w:val="57B743C4"/>
    <w:rsid w:val="57C9273B"/>
    <w:rsid w:val="57CD02FF"/>
    <w:rsid w:val="57DA0118"/>
    <w:rsid w:val="57DF2E42"/>
    <w:rsid w:val="57E521BA"/>
    <w:rsid w:val="57F14C0F"/>
    <w:rsid w:val="57F205CB"/>
    <w:rsid w:val="57F8000E"/>
    <w:rsid w:val="58011275"/>
    <w:rsid w:val="58070251"/>
    <w:rsid w:val="580D1F40"/>
    <w:rsid w:val="581373ED"/>
    <w:rsid w:val="581C52DF"/>
    <w:rsid w:val="581D042C"/>
    <w:rsid w:val="58232D44"/>
    <w:rsid w:val="5827530D"/>
    <w:rsid w:val="582B0DA3"/>
    <w:rsid w:val="582B60EB"/>
    <w:rsid w:val="582B7B9D"/>
    <w:rsid w:val="58493AFF"/>
    <w:rsid w:val="58496ABB"/>
    <w:rsid w:val="584B5D8D"/>
    <w:rsid w:val="584F212C"/>
    <w:rsid w:val="585211B7"/>
    <w:rsid w:val="5857298D"/>
    <w:rsid w:val="585744F7"/>
    <w:rsid w:val="585A437B"/>
    <w:rsid w:val="585D0B50"/>
    <w:rsid w:val="585D7422"/>
    <w:rsid w:val="58603F60"/>
    <w:rsid w:val="58622196"/>
    <w:rsid w:val="586D1202"/>
    <w:rsid w:val="58722837"/>
    <w:rsid w:val="587E7DF7"/>
    <w:rsid w:val="587F213A"/>
    <w:rsid w:val="588318DD"/>
    <w:rsid w:val="588407AB"/>
    <w:rsid w:val="5886683F"/>
    <w:rsid w:val="588E2135"/>
    <w:rsid w:val="5898241A"/>
    <w:rsid w:val="58B42ACF"/>
    <w:rsid w:val="58BA3994"/>
    <w:rsid w:val="58BC103B"/>
    <w:rsid w:val="58BC6E86"/>
    <w:rsid w:val="58BD3110"/>
    <w:rsid w:val="58C0622C"/>
    <w:rsid w:val="58C15B38"/>
    <w:rsid w:val="58C372F2"/>
    <w:rsid w:val="58CC0CEC"/>
    <w:rsid w:val="58D52E4F"/>
    <w:rsid w:val="58E467E4"/>
    <w:rsid w:val="58EB090A"/>
    <w:rsid w:val="590554BA"/>
    <w:rsid w:val="590E3D84"/>
    <w:rsid w:val="590F6E49"/>
    <w:rsid w:val="5915074C"/>
    <w:rsid w:val="591A64F6"/>
    <w:rsid w:val="591A70E8"/>
    <w:rsid w:val="5928692F"/>
    <w:rsid w:val="59294E9D"/>
    <w:rsid w:val="592B689B"/>
    <w:rsid w:val="592F6005"/>
    <w:rsid w:val="5936505F"/>
    <w:rsid w:val="593C0557"/>
    <w:rsid w:val="59406E4A"/>
    <w:rsid w:val="59436951"/>
    <w:rsid w:val="59442A10"/>
    <w:rsid w:val="594B5EC4"/>
    <w:rsid w:val="59527BF2"/>
    <w:rsid w:val="59565127"/>
    <w:rsid w:val="596F6EA3"/>
    <w:rsid w:val="5977698D"/>
    <w:rsid w:val="598A551B"/>
    <w:rsid w:val="598C3E46"/>
    <w:rsid w:val="598C77D4"/>
    <w:rsid w:val="5999312B"/>
    <w:rsid w:val="599E454B"/>
    <w:rsid w:val="59B01339"/>
    <w:rsid w:val="59B471C9"/>
    <w:rsid w:val="59CC2E54"/>
    <w:rsid w:val="59CC581D"/>
    <w:rsid w:val="59D66184"/>
    <w:rsid w:val="59E75135"/>
    <w:rsid w:val="59EA31D2"/>
    <w:rsid w:val="59F6057D"/>
    <w:rsid w:val="5A003A30"/>
    <w:rsid w:val="5A0A25D8"/>
    <w:rsid w:val="5A0A73AE"/>
    <w:rsid w:val="5A0D02E3"/>
    <w:rsid w:val="5A1A78F6"/>
    <w:rsid w:val="5A1F2BAC"/>
    <w:rsid w:val="5A1F5912"/>
    <w:rsid w:val="5A211258"/>
    <w:rsid w:val="5A390534"/>
    <w:rsid w:val="5A411391"/>
    <w:rsid w:val="5A457669"/>
    <w:rsid w:val="5A4B62FE"/>
    <w:rsid w:val="5A566491"/>
    <w:rsid w:val="5A5673EA"/>
    <w:rsid w:val="5A571237"/>
    <w:rsid w:val="5A587C0F"/>
    <w:rsid w:val="5A61779B"/>
    <w:rsid w:val="5A63770C"/>
    <w:rsid w:val="5A655FE6"/>
    <w:rsid w:val="5A692CE8"/>
    <w:rsid w:val="5A7D49A2"/>
    <w:rsid w:val="5A7D621B"/>
    <w:rsid w:val="5A8D7133"/>
    <w:rsid w:val="5A911041"/>
    <w:rsid w:val="5A914851"/>
    <w:rsid w:val="5A922577"/>
    <w:rsid w:val="5AA004E9"/>
    <w:rsid w:val="5AA536B7"/>
    <w:rsid w:val="5AB223CC"/>
    <w:rsid w:val="5ABB5323"/>
    <w:rsid w:val="5ABE5A7E"/>
    <w:rsid w:val="5AC3520C"/>
    <w:rsid w:val="5AC461C0"/>
    <w:rsid w:val="5AD42D34"/>
    <w:rsid w:val="5AD84127"/>
    <w:rsid w:val="5ADB3C78"/>
    <w:rsid w:val="5ADB5213"/>
    <w:rsid w:val="5AEC372E"/>
    <w:rsid w:val="5AEE74A6"/>
    <w:rsid w:val="5AF14D62"/>
    <w:rsid w:val="5AFA763F"/>
    <w:rsid w:val="5AFC4750"/>
    <w:rsid w:val="5AFC6C0A"/>
    <w:rsid w:val="5AFF3461"/>
    <w:rsid w:val="5B094E36"/>
    <w:rsid w:val="5B0A7ABB"/>
    <w:rsid w:val="5B1309DD"/>
    <w:rsid w:val="5B1610BE"/>
    <w:rsid w:val="5B20333B"/>
    <w:rsid w:val="5B233A27"/>
    <w:rsid w:val="5B236E6D"/>
    <w:rsid w:val="5B266C40"/>
    <w:rsid w:val="5B2B06FA"/>
    <w:rsid w:val="5B3062C7"/>
    <w:rsid w:val="5B3A1426"/>
    <w:rsid w:val="5B3A40CB"/>
    <w:rsid w:val="5B3B0D1E"/>
    <w:rsid w:val="5B402439"/>
    <w:rsid w:val="5B421185"/>
    <w:rsid w:val="5B4D1B6B"/>
    <w:rsid w:val="5B4E03EB"/>
    <w:rsid w:val="5B4E0E2D"/>
    <w:rsid w:val="5B56441C"/>
    <w:rsid w:val="5B5C4980"/>
    <w:rsid w:val="5B5E71D6"/>
    <w:rsid w:val="5B5F519F"/>
    <w:rsid w:val="5B6115FC"/>
    <w:rsid w:val="5B6D6AB9"/>
    <w:rsid w:val="5B79262B"/>
    <w:rsid w:val="5B7B168F"/>
    <w:rsid w:val="5B8108C5"/>
    <w:rsid w:val="5B9B6320"/>
    <w:rsid w:val="5BA23307"/>
    <w:rsid w:val="5BA54EAC"/>
    <w:rsid w:val="5BA977B6"/>
    <w:rsid w:val="5BAB2280"/>
    <w:rsid w:val="5BAC3984"/>
    <w:rsid w:val="5BB017DF"/>
    <w:rsid w:val="5BBC338C"/>
    <w:rsid w:val="5BBF10B3"/>
    <w:rsid w:val="5BBF6639"/>
    <w:rsid w:val="5BC151C8"/>
    <w:rsid w:val="5BC7789A"/>
    <w:rsid w:val="5BD2373C"/>
    <w:rsid w:val="5BD449EE"/>
    <w:rsid w:val="5BD520F8"/>
    <w:rsid w:val="5BDE751B"/>
    <w:rsid w:val="5BE2631C"/>
    <w:rsid w:val="5BE663CF"/>
    <w:rsid w:val="5BEB465F"/>
    <w:rsid w:val="5BF31218"/>
    <w:rsid w:val="5BFA1563"/>
    <w:rsid w:val="5BFA75ED"/>
    <w:rsid w:val="5BFE196B"/>
    <w:rsid w:val="5BFE6789"/>
    <w:rsid w:val="5C0A1B37"/>
    <w:rsid w:val="5C0B1CDA"/>
    <w:rsid w:val="5C0B330C"/>
    <w:rsid w:val="5C0E42C2"/>
    <w:rsid w:val="5C121CA4"/>
    <w:rsid w:val="5C123086"/>
    <w:rsid w:val="5C152333"/>
    <w:rsid w:val="5C1D2FEA"/>
    <w:rsid w:val="5C1F1B3E"/>
    <w:rsid w:val="5C205D85"/>
    <w:rsid w:val="5C221465"/>
    <w:rsid w:val="5C267F23"/>
    <w:rsid w:val="5C286A9A"/>
    <w:rsid w:val="5C2A0549"/>
    <w:rsid w:val="5C2A2760"/>
    <w:rsid w:val="5C383BEE"/>
    <w:rsid w:val="5C4E267A"/>
    <w:rsid w:val="5C535963"/>
    <w:rsid w:val="5C5617A7"/>
    <w:rsid w:val="5C597B02"/>
    <w:rsid w:val="5C5F68AD"/>
    <w:rsid w:val="5C651027"/>
    <w:rsid w:val="5C666166"/>
    <w:rsid w:val="5C797243"/>
    <w:rsid w:val="5C810E02"/>
    <w:rsid w:val="5C833FB6"/>
    <w:rsid w:val="5C8C341B"/>
    <w:rsid w:val="5C933840"/>
    <w:rsid w:val="5C934252"/>
    <w:rsid w:val="5C934ABB"/>
    <w:rsid w:val="5CA106D4"/>
    <w:rsid w:val="5CA44735"/>
    <w:rsid w:val="5CAC280A"/>
    <w:rsid w:val="5CAD396D"/>
    <w:rsid w:val="5CAD3A29"/>
    <w:rsid w:val="5CAD5922"/>
    <w:rsid w:val="5CAD5C12"/>
    <w:rsid w:val="5CB31938"/>
    <w:rsid w:val="5CBD5A4C"/>
    <w:rsid w:val="5CC03F18"/>
    <w:rsid w:val="5CC066A1"/>
    <w:rsid w:val="5CC86B66"/>
    <w:rsid w:val="5CC937C3"/>
    <w:rsid w:val="5CDB5A00"/>
    <w:rsid w:val="5CDC7D50"/>
    <w:rsid w:val="5CDF354A"/>
    <w:rsid w:val="5CE86A6E"/>
    <w:rsid w:val="5CF44B92"/>
    <w:rsid w:val="5CF678A9"/>
    <w:rsid w:val="5CF80AE0"/>
    <w:rsid w:val="5D097208"/>
    <w:rsid w:val="5D150192"/>
    <w:rsid w:val="5D164B83"/>
    <w:rsid w:val="5D2100F7"/>
    <w:rsid w:val="5D2C7CC1"/>
    <w:rsid w:val="5D3240C4"/>
    <w:rsid w:val="5D3277F4"/>
    <w:rsid w:val="5D3E3E5D"/>
    <w:rsid w:val="5D3E54E6"/>
    <w:rsid w:val="5D42235A"/>
    <w:rsid w:val="5D472BF1"/>
    <w:rsid w:val="5D4E247E"/>
    <w:rsid w:val="5D5932FD"/>
    <w:rsid w:val="5D5B3D16"/>
    <w:rsid w:val="5D6327CC"/>
    <w:rsid w:val="5D676E01"/>
    <w:rsid w:val="5D6837FA"/>
    <w:rsid w:val="5D717537"/>
    <w:rsid w:val="5D737036"/>
    <w:rsid w:val="5D754D22"/>
    <w:rsid w:val="5D815130"/>
    <w:rsid w:val="5D861D83"/>
    <w:rsid w:val="5D994B6C"/>
    <w:rsid w:val="5D9A50C1"/>
    <w:rsid w:val="5DAF116F"/>
    <w:rsid w:val="5DB276BD"/>
    <w:rsid w:val="5DC21ED5"/>
    <w:rsid w:val="5DDC03E5"/>
    <w:rsid w:val="5DE0125F"/>
    <w:rsid w:val="5DE572F1"/>
    <w:rsid w:val="5DFF28A2"/>
    <w:rsid w:val="5DFF5CC4"/>
    <w:rsid w:val="5E030390"/>
    <w:rsid w:val="5E050F5E"/>
    <w:rsid w:val="5E0D204F"/>
    <w:rsid w:val="5E1242D2"/>
    <w:rsid w:val="5E160F34"/>
    <w:rsid w:val="5E24290B"/>
    <w:rsid w:val="5E343D6A"/>
    <w:rsid w:val="5E417271"/>
    <w:rsid w:val="5E4E6ADC"/>
    <w:rsid w:val="5E520AD0"/>
    <w:rsid w:val="5E520FB6"/>
    <w:rsid w:val="5E563221"/>
    <w:rsid w:val="5E5B4EFE"/>
    <w:rsid w:val="5E644C39"/>
    <w:rsid w:val="5E660E21"/>
    <w:rsid w:val="5E750BDA"/>
    <w:rsid w:val="5E757EE0"/>
    <w:rsid w:val="5E7633EE"/>
    <w:rsid w:val="5E7F1217"/>
    <w:rsid w:val="5E8720EC"/>
    <w:rsid w:val="5E922813"/>
    <w:rsid w:val="5E934044"/>
    <w:rsid w:val="5E960581"/>
    <w:rsid w:val="5E9D3904"/>
    <w:rsid w:val="5E9F43DD"/>
    <w:rsid w:val="5EA36BFC"/>
    <w:rsid w:val="5EA5381E"/>
    <w:rsid w:val="5EA86540"/>
    <w:rsid w:val="5EA920C4"/>
    <w:rsid w:val="5EBB1D95"/>
    <w:rsid w:val="5EBC455B"/>
    <w:rsid w:val="5ED25166"/>
    <w:rsid w:val="5ED56FB5"/>
    <w:rsid w:val="5EDD251D"/>
    <w:rsid w:val="5EE44B41"/>
    <w:rsid w:val="5EE7556B"/>
    <w:rsid w:val="5EF73A52"/>
    <w:rsid w:val="5F0674B4"/>
    <w:rsid w:val="5F077D32"/>
    <w:rsid w:val="5F117BC9"/>
    <w:rsid w:val="5F1244C5"/>
    <w:rsid w:val="5F1A7862"/>
    <w:rsid w:val="5F1F0F1D"/>
    <w:rsid w:val="5F2079F0"/>
    <w:rsid w:val="5F294E23"/>
    <w:rsid w:val="5F333466"/>
    <w:rsid w:val="5F3C4C84"/>
    <w:rsid w:val="5F3D1AF1"/>
    <w:rsid w:val="5F5B2064"/>
    <w:rsid w:val="5F5C6B7A"/>
    <w:rsid w:val="5F630463"/>
    <w:rsid w:val="5F691C6E"/>
    <w:rsid w:val="5F6B545B"/>
    <w:rsid w:val="5F6C4AE8"/>
    <w:rsid w:val="5F776617"/>
    <w:rsid w:val="5F83246B"/>
    <w:rsid w:val="5F883B17"/>
    <w:rsid w:val="5F962C10"/>
    <w:rsid w:val="5F9E0305"/>
    <w:rsid w:val="5FA02834"/>
    <w:rsid w:val="5FA24883"/>
    <w:rsid w:val="5FC03CD8"/>
    <w:rsid w:val="5FC40005"/>
    <w:rsid w:val="5FD4320A"/>
    <w:rsid w:val="5FD64512"/>
    <w:rsid w:val="5FDB6E3C"/>
    <w:rsid w:val="5FDC6467"/>
    <w:rsid w:val="5FDE62FC"/>
    <w:rsid w:val="5FE74E4F"/>
    <w:rsid w:val="5FF05FBB"/>
    <w:rsid w:val="5FF80506"/>
    <w:rsid w:val="5FFF3E49"/>
    <w:rsid w:val="60010764"/>
    <w:rsid w:val="60010F25"/>
    <w:rsid w:val="60075838"/>
    <w:rsid w:val="60187519"/>
    <w:rsid w:val="601C6864"/>
    <w:rsid w:val="60236F65"/>
    <w:rsid w:val="602B5BF9"/>
    <w:rsid w:val="602C10A1"/>
    <w:rsid w:val="603629B9"/>
    <w:rsid w:val="603D21B8"/>
    <w:rsid w:val="6050348F"/>
    <w:rsid w:val="60536729"/>
    <w:rsid w:val="60663178"/>
    <w:rsid w:val="606A3EEB"/>
    <w:rsid w:val="606C1599"/>
    <w:rsid w:val="60710E6E"/>
    <w:rsid w:val="607F6F24"/>
    <w:rsid w:val="60817B6A"/>
    <w:rsid w:val="60824919"/>
    <w:rsid w:val="60845A94"/>
    <w:rsid w:val="6097419E"/>
    <w:rsid w:val="609D26AE"/>
    <w:rsid w:val="60A615E0"/>
    <w:rsid w:val="60A8171D"/>
    <w:rsid w:val="60AA20C1"/>
    <w:rsid w:val="60B20813"/>
    <w:rsid w:val="60B715C4"/>
    <w:rsid w:val="60BD1C8A"/>
    <w:rsid w:val="60BD4449"/>
    <w:rsid w:val="60BF187B"/>
    <w:rsid w:val="60C1173B"/>
    <w:rsid w:val="60C1731E"/>
    <w:rsid w:val="60C41282"/>
    <w:rsid w:val="60C91F84"/>
    <w:rsid w:val="60D17CFC"/>
    <w:rsid w:val="60DA107A"/>
    <w:rsid w:val="60E35E5E"/>
    <w:rsid w:val="60EF52F0"/>
    <w:rsid w:val="60F57264"/>
    <w:rsid w:val="60F872D1"/>
    <w:rsid w:val="60FE23A2"/>
    <w:rsid w:val="60FE6B7B"/>
    <w:rsid w:val="61051D73"/>
    <w:rsid w:val="61080E37"/>
    <w:rsid w:val="610D2D26"/>
    <w:rsid w:val="61143DA8"/>
    <w:rsid w:val="611D7739"/>
    <w:rsid w:val="612E5685"/>
    <w:rsid w:val="61400211"/>
    <w:rsid w:val="6141278C"/>
    <w:rsid w:val="614C769B"/>
    <w:rsid w:val="614E7737"/>
    <w:rsid w:val="615D7CB5"/>
    <w:rsid w:val="6166423A"/>
    <w:rsid w:val="616A058A"/>
    <w:rsid w:val="616B4900"/>
    <w:rsid w:val="616D55C9"/>
    <w:rsid w:val="61722BDF"/>
    <w:rsid w:val="617B2A83"/>
    <w:rsid w:val="618715F0"/>
    <w:rsid w:val="61886685"/>
    <w:rsid w:val="618A41AA"/>
    <w:rsid w:val="6190699E"/>
    <w:rsid w:val="61974ADF"/>
    <w:rsid w:val="61994610"/>
    <w:rsid w:val="619A70E6"/>
    <w:rsid w:val="619F650D"/>
    <w:rsid w:val="61A65D5D"/>
    <w:rsid w:val="61C50B42"/>
    <w:rsid w:val="61CA1E42"/>
    <w:rsid w:val="61CF2C61"/>
    <w:rsid w:val="61E41616"/>
    <w:rsid w:val="61EC2995"/>
    <w:rsid w:val="61F176D7"/>
    <w:rsid w:val="61F62110"/>
    <w:rsid w:val="61FC458E"/>
    <w:rsid w:val="62090145"/>
    <w:rsid w:val="620D6CDB"/>
    <w:rsid w:val="620E37F6"/>
    <w:rsid w:val="62165FAA"/>
    <w:rsid w:val="622175CF"/>
    <w:rsid w:val="622406CC"/>
    <w:rsid w:val="622E738D"/>
    <w:rsid w:val="623243A0"/>
    <w:rsid w:val="62334271"/>
    <w:rsid w:val="623D1104"/>
    <w:rsid w:val="623F5BAF"/>
    <w:rsid w:val="62403F6F"/>
    <w:rsid w:val="62435D83"/>
    <w:rsid w:val="62441132"/>
    <w:rsid w:val="62452644"/>
    <w:rsid w:val="62475181"/>
    <w:rsid w:val="625937AE"/>
    <w:rsid w:val="626745AB"/>
    <w:rsid w:val="626B1375"/>
    <w:rsid w:val="626D7E60"/>
    <w:rsid w:val="627E69E1"/>
    <w:rsid w:val="6287090C"/>
    <w:rsid w:val="628A4BBB"/>
    <w:rsid w:val="628C4A10"/>
    <w:rsid w:val="628D16EF"/>
    <w:rsid w:val="628D6F9D"/>
    <w:rsid w:val="629213A1"/>
    <w:rsid w:val="629853B0"/>
    <w:rsid w:val="6298544A"/>
    <w:rsid w:val="62997004"/>
    <w:rsid w:val="629B0A15"/>
    <w:rsid w:val="62A4027F"/>
    <w:rsid w:val="62A56FE4"/>
    <w:rsid w:val="62A96AD4"/>
    <w:rsid w:val="62AD1323"/>
    <w:rsid w:val="62AF484F"/>
    <w:rsid w:val="62B17F0F"/>
    <w:rsid w:val="62BB1505"/>
    <w:rsid w:val="62BF23DB"/>
    <w:rsid w:val="62CC3A8A"/>
    <w:rsid w:val="62CE3A6E"/>
    <w:rsid w:val="62D33B51"/>
    <w:rsid w:val="62DB2894"/>
    <w:rsid w:val="62DD4349"/>
    <w:rsid w:val="62E053D1"/>
    <w:rsid w:val="62E16861"/>
    <w:rsid w:val="62E34C68"/>
    <w:rsid w:val="62E35A9F"/>
    <w:rsid w:val="62E444B9"/>
    <w:rsid w:val="62E73159"/>
    <w:rsid w:val="62F351AA"/>
    <w:rsid w:val="6306135A"/>
    <w:rsid w:val="63074193"/>
    <w:rsid w:val="630755A9"/>
    <w:rsid w:val="63083AA2"/>
    <w:rsid w:val="63097573"/>
    <w:rsid w:val="630B4EAF"/>
    <w:rsid w:val="631026F2"/>
    <w:rsid w:val="63105CCC"/>
    <w:rsid w:val="63116428"/>
    <w:rsid w:val="631462CC"/>
    <w:rsid w:val="63150692"/>
    <w:rsid w:val="63174746"/>
    <w:rsid w:val="63183207"/>
    <w:rsid w:val="631D301E"/>
    <w:rsid w:val="633416F4"/>
    <w:rsid w:val="6335202A"/>
    <w:rsid w:val="63390DE1"/>
    <w:rsid w:val="634F2F3D"/>
    <w:rsid w:val="635636D2"/>
    <w:rsid w:val="63643E22"/>
    <w:rsid w:val="63660521"/>
    <w:rsid w:val="63787B05"/>
    <w:rsid w:val="637D0B1C"/>
    <w:rsid w:val="638175EB"/>
    <w:rsid w:val="63860BC4"/>
    <w:rsid w:val="6386321A"/>
    <w:rsid w:val="638F7952"/>
    <w:rsid w:val="639257BA"/>
    <w:rsid w:val="639C3F43"/>
    <w:rsid w:val="639E52BD"/>
    <w:rsid w:val="63A4729C"/>
    <w:rsid w:val="63AD591D"/>
    <w:rsid w:val="63B035B0"/>
    <w:rsid w:val="63B15515"/>
    <w:rsid w:val="63B30A53"/>
    <w:rsid w:val="63B51235"/>
    <w:rsid w:val="63B6130A"/>
    <w:rsid w:val="63B70D7D"/>
    <w:rsid w:val="63D85444"/>
    <w:rsid w:val="63DB5069"/>
    <w:rsid w:val="63E16410"/>
    <w:rsid w:val="63E45BD4"/>
    <w:rsid w:val="63EB56E4"/>
    <w:rsid w:val="63F3675D"/>
    <w:rsid w:val="64041AE8"/>
    <w:rsid w:val="64127A1B"/>
    <w:rsid w:val="641957CF"/>
    <w:rsid w:val="641F5EA8"/>
    <w:rsid w:val="64212D65"/>
    <w:rsid w:val="642311C1"/>
    <w:rsid w:val="64243694"/>
    <w:rsid w:val="643432F5"/>
    <w:rsid w:val="643B3988"/>
    <w:rsid w:val="643B434D"/>
    <w:rsid w:val="643F4B75"/>
    <w:rsid w:val="644D348F"/>
    <w:rsid w:val="6461518D"/>
    <w:rsid w:val="6462293C"/>
    <w:rsid w:val="646652C3"/>
    <w:rsid w:val="64672AF4"/>
    <w:rsid w:val="64674478"/>
    <w:rsid w:val="646956FF"/>
    <w:rsid w:val="6489797F"/>
    <w:rsid w:val="648A1A84"/>
    <w:rsid w:val="648B065B"/>
    <w:rsid w:val="64902F66"/>
    <w:rsid w:val="64910BD9"/>
    <w:rsid w:val="64947B60"/>
    <w:rsid w:val="64960392"/>
    <w:rsid w:val="64964415"/>
    <w:rsid w:val="649C1644"/>
    <w:rsid w:val="64AB115A"/>
    <w:rsid w:val="64B30A7B"/>
    <w:rsid w:val="64B52254"/>
    <w:rsid w:val="64C252CC"/>
    <w:rsid w:val="64C73242"/>
    <w:rsid w:val="64CD7B6C"/>
    <w:rsid w:val="64D41552"/>
    <w:rsid w:val="64D5744C"/>
    <w:rsid w:val="64D82517"/>
    <w:rsid w:val="64D9450A"/>
    <w:rsid w:val="64E86E18"/>
    <w:rsid w:val="64F56797"/>
    <w:rsid w:val="64FB113D"/>
    <w:rsid w:val="64FD7EEB"/>
    <w:rsid w:val="64FE021F"/>
    <w:rsid w:val="64FF62E8"/>
    <w:rsid w:val="65020E2B"/>
    <w:rsid w:val="650A323E"/>
    <w:rsid w:val="650B02BC"/>
    <w:rsid w:val="650C2291"/>
    <w:rsid w:val="651228A5"/>
    <w:rsid w:val="6513231D"/>
    <w:rsid w:val="65162626"/>
    <w:rsid w:val="6516686D"/>
    <w:rsid w:val="65183A9D"/>
    <w:rsid w:val="65200BA4"/>
    <w:rsid w:val="652B6C97"/>
    <w:rsid w:val="652F0AA0"/>
    <w:rsid w:val="65301C31"/>
    <w:rsid w:val="65372E4F"/>
    <w:rsid w:val="6538728A"/>
    <w:rsid w:val="653D1756"/>
    <w:rsid w:val="65407061"/>
    <w:rsid w:val="65410C85"/>
    <w:rsid w:val="65486249"/>
    <w:rsid w:val="654B1892"/>
    <w:rsid w:val="654C52B0"/>
    <w:rsid w:val="654E576E"/>
    <w:rsid w:val="65527A91"/>
    <w:rsid w:val="65552FFA"/>
    <w:rsid w:val="656A4F30"/>
    <w:rsid w:val="656B51AC"/>
    <w:rsid w:val="65792D2F"/>
    <w:rsid w:val="657C0F27"/>
    <w:rsid w:val="65800F9B"/>
    <w:rsid w:val="65801643"/>
    <w:rsid w:val="65815AA8"/>
    <w:rsid w:val="65815AE7"/>
    <w:rsid w:val="6583773F"/>
    <w:rsid w:val="658817D1"/>
    <w:rsid w:val="658A5175"/>
    <w:rsid w:val="65A20E93"/>
    <w:rsid w:val="65A33D96"/>
    <w:rsid w:val="65AF499D"/>
    <w:rsid w:val="65B0508D"/>
    <w:rsid w:val="65B92261"/>
    <w:rsid w:val="65BD19E3"/>
    <w:rsid w:val="65BD3819"/>
    <w:rsid w:val="65D3170F"/>
    <w:rsid w:val="65DE4CE7"/>
    <w:rsid w:val="65F75DA9"/>
    <w:rsid w:val="65F80A3E"/>
    <w:rsid w:val="65F8263C"/>
    <w:rsid w:val="65FC6F1B"/>
    <w:rsid w:val="66085207"/>
    <w:rsid w:val="660D2C21"/>
    <w:rsid w:val="66182DC0"/>
    <w:rsid w:val="66187AED"/>
    <w:rsid w:val="66212E26"/>
    <w:rsid w:val="66216982"/>
    <w:rsid w:val="66235FDA"/>
    <w:rsid w:val="66252C9E"/>
    <w:rsid w:val="66270087"/>
    <w:rsid w:val="662A24EA"/>
    <w:rsid w:val="662E7D81"/>
    <w:rsid w:val="6631632A"/>
    <w:rsid w:val="66322EDB"/>
    <w:rsid w:val="66323446"/>
    <w:rsid w:val="663940D0"/>
    <w:rsid w:val="663F11BD"/>
    <w:rsid w:val="66415374"/>
    <w:rsid w:val="66546060"/>
    <w:rsid w:val="665F2A22"/>
    <w:rsid w:val="66673025"/>
    <w:rsid w:val="666D043F"/>
    <w:rsid w:val="66711045"/>
    <w:rsid w:val="667473F9"/>
    <w:rsid w:val="66763E5C"/>
    <w:rsid w:val="66786257"/>
    <w:rsid w:val="667D4238"/>
    <w:rsid w:val="66851D68"/>
    <w:rsid w:val="668B0C1B"/>
    <w:rsid w:val="668C7392"/>
    <w:rsid w:val="66984C3C"/>
    <w:rsid w:val="66A74E90"/>
    <w:rsid w:val="66B43A6F"/>
    <w:rsid w:val="66B52645"/>
    <w:rsid w:val="66BB6181"/>
    <w:rsid w:val="66C739CD"/>
    <w:rsid w:val="66C763F4"/>
    <w:rsid w:val="66CD1671"/>
    <w:rsid w:val="66CF79EC"/>
    <w:rsid w:val="66D15E62"/>
    <w:rsid w:val="66E15043"/>
    <w:rsid w:val="66E22582"/>
    <w:rsid w:val="66E9107A"/>
    <w:rsid w:val="66F83B86"/>
    <w:rsid w:val="66FD0782"/>
    <w:rsid w:val="670A3EFB"/>
    <w:rsid w:val="6721173E"/>
    <w:rsid w:val="67224442"/>
    <w:rsid w:val="6722583E"/>
    <w:rsid w:val="67253551"/>
    <w:rsid w:val="67317098"/>
    <w:rsid w:val="67372FE8"/>
    <w:rsid w:val="673B11B0"/>
    <w:rsid w:val="674466DD"/>
    <w:rsid w:val="6752596B"/>
    <w:rsid w:val="6758204C"/>
    <w:rsid w:val="67626156"/>
    <w:rsid w:val="67713939"/>
    <w:rsid w:val="67791FE6"/>
    <w:rsid w:val="677B7D6B"/>
    <w:rsid w:val="67826088"/>
    <w:rsid w:val="678A67A9"/>
    <w:rsid w:val="678F3F08"/>
    <w:rsid w:val="67992D24"/>
    <w:rsid w:val="679E33EC"/>
    <w:rsid w:val="679E74F8"/>
    <w:rsid w:val="67A357B4"/>
    <w:rsid w:val="67AB1A88"/>
    <w:rsid w:val="67AB43CB"/>
    <w:rsid w:val="67B822BD"/>
    <w:rsid w:val="67BF46A4"/>
    <w:rsid w:val="67C36AC8"/>
    <w:rsid w:val="67CB56D0"/>
    <w:rsid w:val="67CE5645"/>
    <w:rsid w:val="67D328AE"/>
    <w:rsid w:val="67D85766"/>
    <w:rsid w:val="67F04D74"/>
    <w:rsid w:val="67F355F1"/>
    <w:rsid w:val="68017D00"/>
    <w:rsid w:val="68021D6B"/>
    <w:rsid w:val="68071BA7"/>
    <w:rsid w:val="68095B31"/>
    <w:rsid w:val="68120C78"/>
    <w:rsid w:val="68135EF3"/>
    <w:rsid w:val="681630B3"/>
    <w:rsid w:val="6837697F"/>
    <w:rsid w:val="683A1E39"/>
    <w:rsid w:val="683A60A0"/>
    <w:rsid w:val="683D3419"/>
    <w:rsid w:val="683F08C3"/>
    <w:rsid w:val="68435627"/>
    <w:rsid w:val="6845260E"/>
    <w:rsid w:val="68497BB7"/>
    <w:rsid w:val="68564350"/>
    <w:rsid w:val="68680E34"/>
    <w:rsid w:val="68724D62"/>
    <w:rsid w:val="68855940"/>
    <w:rsid w:val="6896646B"/>
    <w:rsid w:val="68971BE0"/>
    <w:rsid w:val="689735ED"/>
    <w:rsid w:val="689A2F0D"/>
    <w:rsid w:val="68AD3969"/>
    <w:rsid w:val="68AE52E5"/>
    <w:rsid w:val="68B86D89"/>
    <w:rsid w:val="68B9130B"/>
    <w:rsid w:val="68C92CEF"/>
    <w:rsid w:val="68CD76E8"/>
    <w:rsid w:val="68D66127"/>
    <w:rsid w:val="68D832D0"/>
    <w:rsid w:val="68E178C9"/>
    <w:rsid w:val="68F81639"/>
    <w:rsid w:val="68F96F91"/>
    <w:rsid w:val="68FC2516"/>
    <w:rsid w:val="690600B1"/>
    <w:rsid w:val="690F6F65"/>
    <w:rsid w:val="691D2708"/>
    <w:rsid w:val="692262F8"/>
    <w:rsid w:val="692A37F7"/>
    <w:rsid w:val="692A3C2B"/>
    <w:rsid w:val="6931512E"/>
    <w:rsid w:val="69315D03"/>
    <w:rsid w:val="693C38DA"/>
    <w:rsid w:val="693E0F97"/>
    <w:rsid w:val="694571E4"/>
    <w:rsid w:val="69490DE0"/>
    <w:rsid w:val="694F0B69"/>
    <w:rsid w:val="694F46B4"/>
    <w:rsid w:val="694F7CAA"/>
    <w:rsid w:val="6955754C"/>
    <w:rsid w:val="69577E61"/>
    <w:rsid w:val="6966440E"/>
    <w:rsid w:val="69686F59"/>
    <w:rsid w:val="69702509"/>
    <w:rsid w:val="697049E7"/>
    <w:rsid w:val="69717258"/>
    <w:rsid w:val="697D08E4"/>
    <w:rsid w:val="697F417A"/>
    <w:rsid w:val="698E17CA"/>
    <w:rsid w:val="6996483B"/>
    <w:rsid w:val="699D5E77"/>
    <w:rsid w:val="69A00505"/>
    <w:rsid w:val="69A83492"/>
    <w:rsid w:val="69AA6F52"/>
    <w:rsid w:val="69B87C08"/>
    <w:rsid w:val="69C61C6D"/>
    <w:rsid w:val="69CB37D4"/>
    <w:rsid w:val="69D0221E"/>
    <w:rsid w:val="69D44AD7"/>
    <w:rsid w:val="69D91AC7"/>
    <w:rsid w:val="69DD4D90"/>
    <w:rsid w:val="69DD7064"/>
    <w:rsid w:val="69E16069"/>
    <w:rsid w:val="69E97FEB"/>
    <w:rsid w:val="69EB1C66"/>
    <w:rsid w:val="69F12B0F"/>
    <w:rsid w:val="6A051AD9"/>
    <w:rsid w:val="6A162576"/>
    <w:rsid w:val="6A1B7B8C"/>
    <w:rsid w:val="6A2023DE"/>
    <w:rsid w:val="6A3117A6"/>
    <w:rsid w:val="6A3975CF"/>
    <w:rsid w:val="6A425D91"/>
    <w:rsid w:val="6A4341F6"/>
    <w:rsid w:val="6A5743EF"/>
    <w:rsid w:val="6A5C442C"/>
    <w:rsid w:val="6A5D094B"/>
    <w:rsid w:val="6A726D39"/>
    <w:rsid w:val="6A745C1A"/>
    <w:rsid w:val="6A747E7F"/>
    <w:rsid w:val="6A7E723E"/>
    <w:rsid w:val="6A8404FF"/>
    <w:rsid w:val="6A890469"/>
    <w:rsid w:val="6A892D47"/>
    <w:rsid w:val="6A901ABB"/>
    <w:rsid w:val="6A927B24"/>
    <w:rsid w:val="6A973342"/>
    <w:rsid w:val="6A994AC9"/>
    <w:rsid w:val="6AA656A7"/>
    <w:rsid w:val="6AA81745"/>
    <w:rsid w:val="6AB77A1F"/>
    <w:rsid w:val="6ABB611F"/>
    <w:rsid w:val="6AC67AF8"/>
    <w:rsid w:val="6AD476BF"/>
    <w:rsid w:val="6AD90DD6"/>
    <w:rsid w:val="6ADB4D10"/>
    <w:rsid w:val="6AEF0E2E"/>
    <w:rsid w:val="6AF171CA"/>
    <w:rsid w:val="6AF2191C"/>
    <w:rsid w:val="6AF52A7B"/>
    <w:rsid w:val="6AF53EE4"/>
    <w:rsid w:val="6AFA35FC"/>
    <w:rsid w:val="6B020836"/>
    <w:rsid w:val="6B060EFE"/>
    <w:rsid w:val="6B0714DE"/>
    <w:rsid w:val="6B0F149F"/>
    <w:rsid w:val="6B105217"/>
    <w:rsid w:val="6B112648"/>
    <w:rsid w:val="6B22576C"/>
    <w:rsid w:val="6B2321F8"/>
    <w:rsid w:val="6B265065"/>
    <w:rsid w:val="6B272537"/>
    <w:rsid w:val="6B297629"/>
    <w:rsid w:val="6B37369C"/>
    <w:rsid w:val="6B486EE7"/>
    <w:rsid w:val="6B4C7779"/>
    <w:rsid w:val="6B511618"/>
    <w:rsid w:val="6B5772F9"/>
    <w:rsid w:val="6B603016"/>
    <w:rsid w:val="6B617947"/>
    <w:rsid w:val="6B66073E"/>
    <w:rsid w:val="6B6828C1"/>
    <w:rsid w:val="6B696C8B"/>
    <w:rsid w:val="6B714110"/>
    <w:rsid w:val="6B767D11"/>
    <w:rsid w:val="6B804F99"/>
    <w:rsid w:val="6B833C3B"/>
    <w:rsid w:val="6B8974A3"/>
    <w:rsid w:val="6B8D7E26"/>
    <w:rsid w:val="6B8E1B7D"/>
    <w:rsid w:val="6B92287F"/>
    <w:rsid w:val="6B924D83"/>
    <w:rsid w:val="6BA11AAE"/>
    <w:rsid w:val="6BA827E2"/>
    <w:rsid w:val="6BAA7419"/>
    <w:rsid w:val="6BAD2A66"/>
    <w:rsid w:val="6BD17BD9"/>
    <w:rsid w:val="6BD32A87"/>
    <w:rsid w:val="6BDE0BDE"/>
    <w:rsid w:val="6BDF1F59"/>
    <w:rsid w:val="6BE45935"/>
    <w:rsid w:val="6BE72741"/>
    <w:rsid w:val="6BE91CF0"/>
    <w:rsid w:val="6BFC563D"/>
    <w:rsid w:val="6BFD7417"/>
    <w:rsid w:val="6C06216F"/>
    <w:rsid w:val="6C066D46"/>
    <w:rsid w:val="6C0B551A"/>
    <w:rsid w:val="6C134FBF"/>
    <w:rsid w:val="6C136835"/>
    <w:rsid w:val="6C1416C6"/>
    <w:rsid w:val="6C1A459F"/>
    <w:rsid w:val="6C321008"/>
    <w:rsid w:val="6C3867D3"/>
    <w:rsid w:val="6C4214E0"/>
    <w:rsid w:val="6C467A2D"/>
    <w:rsid w:val="6C4976B4"/>
    <w:rsid w:val="6C515AE7"/>
    <w:rsid w:val="6C5941D3"/>
    <w:rsid w:val="6C5C3976"/>
    <w:rsid w:val="6C5E20FA"/>
    <w:rsid w:val="6C653C0F"/>
    <w:rsid w:val="6C733CAF"/>
    <w:rsid w:val="6C77379F"/>
    <w:rsid w:val="6C821877"/>
    <w:rsid w:val="6C89702F"/>
    <w:rsid w:val="6C8A334D"/>
    <w:rsid w:val="6C8D00DC"/>
    <w:rsid w:val="6C8E1FC4"/>
    <w:rsid w:val="6C967D37"/>
    <w:rsid w:val="6C983E46"/>
    <w:rsid w:val="6CA1700E"/>
    <w:rsid w:val="6CA45D41"/>
    <w:rsid w:val="6CAA7823"/>
    <w:rsid w:val="6CB40B49"/>
    <w:rsid w:val="6CBD5996"/>
    <w:rsid w:val="6CBF365C"/>
    <w:rsid w:val="6CCD33BF"/>
    <w:rsid w:val="6CE2535E"/>
    <w:rsid w:val="6CE570AC"/>
    <w:rsid w:val="6CEE27D9"/>
    <w:rsid w:val="6CF120B3"/>
    <w:rsid w:val="6CF272CA"/>
    <w:rsid w:val="6CF43042"/>
    <w:rsid w:val="6CFB16D3"/>
    <w:rsid w:val="6CFB6B8C"/>
    <w:rsid w:val="6CFD0E42"/>
    <w:rsid w:val="6D042B59"/>
    <w:rsid w:val="6D0702B0"/>
    <w:rsid w:val="6D0C39E5"/>
    <w:rsid w:val="6D2102F1"/>
    <w:rsid w:val="6D254477"/>
    <w:rsid w:val="6D2B0701"/>
    <w:rsid w:val="6D4F143F"/>
    <w:rsid w:val="6D505D9E"/>
    <w:rsid w:val="6D513FF0"/>
    <w:rsid w:val="6D5533B5"/>
    <w:rsid w:val="6D591835"/>
    <w:rsid w:val="6D5A0F2F"/>
    <w:rsid w:val="6D73218A"/>
    <w:rsid w:val="6D7D0285"/>
    <w:rsid w:val="6D7D3A86"/>
    <w:rsid w:val="6D7E5723"/>
    <w:rsid w:val="6D801206"/>
    <w:rsid w:val="6DA00C32"/>
    <w:rsid w:val="6DA04CBE"/>
    <w:rsid w:val="6DA22200"/>
    <w:rsid w:val="6DA31D02"/>
    <w:rsid w:val="6DA55A27"/>
    <w:rsid w:val="6DA66C5D"/>
    <w:rsid w:val="6DA93F4C"/>
    <w:rsid w:val="6DB559E7"/>
    <w:rsid w:val="6DB831BD"/>
    <w:rsid w:val="6DC62360"/>
    <w:rsid w:val="6DC7308F"/>
    <w:rsid w:val="6DCC741F"/>
    <w:rsid w:val="6DD961DB"/>
    <w:rsid w:val="6DDB75AB"/>
    <w:rsid w:val="6DE06535"/>
    <w:rsid w:val="6DF07838"/>
    <w:rsid w:val="6DF20BCA"/>
    <w:rsid w:val="6DFA650F"/>
    <w:rsid w:val="6E0D7929"/>
    <w:rsid w:val="6E1868BC"/>
    <w:rsid w:val="6E227589"/>
    <w:rsid w:val="6E362F49"/>
    <w:rsid w:val="6E3B2097"/>
    <w:rsid w:val="6E3B44B9"/>
    <w:rsid w:val="6E4155B6"/>
    <w:rsid w:val="6E57726B"/>
    <w:rsid w:val="6E5D08C6"/>
    <w:rsid w:val="6E611C00"/>
    <w:rsid w:val="6E6D5B09"/>
    <w:rsid w:val="6E71421E"/>
    <w:rsid w:val="6E8A5B81"/>
    <w:rsid w:val="6E9357B5"/>
    <w:rsid w:val="6EB536EC"/>
    <w:rsid w:val="6EB554F0"/>
    <w:rsid w:val="6EB90C61"/>
    <w:rsid w:val="6EC16AAB"/>
    <w:rsid w:val="6ECB0F40"/>
    <w:rsid w:val="6ED8604B"/>
    <w:rsid w:val="6EDC1344"/>
    <w:rsid w:val="6EDF38A6"/>
    <w:rsid w:val="6EE40274"/>
    <w:rsid w:val="6EE53FC7"/>
    <w:rsid w:val="6EE67D66"/>
    <w:rsid w:val="6EEB2223"/>
    <w:rsid w:val="6EEB309F"/>
    <w:rsid w:val="6EEE1444"/>
    <w:rsid w:val="6EF30DA2"/>
    <w:rsid w:val="6EFE195B"/>
    <w:rsid w:val="6EFF4E53"/>
    <w:rsid w:val="6EFF7558"/>
    <w:rsid w:val="6F0124DD"/>
    <w:rsid w:val="6F072A30"/>
    <w:rsid w:val="6F197B82"/>
    <w:rsid w:val="6F1F5D20"/>
    <w:rsid w:val="6F2474E3"/>
    <w:rsid w:val="6F25387E"/>
    <w:rsid w:val="6F2A51BA"/>
    <w:rsid w:val="6F2B261F"/>
    <w:rsid w:val="6F2D52C5"/>
    <w:rsid w:val="6F33205D"/>
    <w:rsid w:val="6F345B6D"/>
    <w:rsid w:val="6F3E76AA"/>
    <w:rsid w:val="6F412E71"/>
    <w:rsid w:val="6F444022"/>
    <w:rsid w:val="6F4463D4"/>
    <w:rsid w:val="6F4D4C8B"/>
    <w:rsid w:val="6F502E46"/>
    <w:rsid w:val="6F524050"/>
    <w:rsid w:val="6F664B65"/>
    <w:rsid w:val="6F6C3363"/>
    <w:rsid w:val="6F6D5A2C"/>
    <w:rsid w:val="6F7264A0"/>
    <w:rsid w:val="6F7854BC"/>
    <w:rsid w:val="6F7915DC"/>
    <w:rsid w:val="6F823312"/>
    <w:rsid w:val="6F8A3636"/>
    <w:rsid w:val="6F8F6824"/>
    <w:rsid w:val="6F931117"/>
    <w:rsid w:val="6F9444B5"/>
    <w:rsid w:val="6F950F57"/>
    <w:rsid w:val="6F9D176F"/>
    <w:rsid w:val="6F9E438A"/>
    <w:rsid w:val="6F9F7B2E"/>
    <w:rsid w:val="6FA0300D"/>
    <w:rsid w:val="6FA17DB6"/>
    <w:rsid w:val="6FA70914"/>
    <w:rsid w:val="6FA757F4"/>
    <w:rsid w:val="6FAE03C6"/>
    <w:rsid w:val="6FB24AEE"/>
    <w:rsid w:val="6FC46742"/>
    <w:rsid w:val="6FC8483F"/>
    <w:rsid w:val="6FCA008A"/>
    <w:rsid w:val="6FCD7F0C"/>
    <w:rsid w:val="6FCF38F2"/>
    <w:rsid w:val="6FDC6591"/>
    <w:rsid w:val="6FDE6495"/>
    <w:rsid w:val="6FE75AFD"/>
    <w:rsid w:val="6FE91B8B"/>
    <w:rsid w:val="6FE94C76"/>
    <w:rsid w:val="6FF60E7F"/>
    <w:rsid w:val="6FFD4FCE"/>
    <w:rsid w:val="70002E95"/>
    <w:rsid w:val="700135A6"/>
    <w:rsid w:val="70016A75"/>
    <w:rsid w:val="700C2451"/>
    <w:rsid w:val="700E370A"/>
    <w:rsid w:val="701156C4"/>
    <w:rsid w:val="7012401B"/>
    <w:rsid w:val="70140C3B"/>
    <w:rsid w:val="70166E6A"/>
    <w:rsid w:val="701778DC"/>
    <w:rsid w:val="70194B6E"/>
    <w:rsid w:val="701D01BA"/>
    <w:rsid w:val="701D465E"/>
    <w:rsid w:val="702754DC"/>
    <w:rsid w:val="70383E3F"/>
    <w:rsid w:val="70452465"/>
    <w:rsid w:val="704C6CF1"/>
    <w:rsid w:val="70651B61"/>
    <w:rsid w:val="706933FF"/>
    <w:rsid w:val="706D7A13"/>
    <w:rsid w:val="706F4F79"/>
    <w:rsid w:val="70741E9B"/>
    <w:rsid w:val="708126A8"/>
    <w:rsid w:val="708955F4"/>
    <w:rsid w:val="708A44FC"/>
    <w:rsid w:val="708D55DC"/>
    <w:rsid w:val="70930D7D"/>
    <w:rsid w:val="70964B16"/>
    <w:rsid w:val="709B651E"/>
    <w:rsid w:val="709C6C49"/>
    <w:rsid w:val="70A84C45"/>
    <w:rsid w:val="70AE165E"/>
    <w:rsid w:val="70BA5016"/>
    <w:rsid w:val="70C11743"/>
    <w:rsid w:val="70CB5E68"/>
    <w:rsid w:val="70D35EF1"/>
    <w:rsid w:val="70D80585"/>
    <w:rsid w:val="70DA5CC3"/>
    <w:rsid w:val="70E707C8"/>
    <w:rsid w:val="70E96AC8"/>
    <w:rsid w:val="70EF10C0"/>
    <w:rsid w:val="70F25AEA"/>
    <w:rsid w:val="710646AE"/>
    <w:rsid w:val="71085D1E"/>
    <w:rsid w:val="71092F7A"/>
    <w:rsid w:val="711125E5"/>
    <w:rsid w:val="71136C39"/>
    <w:rsid w:val="71143BBF"/>
    <w:rsid w:val="71157B90"/>
    <w:rsid w:val="71300F7B"/>
    <w:rsid w:val="71397CB0"/>
    <w:rsid w:val="714A76D4"/>
    <w:rsid w:val="714D46D1"/>
    <w:rsid w:val="71632889"/>
    <w:rsid w:val="71650BA9"/>
    <w:rsid w:val="717122F6"/>
    <w:rsid w:val="7188117E"/>
    <w:rsid w:val="718A746C"/>
    <w:rsid w:val="718B6B24"/>
    <w:rsid w:val="718C55D9"/>
    <w:rsid w:val="71996166"/>
    <w:rsid w:val="719C15B2"/>
    <w:rsid w:val="719D16D7"/>
    <w:rsid w:val="71A82012"/>
    <w:rsid w:val="71AB033D"/>
    <w:rsid w:val="71AF0B24"/>
    <w:rsid w:val="71B75F2C"/>
    <w:rsid w:val="71C23CEB"/>
    <w:rsid w:val="71D3076F"/>
    <w:rsid w:val="71D467BF"/>
    <w:rsid w:val="71DE049D"/>
    <w:rsid w:val="71DE3D45"/>
    <w:rsid w:val="71E31742"/>
    <w:rsid w:val="71E511AB"/>
    <w:rsid w:val="71ED611F"/>
    <w:rsid w:val="71FE01A2"/>
    <w:rsid w:val="7205371C"/>
    <w:rsid w:val="720A0C12"/>
    <w:rsid w:val="720C36A4"/>
    <w:rsid w:val="72100F52"/>
    <w:rsid w:val="721702FF"/>
    <w:rsid w:val="72181378"/>
    <w:rsid w:val="721B7513"/>
    <w:rsid w:val="721E646B"/>
    <w:rsid w:val="72402F0B"/>
    <w:rsid w:val="7246252F"/>
    <w:rsid w:val="728B6ACA"/>
    <w:rsid w:val="72901CD2"/>
    <w:rsid w:val="72953EB7"/>
    <w:rsid w:val="72982424"/>
    <w:rsid w:val="729C539E"/>
    <w:rsid w:val="729F0C4C"/>
    <w:rsid w:val="72A13E5A"/>
    <w:rsid w:val="72A33DB5"/>
    <w:rsid w:val="72B513C2"/>
    <w:rsid w:val="72C717C2"/>
    <w:rsid w:val="72C8284E"/>
    <w:rsid w:val="72D011F2"/>
    <w:rsid w:val="72D748C9"/>
    <w:rsid w:val="72D91E3D"/>
    <w:rsid w:val="72DD00D4"/>
    <w:rsid w:val="72E442B8"/>
    <w:rsid w:val="72E4561F"/>
    <w:rsid w:val="72EA026D"/>
    <w:rsid w:val="72EB0E77"/>
    <w:rsid w:val="72EC6569"/>
    <w:rsid w:val="72EE16B1"/>
    <w:rsid w:val="72EF64B8"/>
    <w:rsid w:val="72F108A0"/>
    <w:rsid w:val="72F62AF0"/>
    <w:rsid w:val="72F70BDC"/>
    <w:rsid w:val="72FF37A1"/>
    <w:rsid w:val="73024AE7"/>
    <w:rsid w:val="73057B8F"/>
    <w:rsid w:val="730B5227"/>
    <w:rsid w:val="73171838"/>
    <w:rsid w:val="7317599B"/>
    <w:rsid w:val="73186687"/>
    <w:rsid w:val="731E2BC7"/>
    <w:rsid w:val="73210483"/>
    <w:rsid w:val="73270EF3"/>
    <w:rsid w:val="732F72D7"/>
    <w:rsid w:val="733817AF"/>
    <w:rsid w:val="733F4517"/>
    <w:rsid w:val="734A229B"/>
    <w:rsid w:val="73517913"/>
    <w:rsid w:val="73585356"/>
    <w:rsid w:val="735F2D40"/>
    <w:rsid w:val="736101C1"/>
    <w:rsid w:val="73663510"/>
    <w:rsid w:val="73681119"/>
    <w:rsid w:val="737170E6"/>
    <w:rsid w:val="73782FD3"/>
    <w:rsid w:val="737F01DA"/>
    <w:rsid w:val="738075A6"/>
    <w:rsid w:val="738407D4"/>
    <w:rsid w:val="73960F8D"/>
    <w:rsid w:val="73A861FB"/>
    <w:rsid w:val="73B022FB"/>
    <w:rsid w:val="73C417B1"/>
    <w:rsid w:val="73C67FC2"/>
    <w:rsid w:val="73CA1A92"/>
    <w:rsid w:val="73CC5E55"/>
    <w:rsid w:val="73CD3F89"/>
    <w:rsid w:val="73CD6D9C"/>
    <w:rsid w:val="73CF4426"/>
    <w:rsid w:val="73D164A4"/>
    <w:rsid w:val="73D33E7F"/>
    <w:rsid w:val="73D37299"/>
    <w:rsid w:val="73E949B6"/>
    <w:rsid w:val="73F13C82"/>
    <w:rsid w:val="73F6094D"/>
    <w:rsid w:val="73F83DB3"/>
    <w:rsid w:val="73FF08DD"/>
    <w:rsid w:val="74044AED"/>
    <w:rsid w:val="74047CCE"/>
    <w:rsid w:val="740611E4"/>
    <w:rsid w:val="7408130C"/>
    <w:rsid w:val="74105595"/>
    <w:rsid w:val="74131155"/>
    <w:rsid w:val="741614FA"/>
    <w:rsid w:val="74204804"/>
    <w:rsid w:val="74232755"/>
    <w:rsid w:val="742941FE"/>
    <w:rsid w:val="742D74FD"/>
    <w:rsid w:val="742F6A42"/>
    <w:rsid w:val="74305211"/>
    <w:rsid w:val="7434641A"/>
    <w:rsid w:val="743D0297"/>
    <w:rsid w:val="744E1B6D"/>
    <w:rsid w:val="7457638E"/>
    <w:rsid w:val="74624D35"/>
    <w:rsid w:val="74663EE3"/>
    <w:rsid w:val="746978B7"/>
    <w:rsid w:val="74784559"/>
    <w:rsid w:val="748002D0"/>
    <w:rsid w:val="74822CE1"/>
    <w:rsid w:val="74961271"/>
    <w:rsid w:val="749757A4"/>
    <w:rsid w:val="749A0B04"/>
    <w:rsid w:val="74A25132"/>
    <w:rsid w:val="74A40EAA"/>
    <w:rsid w:val="74A447DD"/>
    <w:rsid w:val="74A715D2"/>
    <w:rsid w:val="74AB2B63"/>
    <w:rsid w:val="74C14DD0"/>
    <w:rsid w:val="74C432FA"/>
    <w:rsid w:val="74DC3449"/>
    <w:rsid w:val="74DE00A3"/>
    <w:rsid w:val="74E31028"/>
    <w:rsid w:val="74E41548"/>
    <w:rsid w:val="74E42FEA"/>
    <w:rsid w:val="74E74F19"/>
    <w:rsid w:val="74E90984"/>
    <w:rsid w:val="74E97AAC"/>
    <w:rsid w:val="7500267B"/>
    <w:rsid w:val="750442D4"/>
    <w:rsid w:val="750722DF"/>
    <w:rsid w:val="75075171"/>
    <w:rsid w:val="75084230"/>
    <w:rsid w:val="75134281"/>
    <w:rsid w:val="75151C5A"/>
    <w:rsid w:val="751C2DBF"/>
    <w:rsid w:val="7521574E"/>
    <w:rsid w:val="75273889"/>
    <w:rsid w:val="75292FF9"/>
    <w:rsid w:val="754A06F9"/>
    <w:rsid w:val="75530934"/>
    <w:rsid w:val="755A5A0C"/>
    <w:rsid w:val="756132D2"/>
    <w:rsid w:val="756B19C7"/>
    <w:rsid w:val="756E0CFF"/>
    <w:rsid w:val="756E3071"/>
    <w:rsid w:val="75703448"/>
    <w:rsid w:val="757338E0"/>
    <w:rsid w:val="757B18EF"/>
    <w:rsid w:val="757B5DED"/>
    <w:rsid w:val="757C1E26"/>
    <w:rsid w:val="757E73F5"/>
    <w:rsid w:val="758009BE"/>
    <w:rsid w:val="759255AA"/>
    <w:rsid w:val="7596694C"/>
    <w:rsid w:val="75991BCA"/>
    <w:rsid w:val="759D7F04"/>
    <w:rsid w:val="75A1332B"/>
    <w:rsid w:val="75A801DA"/>
    <w:rsid w:val="75A848D4"/>
    <w:rsid w:val="75AE2176"/>
    <w:rsid w:val="75B57C91"/>
    <w:rsid w:val="75B57F52"/>
    <w:rsid w:val="75B94E29"/>
    <w:rsid w:val="75BE49D0"/>
    <w:rsid w:val="75C31F2C"/>
    <w:rsid w:val="75D0075D"/>
    <w:rsid w:val="75DD3304"/>
    <w:rsid w:val="75E23D2D"/>
    <w:rsid w:val="75E630C8"/>
    <w:rsid w:val="75FD68B8"/>
    <w:rsid w:val="75FE0A8D"/>
    <w:rsid w:val="760140DA"/>
    <w:rsid w:val="76171B4F"/>
    <w:rsid w:val="7625347E"/>
    <w:rsid w:val="762D4ECF"/>
    <w:rsid w:val="762D5B16"/>
    <w:rsid w:val="7631055C"/>
    <w:rsid w:val="76381FE4"/>
    <w:rsid w:val="763C569E"/>
    <w:rsid w:val="764053D9"/>
    <w:rsid w:val="76432365"/>
    <w:rsid w:val="76444366"/>
    <w:rsid w:val="765B1E90"/>
    <w:rsid w:val="765B63FD"/>
    <w:rsid w:val="766926D1"/>
    <w:rsid w:val="7669443B"/>
    <w:rsid w:val="766A19C5"/>
    <w:rsid w:val="7673598B"/>
    <w:rsid w:val="76766876"/>
    <w:rsid w:val="76770665"/>
    <w:rsid w:val="76792997"/>
    <w:rsid w:val="767E08B2"/>
    <w:rsid w:val="767E5C34"/>
    <w:rsid w:val="767E5E90"/>
    <w:rsid w:val="76861D46"/>
    <w:rsid w:val="7688718E"/>
    <w:rsid w:val="769B4552"/>
    <w:rsid w:val="76A07D97"/>
    <w:rsid w:val="76A23C5C"/>
    <w:rsid w:val="76B349DE"/>
    <w:rsid w:val="76B54DD6"/>
    <w:rsid w:val="76C175A2"/>
    <w:rsid w:val="76C374C1"/>
    <w:rsid w:val="76CA3BB9"/>
    <w:rsid w:val="76CB7939"/>
    <w:rsid w:val="76EF1CCA"/>
    <w:rsid w:val="77100A78"/>
    <w:rsid w:val="771361ED"/>
    <w:rsid w:val="771A5453"/>
    <w:rsid w:val="771D240A"/>
    <w:rsid w:val="7726029C"/>
    <w:rsid w:val="772A6430"/>
    <w:rsid w:val="772C3252"/>
    <w:rsid w:val="774424D0"/>
    <w:rsid w:val="774A50A3"/>
    <w:rsid w:val="775D1145"/>
    <w:rsid w:val="775F37AE"/>
    <w:rsid w:val="778139C7"/>
    <w:rsid w:val="778152A7"/>
    <w:rsid w:val="778300DC"/>
    <w:rsid w:val="77903967"/>
    <w:rsid w:val="779773CD"/>
    <w:rsid w:val="779B498D"/>
    <w:rsid w:val="77A56E59"/>
    <w:rsid w:val="77A60CF5"/>
    <w:rsid w:val="77AD62C7"/>
    <w:rsid w:val="77BE3668"/>
    <w:rsid w:val="77C04DF9"/>
    <w:rsid w:val="77C30375"/>
    <w:rsid w:val="77C75413"/>
    <w:rsid w:val="77CB63AA"/>
    <w:rsid w:val="77D71C90"/>
    <w:rsid w:val="77DA1CCF"/>
    <w:rsid w:val="77DD3D14"/>
    <w:rsid w:val="77DF3813"/>
    <w:rsid w:val="77E32BF9"/>
    <w:rsid w:val="77EB0F6D"/>
    <w:rsid w:val="77EE482A"/>
    <w:rsid w:val="77F008AA"/>
    <w:rsid w:val="77F544F9"/>
    <w:rsid w:val="77FE7271"/>
    <w:rsid w:val="78011870"/>
    <w:rsid w:val="780600CD"/>
    <w:rsid w:val="7806292A"/>
    <w:rsid w:val="7809231E"/>
    <w:rsid w:val="780A1C20"/>
    <w:rsid w:val="780E12E3"/>
    <w:rsid w:val="78167D93"/>
    <w:rsid w:val="781C73EF"/>
    <w:rsid w:val="781D22D1"/>
    <w:rsid w:val="781E5417"/>
    <w:rsid w:val="78214ACB"/>
    <w:rsid w:val="78324A1E"/>
    <w:rsid w:val="783964E2"/>
    <w:rsid w:val="783B0F9F"/>
    <w:rsid w:val="78406501"/>
    <w:rsid w:val="78412EB3"/>
    <w:rsid w:val="78471F36"/>
    <w:rsid w:val="784C4638"/>
    <w:rsid w:val="785F128C"/>
    <w:rsid w:val="78697F09"/>
    <w:rsid w:val="786A037A"/>
    <w:rsid w:val="787119EB"/>
    <w:rsid w:val="787212BF"/>
    <w:rsid w:val="78731103"/>
    <w:rsid w:val="787942E9"/>
    <w:rsid w:val="787B7CBE"/>
    <w:rsid w:val="787D03EE"/>
    <w:rsid w:val="78825849"/>
    <w:rsid w:val="7883171E"/>
    <w:rsid w:val="78894985"/>
    <w:rsid w:val="78900FA3"/>
    <w:rsid w:val="78902E33"/>
    <w:rsid w:val="78941B37"/>
    <w:rsid w:val="78B071EB"/>
    <w:rsid w:val="78C41ED5"/>
    <w:rsid w:val="78D1293A"/>
    <w:rsid w:val="78D2323A"/>
    <w:rsid w:val="78D8125B"/>
    <w:rsid w:val="78DB3B4A"/>
    <w:rsid w:val="78E06D68"/>
    <w:rsid w:val="78E5118E"/>
    <w:rsid w:val="78EE6E12"/>
    <w:rsid w:val="78F025D1"/>
    <w:rsid w:val="78F52DDE"/>
    <w:rsid w:val="78F63F12"/>
    <w:rsid w:val="791D56CF"/>
    <w:rsid w:val="79250E4D"/>
    <w:rsid w:val="793B630E"/>
    <w:rsid w:val="793F41EC"/>
    <w:rsid w:val="79457280"/>
    <w:rsid w:val="79487038"/>
    <w:rsid w:val="794B345D"/>
    <w:rsid w:val="794E12A4"/>
    <w:rsid w:val="79523554"/>
    <w:rsid w:val="79534C85"/>
    <w:rsid w:val="795C30C8"/>
    <w:rsid w:val="795C61F7"/>
    <w:rsid w:val="795D1F6F"/>
    <w:rsid w:val="795D66BF"/>
    <w:rsid w:val="795E74A6"/>
    <w:rsid w:val="79603738"/>
    <w:rsid w:val="797266DA"/>
    <w:rsid w:val="79730DA7"/>
    <w:rsid w:val="7977620B"/>
    <w:rsid w:val="798F08C9"/>
    <w:rsid w:val="79903296"/>
    <w:rsid w:val="79967BD5"/>
    <w:rsid w:val="799840A7"/>
    <w:rsid w:val="799C6A9E"/>
    <w:rsid w:val="79A0797C"/>
    <w:rsid w:val="79A14200"/>
    <w:rsid w:val="79A52A7F"/>
    <w:rsid w:val="79AE4579"/>
    <w:rsid w:val="79B044D6"/>
    <w:rsid w:val="79B40B1D"/>
    <w:rsid w:val="79B50936"/>
    <w:rsid w:val="79BF6786"/>
    <w:rsid w:val="79C91815"/>
    <w:rsid w:val="79CC7BA5"/>
    <w:rsid w:val="79E80415"/>
    <w:rsid w:val="79ED0C0D"/>
    <w:rsid w:val="79EF08C2"/>
    <w:rsid w:val="79F17D58"/>
    <w:rsid w:val="79F325D7"/>
    <w:rsid w:val="79F44681"/>
    <w:rsid w:val="79F95EA5"/>
    <w:rsid w:val="7A0114DA"/>
    <w:rsid w:val="7A122F6D"/>
    <w:rsid w:val="7A146AD1"/>
    <w:rsid w:val="7A1B5FB8"/>
    <w:rsid w:val="7A1B6705"/>
    <w:rsid w:val="7A1E6290"/>
    <w:rsid w:val="7A1F7608"/>
    <w:rsid w:val="7A2732BA"/>
    <w:rsid w:val="7A316F48"/>
    <w:rsid w:val="7A3B3BAF"/>
    <w:rsid w:val="7A4200D1"/>
    <w:rsid w:val="7A4D09AB"/>
    <w:rsid w:val="7A5073DE"/>
    <w:rsid w:val="7A555AB3"/>
    <w:rsid w:val="7A5A6DE7"/>
    <w:rsid w:val="7A5B71D7"/>
    <w:rsid w:val="7A5F5873"/>
    <w:rsid w:val="7A610EED"/>
    <w:rsid w:val="7A637623"/>
    <w:rsid w:val="7A663AEC"/>
    <w:rsid w:val="7A6A3B27"/>
    <w:rsid w:val="7A6F7889"/>
    <w:rsid w:val="7A70182E"/>
    <w:rsid w:val="7A732D9E"/>
    <w:rsid w:val="7A7B6B76"/>
    <w:rsid w:val="7A8138C9"/>
    <w:rsid w:val="7A833679"/>
    <w:rsid w:val="7A964921"/>
    <w:rsid w:val="7A9674E6"/>
    <w:rsid w:val="7A970298"/>
    <w:rsid w:val="7A9A7A51"/>
    <w:rsid w:val="7A9F4E9E"/>
    <w:rsid w:val="7AA56234"/>
    <w:rsid w:val="7AA86D11"/>
    <w:rsid w:val="7AB705A7"/>
    <w:rsid w:val="7AB82530"/>
    <w:rsid w:val="7ABC3229"/>
    <w:rsid w:val="7AC4086E"/>
    <w:rsid w:val="7ACB26BD"/>
    <w:rsid w:val="7AD07B24"/>
    <w:rsid w:val="7AD210EF"/>
    <w:rsid w:val="7AD26045"/>
    <w:rsid w:val="7ADA678C"/>
    <w:rsid w:val="7AE50A54"/>
    <w:rsid w:val="7AEB6178"/>
    <w:rsid w:val="7AEB66AB"/>
    <w:rsid w:val="7AEC45AE"/>
    <w:rsid w:val="7AED2E7F"/>
    <w:rsid w:val="7AF60B93"/>
    <w:rsid w:val="7B0E4B17"/>
    <w:rsid w:val="7B146356"/>
    <w:rsid w:val="7B150345"/>
    <w:rsid w:val="7B215AC7"/>
    <w:rsid w:val="7B234AF2"/>
    <w:rsid w:val="7B26245C"/>
    <w:rsid w:val="7B2B62C3"/>
    <w:rsid w:val="7B301522"/>
    <w:rsid w:val="7B354534"/>
    <w:rsid w:val="7B3B1E3C"/>
    <w:rsid w:val="7B474C85"/>
    <w:rsid w:val="7B530A04"/>
    <w:rsid w:val="7B54621A"/>
    <w:rsid w:val="7B575DFB"/>
    <w:rsid w:val="7B5D3DB6"/>
    <w:rsid w:val="7B647386"/>
    <w:rsid w:val="7B7167AB"/>
    <w:rsid w:val="7B771E5B"/>
    <w:rsid w:val="7B7B4C10"/>
    <w:rsid w:val="7B811F45"/>
    <w:rsid w:val="7B833C20"/>
    <w:rsid w:val="7B850C2D"/>
    <w:rsid w:val="7B8657AD"/>
    <w:rsid w:val="7B892BA7"/>
    <w:rsid w:val="7B8B4BF0"/>
    <w:rsid w:val="7B911C22"/>
    <w:rsid w:val="7B9D44BE"/>
    <w:rsid w:val="7B9E2688"/>
    <w:rsid w:val="7BAC604E"/>
    <w:rsid w:val="7BB3289A"/>
    <w:rsid w:val="7BB32E67"/>
    <w:rsid w:val="7BC23BCC"/>
    <w:rsid w:val="7BCA2796"/>
    <w:rsid w:val="7BD5390A"/>
    <w:rsid w:val="7BDA7DB2"/>
    <w:rsid w:val="7BDC361F"/>
    <w:rsid w:val="7BDF5C61"/>
    <w:rsid w:val="7BE03151"/>
    <w:rsid w:val="7BE424D4"/>
    <w:rsid w:val="7BE67F79"/>
    <w:rsid w:val="7BEE48F2"/>
    <w:rsid w:val="7BF34F24"/>
    <w:rsid w:val="7BF60FB3"/>
    <w:rsid w:val="7BF61A01"/>
    <w:rsid w:val="7BF67AD0"/>
    <w:rsid w:val="7C105065"/>
    <w:rsid w:val="7C1C738C"/>
    <w:rsid w:val="7C1D3EF7"/>
    <w:rsid w:val="7C2810E6"/>
    <w:rsid w:val="7C2A0C53"/>
    <w:rsid w:val="7C2E07D1"/>
    <w:rsid w:val="7C316DB5"/>
    <w:rsid w:val="7C323F66"/>
    <w:rsid w:val="7C337139"/>
    <w:rsid w:val="7C365393"/>
    <w:rsid w:val="7C38637B"/>
    <w:rsid w:val="7C397764"/>
    <w:rsid w:val="7C4A6531"/>
    <w:rsid w:val="7C4C6D5F"/>
    <w:rsid w:val="7C5A4AA8"/>
    <w:rsid w:val="7C5E077A"/>
    <w:rsid w:val="7C6014B6"/>
    <w:rsid w:val="7C6F7F0B"/>
    <w:rsid w:val="7C7D3129"/>
    <w:rsid w:val="7C85559B"/>
    <w:rsid w:val="7C8D330F"/>
    <w:rsid w:val="7C900A50"/>
    <w:rsid w:val="7C9B63F9"/>
    <w:rsid w:val="7CA31C73"/>
    <w:rsid w:val="7CA37682"/>
    <w:rsid w:val="7CB8657D"/>
    <w:rsid w:val="7CBD54D4"/>
    <w:rsid w:val="7CBE12A8"/>
    <w:rsid w:val="7CBF787E"/>
    <w:rsid w:val="7CCD3D7F"/>
    <w:rsid w:val="7CD35C26"/>
    <w:rsid w:val="7CD76A9A"/>
    <w:rsid w:val="7CD963F7"/>
    <w:rsid w:val="7CE342B8"/>
    <w:rsid w:val="7CE474F6"/>
    <w:rsid w:val="7CE50319"/>
    <w:rsid w:val="7CEA15A5"/>
    <w:rsid w:val="7CF03837"/>
    <w:rsid w:val="7CF46746"/>
    <w:rsid w:val="7CF5119D"/>
    <w:rsid w:val="7CF53F13"/>
    <w:rsid w:val="7CF6129E"/>
    <w:rsid w:val="7D083445"/>
    <w:rsid w:val="7D0C3A90"/>
    <w:rsid w:val="7D0C79B1"/>
    <w:rsid w:val="7D114E61"/>
    <w:rsid w:val="7D284642"/>
    <w:rsid w:val="7D2B27E6"/>
    <w:rsid w:val="7D2E32F1"/>
    <w:rsid w:val="7D404F04"/>
    <w:rsid w:val="7D431F5B"/>
    <w:rsid w:val="7D457706"/>
    <w:rsid w:val="7D4C0971"/>
    <w:rsid w:val="7D632D39"/>
    <w:rsid w:val="7D6538BE"/>
    <w:rsid w:val="7D6D0145"/>
    <w:rsid w:val="7D6F2271"/>
    <w:rsid w:val="7D741367"/>
    <w:rsid w:val="7D7667A7"/>
    <w:rsid w:val="7D83526A"/>
    <w:rsid w:val="7D897473"/>
    <w:rsid w:val="7D95106A"/>
    <w:rsid w:val="7D983576"/>
    <w:rsid w:val="7DA03A9B"/>
    <w:rsid w:val="7DAF2DE2"/>
    <w:rsid w:val="7DB23D04"/>
    <w:rsid w:val="7DB84ABB"/>
    <w:rsid w:val="7DBC6B8A"/>
    <w:rsid w:val="7DCD4289"/>
    <w:rsid w:val="7DCD7834"/>
    <w:rsid w:val="7DD10836"/>
    <w:rsid w:val="7DD34283"/>
    <w:rsid w:val="7DD81BC4"/>
    <w:rsid w:val="7DDC6C4D"/>
    <w:rsid w:val="7DDD1C6E"/>
    <w:rsid w:val="7DE209B5"/>
    <w:rsid w:val="7DEB1D9B"/>
    <w:rsid w:val="7DEE082F"/>
    <w:rsid w:val="7DF81460"/>
    <w:rsid w:val="7DFA192F"/>
    <w:rsid w:val="7E011EBB"/>
    <w:rsid w:val="7E0404F4"/>
    <w:rsid w:val="7E0F085B"/>
    <w:rsid w:val="7E2C12BE"/>
    <w:rsid w:val="7E341AF1"/>
    <w:rsid w:val="7E3513D4"/>
    <w:rsid w:val="7E377DBE"/>
    <w:rsid w:val="7E3839F9"/>
    <w:rsid w:val="7E4A6849"/>
    <w:rsid w:val="7E4B2F25"/>
    <w:rsid w:val="7E5B1B8E"/>
    <w:rsid w:val="7E5B5A50"/>
    <w:rsid w:val="7E5D093E"/>
    <w:rsid w:val="7E694F12"/>
    <w:rsid w:val="7E6B7C12"/>
    <w:rsid w:val="7E6D2154"/>
    <w:rsid w:val="7E717883"/>
    <w:rsid w:val="7E771CCE"/>
    <w:rsid w:val="7E78275D"/>
    <w:rsid w:val="7E797D67"/>
    <w:rsid w:val="7E7A4B59"/>
    <w:rsid w:val="7E8825E5"/>
    <w:rsid w:val="7E8835EA"/>
    <w:rsid w:val="7E8B6624"/>
    <w:rsid w:val="7E9D794F"/>
    <w:rsid w:val="7EA96C28"/>
    <w:rsid w:val="7EAD17AB"/>
    <w:rsid w:val="7EB142D1"/>
    <w:rsid w:val="7EB50157"/>
    <w:rsid w:val="7EB733C8"/>
    <w:rsid w:val="7EB74E43"/>
    <w:rsid w:val="7EBB7747"/>
    <w:rsid w:val="7ECF2FC7"/>
    <w:rsid w:val="7ED004E8"/>
    <w:rsid w:val="7ED06273"/>
    <w:rsid w:val="7ED1393A"/>
    <w:rsid w:val="7ED914DB"/>
    <w:rsid w:val="7EDD6357"/>
    <w:rsid w:val="7EE164A8"/>
    <w:rsid w:val="7EEB39F8"/>
    <w:rsid w:val="7EEC57B6"/>
    <w:rsid w:val="7EEF18BB"/>
    <w:rsid w:val="7EF73F52"/>
    <w:rsid w:val="7EFD1031"/>
    <w:rsid w:val="7F01339C"/>
    <w:rsid w:val="7F07270B"/>
    <w:rsid w:val="7F08127F"/>
    <w:rsid w:val="7F0927C4"/>
    <w:rsid w:val="7F0B5145"/>
    <w:rsid w:val="7F0E6E32"/>
    <w:rsid w:val="7F0F1CA4"/>
    <w:rsid w:val="7F1267FD"/>
    <w:rsid w:val="7F170A85"/>
    <w:rsid w:val="7F233F35"/>
    <w:rsid w:val="7F2B30CF"/>
    <w:rsid w:val="7F3056A2"/>
    <w:rsid w:val="7F3E578D"/>
    <w:rsid w:val="7F3F1880"/>
    <w:rsid w:val="7F4627B0"/>
    <w:rsid w:val="7F5F07EF"/>
    <w:rsid w:val="7F604567"/>
    <w:rsid w:val="7F605F30"/>
    <w:rsid w:val="7F6B3344"/>
    <w:rsid w:val="7F6C2F0C"/>
    <w:rsid w:val="7F6D27E0"/>
    <w:rsid w:val="7F712AA6"/>
    <w:rsid w:val="7F74591C"/>
    <w:rsid w:val="7F795421"/>
    <w:rsid w:val="7F7C1FF8"/>
    <w:rsid w:val="7F8F61BD"/>
    <w:rsid w:val="7F9B769F"/>
    <w:rsid w:val="7F9B79DA"/>
    <w:rsid w:val="7F9E2EFE"/>
    <w:rsid w:val="7FAC155A"/>
    <w:rsid w:val="7FAF2360"/>
    <w:rsid w:val="7FB83A5B"/>
    <w:rsid w:val="7FC701BA"/>
    <w:rsid w:val="7FCC39AA"/>
    <w:rsid w:val="7FCE461A"/>
    <w:rsid w:val="7FD42E81"/>
    <w:rsid w:val="7FD50214"/>
    <w:rsid w:val="7FE726DE"/>
    <w:rsid w:val="7FE934FA"/>
    <w:rsid w:val="7FEE32C4"/>
    <w:rsid w:val="7FEE3921"/>
    <w:rsid w:val="7FF1241B"/>
    <w:rsid w:val="7FF53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djustRightInd w:val="0"/>
      <w:spacing w:before="240" w:line="480" w:lineRule="atLeast"/>
      <w:jc w:val="left"/>
      <w:textAlignment w:val="baseline"/>
      <w:outlineLvl w:val="0"/>
    </w:pPr>
    <w:rPr>
      <w:b/>
      <w:bCs/>
      <w:kern w:val="44"/>
      <w:sz w:val="44"/>
      <w:szCs w:val="44"/>
    </w:rPr>
  </w:style>
  <w:style w:type="paragraph" w:styleId="5">
    <w:name w:val="heading 2"/>
    <w:basedOn w:val="1"/>
    <w:next w:val="1"/>
    <w:qFormat/>
    <w:uiPriority w:val="9"/>
    <w:pPr>
      <w:keepNext/>
      <w:keepLines/>
      <w:jc w:val="left"/>
      <w:outlineLvl w:val="1"/>
    </w:pPr>
    <w:rPr>
      <w:b/>
      <w:bCs/>
      <w:sz w:val="28"/>
      <w:szCs w:val="32"/>
    </w:rPr>
  </w:style>
  <w:style w:type="paragraph" w:styleId="6">
    <w:name w:val="heading 3"/>
    <w:basedOn w:val="1"/>
    <w:next w:val="1"/>
    <w:link w:val="105"/>
    <w:semiHidden/>
    <w:unhideWhenUsed/>
    <w:qFormat/>
    <w:uiPriority w:val="0"/>
    <w:pPr>
      <w:keepNext/>
      <w:keepLines/>
      <w:spacing w:line="360" w:lineRule="auto"/>
      <w:outlineLvl w:val="2"/>
    </w:pPr>
    <w:rPr>
      <w:b/>
      <w:sz w:val="24"/>
    </w:rPr>
  </w:style>
  <w:style w:type="paragraph" w:styleId="7">
    <w:name w:val="heading 4"/>
    <w:basedOn w:val="1"/>
    <w:next w:val="1"/>
    <w:qFormat/>
    <w:uiPriority w:val="0"/>
    <w:pPr>
      <w:keepNext/>
      <w:keepLines/>
      <w:adjustRightInd w:val="0"/>
      <w:spacing w:before="60" w:after="60" w:line="376" w:lineRule="atLeast"/>
      <w:textAlignment w:val="baseline"/>
      <w:outlineLvl w:val="3"/>
    </w:pPr>
    <w:rPr>
      <w:rFonts w:ascii="Arial" w:hAnsi="Arial" w:eastAsia="黑体"/>
      <w:kern w:val="0"/>
      <w:sz w:val="30"/>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kern w:val="0"/>
      <w:sz w:val="28"/>
      <w:szCs w:val="28"/>
    </w:rPr>
  </w:style>
  <w:style w:type="paragraph" w:styleId="3">
    <w:name w:val="Body Text Indent"/>
    <w:basedOn w:val="1"/>
    <w:next w:val="1"/>
    <w:link w:val="90"/>
    <w:qFormat/>
    <w:uiPriority w:val="0"/>
    <w:pPr>
      <w:spacing w:after="120"/>
      <w:ind w:left="420" w:leftChars="200"/>
    </w:pPr>
  </w:style>
  <w:style w:type="paragraph" w:styleId="8">
    <w:name w:val="Note Heading"/>
    <w:basedOn w:val="1"/>
    <w:next w:val="1"/>
    <w:link w:val="106"/>
    <w:qFormat/>
    <w:uiPriority w:val="0"/>
    <w:pPr>
      <w:jc w:val="center"/>
    </w:pPr>
    <w:rPr>
      <w:rFonts w:ascii="Calibri" w:hAnsi="Calibri"/>
      <w:szCs w:val="22"/>
    </w:rPr>
  </w:style>
  <w:style w:type="paragraph" w:styleId="9">
    <w:name w:val="Normal Indent"/>
    <w:basedOn w:val="1"/>
    <w:next w:val="1"/>
    <w:link w:val="73"/>
    <w:qFormat/>
    <w:uiPriority w:val="0"/>
    <w:pPr>
      <w:ind w:firstLine="420" w:firstLineChars="200"/>
    </w:pPr>
  </w:style>
  <w:style w:type="paragraph" w:styleId="10">
    <w:name w:val="caption"/>
    <w:basedOn w:val="1"/>
    <w:next w:val="1"/>
    <w:unhideWhenUsed/>
    <w:qFormat/>
    <w:uiPriority w:val="0"/>
    <w:pPr>
      <w:keepNext/>
      <w:snapToGrid w:val="0"/>
      <w:jc w:val="center"/>
    </w:pPr>
    <w:rPr>
      <w:rFonts w:cstheme="majorBidi"/>
      <w:b/>
      <w:sz w:val="24"/>
      <w:szCs w:val="20"/>
    </w:rPr>
  </w:style>
  <w:style w:type="paragraph" w:styleId="11">
    <w:name w:val="annotation text"/>
    <w:basedOn w:val="1"/>
    <w:link w:val="71"/>
    <w:qFormat/>
    <w:uiPriority w:val="0"/>
    <w:pPr>
      <w:jc w:val="left"/>
    </w:pPr>
  </w:style>
  <w:style w:type="paragraph" w:styleId="12">
    <w:name w:val="Body Text"/>
    <w:basedOn w:val="1"/>
    <w:next w:val="13"/>
    <w:link w:val="94"/>
    <w:qFormat/>
    <w:uiPriority w:val="0"/>
    <w:pPr>
      <w:spacing w:after="120"/>
    </w:pPr>
  </w:style>
  <w:style w:type="paragraph" w:customStyle="1" w:styleId="13">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styleId="14">
    <w:name w:val="Block Text"/>
    <w:basedOn w:val="1"/>
    <w:next w:val="1"/>
    <w:link w:val="134"/>
    <w:qFormat/>
    <w:uiPriority w:val="0"/>
    <w:pPr>
      <w:ind w:left="113" w:right="113" w:firstLine="595"/>
      <w:jc w:val="left"/>
    </w:pPr>
    <w:rPr>
      <w:sz w:val="28"/>
    </w:rPr>
  </w:style>
  <w:style w:type="paragraph" w:styleId="15">
    <w:name w:val="Plain Text"/>
    <w:basedOn w:val="1"/>
    <w:link w:val="88"/>
    <w:qFormat/>
    <w:uiPriority w:val="0"/>
    <w:pPr>
      <w:widowControl/>
      <w:spacing w:beforeAutospacing="1" w:afterAutospacing="1"/>
      <w:jc w:val="left"/>
    </w:pPr>
    <w:rPr>
      <w:rFonts w:ascii="ˎ̥" w:hAnsi="ˎ̥"/>
      <w:kern w:val="0"/>
      <w:sz w:val="18"/>
      <w:szCs w:val="18"/>
    </w:rPr>
  </w:style>
  <w:style w:type="paragraph" w:styleId="16">
    <w:name w:val="Body Text Indent 2"/>
    <w:basedOn w:val="1"/>
    <w:link w:val="107"/>
    <w:unhideWhenUsed/>
    <w:qFormat/>
    <w:uiPriority w:val="99"/>
    <w:pPr>
      <w:spacing w:after="120" w:line="480" w:lineRule="auto"/>
      <w:ind w:left="420" w:leftChars="200"/>
    </w:pPr>
  </w:style>
  <w:style w:type="paragraph" w:styleId="17">
    <w:name w:val="Balloon Text"/>
    <w:basedOn w:val="1"/>
    <w:link w:val="70"/>
    <w:qFormat/>
    <w:uiPriority w:val="0"/>
    <w:rPr>
      <w:sz w:val="18"/>
      <w:szCs w:val="18"/>
    </w:rPr>
  </w:style>
  <w:style w:type="paragraph" w:styleId="18">
    <w:name w:val="footer"/>
    <w:basedOn w:val="1"/>
    <w:qFormat/>
    <w:uiPriority w:val="99"/>
    <w:pPr>
      <w:tabs>
        <w:tab w:val="center" w:pos="4153"/>
        <w:tab w:val="right" w:pos="8306"/>
      </w:tabs>
      <w:snapToGrid w:val="0"/>
      <w:jc w:val="left"/>
    </w:pPr>
    <w:rPr>
      <w:kern w:val="0"/>
      <w:sz w:val="18"/>
      <w:szCs w:val="20"/>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List"/>
    <w:basedOn w:val="1"/>
    <w:qFormat/>
    <w:uiPriority w:val="0"/>
    <w:pPr>
      <w:spacing w:line="320" w:lineRule="exact"/>
      <w:jc w:val="center"/>
    </w:pPr>
    <w:rPr>
      <w:rFonts w:ascii="宋" w:hAnsi="Tahoma" w:eastAsia="宋"/>
      <w:snapToGrid w:val="0"/>
    </w:rPr>
  </w:style>
  <w:style w:type="paragraph" w:styleId="21">
    <w:name w:val="Body Text Indent 3"/>
    <w:basedOn w:val="1"/>
    <w:link w:val="108"/>
    <w:qFormat/>
    <w:uiPriority w:val="0"/>
    <w:pPr>
      <w:spacing w:after="120"/>
      <w:ind w:left="420" w:leftChars="200"/>
    </w:pPr>
    <w:rPr>
      <w:sz w:val="16"/>
      <w:szCs w:val="16"/>
    </w:rPr>
  </w:style>
  <w:style w:type="paragraph" w:styleId="22">
    <w:name w:val="toc 2"/>
    <w:basedOn w:val="1"/>
    <w:next w:val="1"/>
    <w:qFormat/>
    <w:uiPriority w:val="0"/>
    <w:pPr>
      <w:ind w:left="240" w:leftChars="100"/>
    </w:pPr>
    <w:rPr>
      <w:bCs/>
      <w:smallCaps/>
      <w:szCs w:val="21"/>
    </w:rPr>
  </w:style>
  <w:style w:type="paragraph" w:styleId="23">
    <w:name w:val="Normal (Web)"/>
    <w:basedOn w:val="1"/>
    <w:link w:val="114"/>
    <w:qFormat/>
    <w:uiPriority w:val="0"/>
    <w:pPr>
      <w:widowControl/>
      <w:spacing w:before="100" w:beforeAutospacing="1" w:after="100" w:afterAutospacing="1"/>
      <w:jc w:val="left"/>
    </w:pPr>
    <w:rPr>
      <w:rFonts w:ascii="宋体" w:hAnsi="宋体"/>
      <w:kern w:val="0"/>
      <w:sz w:val="24"/>
      <w:szCs w:val="20"/>
    </w:rPr>
  </w:style>
  <w:style w:type="paragraph" w:styleId="24">
    <w:name w:val="index 1"/>
    <w:basedOn w:val="1"/>
    <w:next w:val="1"/>
    <w:qFormat/>
    <w:uiPriority w:val="0"/>
    <w:pPr>
      <w:widowControl/>
      <w:jc w:val="left"/>
    </w:pPr>
    <w:rPr>
      <w:kern w:val="0"/>
      <w:sz w:val="20"/>
      <w:szCs w:val="20"/>
    </w:rPr>
  </w:style>
  <w:style w:type="paragraph" w:styleId="25">
    <w:name w:val="Title"/>
    <w:basedOn w:val="1"/>
    <w:next w:val="1"/>
    <w:link w:val="104"/>
    <w:qFormat/>
    <w:uiPriority w:val="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11"/>
    <w:next w:val="11"/>
    <w:link w:val="82"/>
    <w:qFormat/>
    <w:uiPriority w:val="0"/>
    <w:rPr>
      <w:b/>
      <w:bCs/>
    </w:rPr>
  </w:style>
  <w:style w:type="paragraph" w:styleId="27">
    <w:name w:val="Body Text First Indent"/>
    <w:basedOn w:val="12"/>
    <w:qFormat/>
    <w:uiPriority w:val="0"/>
    <w:pPr>
      <w:ind w:firstLine="420" w:firstLineChars="1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style>
  <w:style w:type="character" w:styleId="33">
    <w:name w:val="FollowedHyperlink"/>
    <w:basedOn w:val="30"/>
    <w:qFormat/>
    <w:uiPriority w:val="0"/>
    <w:rPr>
      <w:color w:val="771CAA"/>
      <w:u w:val="none"/>
    </w:rPr>
  </w:style>
  <w:style w:type="character" w:styleId="34">
    <w:name w:val="Emphasis"/>
    <w:basedOn w:val="30"/>
    <w:qFormat/>
    <w:uiPriority w:val="0"/>
    <w:rPr>
      <w:color w:val="F73131"/>
    </w:rPr>
  </w:style>
  <w:style w:type="character" w:styleId="35">
    <w:name w:val="Hyperlink"/>
    <w:basedOn w:val="30"/>
    <w:qFormat/>
    <w:uiPriority w:val="0"/>
    <w:rPr>
      <w:color w:val="2440B3"/>
      <w:u w:val="none"/>
    </w:rPr>
  </w:style>
  <w:style w:type="character" w:styleId="36">
    <w:name w:val="annotation reference"/>
    <w:basedOn w:val="30"/>
    <w:qFormat/>
    <w:uiPriority w:val="0"/>
    <w:rPr>
      <w:sz w:val="21"/>
      <w:szCs w:val="21"/>
    </w:rPr>
  </w:style>
  <w:style w:type="character" w:styleId="37">
    <w:name w:val="HTML Cite"/>
    <w:basedOn w:val="30"/>
    <w:qFormat/>
    <w:uiPriority w:val="0"/>
    <w:rPr>
      <w:color w:val="008000"/>
    </w:rPr>
  </w:style>
  <w:style w:type="paragraph" w:customStyle="1" w:styleId="38">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9">
    <w:name w:val="样式 样式 样式 四号 左侧:  1.53 厘米 + 首行缩进:  2 字符 + 居中 左侧:  2 字符 首行缩进:  2..."/>
    <w:basedOn w:val="40"/>
    <w:qFormat/>
    <w:uiPriority w:val="0"/>
    <w:pPr>
      <w:jc w:val="center"/>
    </w:pPr>
  </w:style>
  <w:style w:type="paragraph" w:customStyle="1" w:styleId="40">
    <w:name w:val="样式 样式 四号 左侧:  1.53 厘米 + 首行缩进:  2 字符"/>
    <w:basedOn w:val="41"/>
    <w:qFormat/>
    <w:uiPriority w:val="0"/>
    <w:pPr>
      <w:ind w:left="200" w:leftChars="200"/>
    </w:pPr>
    <w:rPr>
      <w:szCs w:val="20"/>
    </w:rPr>
  </w:style>
  <w:style w:type="paragraph" w:customStyle="1" w:styleId="41">
    <w:name w:val="样式 四号 左侧:  1.53 厘米"/>
    <w:basedOn w:val="1"/>
    <w:qFormat/>
    <w:uiPriority w:val="0"/>
    <w:pPr>
      <w:adjustRightInd w:val="0"/>
    </w:pPr>
    <w:rPr>
      <w:w w:val="90"/>
      <w:sz w:val="28"/>
      <w:szCs w:val="28"/>
    </w:rPr>
  </w:style>
  <w:style w:type="paragraph" w:customStyle="1" w:styleId="42">
    <w:name w:val="样式 正文文本缩进 + 行距: 1.5 倍行距"/>
    <w:basedOn w:val="1"/>
    <w:qFormat/>
    <w:uiPriority w:val="0"/>
    <w:pPr>
      <w:spacing w:after="120" w:line="360" w:lineRule="auto"/>
      <w:ind w:left="90" w:leftChars="32" w:firstLine="560" w:firstLineChars="200"/>
    </w:pPr>
    <w:rPr>
      <w:rFonts w:cs="宋体"/>
    </w:rPr>
  </w:style>
  <w:style w:type="paragraph" w:customStyle="1" w:styleId="43">
    <w:name w:val="样式 正文文本 + 首行缩进:  2 字符"/>
    <w:basedOn w:val="12"/>
    <w:qFormat/>
    <w:uiPriority w:val="99"/>
    <w:pPr>
      <w:spacing w:after="200" w:afterLines="0" w:line="480" w:lineRule="exact"/>
      <w:ind w:firstLine="480" w:firstLineChars="200"/>
    </w:pPr>
    <w:rPr>
      <w:rFonts w:ascii="宋体" w:hAnsi="宋体" w:eastAsia="宋体" w:cs="Times New Roman"/>
      <w:sz w:val="24"/>
      <w:szCs w:val="22"/>
      <w:lang w:val="en-US" w:eastAsia="zh-CN" w:bidi="ar-SA"/>
    </w:rPr>
  </w:style>
  <w:style w:type="paragraph" w:customStyle="1" w:styleId="44">
    <w:name w:val="Default"/>
    <w:basedOn w:val="4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5">
    <w:name w:val="纯文本1"/>
    <w:basedOn w:val="1"/>
    <w:qFormat/>
    <w:uiPriority w:val="0"/>
    <w:pPr>
      <w:adjustRightInd w:val="0"/>
      <w:snapToGrid w:val="0"/>
      <w:spacing w:line="312" w:lineRule="atLeast"/>
      <w:textAlignment w:val="baseline"/>
    </w:pPr>
    <w:rPr>
      <w:rFonts w:hAnsi="Courier New"/>
      <w:kern w:val="0"/>
    </w:rPr>
  </w:style>
  <w:style w:type="paragraph" w:customStyle="1" w:styleId="46">
    <w:name w:val="UserStyle_0"/>
    <w:qFormat/>
    <w:uiPriority w:val="0"/>
    <w:pPr>
      <w:textAlignment w:val="baseline"/>
    </w:pPr>
    <w:rPr>
      <w:rFonts w:ascii="黑体" w:hAnsi="Times New Roman" w:eastAsia="黑体" w:cs="Times New Roman"/>
      <w:color w:val="000000"/>
      <w:sz w:val="24"/>
      <w:szCs w:val="22"/>
      <w:lang w:val="en-US" w:eastAsia="zh-CN" w:bidi="ar-SA"/>
    </w:rPr>
  </w:style>
  <w:style w:type="paragraph" w:customStyle="1" w:styleId="47">
    <w:name w:val="表格"/>
    <w:basedOn w:val="12"/>
    <w:next w:val="1"/>
    <w:link w:val="81"/>
    <w:qFormat/>
    <w:uiPriority w:val="0"/>
    <w:pPr>
      <w:adjustRightInd w:val="0"/>
      <w:snapToGrid w:val="0"/>
      <w:spacing w:beforeLines="10" w:afterLines="10" w:line="259" w:lineRule="auto"/>
      <w:jc w:val="center"/>
    </w:pPr>
    <w:rPr>
      <w:rFonts w:ascii="宋体"/>
      <w:kern w:val="0"/>
      <w:szCs w:val="20"/>
    </w:rPr>
  </w:style>
  <w:style w:type="paragraph" w:customStyle="1" w:styleId="48">
    <w:name w:val="正文4"/>
    <w:basedOn w:val="1"/>
    <w:qFormat/>
    <w:uiPriority w:val="0"/>
    <w:pPr>
      <w:spacing w:line="360" w:lineRule="auto"/>
      <w:ind w:firstLine="1040" w:firstLineChars="200"/>
    </w:pPr>
    <w:rPr>
      <w:sz w:val="24"/>
    </w:rPr>
  </w:style>
  <w:style w:type="paragraph" w:customStyle="1" w:styleId="49">
    <w:name w:val="正文5表格标题"/>
    <w:basedOn w:val="1"/>
    <w:next w:val="50"/>
    <w:qFormat/>
    <w:uiPriority w:val="0"/>
    <w:pPr>
      <w:jc w:val="center"/>
    </w:pPr>
    <w:rPr>
      <w:b/>
    </w:rPr>
  </w:style>
  <w:style w:type="paragraph" w:customStyle="1" w:styleId="50">
    <w:name w:val="正文6表格内容"/>
    <w:basedOn w:val="1"/>
    <w:next w:val="49"/>
    <w:qFormat/>
    <w:uiPriority w:val="0"/>
    <w:pPr>
      <w:jc w:val="center"/>
    </w:pPr>
  </w:style>
  <w:style w:type="paragraph" w:customStyle="1" w:styleId="51">
    <w:name w:val="中文报告书样式"/>
    <w:basedOn w:val="1"/>
    <w:qFormat/>
    <w:uiPriority w:val="0"/>
    <w:pPr>
      <w:adjustRightInd w:val="0"/>
      <w:spacing w:line="420" w:lineRule="atLeast"/>
      <w:textAlignment w:val="baseline"/>
    </w:pPr>
    <w:rPr>
      <w:kern w:val="24"/>
      <w:sz w:val="24"/>
    </w:rPr>
  </w:style>
  <w:style w:type="paragraph" w:styleId="52">
    <w:name w:val="List Paragraph"/>
    <w:basedOn w:val="1"/>
    <w:link w:val="75"/>
    <w:qFormat/>
    <w:uiPriority w:val="99"/>
    <w:pPr>
      <w:spacing w:line="480" w:lineRule="exact"/>
      <w:ind w:firstLine="420" w:firstLineChars="200"/>
    </w:pPr>
    <w:rPr>
      <w:sz w:val="24"/>
      <w:szCs w:val="20"/>
    </w:rPr>
  </w:style>
  <w:style w:type="character" w:customStyle="1" w:styleId="53">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54">
    <w:name w:val="报告书正文"/>
    <w:basedOn w:val="1"/>
    <w:link w:val="109"/>
    <w:qFormat/>
    <w:uiPriority w:val="0"/>
    <w:pPr>
      <w:adjustRightInd w:val="0"/>
      <w:snapToGrid w:val="0"/>
      <w:spacing w:line="360" w:lineRule="auto"/>
      <w:ind w:firstLine="425"/>
      <w:textAlignment w:val="baseline"/>
    </w:pPr>
    <w:rPr>
      <w:rFonts w:ascii="Arial" w:hAnsi="Arial"/>
      <w:kern w:val="0"/>
      <w:sz w:val="24"/>
    </w:rPr>
  </w:style>
  <w:style w:type="paragraph" w:customStyle="1" w:styleId="55">
    <w:name w:val="环评正文"/>
    <w:basedOn w:val="1"/>
    <w:qFormat/>
    <w:uiPriority w:val="0"/>
    <w:pPr>
      <w:spacing w:line="360" w:lineRule="auto"/>
      <w:ind w:firstLine="200" w:firstLineChars="200"/>
    </w:pPr>
    <w:rPr>
      <w:sz w:val="24"/>
    </w:rPr>
  </w:style>
  <w:style w:type="paragraph" w:customStyle="1" w:styleId="56">
    <w:name w:val="00正文"/>
    <w:basedOn w:val="1"/>
    <w:qFormat/>
    <w:uiPriority w:val="0"/>
  </w:style>
  <w:style w:type="paragraph" w:customStyle="1" w:styleId="57">
    <w:name w:val="正文1"/>
    <w:basedOn w:val="1"/>
    <w:next w:val="1"/>
    <w:link w:val="115"/>
    <w:qFormat/>
    <w:uiPriority w:val="0"/>
    <w:pPr>
      <w:snapToGrid w:val="0"/>
      <w:spacing w:line="270" w:lineRule="exact"/>
      <w:jc w:val="center"/>
    </w:pPr>
    <w:rPr>
      <w:spacing w:val="8"/>
      <w:kern w:val="21"/>
      <w:szCs w:val="20"/>
    </w:rPr>
  </w:style>
  <w:style w:type="paragraph" w:customStyle="1" w:styleId="58">
    <w:name w:val="我表格"/>
    <w:basedOn w:val="47"/>
    <w:qFormat/>
    <w:uiPriority w:val="0"/>
  </w:style>
  <w:style w:type="paragraph" w:customStyle="1" w:styleId="59">
    <w:name w:val="中文报告书"/>
    <w:basedOn w:val="1"/>
    <w:qFormat/>
    <w:uiPriority w:val="0"/>
    <w:pPr>
      <w:adjustRightInd w:val="0"/>
      <w:spacing w:after="80" w:line="420" w:lineRule="atLeast"/>
      <w:ind w:firstLine="504" w:firstLineChars="210"/>
      <w:jc w:val="left"/>
      <w:textAlignment w:val="baseline"/>
    </w:pPr>
    <w:rPr>
      <w:kern w:val="0"/>
      <w:sz w:val="24"/>
    </w:rPr>
  </w:style>
  <w:style w:type="paragraph" w:customStyle="1" w:styleId="60">
    <w:name w:val="Table Paragraph"/>
    <w:basedOn w:val="1"/>
    <w:qFormat/>
    <w:uiPriority w:val="1"/>
  </w:style>
  <w:style w:type="character" w:customStyle="1" w:styleId="61">
    <w:name w:val="fontstyle01"/>
    <w:basedOn w:val="30"/>
    <w:qFormat/>
    <w:uiPriority w:val="0"/>
    <w:rPr>
      <w:rFonts w:hint="eastAsia" w:ascii="宋体" w:hAnsi="宋体" w:eastAsia="宋体"/>
      <w:color w:val="000000"/>
      <w:sz w:val="24"/>
      <w:szCs w:val="24"/>
    </w:rPr>
  </w:style>
  <w:style w:type="character" w:customStyle="1" w:styleId="62">
    <w:name w:val="fontstyle21"/>
    <w:basedOn w:val="30"/>
    <w:qFormat/>
    <w:uiPriority w:val="0"/>
    <w:rPr>
      <w:rFonts w:hint="default" w:ascii="TimesNewRoman" w:hAnsi="TimesNewRoman"/>
      <w:color w:val="000000"/>
      <w:sz w:val="24"/>
      <w:szCs w:val="24"/>
    </w:rPr>
  </w:style>
  <w:style w:type="paragraph" w:customStyle="1" w:styleId="63">
    <w:name w:val="报告正文"/>
    <w:basedOn w:val="1"/>
    <w:next w:val="1"/>
    <w:qFormat/>
    <w:uiPriority w:val="0"/>
    <w:pPr>
      <w:spacing w:line="360" w:lineRule="auto"/>
    </w:pPr>
    <w:rPr>
      <w:sz w:val="24"/>
    </w:rPr>
  </w:style>
  <w:style w:type="paragraph" w:customStyle="1" w:styleId="64">
    <w:name w:val="样式 首行缩进:  0.99 厘米 行距: 固定值 21.5 磅"/>
    <w:basedOn w:val="1"/>
    <w:semiHidden/>
    <w:qFormat/>
    <w:uiPriority w:val="0"/>
    <w:pPr>
      <w:spacing w:line="480" w:lineRule="exact"/>
      <w:ind w:firstLine="561" w:firstLineChars="200"/>
    </w:pPr>
    <w:rPr>
      <w:sz w:val="24"/>
    </w:rPr>
  </w:style>
  <w:style w:type="paragraph" w:customStyle="1" w:styleId="65">
    <w:name w:val="表"/>
    <w:link w:val="77"/>
    <w:qFormat/>
    <w:uiPriority w:val="0"/>
    <w:pPr>
      <w:spacing w:line="440" w:lineRule="exact"/>
      <w:ind w:firstLine="200" w:firstLineChars="200"/>
      <w:jc w:val="both"/>
    </w:pPr>
    <w:rPr>
      <w:rFonts w:ascii="Times New Roman" w:hAnsi="Times New Roman" w:eastAsia="宋体" w:cs="Times New Roman"/>
      <w:sz w:val="24"/>
      <w:lang w:val="en-US" w:eastAsia="zh-CN" w:bidi="ar-SA"/>
    </w:rPr>
  </w:style>
  <w:style w:type="paragraph" w:customStyle="1" w:styleId="66">
    <w:name w:val="表格正文"/>
    <w:basedOn w:val="1"/>
    <w:next w:val="1"/>
    <w:link w:val="72"/>
    <w:qFormat/>
    <w:uiPriority w:val="0"/>
    <w:pPr>
      <w:spacing w:line="320" w:lineRule="exact"/>
      <w:jc w:val="center"/>
    </w:pPr>
    <w:rPr>
      <w:rFonts w:ascii="Calibri" w:hAnsi="Calibri"/>
    </w:rPr>
  </w:style>
  <w:style w:type="paragraph" w:customStyle="1" w:styleId="67">
    <w:name w:val="表格内容居中"/>
    <w:basedOn w:val="1"/>
    <w:qFormat/>
    <w:uiPriority w:val="0"/>
    <w:pPr>
      <w:widowControl/>
      <w:adjustRightInd w:val="0"/>
      <w:snapToGrid w:val="0"/>
      <w:jc w:val="center"/>
    </w:pPr>
    <w:rPr>
      <w:szCs w:val="21"/>
    </w:rPr>
  </w:style>
  <w:style w:type="paragraph" w:customStyle="1" w:styleId="68">
    <w:name w:val="q表格"/>
    <w:basedOn w:val="1"/>
    <w:qFormat/>
    <w:uiPriority w:val="0"/>
    <w:pPr>
      <w:adjustRightInd w:val="0"/>
      <w:snapToGrid w:val="0"/>
      <w:spacing w:line="360" w:lineRule="exact"/>
      <w:jc w:val="center"/>
    </w:pPr>
    <w:rPr>
      <w:color w:val="000000"/>
      <w:szCs w:val="21"/>
    </w:rPr>
  </w:style>
  <w:style w:type="paragraph" w:customStyle="1" w:styleId="69">
    <w:name w:val="无间隔1"/>
    <w:qFormat/>
    <w:uiPriority w:val="1"/>
    <w:pPr>
      <w:widowControl w:val="0"/>
      <w:spacing w:line="360" w:lineRule="exact"/>
      <w:jc w:val="center"/>
    </w:pPr>
    <w:rPr>
      <w:rFonts w:ascii="宋体" w:hAnsi="宋体" w:eastAsia="宋体" w:cs="Times New Roman"/>
      <w:kern w:val="2"/>
      <w:sz w:val="21"/>
      <w:lang w:val="en-US" w:eastAsia="zh-CN" w:bidi="ar-SA"/>
    </w:rPr>
  </w:style>
  <w:style w:type="character" w:customStyle="1" w:styleId="70">
    <w:name w:val="批注框文本 字符"/>
    <w:basedOn w:val="30"/>
    <w:link w:val="17"/>
    <w:qFormat/>
    <w:uiPriority w:val="0"/>
    <w:rPr>
      <w:kern w:val="2"/>
      <w:sz w:val="18"/>
      <w:szCs w:val="18"/>
    </w:rPr>
  </w:style>
  <w:style w:type="character" w:customStyle="1" w:styleId="71">
    <w:name w:val="批注文字 字符"/>
    <w:basedOn w:val="30"/>
    <w:link w:val="11"/>
    <w:qFormat/>
    <w:uiPriority w:val="0"/>
    <w:rPr>
      <w:kern w:val="2"/>
      <w:sz w:val="21"/>
      <w:szCs w:val="24"/>
    </w:rPr>
  </w:style>
  <w:style w:type="character" w:customStyle="1" w:styleId="72">
    <w:name w:val="表格正文 Char"/>
    <w:link w:val="66"/>
    <w:qFormat/>
    <w:uiPriority w:val="0"/>
    <w:rPr>
      <w:rFonts w:ascii="Calibri" w:hAnsi="Calibri"/>
      <w:kern w:val="2"/>
      <w:sz w:val="21"/>
      <w:szCs w:val="24"/>
    </w:rPr>
  </w:style>
  <w:style w:type="character" w:customStyle="1" w:styleId="73">
    <w:name w:val="正文缩进 字符"/>
    <w:link w:val="9"/>
    <w:qFormat/>
    <w:uiPriority w:val="0"/>
    <w:rPr>
      <w:kern w:val="2"/>
      <w:sz w:val="21"/>
      <w:szCs w:val="24"/>
    </w:rPr>
  </w:style>
  <w:style w:type="character" w:customStyle="1" w:styleId="74">
    <w:name w:val="正文缩进 Char1"/>
    <w:qFormat/>
    <w:uiPriority w:val="0"/>
    <w:rPr>
      <w:rFonts w:ascii="Verdana" w:hAnsi="Verdana"/>
      <w:spacing w:val="8"/>
      <w:kern w:val="2"/>
      <w:sz w:val="21"/>
      <w:lang w:eastAsia="en-US"/>
    </w:rPr>
  </w:style>
  <w:style w:type="character" w:customStyle="1" w:styleId="75">
    <w:name w:val="列出段落 字符"/>
    <w:link w:val="52"/>
    <w:qFormat/>
    <w:uiPriority w:val="99"/>
    <w:rPr>
      <w:kern w:val="2"/>
      <w:sz w:val="24"/>
    </w:rPr>
  </w:style>
  <w:style w:type="character" w:customStyle="1" w:styleId="76">
    <w:name w:val="正文缩进 字符1"/>
    <w:qFormat/>
    <w:uiPriority w:val="0"/>
  </w:style>
  <w:style w:type="character" w:customStyle="1" w:styleId="77">
    <w:name w:val="表 Char"/>
    <w:link w:val="65"/>
    <w:qFormat/>
    <w:uiPriority w:val="0"/>
    <w:rPr>
      <w:sz w:val="24"/>
    </w:rPr>
  </w:style>
  <w:style w:type="character" w:customStyle="1" w:styleId="78">
    <w:name w:val="z-窗体底端 Char"/>
    <w:link w:val="79"/>
    <w:qFormat/>
    <w:uiPriority w:val="0"/>
    <w:rPr>
      <w:rFonts w:ascii="Arial" w:hAnsi="Arial" w:cs="Arial"/>
      <w:vanish/>
      <w:spacing w:val="5"/>
      <w:sz w:val="16"/>
      <w:szCs w:val="16"/>
    </w:rPr>
  </w:style>
  <w:style w:type="paragraph" w:customStyle="1" w:styleId="79">
    <w:name w:val="z-窗体底端1"/>
    <w:basedOn w:val="1"/>
    <w:next w:val="1"/>
    <w:link w:val="78"/>
    <w:unhideWhenUsed/>
    <w:qFormat/>
    <w:uiPriority w:val="0"/>
    <w:pPr>
      <w:pBdr>
        <w:top w:val="single" w:color="auto" w:sz="6" w:space="1"/>
      </w:pBdr>
      <w:jc w:val="center"/>
    </w:pPr>
    <w:rPr>
      <w:rFonts w:ascii="Arial" w:hAnsi="Arial" w:cs="Arial"/>
      <w:vanish/>
      <w:spacing w:val="5"/>
      <w:kern w:val="0"/>
      <w:sz w:val="16"/>
      <w:szCs w:val="16"/>
    </w:rPr>
  </w:style>
  <w:style w:type="character" w:customStyle="1" w:styleId="80">
    <w:name w:val="正文缩进 Char"/>
    <w:qFormat/>
    <w:uiPriority w:val="0"/>
    <w:rPr>
      <w:rFonts w:ascii="宋体" w:hAnsi="宋体" w:eastAsia="宋体" w:cs="宋体"/>
      <w:kern w:val="0"/>
      <w:sz w:val="24"/>
      <w:szCs w:val="24"/>
    </w:rPr>
  </w:style>
  <w:style w:type="character" w:customStyle="1" w:styleId="81">
    <w:name w:val="表格 Char"/>
    <w:link w:val="47"/>
    <w:qFormat/>
    <w:locked/>
    <w:uiPriority w:val="0"/>
    <w:rPr>
      <w:rFonts w:ascii="宋体"/>
      <w:sz w:val="21"/>
    </w:rPr>
  </w:style>
  <w:style w:type="character" w:customStyle="1" w:styleId="82">
    <w:name w:val="批注主题 字符"/>
    <w:basedOn w:val="71"/>
    <w:link w:val="26"/>
    <w:qFormat/>
    <w:uiPriority w:val="0"/>
    <w:rPr>
      <w:b/>
      <w:bCs/>
      <w:kern w:val="2"/>
      <w:sz w:val="21"/>
      <w:szCs w:val="24"/>
    </w:rPr>
  </w:style>
  <w:style w:type="paragraph" w:customStyle="1" w:styleId="83">
    <w:name w:val="p0"/>
    <w:basedOn w:val="1"/>
    <w:qFormat/>
    <w:uiPriority w:val="0"/>
    <w:pPr>
      <w:widowControl/>
    </w:pPr>
    <w:rPr>
      <w:kern w:val="0"/>
      <w:szCs w:val="21"/>
    </w:rPr>
  </w:style>
  <w:style w:type="character" w:customStyle="1" w:styleId="84">
    <w:name w:val="4刘群正文* Char"/>
    <w:link w:val="85"/>
    <w:qFormat/>
    <w:locked/>
    <w:uiPriority w:val="0"/>
    <w:rPr>
      <w:sz w:val="24"/>
      <w:szCs w:val="24"/>
      <w:lang w:val="zh-CN"/>
    </w:rPr>
  </w:style>
  <w:style w:type="paragraph" w:customStyle="1" w:styleId="85">
    <w:name w:val="4刘群正文*"/>
    <w:basedOn w:val="1"/>
    <w:link w:val="84"/>
    <w:qFormat/>
    <w:uiPriority w:val="0"/>
    <w:pPr>
      <w:widowControl/>
      <w:spacing w:line="500" w:lineRule="exact"/>
      <w:ind w:firstLine="200" w:firstLineChars="200"/>
      <w:jc w:val="left"/>
    </w:pPr>
    <w:rPr>
      <w:kern w:val="0"/>
      <w:sz w:val="24"/>
      <w:lang w:val="zh-CN"/>
    </w:rPr>
  </w:style>
  <w:style w:type="paragraph" w:customStyle="1" w:styleId="86">
    <w:name w:val="正文001"/>
    <w:basedOn w:val="1"/>
    <w:qFormat/>
    <w:uiPriority w:val="0"/>
    <w:pPr>
      <w:spacing w:before="60" w:line="460" w:lineRule="exact"/>
      <w:ind w:firstLine="482"/>
    </w:pPr>
    <w:rPr>
      <w:szCs w:val="20"/>
    </w:rPr>
  </w:style>
  <w:style w:type="paragraph" w:customStyle="1" w:styleId="87">
    <w:name w:val="样式 正文11 + 首行缩进:  2 字符"/>
    <w:basedOn w:val="1"/>
    <w:qFormat/>
    <w:uiPriority w:val="0"/>
    <w:pPr>
      <w:spacing w:line="500" w:lineRule="exact"/>
      <w:ind w:firstLine="560" w:firstLineChars="200"/>
    </w:pPr>
    <w:rPr>
      <w:rFonts w:ascii="宋体" w:hAnsi="宋体" w:cs="宋体"/>
      <w:color w:val="FF0000"/>
      <w:sz w:val="28"/>
      <w:szCs w:val="20"/>
    </w:rPr>
  </w:style>
  <w:style w:type="character" w:customStyle="1" w:styleId="88">
    <w:name w:val="纯文本 字符"/>
    <w:basedOn w:val="30"/>
    <w:link w:val="15"/>
    <w:qFormat/>
    <w:uiPriority w:val="0"/>
    <w:rPr>
      <w:rFonts w:ascii="ˎ̥" w:hAnsi="ˎ̥"/>
      <w:sz w:val="18"/>
      <w:szCs w:val="18"/>
    </w:rPr>
  </w:style>
  <w:style w:type="paragraph" w:customStyle="1" w:styleId="89">
    <w:name w:val="aaa正文"/>
    <w:basedOn w:val="1"/>
    <w:qFormat/>
    <w:uiPriority w:val="0"/>
    <w:pPr>
      <w:spacing w:line="480" w:lineRule="exact"/>
      <w:ind w:firstLine="200" w:firstLineChars="200"/>
    </w:pPr>
    <w:rPr>
      <w:kern w:val="0"/>
      <w:sz w:val="24"/>
      <w:szCs w:val="20"/>
    </w:rPr>
  </w:style>
  <w:style w:type="character" w:customStyle="1" w:styleId="90">
    <w:name w:val="正文文本缩进 字符"/>
    <w:basedOn w:val="30"/>
    <w:link w:val="3"/>
    <w:qFormat/>
    <w:uiPriority w:val="0"/>
    <w:rPr>
      <w:kern w:val="2"/>
      <w:sz w:val="21"/>
      <w:szCs w:val="24"/>
    </w:rPr>
  </w:style>
  <w:style w:type="paragraph" w:customStyle="1" w:styleId="91">
    <w:name w:val="表格格式"/>
    <w:next w:val="1"/>
    <w:qFormat/>
    <w:uiPriority w:val="0"/>
    <w:pPr>
      <w:snapToGrid w:val="0"/>
      <w:jc w:val="center"/>
    </w:pPr>
    <w:rPr>
      <w:rFonts w:ascii="宋体" w:hAnsi="宋体" w:eastAsia="宋体" w:cs="宋体"/>
      <w:bCs/>
      <w:sz w:val="21"/>
      <w:szCs w:val="21"/>
      <w:lang w:val="en-US" w:eastAsia="zh-CN" w:bidi="ar-SA"/>
    </w:rPr>
  </w:style>
  <w:style w:type="paragraph" w:customStyle="1" w:styleId="92">
    <w:name w:val="1正文"/>
    <w:basedOn w:val="1"/>
    <w:next w:val="12"/>
    <w:link w:val="93"/>
    <w:qFormat/>
    <w:uiPriority w:val="0"/>
    <w:pPr>
      <w:spacing w:line="440" w:lineRule="exact"/>
      <w:ind w:firstLine="200" w:firstLineChars="200"/>
    </w:pPr>
    <w:rPr>
      <w:snapToGrid w:val="0"/>
      <w:sz w:val="24"/>
    </w:rPr>
  </w:style>
  <w:style w:type="character" w:customStyle="1" w:styleId="93">
    <w:name w:val="1正文 Char"/>
    <w:link w:val="92"/>
    <w:qFormat/>
    <w:uiPriority w:val="0"/>
    <w:rPr>
      <w:snapToGrid w:val="0"/>
      <w:kern w:val="2"/>
      <w:sz w:val="24"/>
      <w:szCs w:val="24"/>
    </w:rPr>
  </w:style>
  <w:style w:type="character" w:customStyle="1" w:styleId="94">
    <w:name w:val="正文文本 字符"/>
    <w:link w:val="12"/>
    <w:qFormat/>
    <w:locked/>
    <w:uiPriority w:val="0"/>
    <w:rPr>
      <w:kern w:val="2"/>
      <w:sz w:val="21"/>
      <w:szCs w:val="24"/>
    </w:rPr>
  </w:style>
  <w:style w:type="paragraph" w:customStyle="1" w:styleId="95">
    <w:name w:val="正文内容"/>
    <w:basedOn w:val="1"/>
    <w:qFormat/>
    <w:uiPriority w:val="0"/>
    <w:pPr>
      <w:spacing w:line="360" w:lineRule="auto"/>
      <w:ind w:firstLine="624"/>
    </w:pPr>
    <w:rPr>
      <w:rFonts w:ascii="宋体"/>
      <w:sz w:val="24"/>
    </w:rPr>
  </w:style>
  <w:style w:type="paragraph" w:customStyle="1" w:styleId="96">
    <w:name w:val="表头"/>
    <w:basedOn w:val="1"/>
    <w:link w:val="97"/>
    <w:qFormat/>
    <w:uiPriority w:val="0"/>
    <w:pPr>
      <w:keepNext/>
      <w:widowControl/>
      <w:adjustRightInd w:val="0"/>
      <w:snapToGrid w:val="0"/>
      <w:jc w:val="center"/>
    </w:pPr>
    <w:rPr>
      <w:b/>
      <w:szCs w:val="21"/>
    </w:rPr>
  </w:style>
  <w:style w:type="character" w:customStyle="1" w:styleId="97">
    <w:name w:val="表头 Char"/>
    <w:link w:val="96"/>
    <w:qFormat/>
    <w:uiPriority w:val="0"/>
    <w:rPr>
      <w:b/>
      <w:kern w:val="2"/>
      <w:sz w:val="21"/>
      <w:szCs w:val="21"/>
    </w:rPr>
  </w:style>
  <w:style w:type="paragraph" w:customStyle="1" w:styleId="98">
    <w:name w:val="内容11"/>
    <w:basedOn w:val="15"/>
    <w:qFormat/>
    <w:uiPriority w:val="0"/>
    <w:pPr>
      <w:widowControl w:val="0"/>
      <w:adjustRightInd w:val="0"/>
      <w:spacing w:beforeAutospacing="0" w:afterAutospacing="0" w:line="360" w:lineRule="auto"/>
      <w:ind w:right="-92" w:rightChars="-44" w:firstLine="415" w:firstLineChars="179"/>
      <w:jc w:val="both"/>
      <w:textAlignment w:val="baseline"/>
    </w:pPr>
    <w:rPr>
      <w:rFonts w:ascii="宋体" w:hAnsi="宋体" w:cs="宋体"/>
      <w:spacing w:val="-4"/>
      <w:kern w:val="2"/>
      <w:position w:val="6"/>
      <w:sz w:val="24"/>
      <w:szCs w:val="24"/>
    </w:rPr>
  </w:style>
  <w:style w:type="paragraph" w:customStyle="1" w:styleId="99">
    <w:name w:val="2表格标题"/>
    <w:basedOn w:val="25"/>
    <w:next w:val="25"/>
    <w:qFormat/>
    <w:uiPriority w:val="0"/>
    <w:pPr>
      <w:tabs>
        <w:tab w:val="left" w:pos="360"/>
        <w:tab w:val="left" w:pos="900"/>
      </w:tabs>
      <w:adjustRightInd w:val="0"/>
      <w:snapToGrid w:val="0"/>
      <w:spacing w:before="0" w:after="0" w:line="440" w:lineRule="exact"/>
      <w:outlineLvl w:val="9"/>
    </w:pPr>
    <w:rPr>
      <w:rFonts w:ascii="Times New Roman" w:hAnsi="Times New Roman" w:eastAsia="宋体" w:cs="Times New Roman"/>
      <w:bCs w:val="0"/>
      <w:snapToGrid w:val="0"/>
      <w:sz w:val="24"/>
      <w:szCs w:val="24"/>
    </w:rPr>
  </w:style>
  <w:style w:type="character" w:customStyle="1" w:styleId="100">
    <w:name w:val="...表格内容 Char"/>
    <w:link w:val="101"/>
    <w:qFormat/>
    <w:uiPriority w:val="0"/>
    <w:rPr>
      <w:kern w:val="2"/>
      <w:sz w:val="21"/>
      <w:szCs w:val="24"/>
    </w:rPr>
  </w:style>
  <w:style w:type="paragraph" w:customStyle="1" w:styleId="101">
    <w:name w:val="...表格内容"/>
    <w:next w:val="1"/>
    <w:link w:val="100"/>
    <w:qFormat/>
    <w:uiPriority w:val="0"/>
    <w:pPr>
      <w:spacing w:line="240" w:lineRule="atLeast"/>
      <w:jc w:val="center"/>
    </w:pPr>
    <w:rPr>
      <w:rFonts w:ascii="Times New Roman" w:hAnsi="Times New Roman" w:eastAsia="宋体" w:cs="Times New Roman"/>
      <w:kern w:val="2"/>
      <w:sz w:val="21"/>
      <w:szCs w:val="24"/>
      <w:lang w:val="en-US" w:eastAsia="zh-CN" w:bidi="ar-SA"/>
    </w:rPr>
  </w:style>
  <w:style w:type="character" w:customStyle="1" w:styleId="102">
    <w:name w:val="表格内容 Char"/>
    <w:link w:val="103"/>
    <w:qFormat/>
    <w:uiPriority w:val="0"/>
    <w:rPr>
      <w:color w:val="000000"/>
      <w:sz w:val="21"/>
      <w:szCs w:val="24"/>
    </w:rPr>
  </w:style>
  <w:style w:type="paragraph" w:customStyle="1" w:styleId="103">
    <w:name w:val="表格内容"/>
    <w:link w:val="102"/>
    <w:qFormat/>
    <w:uiPriority w:val="0"/>
    <w:pPr>
      <w:adjustRightInd w:val="0"/>
      <w:snapToGrid w:val="0"/>
      <w:spacing w:line="360" w:lineRule="exact"/>
      <w:jc w:val="center"/>
    </w:pPr>
    <w:rPr>
      <w:rFonts w:ascii="Times New Roman" w:hAnsi="Times New Roman" w:eastAsia="宋体" w:cs="Times New Roman"/>
      <w:color w:val="000000"/>
      <w:sz w:val="21"/>
      <w:szCs w:val="24"/>
      <w:lang w:val="en-US" w:eastAsia="zh-CN" w:bidi="ar-SA"/>
    </w:rPr>
  </w:style>
  <w:style w:type="character" w:customStyle="1" w:styleId="104">
    <w:name w:val="标题 字符"/>
    <w:basedOn w:val="30"/>
    <w:link w:val="25"/>
    <w:qFormat/>
    <w:uiPriority w:val="0"/>
    <w:rPr>
      <w:rFonts w:asciiTheme="majorHAnsi" w:hAnsiTheme="majorHAnsi" w:eastAsiaTheme="majorEastAsia" w:cstheme="majorBidi"/>
      <w:b/>
      <w:bCs/>
      <w:kern w:val="2"/>
      <w:sz w:val="32"/>
      <w:szCs w:val="32"/>
    </w:rPr>
  </w:style>
  <w:style w:type="character" w:customStyle="1" w:styleId="105">
    <w:name w:val="标题 3 字符"/>
    <w:basedOn w:val="30"/>
    <w:link w:val="6"/>
    <w:semiHidden/>
    <w:qFormat/>
    <w:uiPriority w:val="0"/>
    <w:rPr>
      <w:b/>
      <w:kern w:val="2"/>
      <w:sz w:val="24"/>
      <w:szCs w:val="24"/>
    </w:rPr>
  </w:style>
  <w:style w:type="character" w:customStyle="1" w:styleId="106">
    <w:name w:val="注释标题 字符"/>
    <w:basedOn w:val="30"/>
    <w:link w:val="8"/>
    <w:qFormat/>
    <w:uiPriority w:val="0"/>
    <w:rPr>
      <w:rFonts w:ascii="Calibri" w:hAnsi="Calibri"/>
      <w:kern w:val="2"/>
      <w:sz w:val="21"/>
      <w:szCs w:val="22"/>
    </w:rPr>
  </w:style>
  <w:style w:type="character" w:customStyle="1" w:styleId="107">
    <w:name w:val="正文文本缩进 2 字符"/>
    <w:basedOn w:val="30"/>
    <w:link w:val="16"/>
    <w:qFormat/>
    <w:uiPriority w:val="99"/>
    <w:rPr>
      <w:kern w:val="2"/>
      <w:sz w:val="21"/>
      <w:szCs w:val="24"/>
    </w:rPr>
  </w:style>
  <w:style w:type="character" w:customStyle="1" w:styleId="108">
    <w:name w:val="正文文本缩进 3 字符"/>
    <w:basedOn w:val="30"/>
    <w:link w:val="21"/>
    <w:qFormat/>
    <w:uiPriority w:val="0"/>
    <w:rPr>
      <w:kern w:val="2"/>
      <w:sz w:val="16"/>
      <w:szCs w:val="16"/>
    </w:rPr>
  </w:style>
  <w:style w:type="character" w:customStyle="1" w:styleId="109">
    <w:name w:val="报告书正文 Char"/>
    <w:link w:val="54"/>
    <w:qFormat/>
    <w:uiPriority w:val="0"/>
    <w:rPr>
      <w:rFonts w:ascii="Arial" w:hAnsi="Arial"/>
      <w:sz w:val="24"/>
      <w:szCs w:val="24"/>
    </w:rPr>
  </w:style>
  <w:style w:type="paragraph" w:customStyle="1" w:styleId="110">
    <w:name w:val="表格文字"/>
    <w:basedOn w:val="111"/>
    <w:qFormat/>
    <w:uiPriority w:val="0"/>
    <w:pPr>
      <w:autoSpaceDE w:val="0"/>
      <w:autoSpaceDN w:val="0"/>
      <w:adjustRightInd w:val="0"/>
      <w:spacing w:line="240" w:lineRule="auto"/>
    </w:pPr>
    <w:rPr>
      <w:rFonts w:ascii="宋体" w:hAnsi="宋体"/>
      <w:color w:val="000000"/>
      <w:kern w:val="0"/>
      <w:sz w:val="21"/>
    </w:rPr>
  </w:style>
  <w:style w:type="paragraph" w:customStyle="1" w:styleId="111">
    <w:name w:val="表格表头"/>
    <w:basedOn w:val="112"/>
    <w:next w:val="1"/>
    <w:qFormat/>
    <w:uiPriority w:val="0"/>
    <w:pPr>
      <w:ind w:firstLine="0" w:firstLineChars="0"/>
      <w:jc w:val="center"/>
    </w:pPr>
  </w:style>
  <w:style w:type="paragraph" w:customStyle="1" w:styleId="112">
    <w:name w:val="正文小四"/>
    <w:qFormat/>
    <w:uiPriority w:val="0"/>
    <w:pPr>
      <w:spacing w:line="360" w:lineRule="auto"/>
      <w:ind w:firstLine="200" w:firstLineChars="200"/>
    </w:pPr>
    <w:rPr>
      <w:rFonts w:ascii="Times New Roman" w:hAnsi="Times New Roman" w:eastAsia="仿宋_GB2312" w:cs="Times New Roman"/>
      <w:kern w:val="2"/>
      <w:sz w:val="24"/>
      <w:szCs w:val="24"/>
      <w:lang w:val="en-US" w:eastAsia="zh-CN" w:bidi="ar-SA"/>
    </w:rPr>
  </w:style>
  <w:style w:type="paragraph" w:customStyle="1" w:styleId="113">
    <w:name w:val="正文曹"/>
    <w:basedOn w:val="3"/>
    <w:qFormat/>
    <w:uiPriority w:val="0"/>
    <w:pPr>
      <w:spacing w:after="0" w:line="320" w:lineRule="exact"/>
      <w:ind w:left="0" w:leftChars="0" w:firstLine="720" w:firstLineChars="200"/>
      <w:jc w:val="center"/>
    </w:pPr>
    <w:rPr>
      <w:kern w:val="0"/>
      <w:sz w:val="24"/>
    </w:rPr>
  </w:style>
  <w:style w:type="character" w:customStyle="1" w:styleId="114">
    <w:name w:val="普通(网站) 字符"/>
    <w:link w:val="23"/>
    <w:qFormat/>
    <w:locked/>
    <w:uiPriority w:val="0"/>
    <w:rPr>
      <w:rFonts w:ascii="宋体" w:hAnsi="宋体"/>
      <w:sz w:val="24"/>
    </w:rPr>
  </w:style>
  <w:style w:type="character" w:customStyle="1" w:styleId="115">
    <w:name w:val="正文1 Char1"/>
    <w:link w:val="57"/>
    <w:qFormat/>
    <w:uiPriority w:val="0"/>
    <w:rPr>
      <w:spacing w:val="8"/>
      <w:kern w:val="21"/>
      <w:sz w:val="21"/>
    </w:rPr>
  </w:style>
  <w:style w:type="paragraph" w:customStyle="1" w:styleId="116">
    <w:name w:val="正文B"/>
    <w:basedOn w:val="1"/>
    <w:qFormat/>
    <w:uiPriority w:val="0"/>
    <w:pPr>
      <w:spacing w:line="360" w:lineRule="auto"/>
      <w:ind w:firstLine="480"/>
    </w:pPr>
    <w:rPr>
      <w:sz w:val="24"/>
    </w:rPr>
  </w:style>
  <w:style w:type="paragraph" w:customStyle="1" w:styleId="117">
    <w:name w:val="1.1.1"/>
    <w:basedOn w:val="1"/>
    <w:qFormat/>
    <w:uiPriority w:val="0"/>
    <w:rPr>
      <w:rFonts w:ascii="黑体"/>
      <w:sz w:val="24"/>
    </w:rPr>
  </w:style>
  <w:style w:type="paragraph" w:customStyle="1" w:styleId="118">
    <w:name w:val="正文首行缩进  2字符"/>
    <w:basedOn w:val="1"/>
    <w:qFormat/>
    <w:uiPriority w:val="0"/>
    <w:pPr>
      <w:widowControl/>
      <w:spacing w:line="360" w:lineRule="auto"/>
      <w:ind w:firstLine="480"/>
    </w:pPr>
    <w:rPr>
      <w:sz w:val="24"/>
    </w:rPr>
  </w:style>
  <w:style w:type="paragraph" w:customStyle="1" w:styleId="119">
    <w:name w:val="2.1.1"/>
    <w:basedOn w:val="1"/>
    <w:qFormat/>
    <w:uiPriority w:val="0"/>
    <w:pPr>
      <w:widowControl w:val="0"/>
      <w:spacing w:line="240" w:lineRule="auto"/>
      <w:textAlignment w:val="auto"/>
    </w:pPr>
    <w:rPr>
      <w:color w:val="auto"/>
      <w:kern w:val="2"/>
      <w:sz w:val="24"/>
      <w:u w:val="none" w:color="auto"/>
    </w:rPr>
  </w:style>
  <w:style w:type="character" w:customStyle="1" w:styleId="120">
    <w:name w:val="c-icon32"/>
    <w:basedOn w:val="30"/>
    <w:qFormat/>
    <w:uiPriority w:val="0"/>
  </w:style>
  <w:style w:type="character" w:customStyle="1" w:styleId="121">
    <w:name w:val="hover29"/>
    <w:basedOn w:val="30"/>
    <w:qFormat/>
    <w:uiPriority w:val="0"/>
    <w:rPr>
      <w:color w:val="315EFB"/>
    </w:rPr>
  </w:style>
  <w:style w:type="character" w:customStyle="1" w:styleId="122">
    <w:name w:val="hover30"/>
    <w:basedOn w:val="30"/>
    <w:qFormat/>
    <w:uiPriority w:val="0"/>
  </w:style>
  <w:style w:type="character" w:customStyle="1" w:styleId="123">
    <w:name w:val="hover31"/>
    <w:basedOn w:val="30"/>
    <w:qFormat/>
    <w:uiPriority w:val="0"/>
    <w:rPr>
      <w:color w:val="315EFB"/>
    </w:rPr>
  </w:style>
  <w:style w:type="character" w:customStyle="1" w:styleId="124">
    <w:name w:val="hover32"/>
    <w:basedOn w:val="30"/>
    <w:qFormat/>
    <w:uiPriority w:val="0"/>
    <w:rPr>
      <w:color w:val="315EFB"/>
      <w:shd w:val="clear" w:fill="F0F3FD"/>
    </w:rPr>
  </w:style>
  <w:style w:type="character" w:customStyle="1" w:styleId="125">
    <w:name w:val="hover"/>
    <w:basedOn w:val="30"/>
    <w:qFormat/>
    <w:uiPriority w:val="0"/>
  </w:style>
  <w:style w:type="character" w:customStyle="1" w:styleId="126">
    <w:name w:val="hover1"/>
    <w:basedOn w:val="30"/>
    <w:qFormat/>
    <w:uiPriority w:val="0"/>
    <w:rPr>
      <w:color w:val="315EFB"/>
    </w:rPr>
  </w:style>
  <w:style w:type="character" w:customStyle="1" w:styleId="127">
    <w:name w:val="hover2"/>
    <w:basedOn w:val="30"/>
    <w:qFormat/>
    <w:uiPriority w:val="0"/>
    <w:rPr>
      <w:color w:val="315EFB"/>
    </w:rPr>
  </w:style>
  <w:style w:type="character" w:customStyle="1" w:styleId="128">
    <w:name w:val="c-icon28"/>
    <w:basedOn w:val="30"/>
    <w:qFormat/>
    <w:uiPriority w:val="0"/>
  </w:style>
  <w:style w:type="character" w:customStyle="1" w:styleId="129">
    <w:name w:val="c-icon30"/>
    <w:basedOn w:val="30"/>
    <w:qFormat/>
    <w:uiPriority w:val="0"/>
  </w:style>
  <w:style w:type="character" w:customStyle="1" w:styleId="130">
    <w:name w:val="hover28"/>
    <w:basedOn w:val="30"/>
    <w:qFormat/>
    <w:uiPriority w:val="0"/>
    <w:rPr>
      <w:color w:val="315EFB"/>
      <w:shd w:val="clear" w:fill="F0F3FD"/>
    </w:rPr>
  </w:style>
  <w:style w:type="character" w:customStyle="1" w:styleId="131">
    <w:name w:val="content-right_8zs401"/>
    <w:basedOn w:val="30"/>
    <w:qFormat/>
    <w:uiPriority w:val="0"/>
  </w:style>
  <w:style w:type="character" w:customStyle="1" w:styleId="132">
    <w:name w:val="hover26"/>
    <w:basedOn w:val="30"/>
    <w:qFormat/>
    <w:uiPriority w:val="0"/>
    <w:rPr>
      <w:color w:val="315EFB"/>
    </w:rPr>
  </w:style>
  <w:style w:type="character" w:customStyle="1" w:styleId="133">
    <w:name w:val="hover27"/>
    <w:basedOn w:val="30"/>
    <w:qFormat/>
    <w:uiPriority w:val="0"/>
  </w:style>
  <w:style w:type="character" w:customStyle="1" w:styleId="134">
    <w:name w:val="文本块 Char"/>
    <w:link w:val="14"/>
    <w:qFormat/>
    <w:uiPriority w:val="0"/>
    <w:rPr>
      <w:sz w:val="28"/>
    </w:rPr>
  </w:style>
  <w:style w:type="paragraph" w:customStyle="1" w:styleId="135">
    <w:name w:val="正文 首行缩进:  2 字符"/>
    <w:basedOn w:val="1"/>
    <w:semiHidden/>
    <w:qFormat/>
    <w:uiPriority w:val="0"/>
    <w:pPr>
      <w:spacing w:line="520" w:lineRule="exact"/>
      <w:ind w:firstLine="480" w:firstLineChars="200"/>
    </w:pPr>
    <w:rPr>
      <w:kern w:val="44"/>
      <w:sz w:val="24"/>
      <w:szCs w:val="20"/>
    </w:rPr>
  </w:style>
  <w:style w:type="paragraph" w:customStyle="1" w:styleId="136">
    <w:name w:val="0--表格文字"/>
    <w:basedOn w:val="1"/>
    <w:qFormat/>
    <w:uiPriority w:val="0"/>
    <w:pPr>
      <w:contextualSpacing/>
      <w:jc w:val="center"/>
    </w:pPr>
    <w:rPr>
      <w:bCs/>
      <w:sz w:val="21"/>
      <w:szCs w:val="21"/>
    </w:rPr>
  </w:style>
  <w:style w:type="table" w:customStyle="1" w:styleId="137">
    <w:name w:val="Table Normal"/>
    <w:unhideWhenUsed/>
    <w:qFormat/>
    <w:uiPriority w:val="0"/>
    <w:tblPr>
      <w:tblCellMar>
        <w:top w:w="0" w:type="dxa"/>
        <w:left w:w="0" w:type="dxa"/>
        <w:bottom w:w="0" w:type="dxa"/>
        <w:right w:w="0" w:type="dxa"/>
      </w:tblCellMar>
    </w:tblPr>
  </w:style>
  <w:style w:type="paragraph" w:customStyle="1" w:styleId="138">
    <w:name w:val="Table Text"/>
    <w:basedOn w:val="1"/>
    <w:semiHidden/>
    <w:qFormat/>
    <w:uiPriority w:val="0"/>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81</Pages>
  <Words>30648</Words>
  <Characters>32715</Characters>
  <Lines>369</Lines>
  <Paragraphs>104</Paragraphs>
  <TotalTime>2</TotalTime>
  <ScaleCrop>false</ScaleCrop>
  <LinksUpToDate>false</LinksUpToDate>
  <CharactersWithSpaces>32879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2022-07-13T01:24:00Z</dcterms:created>
  <dc:creator>阿</dc:creator>
  <cp:lastModifiedBy>Rainy°</cp:lastModifiedBy>
  <dcterms:modified xsi:type="dcterms:W3CDTF">2025-09-29T08:47:08Z</dcterms:modified>
  <cp:revision>4101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B557B6D480084DAFA0FB4799667793CB_13</vt:lpwstr>
  </property>
  <property fmtid="{D5CDD505-2E9C-101B-9397-08002B2CF9AE}" pid="4" name="KSOTemplateDocerSaveRecord">
    <vt:lpwstr>eyJoZGlkIjoiNWQyODAwYjJmM2JjZThkNTBkNDBiZTljMGY0MjExMDEiLCJ1c2VySWQiOiI0NjYyNDY1NjUifQ==</vt:lpwstr>
  </property>
</Properties>
</file>