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F33DC">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14:paraId="24C1ED4C">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14:paraId="6E1E09EA">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14:paraId="2A074D5E">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5</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05</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14:paraId="2B976CA5">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1I5O0AAAAAUB&#10;AAAPAAAAAAAAAAEAIAAAACIAAABkcnMvZG93bnJldi54bWxQSwECFAAUAAAACACHTuJAl3NChuoB&#10;AAC5AwAADgAAAAAAAAABACAAAAAfAQAAZHJzL2Uyb0RvYy54bWxQSwUGAAAAAAYABgBZAQAAewUA&#10;AAAA&#10;">
                <v:fill on="f" focussize="0,0"/>
                <v:stroke weight="2pt" color="#FF3737" joinstyle="round"/>
                <v:imagedata o:title=""/>
                <o:lock v:ext="edit" aspectratio="f"/>
              </v:line>
            </w:pict>
          </mc:Fallback>
        </mc:AlternateContent>
      </w:r>
    </w:p>
    <w:p w14:paraId="3D2A6C16">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14:paraId="6E8FE46F">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邯郸市启明新能源科技有限公司太阳能光伏板回收利用项目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14:paraId="2481FF15">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14:paraId="22C08AFA">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邯郸市启明新能源科技有限公司：</w:t>
      </w:r>
    </w:p>
    <w:p w14:paraId="36347865">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邯郸市启明新能源科技有限公司太阳能光伏板回收利用项目环境影响报告表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14:paraId="0135E8D9">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default" w:ascii="Times New Roman" w:hAnsi="Times New Roman" w:eastAsia="仿宋_GB2312" w:cs="Times New Roman"/>
          <w:w w:val="100"/>
          <w:sz w:val="32"/>
          <w:szCs w:val="32"/>
          <w:lang w:val="en-US" w:eastAsia="zh-CN"/>
        </w:rPr>
        <w:t>河北魏县经济开发区再生资源循环利用园区的魏县绿环循环经济产业园有限公司16栋</w:t>
      </w:r>
      <w:r>
        <w:rPr>
          <w:rFonts w:hint="default" w:ascii="Times New Roman" w:hAnsi="Times New Roman" w:eastAsia="仿宋_GB2312" w:cs="Times New Roman"/>
          <w:w w:val="100"/>
          <w:sz w:val="32"/>
          <w:szCs w:val="32"/>
          <w:lang w:eastAsia="zh-CN"/>
        </w:rPr>
        <w:t>，厂址中心地理坐标为北纬36°</w:t>
      </w:r>
      <w:r>
        <w:rPr>
          <w:rFonts w:hint="eastAsia" w:ascii="Times New Roman" w:hAnsi="Times New Roman" w:eastAsia="仿宋_GB2312" w:cs="Times New Roman"/>
          <w:w w:val="100"/>
          <w:sz w:val="32"/>
          <w:szCs w:val="32"/>
          <w:lang w:val="en-US" w:eastAsia="zh-CN"/>
        </w:rPr>
        <w:t>6</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36.846</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东经114</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5</w:t>
      </w:r>
      <w:r>
        <w:rPr>
          <w:rFonts w:hint="eastAsia" w:ascii="Times New Roman" w:hAnsi="Times New Roman" w:eastAsia="仿宋_GB2312" w:cs="Times New Roman"/>
          <w:w w:val="100"/>
          <w:sz w:val="32"/>
          <w:szCs w:val="32"/>
          <w:lang w:val="en-US" w:eastAsia="zh-CN"/>
        </w:rPr>
        <w:t>6</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59.615</w:t>
      </w:r>
      <w:r>
        <w:rPr>
          <w:rFonts w:hint="default" w:ascii="Times New Roman" w:hAnsi="Times New Roman" w:eastAsia="仿宋_GB2312" w:cs="Times New Roman"/>
          <w:w w:val="100"/>
          <w:sz w:val="32"/>
          <w:szCs w:val="32"/>
          <w:lang w:eastAsia="zh-CN"/>
        </w:rPr>
        <w:t>″。建设内容及建设规模：</w:t>
      </w:r>
      <w:r>
        <w:rPr>
          <w:rFonts w:hint="default" w:ascii="Times New Roman" w:hAnsi="Times New Roman" w:eastAsia="仿宋_GB2312" w:cs="Times New Roman"/>
          <w:w w:val="100"/>
          <w:sz w:val="32"/>
          <w:szCs w:val="32"/>
          <w:lang w:val="en-US" w:eastAsia="zh-CN"/>
        </w:rPr>
        <w:t>本项目租赁场地建筑面积</w:t>
      </w:r>
      <w:r>
        <w:rPr>
          <w:rFonts w:hint="eastAsia" w:ascii="Times New Roman" w:hAnsi="Times New Roman" w:eastAsia="仿宋_GB2312" w:cs="Times New Roman"/>
          <w:w w:val="100"/>
          <w:sz w:val="32"/>
          <w:szCs w:val="32"/>
          <w:lang w:val="en-US" w:eastAsia="zh-CN"/>
        </w:rPr>
        <w:t>3780</w:t>
      </w:r>
      <w:r>
        <w:rPr>
          <w:rFonts w:hint="default" w:ascii="Times New Roman" w:hAnsi="Times New Roman" w:eastAsia="仿宋_GB2312" w:cs="Times New Roman"/>
          <w:w w:val="100"/>
          <w:sz w:val="32"/>
          <w:szCs w:val="32"/>
          <w:lang w:val="en-US" w:eastAsia="zh-CN"/>
        </w:rPr>
        <w:t>㎡，生产车间</w:t>
      </w:r>
      <w:r>
        <w:rPr>
          <w:rFonts w:hint="eastAsia" w:ascii="Times New Roman" w:hAnsi="Times New Roman" w:eastAsia="仿宋_GB2312" w:cs="Times New Roman"/>
          <w:w w:val="100"/>
          <w:sz w:val="32"/>
          <w:szCs w:val="32"/>
          <w:lang w:val="en-US" w:eastAsia="zh-CN"/>
        </w:rPr>
        <w:t>内</w:t>
      </w:r>
      <w:r>
        <w:rPr>
          <w:rFonts w:hint="default" w:ascii="Times New Roman" w:hAnsi="Times New Roman" w:eastAsia="仿宋_GB2312" w:cs="Times New Roman"/>
          <w:w w:val="100"/>
          <w:sz w:val="32"/>
          <w:szCs w:val="32"/>
          <w:lang w:val="en-US" w:eastAsia="zh-CN"/>
        </w:rPr>
        <w:t>设置拆框机、去玻机、刷玻机、撕碎机、粉碎机、研磨机等设备，项目建成后可拆解加工废光伏板33600t/a，其中废单玻光伏板组件21000t/a，废双玻光伏板组件12600t/a。项目总投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600</w:t>
      </w:r>
      <w:r>
        <w:rPr>
          <w:rFonts w:hint="default" w:ascii="Times New Roman" w:hAnsi="Times New Roman" w:eastAsia="仿宋_GB2312" w:cs="Times New Roman"/>
          <w:color w:val="auto"/>
          <w:w w:val="100"/>
          <w:sz w:val="32"/>
          <w:szCs w:val="32"/>
          <w:lang w:val="en-US" w:eastAsia="zh-CN"/>
        </w:rPr>
        <w:t>万元，其中环保投资50万元，占总投资</w:t>
      </w:r>
      <w:r>
        <w:rPr>
          <w:rFonts w:hint="eastAsia" w:ascii="Times New Roman" w:hAnsi="Times New Roman" w:eastAsia="仿宋_GB2312" w:cs="Times New Roman"/>
          <w:color w:val="auto"/>
          <w:w w:val="100"/>
          <w:sz w:val="32"/>
          <w:szCs w:val="32"/>
          <w:lang w:val="en-US" w:eastAsia="zh-CN"/>
        </w:rPr>
        <w:t>8.33</w:t>
      </w:r>
      <w:r>
        <w:rPr>
          <w:rFonts w:hint="default" w:ascii="Times New Roman" w:hAnsi="Times New Roman" w:eastAsia="仿宋_GB2312" w:cs="Times New Roman"/>
          <w:color w:val="auto"/>
          <w:w w:val="100"/>
          <w:sz w:val="32"/>
          <w:szCs w:val="32"/>
          <w:lang w:val="en-US" w:eastAsia="zh-CN"/>
        </w:rPr>
        <w:t>%。</w:t>
      </w:r>
    </w:p>
    <w:p w14:paraId="5081C997">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default" w:ascii="Times New Roman" w:hAnsi="Times New Roman" w:eastAsia="仿宋_GB2312" w:cs="Times New Roman"/>
          <w:w w:val="100"/>
          <w:sz w:val="32"/>
          <w:szCs w:val="32"/>
          <w:lang w:val="en-US" w:eastAsia="zh-CN"/>
        </w:rPr>
        <w:t>河北奇正环境科技科技有限公司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14:paraId="7AA0763A">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14:paraId="29FF166D">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⑴废气：该项目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w:t>
      </w:r>
      <w:r>
        <w:rPr>
          <w:rFonts w:hint="default" w:ascii="Times New Roman" w:hAnsi="Times New Roman" w:eastAsia="仿宋_GB2312" w:cs="Times New Roman"/>
          <w:w w:val="100"/>
          <w:sz w:val="32"/>
          <w:szCs w:val="32"/>
          <w:lang w:val="en-US" w:eastAsia="zh-CN"/>
        </w:rPr>
        <w:t>废单玻光伏板组件拆解线加热废气、粉碎废气、研磨出料废气、比重分选粉尘、静电分离上料废气、包装废气；废双玻光伏板组件拆解线加热废气、正压分选废气、负压分选废气、比重分选废气、包装废气；无组织废气为未被收集的废气和原料卸料废气</w:t>
      </w:r>
      <w:r>
        <w:rPr>
          <w:rFonts w:hint="default" w:ascii="Times New Roman" w:hAnsi="Times New Roman" w:eastAsia="仿宋_GB2312" w:cs="Times New Roman"/>
          <w:w w:val="100"/>
          <w:sz w:val="32"/>
          <w:szCs w:val="32"/>
          <w:lang w:val="en-US" w:eastAsia="zh-CN"/>
        </w:rPr>
        <w:t>等。</w:t>
      </w:r>
    </w:p>
    <w:p w14:paraId="63C12831">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废单玻光伏板组件拆解线加热废气、粉碎废气、研磨出料废气、比重分选粉尘、静电分离上料废气、包装废气；废双玻光伏板组件拆解线加热废气、正压分选废气、负压分选废气、比重分选废气、包装废气</w:t>
      </w:r>
      <w:r>
        <w:rPr>
          <w:rFonts w:hint="default" w:ascii="Times New Roman" w:hAnsi="Times New Roman" w:eastAsia="仿宋_GB2312" w:cs="Times New Roman"/>
          <w:w w:val="100"/>
          <w:sz w:val="32"/>
          <w:szCs w:val="32"/>
          <w:lang w:val="en-US" w:eastAsia="zh-CN"/>
        </w:rPr>
        <w:t>。其中，废单玻光伏板组件拆解线加热废气</w:t>
      </w:r>
      <w:r>
        <w:rPr>
          <w:rFonts w:hint="default" w:ascii="Times New Roman" w:hAnsi="Times New Roman" w:eastAsia="仿宋_GB2312" w:cs="Times New Roman"/>
          <w:w w:val="100"/>
          <w:sz w:val="32"/>
          <w:szCs w:val="32"/>
          <w:lang w:val="en-US" w:eastAsia="zh-CN"/>
        </w:rPr>
        <w:t>通过顶部负压管道收集，收集的废气采用二级活性炭吸附装置处理后由排气筒排放，满足《工业企业挥发性有机物排放控制标准》（DB13/2322-2025）表1中塑料制品制造标准限值、《合成树脂工业污染物排放标准》（GB31572-2015）表5大气污染物特别排放限值。粉碎废气、研磨出料废气、比重分选粉尘、静电分离上料废气、包装废气经集气罩收集后共同引入布袋除尘器处理，处理后经排气筒排放，满足《大气污染物综合排放标准》(GB16297-1996)表2颗粒物（玻璃棉尘、石英粉尘）二级标准。废双玻光伏板组件拆解线加热废气</w:t>
      </w:r>
      <w:r>
        <w:rPr>
          <w:rFonts w:hint="eastAsia" w:ascii="Times New Roman" w:hAnsi="Times New Roman" w:eastAsia="仿宋_GB2312" w:cs="Times New Roman"/>
          <w:w w:val="100"/>
          <w:sz w:val="32"/>
          <w:szCs w:val="32"/>
          <w:lang w:val="en-US" w:eastAsia="zh-CN"/>
        </w:rPr>
        <w:t>由</w:t>
      </w:r>
      <w:r>
        <w:rPr>
          <w:rFonts w:hint="default" w:ascii="Times New Roman" w:hAnsi="Times New Roman" w:eastAsia="仿宋_GB2312" w:cs="Times New Roman"/>
          <w:w w:val="100"/>
          <w:sz w:val="32"/>
          <w:szCs w:val="32"/>
          <w:lang w:val="en-US" w:eastAsia="zh-CN"/>
        </w:rPr>
        <w:t>顶部设置负压管道，进出料口设置集气罩</w:t>
      </w:r>
      <w:r>
        <w:rPr>
          <w:rFonts w:hint="eastAsia" w:ascii="Times New Roman" w:hAnsi="Times New Roman" w:eastAsia="仿宋_GB2312" w:cs="Times New Roman"/>
          <w:w w:val="100"/>
          <w:sz w:val="32"/>
          <w:szCs w:val="32"/>
          <w:lang w:val="en-US" w:eastAsia="zh-CN"/>
        </w:rPr>
        <w:t>收集</w:t>
      </w:r>
      <w:r>
        <w:rPr>
          <w:rFonts w:hint="default" w:ascii="Times New Roman" w:hAnsi="Times New Roman" w:eastAsia="仿宋_GB2312" w:cs="Times New Roman"/>
          <w:w w:val="100"/>
          <w:sz w:val="32"/>
          <w:szCs w:val="32"/>
          <w:lang w:val="en-US" w:eastAsia="zh-CN"/>
        </w:rPr>
        <w:t>，收集</w:t>
      </w:r>
      <w:r>
        <w:rPr>
          <w:rFonts w:hint="eastAsia" w:ascii="Times New Roman" w:hAnsi="Times New Roman" w:eastAsia="仿宋_GB2312" w:cs="Times New Roman"/>
          <w:w w:val="100"/>
          <w:sz w:val="32"/>
          <w:szCs w:val="32"/>
          <w:lang w:val="en-US" w:eastAsia="zh-CN"/>
        </w:rPr>
        <w:t>后</w:t>
      </w:r>
      <w:r>
        <w:rPr>
          <w:rFonts w:hint="default" w:ascii="Times New Roman" w:hAnsi="Times New Roman" w:eastAsia="仿宋_GB2312" w:cs="Times New Roman"/>
          <w:w w:val="100"/>
          <w:sz w:val="32"/>
          <w:szCs w:val="32"/>
          <w:lang w:val="en-US" w:eastAsia="zh-CN"/>
        </w:rPr>
        <w:t>的废气引入二次燃烧室燃烧处理，由排气筒排放</w:t>
      </w:r>
      <w:r>
        <w:rPr>
          <w:rFonts w:hint="eastAsia" w:ascii="Times New Roman" w:hAnsi="Times New Roman" w:eastAsia="仿宋_GB2312" w:cs="Times New Roman"/>
          <w:w w:val="100"/>
          <w:sz w:val="32"/>
          <w:szCs w:val="32"/>
          <w:lang w:val="en-US" w:eastAsia="zh-CN"/>
        </w:rPr>
        <w:t>，满足《工业企业挥发性有机物排放控制标准》（DB13/2322-2025）表1中塑料制品制造标准限值、《合成树脂工业污染物排放标准》（GB31572-2015）表5大气污染物特别排放限值。</w:t>
      </w:r>
      <w:r>
        <w:rPr>
          <w:rFonts w:hint="default" w:ascii="Times New Roman" w:hAnsi="Times New Roman" w:eastAsia="仿宋_GB2312" w:cs="Times New Roman"/>
          <w:w w:val="100"/>
          <w:sz w:val="32"/>
          <w:szCs w:val="32"/>
          <w:lang w:val="en-US" w:eastAsia="zh-CN"/>
        </w:rPr>
        <w:t>正压分选废气、负压分选废气、比重分选废气、包装废气分别经各自集气罩收集，收集</w:t>
      </w:r>
      <w:r>
        <w:rPr>
          <w:rFonts w:hint="eastAsia" w:ascii="Times New Roman" w:hAnsi="Times New Roman" w:eastAsia="仿宋_GB2312" w:cs="Times New Roman"/>
          <w:w w:val="100"/>
          <w:sz w:val="32"/>
          <w:szCs w:val="32"/>
          <w:lang w:val="en-US" w:eastAsia="zh-CN"/>
        </w:rPr>
        <w:t>后</w:t>
      </w:r>
      <w:r>
        <w:rPr>
          <w:rFonts w:hint="default" w:ascii="Times New Roman" w:hAnsi="Times New Roman" w:eastAsia="仿宋_GB2312" w:cs="Times New Roman"/>
          <w:w w:val="100"/>
          <w:sz w:val="32"/>
          <w:szCs w:val="32"/>
          <w:lang w:val="en-US" w:eastAsia="zh-CN"/>
        </w:rPr>
        <w:t>的废气共同引入布袋除尘器处理，处理后经排气筒排放</w:t>
      </w:r>
      <w:r>
        <w:rPr>
          <w:rFonts w:hint="eastAsia" w:ascii="Times New Roman" w:hAnsi="Times New Roman" w:eastAsia="仿宋_GB2312" w:cs="Times New Roman"/>
          <w:w w:val="100"/>
          <w:sz w:val="32"/>
          <w:szCs w:val="32"/>
          <w:lang w:val="en-US" w:eastAsia="zh-CN"/>
        </w:rPr>
        <w:t>，满足《大气污染物综合排放标准》(GB16297-1996)表2颗粒物（玻璃棉尘、石英粉尘）二级标准。</w:t>
      </w:r>
    </w:p>
    <w:p w14:paraId="3F22449F">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w:t>
      </w:r>
      <w:r>
        <w:rPr>
          <w:rFonts w:hint="default" w:ascii="Times New Roman" w:hAnsi="Times New Roman" w:eastAsia="仿宋_GB2312" w:cs="Times New Roman"/>
          <w:w w:val="100"/>
          <w:sz w:val="32"/>
          <w:szCs w:val="32"/>
          <w:lang w:val="en-US" w:eastAsia="zh-CN"/>
        </w:rPr>
        <w:t>未被收集废气和原料卸料粉尘等。通过采取加强有组织收集、车间密闭、加强管理等措施降低废气无组织排放。满足《合成树脂工业污染物排放标准》</w:t>
      </w:r>
      <w:bookmarkStart w:id="0" w:name="_GoBack"/>
      <w:bookmarkEnd w:id="0"/>
      <w:r>
        <w:rPr>
          <w:rFonts w:hint="default" w:ascii="Times New Roman" w:hAnsi="Times New Roman" w:eastAsia="仿宋_GB2312" w:cs="Times New Roman"/>
          <w:w w:val="100"/>
          <w:sz w:val="32"/>
          <w:szCs w:val="32"/>
          <w:lang w:val="en-US" w:eastAsia="zh-CN"/>
        </w:rPr>
        <w:t>（GB31572-2015）表9企业边界大气污染物浓度限值、《挥发性有机物无组织排放控制标准》（GB37822-2019）中限值</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《大气污染物综合排放标准》（GB16297-1996）表2中颗粒物（玻璃棉尘、石英粉尘）无组织排放监控浓度限值。</w:t>
      </w:r>
    </w:p>
    <w:p w14:paraId="611CB2CD">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2</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项目无生产废水产生；生活废水依托绿环循环经济产业园污水管网排入绿环循环经济产业园污水处理站处理。</w:t>
      </w:r>
    </w:p>
    <w:p w14:paraId="61888DAF">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3</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为拆框机、去玻机、刷玻机、输送机、粉碎机、风机等设备产生的噪声，设备通过选用低噪声设备，采取基础减振，风机设置软连接、厂房隔声等措施，满足《工业企业厂界环境噪声排放标准》(GB12348.2008)3类标准。</w:t>
      </w:r>
    </w:p>
    <w:p w14:paraId="53761673">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（4）固体废物：该项目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主要包括一般工业固体废物、危险废物和生活垃圾。一般工业固体废物包括除尘灰、废布袋、含胶膜渣杂质混合物，</w:t>
      </w:r>
      <w:r>
        <w:rPr>
          <w:rFonts w:hint="eastAsia" w:ascii="Times New Roman" w:hAnsi="Times New Roman" w:eastAsia="仿宋_GB2312" w:cs="Times New Roman"/>
          <w:w w:val="100"/>
          <w:sz w:val="32"/>
          <w:szCs w:val="32"/>
          <w:lang w:val="en-US" w:eastAsia="zh-CN"/>
        </w:rPr>
        <w:t>统一</w:t>
      </w:r>
      <w:r>
        <w:rPr>
          <w:rFonts w:hint="default" w:ascii="Times New Roman" w:hAnsi="Times New Roman" w:eastAsia="仿宋_GB2312" w:cs="Times New Roman"/>
          <w:w w:val="100"/>
          <w:sz w:val="32"/>
          <w:szCs w:val="32"/>
          <w:lang w:val="en-US" w:eastAsia="zh-CN"/>
        </w:rPr>
        <w:t>收集至一般固废间后外售综合利用。危险废物包括废活性炭、废过滤棉、废机油、废机油桶分类收集后，暂存于危废间内，定期交有资质单位处置。生活垃圾由环卫部门定期清运。</w:t>
      </w:r>
    </w:p>
    <w:p w14:paraId="209FFAF4">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四、项目建设必须严格执行配套建设的环境保护设施与主体工程同时设计、同时施工、同时投产使用的环境保护“三同时”制度。</w:t>
      </w:r>
    </w:p>
    <w:p w14:paraId="3DFB23EB">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14:paraId="34484CEF">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14:paraId="715368CE">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14:paraId="1EDE6FDF">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COD：0.</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01</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t/a、；NH3-N：0.0</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1.306</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1.306</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14:paraId="56BC0A84">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九</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十八</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14:paraId="7D834AFE">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14:paraId="0A6A4474">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mtxDtIAAAAFAQAADwAAAAAAAAABACAAAAAiAAAAZHJzL2Rvd25yZXYueG1sUEsB&#10;AhQAFAAAAAgAh07iQMJ+q/T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18</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14:paraId="3CAB9A29">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e94rdIAAAAFAQAADwAAAAAAAAABACAAAAAiAAAAZHJzL2Rvd25yZXYueG1sUEsB&#10;AhQAFAAAAAgAh07iQLanrzr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汉仪书宋一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ACC9">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53E6">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F22B3C"/>
    <w:rsid w:val="E81362F8"/>
    <w:rsid w:val="EEBF7C0F"/>
    <w:rsid w:val="F977A930"/>
    <w:rsid w:val="FEF560DA"/>
    <w:rsid w:val="FF770519"/>
    <w:rsid w:val="FFD9355A"/>
    <w:rsid w:val="FFF43431"/>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1</TotalTime>
  <ScaleCrop>false</ScaleCrop>
  <LinksUpToDate>false</LinksUpToDate>
  <CharactersWithSpaces>2442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ZWFWTYSL03</dc:creator>
  <cp:lastModifiedBy>Rainy°</cp:lastModifiedBy>
  <cp:lastPrinted>2025-07-29T01:54:00Z</cp:lastPrinted>
  <dcterms:modified xsi:type="dcterms:W3CDTF">2025-09-22T03:28:21Z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