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魏县看守所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魏县看守所编制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7" w:history="1">
        <w:r>
          <w:t xml:space="preserve">一、魏县看守所本级收支预算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根据《魏县看守所职能配置、内设机构和人员编制规定》，魏县看守所的主要职责是：</w:t>
      </w:r>
    </w:p>
    <w:p>
      <w:pPr>
        <w:pStyle w:val="插入文本样式-插入部门职责文件"/>
      </w:pPr>
      <w:r>
        <w:t xml:space="preserve">1、依据国家法律对被羁押的人犯实行武装警戒看守，保障安全；</w:t>
      </w:r>
    </w:p>
    <w:p>
      <w:pPr>
        <w:pStyle w:val="插入文本样式-插入部门职责文件"/>
      </w:pPr>
      <w:r>
        <w:t xml:space="preserve">2、对在押人员进行教育；</w:t>
      </w:r>
    </w:p>
    <w:p>
      <w:pPr>
        <w:pStyle w:val="插入文本样式-插入部门职责文件"/>
      </w:pPr>
      <w:r>
        <w:t xml:space="preserve">3、管理在押人员的生活和卫生；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4、保障侦查、起诉和审判工作的顺利进行。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474魏县看守所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474魏县看守所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474魏县看守所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1、看守所经费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——2025年犯人生活费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——2025年犯人医疗费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——2025年犯人衣被费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——2025年监区修缮费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1、公用经费支出（其他运转类）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474魏县看守所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474魏县看守所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魏县看守所本级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一、魏县看守所本级收支预算</w:t>
      </w:r>
      <w:bookmarkEnd w:id="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474001魏县看守所本级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231.00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474001魏县看守所本级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2025年犯人生活费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2025年犯人医疗费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2025年犯人衣被费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2025年监区修缮费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2025年监区运行经费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2040701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474001魏县看守所本级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231.00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15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2025-02-20T11:33:38Z</dcterms:created>
  <dcterms:modified xsi:type="dcterms:W3CDTF">2025-02-20T11:33:38Z</dcterms:modified>
</cp:coreProperties>
</file>