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95247">
      <w:pPr>
        <w:keepNext w:val="0"/>
        <w:keepLines w:val="0"/>
        <w:pageBreakBefore w:val="0"/>
        <w:widowControl w:val="0"/>
        <w:kinsoku/>
        <w:wordWrap/>
        <w:overflowPunct/>
        <w:topLinePunct w:val="0"/>
        <w:autoSpaceDE/>
        <w:autoSpaceDN/>
        <w:bidi w:val="0"/>
        <w:snapToGrid/>
        <w:spacing w:line="570" w:lineRule="exact"/>
        <w:ind w:left="0" w:lef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val="0"/>
          <w:bCs w:val="0"/>
          <w:sz w:val="44"/>
          <w:szCs w:val="44"/>
          <w:lang w:val="en-US" w:eastAsia="zh-CN"/>
        </w:rPr>
        <w:t>魏县农业农村局</w:t>
      </w:r>
    </w:p>
    <w:p w14:paraId="74A93C8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2025年省级农业产业化小微加工企业升规纳统项目实施方案</w:t>
      </w:r>
    </w:p>
    <w:p w14:paraId="2E7CF92B">
      <w:pPr>
        <w:pStyle w:val="2"/>
        <w:rPr>
          <w:rFonts w:hint="eastAsia"/>
          <w:lang w:val="en-US" w:eastAsia="zh-CN"/>
        </w:rPr>
      </w:pPr>
    </w:p>
    <w:p w14:paraId="72AF4F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为实施好</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b w:val="0"/>
          <w:bCs w:val="0"/>
          <w:spacing w:val="-20"/>
          <w:sz w:val="32"/>
          <w:szCs w:val="32"/>
          <w:highlight w:val="none"/>
          <w:lang w:val="en-US" w:eastAsia="zh-CN"/>
        </w:rPr>
        <w:t>年省级农业产业化小微加工企业升规纳统项目</w:t>
      </w:r>
      <w:r>
        <w:rPr>
          <w:rFonts w:hint="eastAsia" w:ascii="仿宋_GB2312" w:hAnsi="仿宋_GB2312" w:eastAsia="仿宋_GB2312" w:cs="仿宋_GB2312"/>
          <w:sz w:val="32"/>
          <w:szCs w:val="32"/>
          <w:lang w:val="en-US" w:eastAsia="zh-CN"/>
        </w:rPr>
        <w:t>，现制定方案如下：</w:t>
      </w:r>
    </w:p>
    <w:p w14:paraId="61A30228">
      <w:pPr>
        <w:pStyle w:val="2"/>
        <w:numPr>
          <w:ilvl w:val="0"/>
          <w:numId w:val="0"/>
        </w:numPr>
        <w:ind w:left="0" w:leftChars="0" w:firstLine="640" w:firstLineChars="200"/>
        <w:jc w:val="both"/>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一、项目概况</w:t>
      </w:r>
    </w:p>
    <w:p w14:paraId="35CA9079">
      <w:pPr>
        <w:pStyle w:val="17"/>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sz w:val="32"/>
          <w:szCs w:val="32"/>
          <w:lang w:val="en-US" w:eastAsia="zh-CN"/>
        </w:rPr>
        <w:t>年省级农业产业化项目实施方案》，奖补小微加工企业，每个企业奖补</w:t>
      </w:r>
      <w:r>
        <w:rPr>
          <w:rFonts w:hint="eastAsia" w:ascii="Times New Roman" w:hAnsi="Times New Roman" w:eastAsia="仿宋_GB2312" w:cs="Times New Roman"/>
          <w:kern w:val="2"/>
          <w:sz w:val="32"/>
          <w:szCs w:val="32"/>
          <w:lang w:val="en-US" w:eastAsia="zh-CN" w:bidi="ar-SA"/>
        </w:rPr>
        <w:t>75</w:t>
      </w:r>
      <w:r>
        <w:rPr>
          <w:rFonts w:hint="eastAsia" w:ascii="仿宋_GB2312" w:hAnsi="仿宋_GB2312" w:eastAsia="仿宋_GB2312" w:cs="仿宋_GB2312"/>
          <w:sz w:val="32"/>
          <w:szCs w:val="32"/>
          <w:lang w:val="en-US" w:eastAsia="zh-CN"/>
        </w:rPr>
        <w:t>万元，重点支持企业工艺改造、更新迭代、设施建设、设备购置、数字化建设、科技研发、品牌推介等奖补。</w:t>
      </w:r>
      <w:r>
        <w:rPr>
          <w:rFonts w:hint="eastAsia"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sz w:val="32"/>
          <w:szCs w:val="32"/>
          <w:u w:val="none" w:color="auto"/>
          <w:lang w:val="en-US" w:eastAsia="zh-CN"/>
        </w:rPr>
        <w:t>年，魏县重点支持</w:t>
      </w:r>
      <w:r>
        <w:rPr>
          <w:rFonts w:hint="eastAsia" w:ascii="仿宋_GB2312" w:hAnsi="仿宋_GB2312" w:eastAsia="仿宋_GB2312" w:cs="仿宋_GB2312"/>
          <w:sz w:val="32"/>
          <w:szCs w:val="32"/>
          <w:lang w:val="en-US" w:eastAsia="zh-CN"/>
        </w:rPr>
        <w:t>魏县亿康农产品加工有限公司实施省级农业产业化小微加工企业升规纳统项目</w:t>
      </w:r>
      <w:r>
        <w:rPr>
          <w:rFonts w:hint="eastAsia" w:ascii="仿宋_GB2312" w:hAnsi="仿宋_GB2312" w:eastAsia="仿宋_GB2312" w:cs="仿宋_GB2312"/>
          <w:sz w:val="32"/>
          <w:szCs w:val="32"/>
          <w:u w:val="none" w:color="auto"/>
          <w:lang w:val="en-US" w:eastAsia="zh-CN"/>
        </w:rPr>
        <w:t>。</w:t>
      </w:r>
      <w:r>
        <w:rPr>
          <w:rFonts w:hint="eastAsia" w:ascii="仿宋" w:hAnsi="仿宋" w:eastAsia="仿宋" w:cs="仿宋"/>
          <w:sz w:val="32"/>
          <w:szCs w:val="32"/>
          <w:u w:val="none" w:color="auto"/>
          <w:lang w:val="en-US" w:eastAsia="zh-CN"/>
        </w:rPr>
        <w:t xml:space="preserve">    </w:t>
      </w:r>
    </w:p>
    <w:p w14:paraId="17BD451E">
      <w:pPr>
        <w:pStyle w:val="17"/>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二、绩效目标</w:t>
      </w:r>
    </w:p>
    <w:p w14:paraId="6FD9AD89">
      <w:pPr>
        <w:keepNext w:val="0"/>
        <w:keepLines w:val="0"/>
        <w:pageBreakBefore w:val="0"/>
        <w:widowControl w:val="0"/>
        <w:kinsoku/>
        <w:wordWrap/>
        <w:overflowPunct/>
        <w:topLinePunct w:val="0"/>
        <w:bidi w:val="0"/>
        <w:snapToGrid/>
        <w:spacing w:line="57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该项目实施后，进一步改善生产条件，提高加工能力，魏县亿康农产品加工有限公司在</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color w:val="auto"/>
          <w:kern w:val="2"/>
          <w:sz w:val="32"/>
          <w:szCs w:val="32"/>
          <w:lang w:val="en-US" w:eastAsia="zh-CN" w:bidi="ar-SA"/>
        </w:rPr>
        <w:t>年达到规模以上农产品加工企业标准并入统，撬动实施主体投资不低于</w:t>
      </w:r>
      <w:r>
        <w:rPr>
          <w:rFonts w:hint="eastAsia" w:ascii="Times New Roman" w:hAnsi="Times New Roman" w:eastAsia="仿宋_GB2312" w:cs="Times New Roman"/>
          <w:sz w:val="32"/>
          <w:szCs w:val="32"/>
          <w:lang w:val="en-US" w:eastAsia="zh-CN"/>
        </w:rPr>
        <w:t>150</w:t>
      </w:r>
      <w:r>
        <w:rPr>
          <w:rFonts w:hint="eastAsia" w:ascii="仿宋_GB2312" w:hAnsi="仿宋_GB2312" w:eastAsia="仿宋_GB2312" w:cs="仿宋_GB2312"/>
          <w:color w:val="auto"/>
          <w:kern w:val="2"/>
          <w:sz w:val="32"/>
          <w:szCs w:val="32"/>
          <w:lang w:val="en-US" w:eastAsia="zh-CN" w:bidi="ar-SA"/>
        </w:rPr>
        <w:t>万元。</w:t>
      </w:r>
    </w:p>
    <w:p w14:paraId="28E73B3B">
      <w:pPr>
        <w:pStyle w:val="2"/>
        <w:pageBreakBefore w:val="0"/>
        <w:widowControl w:val="0"/>
        <w:numPr>
          <w:ilvl w:val="0"/>
          <w:numId w:val="0"/>
        </w:numPr>
        <w:kinsoku/>
        <w:wordWrap/>
        <w:overflowPunct/>
        <w:topLinePunct w:val="0"/>
        <w:bidi w:val="0"/>
        <w:spacing w:line="570" w:lineRule="exact"/>
        <w:ind w:firstLine="640" w:firstLineChars="200"/>
        <w:jc w:val="left"/>
        <w:textAlignment w:val="auto"/>
        <w:rPr>
          <w:rStyle w:val="23"/>
          <w:rFonts w:hint="eastAsia" w:ascii="黑体" w:hAnsi="黑体" w:eastAsia="黑体" w:cs="黑体"/>
          <w:b w:val="0"/>
          <w:bCs w:val="0"/>
          <w:kern w:val="0"/>
          <w:sz w:val="32"/>
          <w:szCs w:val="32"/>
          <w:highlight w:val="none"/>
          <w:lang w:val="en-US" w:eastAsia="zh-CN"/>
        </w:rPr>
      </w:pPr>
      <w:r>
        <w:rPr>
          <w:rStyle w:val="23"/>
          <w:rFonts w:hint="eastAsia" w:ascii="黑体" w:hAnsi="黑体" w:eastAsia="黑体" w:cs="黑体"/>
          <w:b w:val="0"/>
          <w:bCs w:val="0"/>
          <w:kern w:val="0"/>
          <w:sz w:val="32"/>
          <w:szCs w:val="32"/>
          <w:highlight w:val="none"/>
          <w:lang w:val="en-US" w:eastAsia="zh-CN"/>
        </w:rPr>
        <w:t>三、项目内容</w:t>
      </w:r>
    </w:p>
    <w:p w14:paraId="16C4B9D7">
      <w:pPr>
        <w:pStyle w:val="2"/>
        <w:pageBreakBefore w:val="0"/>
        <w:widowControl w:val="0"/>
        <w:numPr>
          <w:ilvl w:val="0"/>
          <w:numId w:val="0"/>
        </w:numPr>
        <w:kinsoku/>
        <w:wordWrap/>
        <w:overflowPunct/>
        <w:topLinePunct w:val="0"/>
        <w:bidi w:val="0"/>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楷体_GB2312" w:hAnsi="楷体_GB2312" w:eastAsia="楷体_GB2312" w:cs="楷体_GB2312"/>
          <w:color w:val="000000"/>
          <w:kern w:val="2"/>
          <w:sz w:val="32"/>
          <w:szCs w:val="32"/>
          <w:lang w:val="en-US" w:eastAsia="zh-CN" w:bidi="ar-SA"/>
        </w:rPr>
        <w:t>（一）建设单位：</w:t>
      </w:r>
      <w:r>
        <w:rPr>
          <w:rFonts w:hint="eastAsia" w:ascii="仿宋_GB2312" w:hAnsi="仿宋_GB2312" w:eastAsia="仿宋_GB2312" w:cs="仿宋_GB2312"/>
          <w:sz w:val="32"/>
          <w:szCs w:val="32"/>
          <w:lang w:val="en-US" w:eastAsia="zh-CN"/>
        </w:rPr>
        <w:t>魏县亿康农产品加工有限公司。</w:t>
      </w:r>
    </w:p>
    <w:p w14:paraId="63F325B8">
      <w:pPr>
        <w:pStyle w:val="2"/>
        <w:pageBreakBefore w:val="0"/>
        <w:widowControl w:val="0"/>
        <w:numPr>
          <w:ilvl w:val="0"/>
          <w:numId w:val="0"/>
        </w:numPr>
        <w:kinsoku/>
        <w:wordWrap/>
        <w:overflowPunct/>
        <w:topLinePunct w:val="0"/>
        <w:bidi w:val="0"/>
        <w:spacing w:line="570" w:lineRule="exact"/>
        <w:ind w:firstLine="640" w:firstLineChars="200"/>
        <w:jc w:val="left"/>
        <w:textAlignment w:val="auto"/>
        <w:rPr>
          <w:rFonts w:hint="default" w:ascii="仿宋" w:hAnsi="仿宋" w:eastAsia="仿宋" w:cs="仿宋"/>
          <w:color w:val="FF0000"/>
          <w:sz w:val="32"/>
          <w:szCs w:val="32"/>
          <w:lang w:val="en-US" w:eastAsia="zh-CN"/>
        </w:rPr>
      </w:pPr>
      <w:r>
        <w:rPr>
          <w:rFonts w:hint="eastAsia" w:ascii="楷体_GB2312" w:hAnsi="楷体_GB2312" w:eastAsia="楷体_GB2312" w:cs="楷体_GB2312"/>
          <w:color w:val="000000"/>
          <w:kern w:val="2"/>
          <w:sz w:val="32"/>
          <w:szCs w:val="32"/>
          <w:lang w:val="en-US" w:eastAsia="zh-CN" w:bidi="ar-SA"/>
        </w:rPr>
        <w:t>（二）建设地点：</w:t>
      </w:r>
      <w:r>
        <w:rPr>
          <w:rFonts w:hint="eastAsia" w:ascii="仿宋_GB2312" w:hAnsi="仿宋_GB2312" w:eastAsia="仿宋_GB2312" w:cs="仿宋_GB2312"/>
          <w:sz w:val="32"/>
          <w:szCs w:val="32"/>
          <w:lang w:val="en-US" w:eastAsia="zh-CN"/>
        </w:rPr>
        <w:t>魏县牙里镇西吕村。</w:t>
      </w:r>
    </w:p>
    <w:p w14:paraId="2F0BBEB5">
      <w:pPr>
        <w:pStyle w:val="2"/>
        <w:pageBreakBefore w:val="0"/>
        <w:widowControl w:val="0"/>
        <w:kinsoku/>
        <w:wordWrap/>
        <w:overflowPunct/>
        <w:topLinePunct w:val="0"/>
        <w:bidi w:val="0"/>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（三）建设内容：</w:t>
      </w:r>
      <w:r>
        <w:rPr>
          <w:rFonts w:hint="eastAsia"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color w:val="auto"/>
          <w:sz w:val="32"/>
          <w:szCs w:val="32"/>
          <w:u w:val="none"/>
          <w:lang w:val="en-US" w:eastAsia="zh-CN"/>
        </w:rPr>
        <w:t>年总投资</w:t>
      </w:r>
      <w:r>
        <w:rPr>
          <w:rFonts w:hint="eastAsia" w:ascii="Times New Roman" w:hAnsi="Times New Roman" w:eastAsia="仿宋_GB2312" w:cs="Times New Roman"/>
          <w:kern w:val="2"/>
          <w:sz w:val="32"/>
          <w:szCs w:val="32"/>
          <w:lang w:val="en-US" w:eastAsia="zh-CN" w:bidi="ar-SA"/>
        </w:rPr>
        <w:t>228</w:t>
      </w:r>
      <w:r>
        <w:rPr>
          <w:rFonts w:hint="eastAsia" w:ascii="仿宋_GB2312" w:hAnsi="仿宋_GB2312" w:eastAsia="仿宋_GB2312" w:cs="仿宋_GB2312"/>
          <w:color w:val="auto"/>
          <w:sz w:val="32"/>
          <w:szCs w:val="32"/>
          <w:u w:val="none"/>
          <w:lang w:val="en-US" w:eastAsia="zh-CN"/>
        </w:rPr>
        <w:t>万元，其中申请项目补助资金</w:t>
      </w:r>
      <w:r>
        <w:rPr>
          <w:rFonts w:hint="eastAsia" w:ascii="Times New Roman" w:hAnsi="Times New Roman" w:eastAsia="仿宋_GB2312" w:cs="Times New Roman"/>
          <w:kern w:val="2"/>
          <w:sz w:val="32"/>
          <w:szCs w:val="32"/>
          <w:lang w:val="en-US" w:eastAsia="zh-CN" w:bidi="ar-SA"/>
        </w:rPr>
        <w:t>75</w:t>
      </w:r>
      <w:r>
        <w:rPr>
          <w:rFonts w:hint="eastAsia" w:ascii="仿宋_GB2312" w:hAnsi="仿宋_GB2312" w:eastAsia="仿宋_GB2312" w:cs="仿宋_GB2312"/>
          <w:color w:val="auto"/>
          <w:sz w:val="32"/>
          <w:szCs w:val="32"/>
          <w:u w:val="none"/>
          <w:lang w:val="en-US" w:eastAsia="zh-CN"/>
        </w:rPr>
        <w:t>万元，企业自筹资金</w:t>
      </w:r>
      <w:r>
        <w:rPr>
          <w:rFonts w:hint="eastAsia" w:ascii="Times New Roman" w:hAnsi="Times New Roman" w:eastAsia="仿宋_GB2312" w:cs="Times New Roman"/>
          <w:kern w:val="2"/>
          <w:sz w:val="32"/>
          <w:szCs w:val="32"/>
          <w:lang w:val="en-US" w:eastAsia="zh-CN" w:bidi="ar-SA"/>
        </w:rPr>
        <w:t>153</w:t>
      </w:r>
      <w:r>
        <w:rPr>
          <w:rFonts w:hint="eastAsia" w:ascii="仿宋_GB2312" w:hAnsi="仿宋_GB2312" w:eastAsia="仿宋_GB2312" w:cs="仿宋_GB2312"/>
          <w:color w:val="auto"/>
          <w:sz w:val="32"/>
          <w:szCs w:val="32"/>
          <w:u w:val="none"/>
          <w:lang w:val="en-US" w:eastAsia="zh-CN"/>
        </w:rPr>
        <w:t>万元，具体建设</w:t>
      </w:r>
      <w:r>
        <w:rPr>
          <w:rFonts w:hint="eastAsia" w:ascii="仿宋_GB2312" w:hAnsi="仿宋_GB2312" w:eastAsia="仿宋_GB2312" w:cs="仿宋_GB2312"/>
          <w:color w:val="auto"/>
          <w:sz w:val="32"/>
          <w:szCs w:val="32"/>
          <w:lang w:val="en-US" w:eastAsia="zh-CN"/>
        </w:rPr>
        <w:t>内容为：建设食品加工车间一座</w:t>
      </w:r>
      <w:r>
        <w:rPr>
          <w:rFonts w:hint="eastAsia" w:ascii="Times New Roman" w:hAnsi="Times New Roman" w:eastAsia="仿宋_GB2312" w:cs="Times New Roman"/>
          <w:kern w:val="2"/>
          <w:sz w:val="32"/>
          <w:szCs w:val="32"/>
          <w:lang w:val="en-US" w:eastAsia="zh-CN" w:bidi="ar-SA"/>
        </w:rPr>
        <w:t>900</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购置智能鸡蛋清洗设备一套、智能鸡蛋腌制设备一套。</w:t>
      </w:r>
    </w:p>
    <w:tbl>
      <w:tblPr>
        <w:tblStyle w:val="1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50"/>
        <w:gridCol w:w="806"/>
        <w:gridCol w:w="882"/>
        <w:gridCol w:w="1106"/>
        <w:gridCol w:w="1144"/>
        <w:gridCol w:w="1870"/>
      </w:tblGrid>
      <w:tr w14:paraId="1E4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840" w:type="dxa"/>
            <w:gridSpan w:val="7"/>
            <w:vAlign w:val="center"/>
          </w:tcPr>
          <w:p w14:paraId="6B00CFEC">
            <w:pPr>
              <w:pStyle w:val="2"/>
              <w:pageBreakBefore w:val="0"/>
              <w:widowControl w:val="0"/>
              <w:kinsoku/>
              <w:wordWrap/>
              <w:overflowPunct/>
              <w:topLinePunct w:val="0"/>
              <w:bidi w:val="0"/>
              <w:spacing w:line="570" w:lineRule="exact"/>
              <w:jc w:val="center"/>
              <w:textAlignment w:val="auto"/>
              <w:rPr>
                <w:rFonts w:hint="eastAsia" w:ascii="仿宋" w:hAnsi="仿宋" w:eastAsia="仿宋" w:cs="仿宋"/>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项目投资明细表</w:t>
            </w:r>
          </w:p>
        </w:tc>
      </w:tr>
      <w:tr w14:paraId="34D4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82" w:type="dxa"/>
            <w:vAlign w:val="center"/>
          </w:tcPr>
          <w:p w14:paraId="218E2EBB">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2250" w:type="dxa"/>
            <w:vAlign w:val="center"/>
          </w:tcPr>
          <w:p w14:paraId="5AE1109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w:t>
            </w:r>
          </w:p>
        </w:tc>
        <w:tc>
          <w:tcPr>
            <w:tcW w:w="806" w:type="dxa"/>
            <w:vAlign w:val="center"/>
          </w:tcPr>
          <w:p w14:paraId="18C22C82">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数量</w:t>
            </w:r>
          </w:p>
        </w:tc>
        <w:tc>
          <w:tcPr>
            <w:tcW w:w="882" w:type="dxa"/>
            <w:vAlign w:val="center"/>
          </w:tcPr>
          <w:p w14:paraId="19D500DC">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单位</w:t>
            </w:r>
          </w:p>
        </w:tc>
        <w:tc>
          <w:tcPr>
            <w:tcW w:w="1106" w:type="dxa"/>
            <w:vAlign w:val="center"/>
          </w:tcPr>
          <w:p w14:paraId="4003F45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单价</w:t>
            </w:r>
          </w:p>
          <w:p w14:paraId="098F5FE8">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（万元）</w:t>
            </w:r>
          </w:p>
        </w:tc>
        <w:tc>
          <w:tcPr>
            <w:tcW w:w="1144" w:type="dxa"/>
            <w:vAlign w:val="center"/>
          </w:tcPr>
          <w:p w14:paraId="471D84D1">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总价</w:t>
            </w:r>
          </w:p>
          <w:p w14:paraId="5066AE16">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（万元）</w:t>
            </w:r>
          </w:p>
        </w:tc>
        <w:tc>
          <w:tcPr>
            <w:tcW w:w="1870" w:type="dxa"/>
            <w:vAlign w:val="center"/>
          </w:tcPr>
          <w:p w14:paraId="498748F3">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14:paraId="2CAA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82" w:type="dxa"/>
            <w:vAlign w:val="center"/>
          </w:tcPr>
          <w:p w14:paraId="731C157A">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w:t>
            </w:r>
          </w:p>
        </w:tc>
        <w:tc>
          <w:tcPr>
            <w:tcW w:w="2250" w:type="dxa"/>
            <w:vAlign w:val="center"/>
          </w:tcPr>
          <w:p w14:paraId="06257A4D">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食品加工车间</w:t>
            </w:r>
          </w:p>
        </w:tc>
        <w:tc>
          <w:tcPr>
            <w:tcW w:w="806" w:type="dxa"/>
            <w:vAlign w:val="center"/>
          </w:tcPr>
          <w:p w14:paraId="7CD93E86">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w:t>
            </w:r>
          </w:p>
        </w:tc>
        <w:tc>
          <w:tcPr>
            <w:tcW w:w="882" w:type="dxa"/>
            <w:vAlign w:val="center"/>
          </w:tcPr>
          <w:p w14:paraId="3F904BF2">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900㎡</w:t>
            </w:r>
          </w:p>
        </w:tc>
        <w:tc>
          <w:tcPr>
            <w:tcW w:w="1106" w:type="dxa"/>
            <w:vAlign w:val="center"/>
          </w:tcPr>
          <w:p w14:paraId="536ACB9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120</w:t>
            </w:r>
          </w:p>
        </w:tc>
        <w:tc>
          <w:tcPr>
            <w:tcW w:w="1144" w:type="dxa"/>
            <w:vAlign w:val="center"/>
          </w:tcPr>
          <w:p w14:paraId="44CF51F2">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120</w:t>
            </w:r>
          </w:p>
        </w:tc>
        <w:tc>
          <w:tcPr>
            <w:tcW w:w="1870" w:type="dxa"/>
            <w:vAlign w:val="center"/>
          </w:tcPr>
          <w:p w14:paraId="08F44C6D">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车间主体H型重钢结构，</w:t>
            </w:r>
          </w:p>
          <w:p w14:paraId="31D02C2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上层</w:t>
            </w:r>
            <w:r>
              <w:rPr>
                <w:rFonts w:hint="eastAsia" w:ascii="Times New Roman" w:hAnsi="Times New Roman" w:eastAsia="仿宋_GB2312" w:cs="Times New Roman"/>
                <w:kern w:val="2"/>
                <w:sz w:val="24"/>
                <w:szCs w:val="24"/>
                <w:lang w:val="en-US" w:eastAsia="zh-CN" w:bidi="ar-SA"/>
              </w:rPr>
              <w:t>450㎡</w:t>
            </w:r>
            <w:r>
              <w:rPr>
                <w:rFonts w:hint="eastAsia" w:ascii="仿宋" w:hAnsi="仿宋" w:eastAsia="仿宋" w:cs="仿宋"/>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下层</w:t>
            </w:r>
            <w:r>
              <w:rPr>
                <w:rFonts w:hint="eastAsia" w:ascii="Times New Roman" w:hAnsi="Times New Roman" w:eastAsia="仿宋_GB2312" w:cs="Times New Roman"/>
                <w:kern w:val="2"/>
                <w:sz w:val="24"/>
                <w:szCs w:val="24"/>
                <w:lang w:val="en-US" w:eastAsia="zh-CN" w:bidi="ar-SA"/>
              </w:rPr>
              <w:t>450㎡。</w:t>
            </w:r>
          </w:p>
        </w:tc>
      </w:tr>
      <w:tr w14:paraId="6E2B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2" w:type="dxa"/>
            <w:vAlign w:val="center"/>
          </w:tcPr>
          <w:p w14:paraId="2664B259">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2</w:t>
            </w:r>
          </w:p>
        </w:tc>
        <w:tc>
          <w:tcPr>
            <w:tcW w:w="2250" w:type="dxa"/>
            <w:vAlign w:val="center"/>
          </w:tcPr>
          <w:p w14:paraId="6358DBFD">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鸡蛋清洗设备</w:t>
            </w:r>
          </w:p>
        </w:tc>
        <w:tc>
          <w:tcPr>
            <w:tcW w:w="806" w:type="dxa"/>
            <w:vAlign w:val="center"/>
          </w:tcPr>
          <w:p w14:paraId="2922882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w:t>
            </w:r>
          </w:p>
        </w:tc>
        <w:tc>
          <w:tcPr>
            <w:tcW w:w="882" w:type="dxa"/>
            <w:vAlign w:val="center"/>
          </w:tcPr>
          <w:p w14:paraId="2AF19A2E">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套</w:t>
            </w:r>
          </w:p>
        </w:tc>
        <w:tc>
          <w:tcPr>
            <w:tcW w:w="1106" w:type="dxa"/>
            <w:vAlign w:val="center"/>
          </w:tcPr>
          <w:p w14:paraId="60EF45B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22</w:t>
            </w:r>
          </w:p>
        </w:tc>
        <w:tc>
          <w:tcPr>
            <w:tcW w:w="1144" w:type="dxa"/>
            <w:vAlign w:val="center"/>
          </w:tcPr>
          <w:p w14:paraId="558DC9F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22</w:t>
            </w:r>
          </w:p>
        </w:tc>
        <w:tc>
          <w:tcPr>
            <w:tcW w:w="1870" w:type="dxa"/>
            <w:vAlign w:val="center"/>
          </w:tcPr>
          <w:p w14:paraId="30A46FA8">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szCs w:val="24"/>
                <w:vertAlign w:val="baseline"/>
                <w:lang w:val="en-US" w:eastAsia="zh-CN"/>
              </w:rPr>
            </w:pPr>
          </w:p>
        </w:tc>
      </w:tr>
      <w:tr w14:paraId="3E1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2" w:type="dxa"/>
            <w:vAlign w:val="center"/>
          </w:tcPr>
          <w:p w14:paraId="5837E76D">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3</w:t>
            </w:r>
          </w:p>
        </w:tc>
        <w:tc>
          <w:tcPr>
            <w:tcW w:w="2250" w:type="dxa"/>
            <w:vAlign w:val="center"/>
          </w:tcPr>
          <w:p w14:paraId="45A64207">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鸡蛋腌制设备</w:t>
            </w:r>
          </w:p>
        </w:tc>
        <w:tc>
          <w:tcPr>
            <w:tcW w:w="806" w:type="dxa"/>
            <w:vAlign w:val="center"/>
          </w:tcPr>
          <w:p w14:paraId="7280DE3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1</w:t>
            </w:r>
          </w:p>
        </w:tc>
        <w:tc>
          <w:tcPr>
            <w:tcW w:w="882" w:type="dxa"/>
            <w:vAlign w:val="center"/>
          </w:tcPr>
          <w:p w14:paraId="6AF5DAB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套</w:t>
            </w:r>
          </w:p>
        </w:tc>
        <w:tc>
          <w:tcPr>
            <w:tcW w:w="1106" w:type="dxa"/>
            <w:vAlign w:val="center"/>
          </w:tcPr>
          <w:p w14:paraId="177C1E76">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0000FF"/>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86</w:t>
            </w:r>
          </w:p>
        </w:tc>
        <w:tc>
          <w:tcPr>
            <w:tcW w:w="1144" w:type="dxa"/>
            <w:vAlign w:val="center"/>
          </w:tcPr>
          <w:p w14:paraId="1632265E">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0000FF"/>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86</w:t>
            </w:r>
          </w:p>
        </w:tc>
        <w:tc>
          <w:tcPr>
            <w:tcW w:w="1870" w:type="dxa"/>
            <w:vAlign w:val="center"/>
          </w:tcPr>
          <w:p w14:paraId="500D474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szCs w:val="24"/>
                <w:vertAlign w:val="baseline"/>
                <w:lang w:val="en-US" w:eastAsia="zh-CN"/>
              </w:rPr>
            </w:pPr>
          </w:p>
        </w:tc>
      </w:tr>
      <w:tr w14:paraId="5354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826" w:type="dxa"/>
            <w:gridSpan w:val="5"/>
            <w:vAlign w:val="center"/>
          </w:tcPr>
          <w:p w14:paraId="6BC8CCB5">
            <w:pPr>
              <w:pStyle w:val="2"/>
              <w:pageBreakBefore w:val="0"/>
              <w:widowControl w:val="0"/>
              <w:kinsoku/>
              <w:wordWrap/>
              <w:overflowPunct/>
              <w:topLinePunct w:val="0"/>
              <w:bidi w:val="0"/>
              <w:spacing w:line="570" w:lineRule="exact"/>
              <w:jc w:val="center"/>
              <w:textAlignment w:val="auto"/>
              <w:rPr>
                <w:rFonts w:hint="default" w:ascii="仿宋" w:hAnsi="仿宋" w:eastAsia="仿宋" w:cs="仿宋"/>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合计</w:t>
            </w:r>
          </w:p>
        </w:tc>
        <w:tc>
          <w:tcPr>
            <w:tcW w:w="1144" w:type="dxa"/>
            <w:vAlign w:val="center"/>
          </w:tcPr>
          <w:p w14:paraId="1A8B0D2D">
            <w:pPr>
              <w:pStyle w:val="2"/>
              <w:pageBreakBefore w:val="0"/>
              <w:widowControl w:val="0"/>
              <w:kinsoku/>
              <w:wordWrap/>
              <w:overflowPunct/>
              <w:topLinePunct w:val="0"/>
              <w:bidi w:val="0"/>
              <w:spacing w:line="570" w:lineRule="exact"/>
              <w:jc w:val="center"/>
              <w:textAlignment w:val="auto"/>
              <w:rPr>
                <w:rFonts w:hint="default" w:ascii="仿宋" w:hAnsi="仿宋" w:eastAsia="仿宋" w:cs="仿宋"/>
                <w:color w:val="auto"/>
                <w:sz w:val="24"/>
                <w:szCs w:val="24"/>
                <w:vertAlign w:val="baseline"/>
                <w:lang w:val="en-US" w:eastAsia="zh-CN"/>
              </w:rPr>
            </w:pPr>
            <w:r>
              <w:rPr>
                <w:rFonts w:hint="eastAsia" w:ascii="Times New Roman" w:hAnsi="Times New Roman" w:eastAsia="仿宋_GB2312" w:cs="Times New Roman"/>
                <w:kern w:val="2"/>
                <w:sz w:val="24"/>
                <w:szCs w:val="24"/>
                <w:lang w:val="en-US" w:eastAsia="zh-CN" w:bidi="ar-SA"/>
              </w:rPr>
              <w:t>228</w:t>
            </w:r>
          </w:p>
        </w:tc>
        <w:tc>
          <w:tcPr>
            <w:tcW w:w="1870" w:type="dxa"/>
            <w:vAlign w:val="center"/>
          </w:tcPr>
          <w:p w14:paraId="31746C73">
            <w:pPr>
              <w:pStyle w:val="2"/>
              <w:pageBreakBefore w:val="0"/>
              <w:widowControl w:val="0"/>
              <w:kinsoku/>
              <w:wordWrap/>
              <w:overflowPunct/>
              <w:topLinePunct w:val="0"/>
              <w:bidi w:val="0"/>
              <w:spacing w:line="570" w:lineRule="exact"/>
              <w:jc w:val="center"/>
              <w:textAlignment w:val="auto"/>
              <w:rPr>
                <w:rFonts w:hint="eastAsia" w:ascii="仿宋" w:hAnsi="仿宋" w:eastAsia="仿宋" w:cs="仿宋"/>
                <w:color w:val="auto"/>
                <w:sz w:val="24"/>
                <w:szCs w:val="24"/>
                <w:vertAlign w:val="baseline"/>
                <w:lang w:val="en-US" w:eastAsia="zh-CN"/>
              </w:rPr>
            </w:pPr>
          </w:p>
        </w:tc>
      </w:tr>
    </w:tbl>
    <w:p w14:paraId="4F82C279">
      <w:pPr>
        <w:pStyle w:val="25"/>
        <w:keepNext w:val="0"/>
        <w:keepLines w:val="0"/>
        <w:pageBreakBefore w:val="0"/>
        <w:widowControl w:val="0"/>
        <w:kinsoku/>
        <w:wordWrap/>
        <w:overflowPunct/>
        <w:topLinePunct w:val="0"/>
        <w:bidi w:val="0"/>
        <w:spacing w:line="560" w:lineRule="exact"/>
        <w:textAlignment w:val="auto"/>
        <w:rPr>
          <w:rFonts w:hint="default" w:ascii="仿宋" w:hAnsi="仿宋" w:eastAsia="仿宋" w:cs="仿宋"/>
          <w:color w:val="FF0000"/>
          <w:sz w:val="32"/>
          <w:szCs w:val="32"/>
          <w:lang w:val="en-US" w:eastAsia="zh-CN"/>
        </w:rPr>
      </w:pPr>
      <w:r>
        <w:rPr>
          <w:rFonts w:hint="eastAsia" w:ascii="楷体_GB2312" w:hAnsi="楷体_GB2312" w:eastAsia="楷体_GB2312" w:cs="楷体_GB2312"/>
          <w:color w:val="000000"/>
          <w:sz w:val="32"/>
          <w:szCs w:val="32"/>
          <w:lang w:val="en-US" w:eastAsia="zh-CN"/>
        </w:rPr>
        <w:t>（四）项目实施：</w:t>
      </w:r>
      <w:r>
        <w:rPr>
          <w:rFonts w:hint="eastAsia" w:hAnsi="仿宋_GB2312" w:cs="仿宋_GB2312"/>
          <w:color w:val="000000"/>
          <w:sz w:val="32"/>
          <w:szCs w:val="32"/>
          <w:lang w:val="en-US" w:eastAsia="zh-CN" w:bidi="ar-SA"/>
        </w:rPr>
        <w:t>魏县农业农村局负责指导项目建设、监督实施，负责项目验收、审计等工作，拨付财政奖补资金；</w:t>
      </w:r>
      <w:r>
        <w:rPr>
          <w:rFonts w:hint="eastAsia" w:ascii="仿宋" w:hAnsi="仿宋" w:eastAsia="仿宋" w:cs="仿宋"/>
          <w:sz w:val="32"/>
          <w:szCs w:val="32"/>
          <w:lang w:val="en-US" w:eastAsia="zh-CN"/>
        </w:rPr>
        <w:t>魏县亿康农产品加工有限公司</w:t>
      </w:r>
      <w:r>
        <w:rPr>
          <w:rFonts w:hint="eastAsia" w:hAnsi="仿宋_GB2312" w:cs="仿宋_GB2312"/>
          <w:color w:val="000000"/>
          <w:sz w:val="32"/>
          <w:szCs w:val="32"/>
          <w:lang w:val="en-US" w:eastAsia="zh-CN" w:bidi="ar-SA"/>
        </w:rPr>
        <w:t>负责筹集资金进行项目建设，履行土地、规划、施工等证件手续，并严格落实安全生产主体责任，确保建设程序合法合规。</w:t>
      </w:r>
    </w:p>
    <w:p w14:paraId="2B579059">
      <w:pPr>
        <w:pStyle w:val="2"/>
        <w:numPr>
          <w:ilvl w:val="0"/>
          <w:numId w:val="0"/>
        </w:numPr>
        <w:ind w:left="0" w:leftChars="0" w:firstLine="640" w:firstLineChars="200"/>
        <w:jc w:val="both"/>
        <w:rPr>
          <w:rFonts w:hint="eastAsia"/>
          <w:lang w:val="en-US" w:eastAsia="zh-CN"/>
        </w:rPr>
      </w:pPr>
      <w:r>
        <w:rPr>
          <w:rFonts w:hint="eastAsia" w:ascii="黑体" w:hAnsi="黑体" w:eastAsia="黑体" w:cs="黑体"/>
          <w:color w:val="auto"/>
          <w:kern w:val="0"/>
          <w:sz w:val="32"/>
          <w:szCs w:val="32"/>
          <w:lang w:val="en-US" w:eastAsia="zh-CN" w:bidi="ar-SA"/>
        </w:rPr>
        <w:t>四、补贴方式和实施期限</w:t>
      </w:r>
    </w:p>
    <w:p w14:paraId="74568E50">
      <w:pPr>
        <w:keepNext w:val="0"/>
        <w:keepLines w:val="0"/>
        <w:pageBreakBefore w:val="0"/>
        <w:widowControl/>
        <w:suppressLineNumbers w:val="0"/>
        <w:kinsoku/>
        <w:wordWrap/>
        <w:overflowPunct/>
        <w:topLinePunct w:val="0"/>
        <w:bidi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（一）资金安排。</w:t>
      </w:r>
      <w:r>
        <w:rPr>
          <w:rFonts w:hint="eastAsia" w:ascii="仿宋_GB2312" w:hAnsi="仿宋_GB2312" w:eastAsia="仿宋_GB2312" w:cs="仿宋_GB2312"/>
          <w:color w:val="000000"/>
          <w:sz w:val="32"/>
          <w:szCs w:val="32"/>
          <w:lang w:val="en-US" w:eastAsia="zh-CN"/>
        </w:rPr>
        <w:t>省级财政资金</w:t>
      </w:r>
      <w:r>
        <w:rPr>
          <w:rFonts w:hint="eastAsia" w:ascii="Times New Roman" w:hAnsi="Times New Roman" w:eastAsia="仿宋_GB2312" w:cs="Times New Roman"/>
          <w:color w:val="auto"/>
          <w:kern w:val="2"/>
          <w:sz w:val="32"/>
          <w:szCs w:val="32"/>
          <w:lang w:val="en-US" w:eastAsia="zh-CN" w:bidi="ar-SA"/>
        </w:rPr>
        <w:t>75</w:t>
      </w:r>
      <w:r>
        <w:rPr>
          <w:rFonts w:hint="eastAsia" w:ascii="仿宋_GB2312" w:hAnsi="仿宋_GB2312" w:eastAsia="仿宋_GB2312" w:cs="仿宋_GB2312"/>
          <w:color w:val="000000"/>
          <w:sz w:val="32"/>
          <w:szCs w:val="32"/>
          <w:lang w:val="en-US" w:eastAsia="zh-CN"/>
        </w:rPr>
        <w:t>万元。</w:t>
      </w:r>
    </w:p>
    <w:p w14:paraId="6D0C4D6F">
      <w:pPr>
        <w:keepNext w:val="0"/>
        <w:keepLines w:val="0"/>
        <w:pageBreakBefore w:val="0"/>
        <w:widowControl/>
        <w:suppressLineNumbers w:val="0"/>
        <w:kinsoku/>
        <w:wordWrap/>
        <w:overflowPunct/>
        <w:topLinePunct w:val="0"/>
        <w:bidi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（二）补贴方式。</w:t>
      </w:r>
      <w:r>
        <w:rPr>
          <w:rFonts w:hint="eastAsia" w:ascii="仿宋_GB2312" w:hAnsi="仿宋_GB2312" w:eastAsia="仿宋_GB2312" w:cs="仿宋_GB2312"/>
          <w:color w:val="000000"/>
          <w:sz w:val="32"/>
          <w:szCs w:val="32"/>
          <w:lang w:val="en-US" w:eastAsia="zh-CN"/>
        </w:rPr>
        <w:t>采用先建后补方式。</w:t>
      </w:r>
    </w:p>
    <w:p w14:paraId="678C42EC">
      <w:pPr>
        <w:pStyle w:val="17"/>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（三）实施期限。</w:t>
      </w:r>
      <w:r>
        <w:rPr>
          <w:rFonts w:hint="eastAsia" w:ascii="Times New Roman" w:hAnsi="Times New Roman" w:eastAsia="仿宋_GB2312" w:cs="Times New Roman"/>
          <w:kern w:val="2"/>
          <w:sz w:val="32"/>
          <w:szCs w:val="32"/>
          <w:lang w:val="zh-CN" w:eastAsia="zh-CN" w:bidi="ar-SA"/>
        </w:rPr>
        <w:t>2025</w:t>
      </w:r>
      <w:r>
        <w:rPr>
          <w:rFonts w:hint="eastAsia" w:ascii="仿宋_GB2312" w:hAnsi="仿宋_GB2312" w:eastAsia="仿宋_GB2312" w:cs="仿宋_GB2312"/>
          <w:color w:val="000000"/>
          <w:sz w:val="32"/>
          <w:szCs w:val="32"/>
          <w:lang w:val="zh-CN"/>
        </w:rPr>
        <w:t>年</w:t>
      </w:r>
      <w:r>
        <w:rPr>
          <w:rFonts w:hint="eastAsia"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kern w:val="2"/>
          <w:sz w:val="32"/>
          <w:szCs w:val="32"/>
          <w:lang w:val="en-US" w:eastAsia="zh-CN" w:bidi="ar-SA"/>
        </w:rPr>
        <w:t>31</w:t>
      </w:r>
      <w:r>
        <w:rPr>
          <w:rFonts w:hint="eastAsia" w:ascii="仿宋_GB2312" w:hAnsi="仿宋_GB2312" w:eastAsia="仿宋_GB2312" w:cs="仿宋_GB2312"/>
          <w:color w:val="000000"/>
          <w:sz w:val="32"/>
          <w:szCs w:val="32"/>
          <w:lang w:val="en-US" w:eastAsia="zh-CN"/>
        </w:rPr>
        <w:t>日前完成</w:t>
      </w:r>
      <w:r>
        <w:rPr>
          <w:rFonts w:hint="eastAsia" w:ascii="仿宋_GB2312" w:hAnsi="仿宋_GB2312" w:eastAsia="仿宋_GB2312" w:cs="仿宋_GB2312"/>
          <w:color w:val="000000"/>
          <w:sz w:val="32"/>
          <w:szCs w:val="32"/>
          <w:lang w:val="zh-CN"/>
        </w:rPr>
        <w:t>。</w:t>
      </w:r>
    </w:p>
    <w:p w14:paraId="33781E30">
      <w:pPr>
        <w:pStyle w:val="2"/>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000000"/>
          <w:kern w:val="2"/>
          <w:sz w:val="32"/>
          <w:szCs w:val="32"/>
          <w:lang w:val="en-US" w:eastAsia="zh-CN" w:bidi="ar-SA"/>
        </w:rPr>
      </w:pPr>
      <w:bookmarkStart w:id="0" w:name="_Toc30348"/>
      <w:bookmarkStart w:id="1" w:name="_Toc267"/>
      <w:r>
        <w:rPr>
          <w:rFonts w:hint="eastAsia" w:ascii="楷体_GB2312" w:hAnsi="楷体_GB2312" w:eastAsia="楷体_GB2312" w:cs="楷体_GB2312"/>
          <w:b w:val="0"/>
          <w:bCs w:val="0"/>
          <w:color w:val="000000"/>
          <w:kern w:val="2"/>
          <w:sz w:val="32"/>
          <w:szCs w:val="32"/>
          <w:lang w:val="en-US" w:eastAsia="zh-CN" w:bidi="ar-SA"/>
        </w:rPr>
        <w:t>（四）</w:t>
      </w:r>
      <w:r>
        <w:rPr>
          <w:rFonts w:hint="eastAsia" w:ascii="楷体_GB2312" w:hAnsi="Calibri" w:eastAsia="楷体_GB2312" w:cs="Times New Roman"/>
          <w:b w:val="0"/>
          <w:bCs w:val="0"/>
          <w:color w:val="000000"/>
          <w:kern w:val="2"/>
          <w:sz w:val="32"/>
          <w:szCs w:val="32"/>
          <w:lang w:val="en-US" w:eastAsia="zh-CN" w:bidi="ar-SA"/>
        </w:rPr>
        <w:t>审计验收：</w:t>
      </w:r>
      <w:r>
        <w:rPr>
          <w:rFonts w:hint="eastAsia" w:ascii="仿宋_GB2312" w:hAnsi="仿宋_GB2312" w:eastAsia="仿宋_GB2312" w:cs="仿宋_GB2312"/>
          <w:color w:val="000000"/>
          <w:kern w:val="2"/>
          <w:sz w:val="32"/>
          <w:szCs w:val="32"/>
          <w:lang w:val="en-US" w:eastAsia="zh-CN" w:bidi="ar-SA"/>
        </w:rPr>
        <w:t>该项目完成后，</w:t>
      </w:r>
      <w:r>
        <w:rPr>
          <w:rFonts w:hint="eastAsia" w:ascii="仿宋" w:hAnsi="仿宋" w:eastAsia="仿宋" w:cs="仿宋"/>
          <w:sz w:val="32"/>
          <w:szCs w:val="32"/>
          <w:lang w:val="en-US" w:eastAsia="zh-CN"/>
        </w:rPr>
        <w:t>魏县亿康农产品加工有限公司</w:t>
      </w:r>
      <w:r>
        <w:rPr>
          <w:rFonts w:hint="eastAsia" w:ascii="仿宋_GB2312" w:hAnsi="仿宋_GB2312" w:eastAsia="仿宋_GB2312" w:cs="仿宋_GB2312"/>
          <w:color w:val="000000"/>
          <w:kern w:val="2"/>
          <w:sz w:val="32"/>
          <w:szCs w:val="32"/>
          <w:lang w:val="en-US" w:eastAsia="zh-CN" w:bidi="ar-SA"/>
        </w:rPr>
        <w:t>提出验收申请。委托具有资质的审计机构对项</w:t>
      </w:r>
      <w:r>
        <w:rPr>
          <w:rFonts w:hint="eastAsia" w:ascii="Times New Roman" w:hAnsi="Times New Roman" w:eastAsia="仿宋_GB2312" w:cs="Times New Roman"/>
          <w:kern w:val="2"/>
          <w:sz w:val="32"/>
          <w:szCs w:val="32"/>
          <w:lang w:val="en-US" w:eastAsia="zh-CN" w:bidi="ar-SA"/>
        </w:rPr>
        <w:t>目2025年</w:t>
      </w:r>
      <w:r>
        <w:rPr>
          <w:rFonts w:hint="eastAsia" w:ascii="仿宋_GB2312" w:hAnsi="仿宋_GB2312" w:eastAsia="仿宋_GB2312" w:cs="仿宋_GB2312"/>
          <w:color w:val="000000"/>
          <w:kern w:val="2"/>
          <w:sz w:val="32"/>
          <w:szCs w:val="32"/>
          <w:lang w:val="en-US" w:eastAsia="zh-CN" w:bidi="ar-SA"/>
        </w:rPr>
        <w:t>度投资金额进行审计。魏县农业农村局成立专门验收机构，对整个工程质量、资金使用和落实进行验收，严格执行资金使用计划，对发现问题限时整改，整改不到位的对相关责任人予以追责。验收合格且</w:t>
      </w:r>
      <w:r>
        <w:rPr>
          <w:rFonts w:hint="eastAsia" w:ascii="仿宋" w:hAnsi="仿宋" w:eastAsia="仿宋" w:cs="仿宋"/>
          <w:sz w:val="32"/>
          <w:szCs w:val="32"/>
          <w:lang w:val="en-US" w:eastAsia="zh-CN"/>
        </w:rPr>
        <w:t>魏县亿康农产品加工有限公司入统规模以上农产品加工企业</w:t>
      </w:r>
      <w:r>
        <w:rPr>
          <w:rFonts w:hint="eastAsia" w:ascii="仿宋_GB2312" w:hAnsi="仿宋_GB2312" w:eastAsia="仿宋_GB2312" w:cs="仿宋_GB2312"/>
          <w:color w:val="000000"/>
          <w:kern w:val="2"/>
          <w:sz w:val="32"/>
          <w:szCs w:val="32"/>
          <w:lang w:val="en-US" w:eastAsia="zh-CN" w:bidi="ar-SA"/>
        </w:rPr>
        <w:t>之后，拨付项目奖补资金。</w:t>
      </w:r>
    </w:p>
    <w:p w14:paraId="6F6714B6">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w:t>
      </w:r>
      <w:bookmarkEnd w:id="0"/>
      <w:bookmarkEnd w:id="1"/>
      <w:r>
        <w:rPr>
          <w:rFonts w:hint="eastAsia" w:ascii="黑体" w:hAnsi="黑体" w:eastAsia="黑体"/>
          <w:sz w:val="32"/>
          <w:szCs w:val="32"/>
          <w:lang w:val="en-US" w:eastAsia="zh-CN"/>
        </w:rPr>
        <w:t>保障措施</w:t>
      </w:r>
    </w:p>
    <w:p w14:paraId="26E50EE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 xml:space="preserve">成立魏县农业农村局党组书记（局长）任组长、主管局长为副组长，相关科室主要负责人为成员的领导小组，明确任务分工，统筹协调推进落实。领导小组定期进行项目调度，及时分析处理项目实施过程中的问题困难，确保在规定的时间内高标准完成所有目标任务，确保项目实施有成效，资金使用效益充分发挥。   </w:t>
      </w:r>
    </w:p>
    <w:p w14:paraId="45C2267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（二）强化项目管理。</w:t>
      </w:r>
      <w:r>
        <w:rPr>
          <w:rFonts w:hint="eastAsia" w:ascii="仿宋_GB2312" w:hAnsi="仿宋_GB2312" w:eastAsia="仿宋_GB2312" w:cs="仿宋_GB2312"/>
          <w:sz w:val="32"/>
          <w:szCs w:val="32"/>
          <w:lang w:val="en-US" w:eastAsia="zh-CN"/>
        </w:rPr>
        <w:t>魏县农业农村局负责</w:t>
      </w:r>
      <w:r>
        <w:rPr>
          <w:rFonts w:hint="eastAsia" w:ascii="仿宋_GB2312" w:hAnsi="仿宋_GB2312" w:eastAsia="仿宋_GB2312" w:cs="仿宋_GB2312"/>
          <w:sz w:val="32"/>
          <w:szCs w:val="32"/>
          <w:lang w:val="zh-CN" w:eastAsia="zh-CN"/>
        </w:rPr>
        <w:t>项目实施方案制定、组织实施、督导检查、验收总结、资金拨付和绩效考核等工作</w:t>
      </w:r>
      <w:r>
        <w:rPr>
          <w:rFonts w:hint="eastAsia" w:ascii="仿宋_GB2312" w:hAnsi="仿宋_GB2312" w:eastAsia="仿宋_GB2312" w:cs="仿宋_GB2312"/>
          <w:sz w:val="32"/>
          <w:szCs w:val="32"/>
          <w:lang w:val="en-US" w:eastAsia="zh-CN"/>
        </w:rPr>
        <w:t>。在项目实施过程中做好各阶段信息填报工作，及时填报项目执行情况和资金使用情况等内容。魏县农业农村局</w:t>
      </w:r>
      <w:r>
        <w:rPr>
          <w:rFonts w:hint="eastAsia" w:ascii="仿宋_GB2312" w:hAnsi="仿宋_GB2312" w:eastAsia="仿宋_GB2312" w:cs="仿宋_GB2312"/>
          <w:sz w:val="32"/>
          <w:szCs w:val="32"/>
          <w:lang w:val="zh-CN" w:eastAsia="zh-CN"/>
        </w:rPr>
        <w:t>建立健全项目工作档案，及时将有关文件、工作总结、绩效考核报告等立案归档，形成完整、齐全的项目实施档案。项目完成后及时</w:t>
      </w:r>
      <w:r>
        <w:rPr>
          <w:rFonts w:hint="eastAsia" w:ascii="仿宋_GB2312" w:hAnsi="仿宋_GB2312" w:eastAsia="仿宋_GB2312" w:cs="仿宋_GB2312"/>
          <w:sz w:val="32"/>
          <w:szCs w:val="32"/>
          <w:lang w:val="en-US" w:eastAsia="zh-CN"/>
        </w:rPr>
        <w:t>将备案材料</w:t>
      </w:r>
      <w:r>
        <w:rPr>
          <w:rFonts w:hint="eastAsia" w:ascii="仿宋_GB2312" w:hAnsi="仿宋_GB2312" w:eastAsia="仿宋_GB2312" w:cs="仿宋_GB2312"/>
          <w:sz w:val="32"/>
          <w:szCs w:val="32"/>
          <w:lang w:val="zh-CN" w:eastAsia="zh-CN"/>
        </w:rPr>
        <w:t>报市农业农村局备案</w:t>
      </w:r>
      <w:r>
        <w:rPr>
          <w:rFonts w:hint="eastAsia" w:ascii="仿宋_GB2312" w:hAnsi="仿宋_GB2312" w:eastAsia="仿宋_GB2312" w:cs="仿宋_GB2312"/>
          <w:sz w:val="32"/>
          <w:szCs w:val="32"/>
          <w:lang w:val="en-US" w:eastAsia="zh-CN"/>
        </w:rPr>
        <w:t>。</w:t>
      </w:r>
    </w:p>
    <w:p w14:paraId="1F6CB4D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b/>
          <w:bCs/>
          <w:sz w:val="32"/>
          <w:szCs w:val="32"/>
          <w:lang w:val="en-US" w:eastAsia="zh-CN"/>
        </w:rPr>
        <w:t>（三）规范资金管理。</w:t>
      </w:r>
      <w:r>
        <w:rPr>
          <w:rFonts w:hint="eastAsia" w:ascii="仿宋_GB2312" w:hAnsi="仿宋_GB2312" w:eastAsia="仿宋_GB2312" w:cs="仿宋_GB2312"/>
          <w:sz w:val="32"/>
          <w:szCs w:val="32"/>
          <w:lang w:val="en-US" w:eastAsia="zh-CN"/>
        </w:rPr>
        <w:t>魏县农业农村局</w:t>
      </w:r>
      <w:r>
        <w:rPr>
          <w:rFonts w:hint="eastAsia" w:ascii="仿宋_GB2312" w:hAnsi="仿宋_GB2312" w:eastAsia="仿宋_GB2312" w:cs="仿宋_GB2312"/>
          <w:sz w:val="32"/>
          <w:szCs w:val="32"/>
          <w:lang w:val="zh-CN" w:eastAsia="zh-CN"/>
        </w:rPr>
        <w:t>严格按照国家有关规定和项目实施方案内容使用资金，切实加强资金监管，发现问题及时纠正，确保资金使用安全高效，严禁截留、挪用和超范围支出，做到专款专用。对虚报冒领、骗取套取、挤占、截留、挪用项目资金等违法违纪行为，按照国家有关规定追究有关单位和人员责任。</w:t>
      </w:r>
      <w:r>
        <w:rPr>
          <w:rStyle w:val="23"/>
          <w:rFonts w:hint="eastAsia" w:ascii="仿宋_GB2312" w:hAnsi="仿宋_GB2312" w:eastAsia="仿宋_GB2312" w:cs="Times New Roman"/>
          <w:kern w:val="0"/>
          <w:sz w:val="32"/>
          <w:szCs w:val="32"/>
          <w:highlight w:val="none"/>
          <w:lang w:val="en-US" w:eastAsia="zh-CN"/>
        </w:rPr>
        <w:t>魏县亿康农产品加工有限公司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项目实施主体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建立项目资金使用台账，做到有章可循、有据可查。</w:t>
      </w:r>
    </w:p>
    <w:p w14:paraId="1C630A5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（四）严肃工作纪律。</w:t>
      </w:r>
      <w:r>
        <w:rPr>
          <w:rStyle w:val="23"/>
          <w:rFonts w:hint="eastAsia" w:ascii="仿宋_GB2312" w:hAnsi="仿宋_GB2312" w:eastAsia="仿宋_GB2312" w:cs="Times New Roman"/>
          <w:kern w:val="0"/>
          <w:sz w:val="32"/>
          <w:szCs w:val="32"/>
          <w:highlight w:val="none"/>
          <w:lang w:val="en-US" w:eastAsia="zh-CN"/>
        </w:rPr>
        <w:t>魏县亿康农产品加工有限公司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项目实施主体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对申报材料的真实性负责并落实保障安全生产主体责任，</w:t>
      </w:r>
      <w:r>
        <w:rPr>
          <w:rFonts w:hint="eastAsia" w:ascii="仿宋_GB2312" w:hAnsi="仿宋_GB2312" w:eastAsia="仿宋_GB2312" w:cs="仿宋_GB2312"/>
          <w:sz w:val="32"/>
          <w:szCs w:val="32"/>
          <w:lang w:val="en-US" w:eastAsia="zh-CN"/>
        </w:rPr>
        <w:t>魏</w:t>
      </w:r>
      <w:r>
        <w:rPr>
          <w:rFonts w:hint="eastAsia" w:ascii="CESI仿宋-GB2312" w:hAnsi="CESI仿宋-GB2312" w:eastAsia="CESI仿宋-GB2312" w:cs="CESI仿宋-GB2312"/>
          <w:sz w:val="32"/>
          <w:szCs w:val="32"/>
        </w:rPr>
        <w:t>县农业农村部门对申报材料的真实性、有效性、合规性进行审核确认。</w:t>
      </w:r>
      <w:r>
        <w:rPr>
          <w:rFonts w:hint="eastAsia" w:ascii="仿宋_GB2312" w:hAnsi="仿宋_GB2312" w:eastAsia="仿宋_GB2312" w:cs="仿宋_GB2312"/>
          <w:sz w:val="32"/>
          <w:szCs w:val="32"/>
          <w:lang w:val="en-US" w:eastAsia="zh-CN"/>
        </w:rPr>
        <w:t>魏</w:t>
      </w:r>
      <w:r>
        <w:rPr>
          <w:rFonts w:hint="eastAsia" w:ascii="仿宋_GB2312" w:hAnsi="仿宋_GB2312" w:eastAsia="仿宋_GB2312" w:cs="仿宋_GB2312"/>
          <w:kern w:val="2"/>
          <w:sz w:val="32"/>
          <w:szCs w:val="32"/>
          <w:lang w:val="en-US" w:eastAsia="zh-CN" w:bidi="ar-SA"/>
        </w:rPr>
        <w:t>县农业农村局严格按照实施方案进行认真审核，必要时就申报主体情况向有关部门进行核实，确保提供材料完整真实。对项目申报主体有以下行为的，列入黑名单，取消其申报资格，而且三年内不得申报农业产业化项目：一是提供虚假情况、证明资料的；二是拒不提供有关证明资料的；三是对有关证明资料进行涂改、毁损的；四是被举报或投诉反映申报项目虚假并经证实的。</w:t>
      </w:r>
    </w:p>
    <w:p w14:paraId="4CE86CC8">
      <w:pPr>
        <w:pStyle w:val="2"/>
        <w:keepNext w:val="0"/>
        <w:keepLines w:val="0"/>
        <w:pageBreakBefore w:val="0"/>
        <w:widowControl w:val="0"/>
        <w:numPr>
          <w:ilvl w:val="0"/>
          <w:numId w:val="0"/>
        </w:numPr>
        <w:kinsoku/>
        <w:wordWrap/>
        <w:overflowPunct/>
        <w:topLinePunct w:val="0"/>
        <w:bidi w:val="0"/>
        <w:adjustRightInd/>
        <w:spacing w:line="57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（五）做好宣传总结。</w:t>
      </w:r>
      <w:r>
        <w:rPr>
          <w:rFonts w:hint="eastAsia" w:ascii="仿宋_GB2312" w:hAnsi="仿宋_GB2312" w:eastAsia="仿宋_GB2312" w:cs="仿宋_GB2312"/>
          <w:kern w:val="2"/>
          <w:sz w:val="32"/>
          <w:szCs w:val="32"/>
          <w:lang w:val="en-US" w:eastAsia="zh-CN" w:bidi="ar-SA"/>
        </w:rPr>
        <w:t>及时总结试点经验，树立示范典型，开展经验交流。充分发挥电视、网络、报纸和广播等现代主流媒体的作用，加大对本项目重大意义、先进典型的宣传与示范，营造良好的社会舆论氛围。</w:t>
      </w:r>
    </w:p>
    <w:p w14:paraId="6B89A8C6">
      <w:pPr>
        <w:pageBreakBefore w:val="0"/>
        <w:widowControl w:val="0"/>
        <w:kinsoku/>
        <w:wordWrap/>
        <w:overflowPunct/>
        <w:topLinePunct w:val="0"/>
        <w:bidi w:val="0"/>
        <w:spacing w:line="570" w:lineRule="exact"/>
        <w:textAlignment w:val="auto"/>
        <w:rPr>
          <w:rFonts w:hint="eastAsia"/>
          <w:lang w:val="zh-CN" w:eastAsia="zh-CN"/>
        </w:rPr>
      </w:pPr>
    </w:p>
    <w:p w14:paraId="5ED1B4FC">
      <w:pPr>
        <w:keepNext w:val="0"/>
        <w:keepLines w:val="0"/>
        <w:pageBreakBefore w:val="0"/>
        <w:widowControl w:val="0"/>
        <w:kinsoku/>
        <w:wordWrap/>
        <w:topLinePunct w:val="0"/>
        <w:bidi w:val="0"/>
        <w:spacing w:line="540" w:lineRule="exact"/>
        <w:ind w:left="0" w:leftChars="0"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魏县农业农村局</w:t>
      </w:r>
    </w:p>
    <w:p w14:paraId="27DA5337">
      <w:pPr>
        <w:keepNext w:val="0"/>
        <w:keepLines w:val="0"/>
        <w:pageBreakBefore w:val="0"/>
        <w:widowControl w:val="0"/>
        <w:kinsoku/>
        <w:wordWrap/>
        <w:topLinePunct w:val="0"/>
        <w:bidi w:val="0"/>
        <w:spacing w:line="540" w:lineRule="exact"/>
        <w:ind w:left="0" w:left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2025年5月12</w:t>
      </w:r>
      <w:bookmarkStart w:id="2" w:name="_GoBack"/>
      <w:bookmarkEnd w:id="2"/>
      <w:r>
        <w:rPr>
          <w:rFonts w:hint="eastAsia" w:ascii="仿宋" w:hAnsi="仿宋" w:eastAsia="仿宋" w:cs="仿宋"/>
          <w:sz w:val="32"/>
          <w:szCs w:val="32"/>
          <w:lang w:val="en-US" w:eastAsia="zh-CN"/>
        </w:rPr>
        <w:t>日</w:t>
      </w:r>
    </w:p>
    <w:p w14:paraId="1F5FEC4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 w:hAnsi="仿宋" w:eastAsia="仿宋" w:cs="仿宋"/>
          <w:b w:val="0"/>
          <w:bCs w:val="0"/>
          <w:color w:val="000000" w:themeColor="text1"/>
          <w:position w:val="1"/>
          <w:sz w:val="28"/>
          <w:szCs w:val="28"/>
          <w:highlight w:val="none"/>
          <w:lang w:eastAsia="zh-CN"/>
          <w14:textFill>
            <w14:solidFill>
              <w14:schemeClr w14:val="tx1"/>
            </w14:solidFill>
          </w14:textFill>
        </w:rPr>
      </w:pPr>
    </w:p>
    <w:p w14:paraId="785666F5">
      <w:pPr>
        <w:pageBreakBefore w:val="0"/>
        <w:widowControl w:val="0"/>
        <w:wordWrap/>
        <w:topLinePunct w:val="0"/>
        <w:bidi w:val="0"/>
        <w:spacing w:line="540" w:lineRule="exact"/>
        <w:rPr>
          <w:rFonts w:hint="eastAsia" w:ascii="Calibri" w:hAnsi="Calibri" w:eastAsia="宋体" w:cs="Times New Roman"/>
          <w:color w:val="auto"/>
          <w:kern w:val="2"/>
          <w:sz w:val="21"/>
          <w:szCs w:val="24"/>
          <w:lang w:val="en-US" w:eastAsia="zh-CN" w:bidi="ar-SA"/>
        </w:rPr>
      </w:pPr>
    </w:p>
    <w:p w14:paraId="3A5D575B">
      <w:pPr>
        <w:pageBreakBefore w:val="0"/>
        <w:widowControl w:val="0"/>
        <w:tabs>
          <w:tab w:val="left" w:pos="2885"/>
        </w:tabs>
        <w:wordWrap/>
        <w:topLinePunct w:val="0"/>
        <w:bidi w:val="0"/>
        <w:spacing w:line="540" w:lineRule="exact"/>
        <w:jc w:val="left"/>
        <w:rPr>
          <w:rFonts w:hint="eastAsia"/>
          <w:lang w:val="en-US" w:eastAsia="zh-CN"/>
        </w:rPr>
      </w:pPr>
    </w:p>
    <w:p w14:paraId="4D22BEEE">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right="0" w:rightChars="0"/>
        <w:jc w:val="both"/>
        <w:textAlignment w:val="auto"/>
        <w:outlineLvl w:val="9"/>
        <w:rPr>
          <w:rFonts w:hint="eastAsia"/>
          <w:lang w:val="en-US" w:eastAsia="zh-CN"/>
        </w:rPr>
      </w:pPr>
    </w:p>
    <w:sectPr>
      <w:footerReference r:id="rId3" w:type="default"/>
      <w:pgSz w:w="11906" w:h="16838"/>
      <w:pgMar w:top="2098" w:right="1531" w:bottom="1984" w:left="1531"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0A3A93-B07E-48A5-B9B7-584609423D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CB12FF-AF1F-41FD-BF20-5D7BFC0C97CD}"/>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C4930630-79F0-45B3-BB35-A889305574B3}"/>
  </w:font>
  <w:font w:name="Liberation Sans">
    <w:altName w:val="Vijaya"/>
    <w:panose1 w:val="020B0604020202020204"/>
    <w:charset w:val="00"/>
    <w:family w:val="swiss"/>
    <w:pitch w:val="default"/>
    <w:sig w:usb0="00000000" w:usb1="00000000" w:usb2="00000000" w:usb3="00000000" w:csb0="6000009F" w:csb1="DFD70000"/>
  </w:font>
  <w:font w:name="Vijaya">
    <w:panose1 w:val="020B0604020202020204"/>
    <w:charset w:val="00"/>
    <w:family w:val="auto"/>
    <w:pitch w:val="default"/>
    <w:sig w:usb0="00100003" w:usb1="00000000" w:usb2="00000000" w:usb3="00000000" w:csb0="0000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embedRegular r:id="rId4" w:fontKey="{1479D0FC-608F-4371-9C68-13AA63F4D2E8}"/>
  </w:font>
  <w:font w:name="仿宋">
    <w:panose1 w:val="02010609060101010101"/>
    <w:charset w:val="86"/>
    <w:family w:val="auto"/>
    <w:pitch w:val="default"/>
    <w:sig w:usb0="800002BF" w:usb1="38CF7CFA" w:usb2="00000016" w:usb3="00000000" w:csb0="00040001" w:csb1="00000000"/>
    <w:embedRegular r:id="rId5" w:fontKey="{81A5ADF3-8E77-4F78-90AE-41C3324CBA37}"/>
  </w:font>
  <w:font w:name="CESI仿宋-GB2312">
    <w:altName w:val="仿宋"/>
    <w:panose1 w:val="02000500000000000000"/>
    <w:charset w:val="86"/>
    <w:family w:val="auto"/>
    <w:pitch w:val="default"/>
    <w:sig w:usb0="00000000" w:usb1="00000000" w:usb2="00000010" w:usb3="00000000" w:csb0="0004000F" w:csb1="00000000"/>
    <w:embedRegular r:id="rId6" w:fontKey="{7F324942-B272-490D-B6ED-171404BDE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B00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EBEBE">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9EBEBE">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N2RjYjY4MzJhYzQ3MWM4MmVhODQ1MGJkOTkwMTcifQ=="/>
  </w:docVars>
  <w:rsids>
    <w:rsidRoot w:val="00000000"/>
    <w:rsid w:val="00024512"/>
    <w:rsid w:val="00687D64"/>
    <w:rsid w:val="01A27EB0"/>
    <w:rsid w:val="02226771"/>
    <w:rsid w:val="058D14E6"/>
    <w:rsid w:val="06BF7DC5"/>
    <w:rsid w:val="06D05EEF"/>
    <w:rsid w:val="08204893"/>
    <w:rsid w:val="08763F8B"/>
    <w:rsid w:val="09551B0F"/>
    <w:rsid w:val="09897152"/>
    <w:rsid w:val="09D05E45"/>
    <w:rsid w:val="09E7603D"/>
    <w:rsid w:val="0A522CFE"/>
    <w:rsid w:val="0AFE629B"/>
    <w:rsid w:val="0B0B0DC6"/>
    <w:rsid w:val="0B8A5643"/>
    <w:rsid w:val="0CA742D2"/>
    <w:rsid w:val="0CB05E38"/>
    <w:rsid w:val="0D164883"/>
    <w:rsid w:val="0D39701A"/>
    <w:rsid w:val="0EB75826"/>
    <w:rsid w:val="0F454863"/>
    <w:rsid w:val="115E0AC4"/>
    <w:rsid w:val="123A29F6"/>
    <w:rsid w:val="12437AFC"/>
    <w:rsid w:val="13085A5A"/>
    <w:rsid w:val="139E4F93"/>
    <w:rsid w:val="13E27CA3"/>
    <w:rsid w:val="16907088"/>
    <w:rsid w:val="16946B78"/>
    <w:rsid w:val="16F2389F"/>
    <w:rsid w:val="1709293D"/>
    <w:rsid w:val="17800EAB"/>
    <w:rsid w:val="17DD67B5"/>
    <w:rsid w:val="188B5D59"/>
    <w:rsid w:val="189A2440"/>
    <w:rsid w:val="18E10993"/>
    <w:rsid w:val="1981016D"/>
    <w:rsid w:val="1A2F0966"/>
    <w:rsid w:val="1B2C25F9"/>
    <w:rsid w:val="1C716808"/>
    <w:rsid w:val="1C7D212A"/>
    <w:rsid w:val="1CB42E67"/>
    <w:rsid w:val="1D6B0ED4"/>
    <w:rsid w:val="1DFD14A7"/>
    <w:rsid w:val="1E7CACD1"/>
    <w:rsid w:val="1E8A7682"/>
    <w:rsid w:val="1E9DA774"/>
    <w:rsid w:val="1EF17361"/>
    <w:rsid w:val="1EF57FAD"/>
    <w:rsid w:val="20966B19"/>
    <w:rsid w:val="20D05F8A"/>
    <w:rsid w:val="22325A7B"/>
    <w:rsid w:val="23215655"/>
    <w:rsid w:val="24144B7C"/>
    <w:rsid w:val="241A2D0A"/>
    <w:rsid w:val="24C3687B"/>
    <w:rsid w:val="2635494F"/>
    <w:rsid w:val="26805837"/>
    <w:rsid w:val="26BB1EFF"/>
    <w:rsid w:val="27351CB2"/>
    <w:rsid w:val="288D78CB"/>
    <w:rsid w:val="28EE192E"/>
    <w:rsid w:val="29C7175B"/>
    <w:rsid w:val="2C363DD6"/>
    <w:rsid w:val="2D597B23"/>
    <w:rsid w:val="2F815190"/>
    <w:rsid w:val="301634F6"/>
    <w:rsid w:val="31BD3806"/>
    <w:rsid w:val="31F14A27"/>
    <w:rsid w:val="325D6541"/>
    <w:rsid w:val="331865C6"/>
    <w:rsid w:val="331D3BE6"/>
    <w:rsid w:val="332B3F69"/>
    <w:rsid w:val="350D04E4"/>
    <w:rsid w:val="3797389A"/>
    <w:rsid w:val="37DE5CC6"/>
    <w:rsid w:val="37EA43F2"/>
    <w:rsid w:val="386C3059"/>
    <w:rsid w:val="389116EF"/>
    <w:rsid w:val="38BF587F"/>
    <w:rsid w:val="38CD2C90"/>
    <w:rsid w:val="39F46CE3"/>
    <w:rsid w:val="3B0721DA"/>
    <w:rsid w:val="3B225C51"/>
    <w:rsid w:val="3B4D0583"/>
    <w:rsid w:val="3BCD1769"/>
    <w:rsid w:val="3BD05EF1"/>
    <w:rsid w:val="3C386955"/>
    <w:rsid w:val="3D0648F3"/>
    <w:rsid w:val="3EA66B99"/>
    <w:rsid w:val="3EE15E23"/>
    <w:rsid w:val="3EFF2A73"/>
    <w:rsid w:val="3F17430B"/>
    <w:rsid w:val="3F2172E4"/>
    <w:rsid w:val="3FC574F3"/>
    <w:rsid w:val="3FE74777"/>
    <w:rsid w:val="3FFC5695"/>
    <w:rsid w:val="40195CBF"/>
    <w:rsid w:val="41697BAF"/>
    <w:rsid w:val="4178461A"/>
    <w:rsid w:val="41810EB8"/>
    <w:rsid w:val="41A82C28"/>
    <w:rsid w:val="41F320F5"/>
    <w:rsid w:val="43B667CD"/>
    <w:rsid w:val="457B00A9"/>
    <w:rsid w:val="45B974C1"/>
    <w:rsid w:val="46474FDF"/>
    <w:rsid w:val="474B18DA"/>
    <w:rsid w:val="47503B12"/>
    <w:rsid w:val="477931E7"/>
    <w:rsid w:val="47841A42"/>
    <w:rsid w:val="480F278A"/>
    <w:rsid w:val="48352044"/>
    <w:rsid w:val="49AE078A"/>
    <w:rsid w:val="49B64BD4"/>
    <w:rsid w:val="4AF71F1A"/>
    <w:rsid w:val="4C2F1231"/>
    <w:rsid w:val="4CAA3021"/>
    <w:rsid w:val="4D3E6CF9"/>
    <w:rsid w:val="51087240"/>
    <w:rsid w:val="511F7124"/>
    <w:rsid w:val="525941F7"/>
    <w:rsid w:val="533C2A6B"/>
    <w:rsid w:val="53CE6C2D"/>
    <w:rsid w:val="546E5B71"/>
    <w:rsid w:val="54C50BDE"/>
    <w:rsid w:val="5660397F"/>
    <w:rsid w:val="56975F64"/>
    <w:rsid w:val="56F93036"/>
    <w:rsid w:val="572172AD"/>
    <w:rsid w:val="58403BAE"/>
    <w:rsid w:val="585C14D3"/>
    <w:rsid w:val="58BC4D55"/>
    <w:rsid w:val="5A390A8D"/>
    <w:rsid w:val="5B6559BA"/>
    <w:rsid w:val="5D2A6D01"/>
    <w:rsid w:val="5DCB1167"/>
    <w:rsid w:val="5F4E230F"/>
    <w:rsid w:val="5F75AF9B"/>
    <w:rsid w:val="5F7C7776"/>
    <w:rsid w:val="600060E8"/>
    <w:rsid w:val="61E83D8B"/>
    <w:rsid w:val="63AD32A2"/>
    <w:rsid w:val="63E55804"/>
    <w:rsid w:val="64660A80"/>
    <w:rsid w:val="64790160"/>
    <w:rsid w:val="65982188"/>
    <w:rsid w:val="66CE7576"/>
    <w:rsid w:val="66E24D74"/>
    <w:rsid w:val="67807D16"/>
    <w:rsid w:val="67F95C46"/>
    <w:rsid w:val="6A7F26D2"/>
    <w:rsid w:val="6BFE40D6"/>
    <w:rsid w:val="6C375151"/>
    <w:rsid w:val="6CD41B88"/>
    <w:rsid w:val="6D1A215B"/>
    <w:rsid w:val="6D552ED4"/>
    <w:rsid w:val="6EFB9D18"/>
    <w:rsid w:val="6F0D0399"/>
    <w:rsid w:val="6FEF6AD7"/>
    <w:rsid w:val="7184580B"/>
    <w:rsid w:val="71AD269A"/>
    <w:rsid w:val="71CC4217"/>
    <w:rsid w:val="735760D9"/>
    <w:rsid w:val="73EC4A73"/>
    <w:rsid w:val="743E14BB"/>
    <w:rsid w:val="74DE2A46"/>
    <w:rsid w:val="765F0CEF"/>
    <w:rsid w:val="77FA5C10"/>
    <w:rsid w:val="79523064"/>
    <w:rsid w:val="799247FE"/>
    <w:rsid w:val="7A08012D"/>
    <w:rsid w:val="7AF17520"/>
    <w:rsid w:val="7B641393"/>
    <w:rsid w:val="7CE81B50"/>
    <w:rsid w:val="7D1079CA"/>
    <w:rsid w:val="7E385CC8"/>
    <w:rsid w:val="7EBA8652"/>
    <w:rsid w:val="7EFCE6CF"/>
    <w:rsid w:val="7F0A02A2"/>
    <w:rsid w:val="7F37C0AD"/>
    <w:rsid w:val="7F894F8A"/>
    <w:rsid w:val="7F8E173E"/>
    <w:rsid w:val="B5D72AA6"/>
    <w:rsid w:val="CEFF955B"/>
    <w:rsid w:val="D7694FDA"/>
    <w:rsid w:val="DFFD05E5"/>
    <w:rsid w:val="F74F78E6"/>
    <w:rsid w:val="FB9BE97D"/>
    <w:rsid w:val="FCFE9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9"/>
    <w:pPr>
      <w:keepNext/>
      <w:keepLines/>
      <w:spacing w:line="560" w:lineRule="exact"/>
      <w:ind w:left="0" w:leftChars="0" w:right="0" w:rightChars="0"/>
      <w:jc w:val="center"/>
      <w:outlineLvl w:val="0"/>
    </w:pPr>
    <w:rPr>
      <w:rFonts w:ascii="Times New Roman" w:hAnsi="Times New Roman" w:eastAsia="方正小标宋简体"/>
      <w:bCs/>
      <w:color w:val="000000"/>
      <w:kern w:val="44"/>
      <w:sz w:val="44"/>
      <w:szCs w:val="44"/>
    </w:rPr>
  </w:style>
  <w:style w:type="paragraph" w:styleId="4">
    <w:name w:val="heading 2"/>
    <w:basedOn w:val="1"/>
    <w:next w:val="1"/>
    <w:qFormat/>
    <w:uiPriority w:val="9"/>
    <w:pPr>
      <w:keepNext/>
      <w:keepLines/>
      <w:widowControl w:val="0"/>
      <w:suppressAutoHyphens/>
      <w:spacing w:line="560" w:lineRule="exact"/>
      <w:ind w:firstLine="640" w:firstLineChars="200"/>
      <w:outlineLvl w:val="1"/>
    </w:pPr>
    <w:rPr>
      <w:rFonts w:ascii="Times New Roman" w:hAnsi="Times New Roman" w:eastAsia="黑体"/>
      <w:sz w:val="32"/>
      <w:szCs w:val="24"/>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Body Text"/>
    <w:basedOn w:val="1"/>
    <w:qFormat/>
    <w:uiPriority w:val="0"/>
    <w:pPr>
      <w:spacing w:before="0" w:after="140" w:line="276" w:lineRule="auto"/>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7"/>
    <w:qFormat/>
    <w:uiPriority w:val="0"/>
  </w:style>
  <w:style w:type="paragraph" w:styleId="12">
    <w:name w:val="toc 2"/>
    <w:basedOn w:val="1"/>
    <w:next w:val="1"/>
    <w:qFormat/>
    <w:uiPriority w:val="0"/>
    <w:pPr>
      <w:kinsoku w:val="0"/>
      <w:overflowPunct w:val="0"/>
      <w:autoSpaceDE w:val="0"/>
      <w:autoSpaceDN w:val="0"/>
      <w:spacing w:line="20" w:lineRule="exact"/>
      <w:ind w:firstLine="640" w:firstLineChars="200"/>
    </w:pPr>
    <w:rPr>
      <w:rFonts w:ascii="楷体_GB2312" w:hAnsi="黑体" w:eastAsia="楷体_GB2312" w:cs="楷体_GB2312"/>
      <w:kern w:val="0"/>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index 51"/>
    <w:basedOn w:val="1"/>
    <w:next w:val="1"/>
    <w:qFormat/>
    <w:uiPriority w:val="0"/>
    <w:pPr>
      <w:ind w:left="1680"/>
    </w:pPr>
  </w:style>
  <w:style w:type="character" w:customStyle="1" w:styleId="18">
    <w:name w:val="默认段落字体1"/>
    <w:qFormat/>
    <w:uiPriority w:val="0"/>
  </w:style>
  <w:style w:type="paragraph" w:customStyle="1" w:styleId="19">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qFormat/>
    <w:uiPriority w:val="0"/>
    <w:pPr>
      <w:widowControl w:val="0"/>
      <w:suppressLineNumbers/>
      <w:suppressAutoHyphens/>
    </w:pPr>
  </w:style>
  <w:style w:type="paragraph" w:customStyle="1" w:styleId="21">
    <w:name w:val="Plain Text_ebd54c05-975f-4522-8e6e-fa366cc3e6e6"/>
    <w:basedOn w:val="1"/>
    <w:qFormat/>
    <w:uiPriority w:val="0"/>
    <w:rPr>
      <w:rFonts w:ascii="宋体" w:hAnsi="Courier New" w:cs="Courier New"/>
      <w:szCs w:val="21"/>
    </w:rPr>
  </w:style>
  <w:style w:type="paragraph" w:customStyle="1" w:styleId="22">
    <w:name w:val="无间隔1"/>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3">
    <w:name w:val="NormalCharacter"/>
    <w:link w:val="24"/>
    <w:qFormat/>
    <w:uiPriority w:val="0"/>
    <w:rPr>
      <w:rFonts w:ascii="宋体" w:hAnsi="宋体" w:eastAsia="宋体" w:cs="Times New Roman"/>
      <w:sz w:val="24"/>
      <w:szCs w:val="36"/>
      <w:lang w:val="en-US" w:eastAsia="zh-CN" w:bidi="ar-SA"/>
    </w:rPr>
  </w:style>
  <w:style w:type="paragraph" w:customStyle="1" w:styleId="24">
    <w:name w:val="UserStyle_2"/>
    <w:link w:val="23"/>
    <w:qFormat/>
    <w:uiPriority w:val="0"/>
    <w:pPr>
      <w:spacing w:after="120" w:line="480" w:lineRule="auto"/>
      <w:ind w:left="420" w:leftChars="200" w:firstLine="420" w:firstLineChars="200"/>
      <w:jc w:val="both"/>
      <w:textAlignment w:val="baseline"/>
    </w:pPr>
    <w:rPr>
      <w:rFonts w:ascii="宋体" w:hAnsi="宋体" w:eastAsia="宋体" w:cs="Times New Roman"/>
      <w:sz w:val="24"/>
      <w:szCs w:val="36"/>
      <w:lang w:val="en-US" w:eastAsia="zh-CN" w:bidi="ar-SA"/>
    </w:rPr>
  </w:style>
  <w:style w:type="paragraph" w:customStyle="1" w:styleId="25">
    <w:name w:val="正文26"/>
    <w:basedOn w:val="1"/>
    <w:qFormat/>
    <w:uiPriority w:val="0"/>
    <w:pPr>
      <w:spacing w:line="520" w:lineRule="exact"/>
      <w:ind w:firstLine="640" w:firstLineChars="200"/>
    </w:pPr>
    <w:rPr>
      <w:rFonts w:ascii="仿宋_GB2312" w:eastAsia="仿宋_GB2312"/>
      <w:sz w:val="32"/>
      <w:szCs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1736</Words>
  <Characters>1793</Characters>
  <Paragraphs>50</Paragraphs>
  <TotalTime>28</TotalTime>
  <ScaleCrop>false</ScaleCrop>
  <LinksUpToDate>false</LinksUpToDate>
  <CharactersWithSpaces>1821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uos</dc:creator>
  <cp:lastModifiedBy>A·王帅杰</cp:lastModifiedBy>
  <cp:lastPrinted>2025-05-12T01:17:00Z</cp:lastPrinted>
  <dcterms:modified xsi:type="dcterms:W3CDTF">2025-05-12T01:33:52Z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327FB8D6B97D4955B46B872F2B66925A_13</vt:lpwstr>
  </property>
  <property fmtid="{D5CDD505-2E9C-101B-9397-08002B2CF9AE}" pid="4" name="KSOTemplateDocerSaveRecord">
    <vt:lpwstr>eyJoZGlkIjoiZGRkMDIxZDMwNzQyYTZkYzY5ZDUzMWM3MTA1ZmY1MTAiLCJ1c2VySWQiOiIzODI2MjUyMzMifQ==</vt:lpwstr>
  </property>
</Properties>
</file>