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12</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14</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24</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24</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24</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25</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1089.57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569.76</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99.01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24.16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1089.57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1089.57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1089.57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1089.57</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1089.57</w:t>
            </w:r>
          </w:p>
        </w:tc>
        <w:tc>
          <w:tcPr>
            <w:tcW w:w="1134" w:type="dxa"/>
            <w:vAlign w:val="center"/>
          </w:tcPr>
          <w:p>
            <w:pPr>
              <w:pStyle w:val="单元格样式7"/>
            </w:pPr>
            <w:r>
              <w:t xml:space="preserve">1089.57</w:t>
            </w:r>
          </w:p>
        </w:tc>
        <w:tc>
          <w:tcPr>
            <w:tcW w:w="1134" w:type="dxa"/>
            <w:vAlign w:val="center"/>
          </w:tcPr>
          <w:p>
            <w:pPr>
              <w:pStyle w:val="单元格样式7"/>
            </w:pPr>
            <w:r>
              <w:t xml:space="preserve">1089.57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r>
              <w:t xml:space="preserve">569.76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r>
              <w:t xml:space="preserve">99.01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19.79</w:t>
            </w:r>
          </w:p>
        </w:tc>
        <w:tc>
          <w:tcPr>
            <w:tcW w:w="1134" w:type="dxa"/>
            <w:vAlign w:val="center"/>
          </w:tcPr>
          <w:p>
            <w:pPr>
              <w:pStyle w:val="单元格样式4"/>
            </w:pPr>
            <w:r>
              <w:t xml:space="preserve">19.79</w:t>
            </w:r>
          </w:p>
        </w:tc>
        <w:tc>
          <w:tcPr>
            <w:tcW w:w="1134" w:type="dxa"/>
            <w:vAlign w:val="center"/>
          </w:tcPr>
          <w:p>
            <w:pPr>
              <w:pStyle w:val="单元格样式4"/>
            </w:pPr>
            <w:r>
              <w:t xml:space="preserve">19.79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52.81</w:t>
            </w:r>
          </w:p>
        </w:tc>
        <w:tc>
          <w:tcPr>
            <w:tcW w:w="1134" w:type="dxa"/>
            <w:vAlign w:val="center"/>
          </w:tcPr>
          <w:p>
            <w:pPr>
              <w:pStyle w:val="单元格样式4"/>
            </w:pPr>
            <w:r>
              <w:t xml:space="preserve">52.81</w:t>
            </w:r>
          </w:p>
        </w:tc>
        <w:tc>
          <w:tcPr>
            <w:tcW w:w="1134" w:type="dxa"/>
            <w:vAlign w:val="center"/>
          </w:tcPr>
          <w:p>
            <w:pPr>
              <w:pStyle w:val="单元格样式4"/>
            </w:pPr>
            <w:r>
              <w:t xml:space="preserve">52.81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26.40</w:t>
            </w:r>
          </w:p>
        </w:tc>
        <w:tc>
          <w:tcPr>
            <w:tcW w:w="1134" w:type="dxa"/>
            <w:vAlign w:val="center"/>
          </w:tcPr>
          <w:p>
            <w:pPr>
              <w:pStyle w:val="单元格样式4"/>
            </w:pPr>
            <w:r>
              <w:t xml:space="preserve">26.40</w:t>
            </w:r>
          </w:p>
        </w:tc>
        <w:tc>
          <w:tcPr>
            <w:tcW w:w="1134" w:type="dxa"/>
            <w:vAlign w:val="center"/>
          </w:tcPr>
          <w:p>
            <w:pPr>
              <w:pStyle w:val="单元格样式4"/>
            </w:pPr>
            <w:r>
              <w:t xml:space="preserve">26.40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r>
              <w:t xml:space="preserve">24.16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r>
              <w:t xml:space="preserve">396.65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1089.57</w:t>
            </w:r>
          </w:p>
        </w:tc>
        <w:tc>
          <w:tcPr>
            <w:tcW w:w="1361" w:type="dxa"/>
            <w:vAlign w:val="center"/>
          </w:tcPr>
          <w:p>
            <w:pPr>
              <w:pStyle w:val="单元格样式7"/>
            </w:pPr>
            <w:r>
              <w:t xml:space="preserve">545.70</w:t>
            </w:r>
          </w:p>
        </w:tc>
        <w:tc>
          <w:tcPr>
            <w:tcW w:w="1361" w:type="dxa"/>
            <w:vAlign w:val="center"/>
          </w:tcPr>
          <w:p>
            <w:pPr>
              <w:pStyle w:val="单元格样式7"/>
            </w:pPr>
            <w:r>
              <w:t xml:space="preserve">543.87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569.76</w:t>
            </w:r>
          </w:p>
        </w:tc>
        <w:tc>
          <w:tcPr>
            <w:tcW w:w="1361" w:type="dxa"/>
            <w:vAlign w:val="center"/>
          </w:tcPr>
          <w:p>
            <w:pPr>
              <w:pStyle w:val="单元格样式4"/>
            </w:pPr>
            <w:r>
              <w:t xml:space="preserve">422.54</w:t>
            </w:r>
          </w:p>
        </w:tc>
        <w:tc>
          <w:tcPr>
            <w:tcW w:w="1361" w:type="dxa"/>
            <w:vAlign w:val="center"/>
          </w:tcPr>
          <w:p>
            <w:pPr>
              <w:pStyle w:val="单元格样式4"/>
            </w:pPr>
            <w:r>
              <w:t xml:space="preserve">147.22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99.01</w:t>
            </w:r>
          </w:p>
        </w:tc>
        <w:tc>
          <w:tcPr>
            <w:tcW w:w="1361" w:type="dxa"/>
            <w:vAlign w:val="center"/>
          </w:tcPr>
          <w:p>
            <w:pPr>
              <w:pStyle w:val="单元格样式4"/>
            </w:pPr>
            <w:r>
              <w:t xml:space="preserve">99.01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99.01</w:t>
            </w:r>
          </w:p>
        </w:tc>
        <w:tc>
          <w:tcPr>
            <w:tcW w:w="1361" w:type="dxa"/>
            <w:vAlign w:val="center"/>
          </w:tcPr>
          <w:p>
            <w:pPr>
              <w:pStyle w:val="单元格样式4"/>
            </w:pPr>
            <w:r>
              <w:t xml:space="preserve">99.01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19.79</w:t>
            </w:r>
          </w:p>
        </w:tc>
        <w:tc>
          <w:tcPr>
            <w:tcW w:w="1361" w:type="dxa"/>
            <w:vAlign w:val="center"/>
          </w:tcPr>
          <w:p>
            <w:pPr>
              <w:pStyle w:val="单元格样式4"/>
            </w:pPr>
            <w:r>
              <w:t xml:space="preserve">19.79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52.81</w:t>
            </w:r>
          </w:p>
        </w:tc>
        <w:tc>
          <w:tcPr>
            <w:tcW w:w="1361" w:type="dxa"/>
            <w:vAlign w:val="center"/>
          </w:tcPr>
          <w:p>
            <w:pPr>
              <w:pStyle w:val="单元格样式4"/>
            </w:pPr>
            <w:r>
              <w:t xml:space="preserve">52.81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26.40</w:t>
            </w:r>
          </w:p>
        </w:tc>
        <w:tc>
          <w:tcPr>
            <w:tcW w:w="1361" w:type="dxa"/>
            <w:vAlign w:val="center"/>
          </w:tcPr>
          <w:p>
            <w:pPr>
              <w:pStyle w:val="单元格样式4"/>
            </w:pPr>
            <w:r>
              <w:t xml:space="preserve">26.40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24.16</w:t>
            </w:r>
          </w:p>
        </w:tc>
        <w:tc>
          <w:tcPr>
            <w:tcW w:w="1361" w:type="dxa"/>
            <w:vAlign w:val="center"/>
          </w:tcPr>
          <w:p>
            <w:pPr>
              <w:pStyle w:val="单元格样式4"/>
            </w:pPr>
            <w:r>
              <w:t xml:space="preserve">24.16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r>
              <w:t xml:space="preserve">396.65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1089.57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569.76</w:t>
            </w:r>
          </w:p>
        </w:tc>
        <w:tc>
          <w:tcPr>
            <w:tcW w:w="1474" w:type="dxa"/>
            <w:vAlign w:val="center"/>
          </w:tcPr>
          <w:p>
            <w:pPr>
              <w:pStyle w:val="单元格样式4"/>
            </w:pPr>
            <w:r>
              <w:t xml:space="preserve">569.76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99.01</w:t>
            </w:r>
          </w:p>
        </w:tc>
        <w:tc>
          <w:tcPr>
            <w:tcW w:w="1474" w:type="dxa"/>
            <w:vAlign w:val="center"/>
          </w:tcPr>
          <w:p>
            <w:pPr>
              <w:pStyle w:val="单元格样式4"/>
            </w:pPr>
            <w:r>
              <w:t xml:space="preserve">99.01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24.16</w:t>
            </w:r>
          </w:p>
        </w:tc>
        <w:tc>
          <w:tcPr>
            <w:tcW w:w="1474" w:type="dxa"/>
            <w:vAlign w:val="center"/>
          </w:tcPr>
          <w:p>
            <w:pPr>
              <w:pStyle w:val="单元格样式4"/>
            </w:pPr>
            <w:r>
              <w:t xml:space="preserve">24.16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396.65</w:t>
            </w:r>
          </w:p>
        </w:tc>
        <w:tc>
          <w:tcPr>
            <w:tcW w:w="1474" w:type="dxa"/>
            <w:vAlign w:val="center"/>
          </w:tcPr>
          <w:p>
            <w:pPr>
              <w:pStyle w:val="单元格样式4"/>
            </w:pPr>
            <w:r>
              <w:t xml:space="preserve">396.65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1089.57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1089.57</w:t>
            </w:r>
          </w:p>
        </w:tc>
        <w:tc>
          <w:tcPr>
            <w:tcW w:w="1474" w:type="dxa"/>
            <w:vAlign w:val="center"/>
          </w:tcPr>
          <w:p>
            <w:pPr>
              <w:pStyle w:val="单元格样式7"/>
            </w:pPr>
            <w:r>
              <w:t xml:space="preserve">1089.57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1089.57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1089.57</w:t>
            </w:r>
          </w:p>
        </w:tc>
        <w:tc>
          <w:tcPr>
            <w:tcW w:w="1474" w:type="dxa"/>
            <w:vAlign w:val="center"/>
          </w:tcPr>
          <w:p>
            <w:pPr>
              <w:pStyle w:val="单元格样式7"/>
            </w:pPr>
            <w:r>
              <w:t xml:space="preserve">1089.57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1089.57</w:t>
            </w:r>
          </w:p>
        </w:tc>
        <w:tc>
          <w:tcPr>
            <w:tcW w:w="2551" w:type="dxa"/>
            <w:vAlign w:val="center"/>
          </w:tcPr>
          <w:p>
            <w:pPr>
              <w:pStyle w:val="单元格样式7"/>
            </w:pPr>
            <w:r>
              <w:t xml:space="preserve">545.70</w:t>
            </w:r>
          </w:p>
        </w:tc>
        <w:tc>
          <w:tcPr>
            <w:tcW w:w="2551" w:type="dxa"/>
            <w:vAlign w:val="center"/>
          </w:tcPr>
          <w:p>
            <w:pPr>
              <w:pStyle w:val="单元格样式7"/>
            </w:pPr>
            <w:r>
              <w:t xml:space="preserve">543.87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569.76</w:t>
            </w:r>
          </w:p>
        </w:tc>
        <w:tc>
          <w:tcPr>
            <w:tcW w:w="2551" w:type="dxa"/>
            <w:vAlign w:val="center"/>
          </w:tcPr>
          <w:p>
            <w:pPr>
              <w:pStyle w:val="单元格样式4"/>
            </w:pPr>
            <w:r>
              <w:t xml:space="preserve">422.54</w:t>
            </w:r>
          </w:p>
        </w:tc>
        <w:tc>
          <w:tcPr>
            <w:tcW w:w="2551" w:type="dxa"/>
            <w:vAlign w:val="center"/>
          </w:tcPr>
          <w:p>
            <w:pPr>
              <w:pStyle w:val="单元格样式4"/>
            </w:pPr>
            <w:r>
              <w:t xml:space="preserve">147.22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99.01</w:t>
            </w:r>
          </w:p>
        </w:tc>
        <w:tc>
          <w:tcPr>
            <w:tcW w:w="2551" w:type="dxa"/>
            <w:vAlign w:val="center"/>
          </w:tcPr>
          <w:p>
            <w:pPr>
              <w:pStyle w:val="单元格样式4"/>
            </w:pPr>
            <w:r>
              <w:t xml:space="preserve">99.01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99.01</w:t>
            </w:r>
          </w:p>
        </w:tc>
        <w:tc>
          <w:tcPr>
            <w:tcW w:w="2551" w:type="dxa"/>
            <w:vAlign w:val="center"/>
          </w:tcPr>
          <w:p>
            <w:pPr>
              <w:pStyle w:val="单元格样式4"/>
            </w:pPr>
            <w:r>
              <w:t xml:space="preserve">99.01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19.79</w:t>
            </w:r>
          </w:p>
        </w:tc>
        <w:tc>
          <w:tcPr>
            <w:tcW w:w="2551" w:type="dxa"/>
            <w:vAlign w:val="center"/>
          </w:tcPr>
          <w:p>
            <w:pPr>
              <w:pStyle w:val="单元格样式4"/>
            </w:pPr>
            <w:r>
              <w:t xml:space="preserve">19.79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52.81</w:t>
            </w:r>
          </w:p>
        </w:tc>
        <w:tc>
          <w:tcPr>
            <w:tcW w:w="2551" w:type="dxa"/>
            <w:vAlign w:val="center"/>
          </w:tcPr>
          <w:p>
            <w:pPr>
              <w:pStyle w:val="单元格样式4"/>
            </w:pPr>
            <w:r>
              <w:t xml:space="preserve">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396.65</w:t>
            </w:r>
          </w:p>
        </w:tc>
        <w:tc>
          <w:tcPr>
            <w:tcW w:w="2551" w:type="dxa"/>
            <w:vAlign w:val="center"/>
          </w:tcPr>
          <w:p>
            <w:pPr>
              <w:pStyle w:val="单元格样式4"/>
            </w:pPr>
          </w:p>
        </w:tc>
        <w:tc>
          <w:tcPr>
            <w:tcW w:w="2551" w:type="dxa"/>
            <w:vAlign w:val="center"/>
          </w:tcPr>
          <w:p>
            <w:pPr>
              <w:pStyle w:val="单元格样式4"/>
            </w:pPr>
            <w:r>
              <w:t xml:space="preserve">396.65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545.70</w:t>
            </w:r>
          </w:p>
        </w:tc>
        <w:tc>
          <w:tcPr>
            <w:tcW w:w="2551" w:type="dxa"/>
            <w:vAlign w:val="center"/>
          </w:tcPr>
          <w:p>
            <w:pPr>
              <w:pStyle w:val="单元格样式7"/>
            </w:pPr>
            <w:r>
              <w:t xml:space="preserve">457.07</w:t>
            </w:r>
          </w:p>
        </w:tc>
        <w:tc>
          <w:tcPr>
            <w:tcW w:w="2551" w:type="dxa"/>
            <w:vAlign w:val="center"/>
          </w:tcPr>
          <w:p>
            <w:pPr>
              <w:pStyle w:val="单元格样式7"/>
            </w:pPr>
            <w:r>
              <w:t xml:space="preserve">88.63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432.37</w:t>
            </w:r>
          </w:p>
        </w:tc>
        <w:tc>
          <w:tcPr>
            <w:tcW w:w="2551" w:type="dxa"/>
            <w:vAlign w:val="center"/>
          </w:tcPr>
          <w:p>
            <w:pPr>
              <w:pStyle w:val="单元格样式4"/>
            </w:pPr>
            <w:r>
              <w:t xml:space="preserve">432.37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179.88</w:t>
            </w:r>
          </w:p>
        </w:tc>
        <w:tc>
          <w:tcPr>
            <w:tcW w:w="2551" w:type="dxa"/>
            <w:vAlign w:val="center"/>
          </w:tcPr>
          <w:p>
            <w:pPr>
              <w:pStyle w:val="单元格样式4"/>
            </w:pPr>
            <w:r>
              <w:t xml:space="preserve">179.88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76.79</w:t>
            </w:r>
          </w:p>
        </w:tc>
        <w:tc>
          <w:tcPr>
            <w:tcW w:w="2551" w:type="dxa"/>
            <w:vAlign w:val="center"/>
          </w:tcPr>
          <w:p>
            <w:pPr>
              <w:pStyle w:val="单元格样式4"/>
            </w:pPr>
            <w:r>
              <w:t xml:space="preserve">76.79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44.72</w:t>
            </w:r>
          </w:p>
        </w:tc>
        <w:tc>
          <w:tcPr>
            <w:tcW w:w="2551" w:type="dxa"/>
            <w:vAlign w:val="center"/>
          </w:tcPr>
          <w:p>
            <w:pPr>
              <w:pStyle w:val="单元格样式4"/>
            </w:pPr>
            <w:r>
              <w:t xml:space="preserve">44.72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25.96</w:t>
            </w:r>
          </w:p>
        </w:tc>
        <w:tc>
          <w:tcPr>
            <w:tcW w:w="2551" w:type="dxa"/>
            <w:vAlign w:val="center"/>
          </w:tcPr>
          <w:p>
            <w:pPr>
              <w:pStyle w:val="单元格样式4"/>
            </w:pPr>
            <w:r>
              <w:t xml:space="preserve">25.96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52.81</w:t>
            </w:r>
          </w:p>
        </w:tc>
        <w:tc>
          <w:tcPr>
            <w:tcW w:w="2551" w:type="dxa"/>
            <w:vAlign w:val="center"/>
          </w:tcPr>
          <w:p>
            <w:pPr>
              <w:pStyle w:val="单元格样式4"/>
            </w:pPr>
            <w:r>
              <w:t xml:space="preserve">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26.40</w:t>
            </w:r>
          </w:p>
        </w:tc>
        <w:tc>
          <w:tcPr>
            <w:tcW w:w="2551" w:type="dxa"/>
            <w:vAlign w:val="center"/>
          </w:tcPr>
          <w:p>
            <w:pPr>
              <w:pStyle w:val="单元格样式4"/>
            </w:pPr>
            <w:r>
              <w:t xml:space="preserve">26.40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24.16</w:t>
            </w:r>
          </w:p>
        </w:tc>
        <w:tc>
          <w:tcPr>
            <w:tcW w:w="2551" w:type="dxa"/>
            <w:vAlign w:val="center"/>
          </w:tcPr>
          <w:p>
            <w:pPr>
              <w:pStyle w:val="单元格样式4"/>
            </w:pPr>
            <w:r>
              <w:t xml:space="preserve">24.16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1.65</w:t>
            </w:r>
          </w:p>
        </w:tc>
        <w:tc>
          <w:tcPr>
            <w:tcW w:w="2551" w:type="dxa"/>
            <w:vAlign w:val="center"/>
          </w:tcPr>
          <w:p>
            <w:pPr>
              <w:pStyle w:val="单元格样式4"/>
            </w:pPr>
            <w:r>
              <w:t xml:space="preserve">1.65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88.63</w:t>
            </w:r>
          </w:p>
        </w:tc>
        <w:tc>
          <w:tcPr>
            <w:tcW w:w="2551" w:type="dxa"/>
            <w:vAlign w:val="center"/>
          </w:tcPr>
          <w:p>
            <w:pPr>
              <w:pStyle w:val="单元格样式4"/>
            </w:pPr>
          </w:p>
        </w:tc>
        <w:tc>
          <w:tcPr>
            <w:tcW w:w="2551" w:type="dxa"/>
            <w:vAlign w:val="center"/>
          </w:tcPr>
          <w:p>
            <w:pPr>
              <w:pStyle w:val="单元格样式4"/>
            </w:pPr>
            <w:r>
              <w:t xml:space="preserve">88.63</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26.60</w:t>
            </w:r>
          </w:p>
        </w:tc>
        <w:tc>
          <w:tcPr>
            <w:tcW w:w="2551" w:type="dxa"/>
            <w:vAlign w:val="center"/>
          </w:tcPr>
          <w:p>
            <w:pPr>
              <w:pStyle w:val="单元格样式4"/>
            </w:pPr>
          </w:p>
        </w:tc>
        <w:tc>
          <w:tcPr>
            <w:tcW w:w="2551" w:type="dxa"/>
            <w:vAlign w:val="center"/>
          </w:tcPr>
          <w:p>
            <w:pPr>
              <w:pStyle w:val="单元格样式4"/>
            </w:pPr>
            <w:r>
              <w:t xml:space="preserve">26.60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22.03</w:t>
            </w:r>
          </w:p>
        </w:tc>
        <w:tc>
          <w:tcPr>
            <w:tcW w:w="2551" w:type="dxa"/>
            <w:vAlign w:val="center"/>
          </w:tcPr>
          <w:p>
            <w:pPr>
              <w:pStyle w:val="单元格样式4"/>
            </w:pPr>
          </w:p>
        </w:tc>
        <w:tc>
          <w:tcPr>
            <w:tcW w:w="2551" w:type="dxa"/>
            <w:vAlign w:val="center"/>
          </w:tcPr>
          <w:p>
            <w:pPr>
              <w:pStyle w:val="单元格样式4"/>
            </w:pPr>
            <w:r>
              <w:t xml:space="preserve">22.03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24.70</w:t>
            </w:r>
          </w:p>
        </w:tc>
        <w:tc>
          <w:tcPr>
            <w:tcW w:w="2551" w:type="dxa"/>
            <w:vAlign w:val="center"/>
          </w:tcPr>
          <w:p>
            <w:pPr>
              <w:pStyle w:val="单元格样式4"/>
            </w:pPr>
            <w:r>
              <w:t xml:space="preserve">24.70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19.79</w:t>
            </w:r>
          </w:p>
        </w:tc>
        <w:tc>
          <w:tcPr>
            <w:tcW w:w="2551" w:type="dxa"/>
            <w:vAlign w:val="center"/>
          </w:tcPr>
          <w:p>
            <w:pPr>
              <w:pStyle w:val="单元格样式4"/>
            </w:pPr>
            <w:r>
              <w:t xml:space="preserve">19.79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魏县沙口集乡人民政府2025年部门预算信息公开情况说明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魏县沙口集乡人民政府2025年部门预算信息公开情况说明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按照《中华人民共和国预算法》、《地方预决算公开操作规程》和《关于进一步推进预算公开工作的实施意见》规定，现将魏县沙口集乡人民政府2025年部门预算公开如下：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预算公开部门职责文件"/>
      </w:pPr>
      <w:r>
        <w:t xml:space="preserve">(二)讨论和决定经济建设、政治建设、文化建设、社会建设、生态文明建设和党的建设以及乡村振兴中的重大问题。</w:t>
      </w:r>
    </w:p>
    <w:p>
      <w:pPr>
        <w:pStyle w:val="插入文本样式-插入预算公开部门职责文件"/>
      </w:pPr>
      <w:r>
        <w:t xml:space="preserve">(三)组织召开本级人民代表大会，充分行使重大事项决定权、监督权和选举权，做好人大代表工作，联系选民、反映群众意见和要求。</w:t>
      </w:r>
    </w:p>
    <w:p>
      <w:pPr>
        <w:pStyle w:val="插入文本样式-插入预算公开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预算公开部门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预算公开部门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预算公开部门职责文件"/>
      </w:pPr>
      <w:r>
        <w:t xml:space="preserve">(七)按照干部管理权限，负责对干部的教育、培训、选拔、考核和监督工作。协助管理上级有关部门驻镇单位的干部.做好人才服务工作。</w:t>
      </w:r>
    </w:p>
    <w:p>
      <w:pPr>
        <w:pStyle w:val="插入文本样式-插入预算公开部门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预算公开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预算公开部门职责文件"/>
      </w:pPr>
      <w:r>
        <w:t xml:space="preserve">(十)承办上级党委、人大、政府交办的其他事项。</w:t>
      </w:r>
    </w:p>
    <w:p>
      <w:pPr>
        <w:pStyle w:val="插入文本样式-插入预算公开部门职责文件"/>
      </w:pPr>
      <w:r>
        <w:t xml:space="preserve">党政内设机构和事业单位设置：</w:t>
      </w:r>
    </w:p>
    <w:p>
      <w:pPr>
        <w:pStyle w:val="插入文本样式-插入预算公开部门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魏县沙口集乡人民政府本级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按照预算管理有关规定，目前部门预算的编制实行综合预算管理，即全部收入和支出都反映在预算中。魏县沙口集乡人民政府机关及所属事业单位的收支包含在部门预算中。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1089.57万元，其中：一般公共预算收入1089.57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沙口集乡人民政府年度部门预算中支出预算的总体情况。2025年支出预算1089.57万元，其中基本支出545.70万元，包括人员经费457.07万元和日常公用经费88.63万元；项目支出543.87万元，主要为2025年自收自支人员补助91.5万元，2025年服务基层专项经费55.72万元，2025年村办公经费56.53万元，2025年村干部补贴340.12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2025年预算收支安排1089.57万元，较2024年预算减少290.32万元，其中：基本支出增加76.38万元，主要为增加人员工资和社会保险等费用。项目支出减少366.69万元，主要为严格控制项目资金减少，节约财政资金。</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2025年，我部门机关运行经费共计安排88.63万元，主要用于日常维修、办公用房水电费、办公用房取暖费、办公用房物业管理费等日常运行支出。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与上年无变化。</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1、做好项目建设重点工作。要开创工作方法，做好群众思想工作，保持我乡镇平安和谐的良好局面，同时要大胆走出去，引进高质量企业项目，为县域经济发展助力。</w:t>
      </w:r>
    </w:p>
    <w:p>
      <w:pPr>
        <w:pStyle w:val="插入文本样式-插入总体目标文件"/>
      </w:pPr>
      <w:r>
        <w:t xml:space="preserve">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插入文本样式-插入总体目标文件"/>
      </w:pPr>
      <w:r>
        <w:t xml:space="preserve">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插入文本样式-插入总体目标文件"/>
      </w:pPr>
      <w:r>
        <w:t xml:space="preserve">4、突出财税征收重点工作。认真总结税收征缴经验，进一步培养新税源，巩固壮大原有税源，加强零散税收社会化管理，力争全年税收保质保量完成任务。</w:t>
      </w:r>
    </w:p>
    <w:p>
      <w:pPr>
        <w:pStyle w:val="插入文本样式-插入总体目标文件"/>
      </w:pPr>
      <w:r>
        <w:t xml:space="preserve">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插入文本样式-插入总体目标文件"/>
      </w:pPr>
      <w:r>
        <w:t xml:space="preserve">6、加快农业产业结构调整，推进绿色农业、现代农业发展。进一步完善土地流转和土地确权制度，继续鼓励发展种植大户、家庭农场等新型农业发展模式。科学谋划，统筹协调，辐射周边的农业产业示范园建设。</w:t>
      </w:r>
    </w:p>
    <w:p>
      <w:pPr>
        <w:pStyle w:val="插入文本样式-插入总体目标文件"/>
      </w:pPr>
      <w:r>
        <w:t xml:space="preserve">7、迅速调整适应计划生育新形势。结合沙口集生育工作现状，严格按照上级文件精神，迅速调整工作重心，适应工作新形势，逐步落实二孩政策，稳步推进优生优育、孕期保健检查等重点工作。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政务管理:依法依规履行机关日常管理职责,确保政府工作正常运行。</w:t>
      </w:r>
    </w:p>
    <w:p>
      <w:pPr>
        <w:pStyle w:val="插入文本样式-插入职责分类绩效目标文件"/>
      </w:pPr>
    </w:p>
    <w:p>
      <w:pPr>
        <w:pStyle w:val="插入文本样式-插入职责分类绩效目标文件"/>
      </w:pPr>
      <w:r>
        <w:t xml:space="preserve">综合业务管理: 依法依规完成工作任务，推进科学决策、确保机关工作正常运行。</w:t>
      </w:r>
    </w:p>
    <w:p>
      <w:pPr>
        <w:pStyle w:val="插入文本样式-插入职责分类绩效目标文件"/>
      </w:pPr>
    </w:p>
    <w:p>
      <w:pPr>
        <w:pStyle w:val="插入文本样式-插入职责分类绩效目标文件"/>
      </w:pPr>
      <w:r>
        <w:t xml:space="preserve">推动经济发展、提供公共服务：构筑适应乡镇发展实际的模式、促进农业发展，农民增收、促进招商引资和项目建设、壮大第二、第三产业。</w:t>
      </w:r>
    </w:p>
    <w:p>
      <w:pPr>
        <w:pStyle w:val="插入文本样式-插入职责分类绩效目标文件"/>
      </w:pPr>
    </w:p>
    <w:p>
      <w:pPr>
        <w:pStyle w:val="插入文本样式-插入职责分类绩效目标文件"/>
      </w:pPr>
      <w:r>
        <w:t xml:space="preserve">经济发展：制定经济发展规划，指导、协调和服务乡村企业及个体企业的发展，促进招商引资和项目建设。</w:t>
      </w:r>
    </w:p>
    <w:p>
      <w:pPr>
        <w:pStyle w:val="插入文本样式-插入职责分类绩效目标文件"/>
      </w:pPr>
    </w:p>
    <w:p>
      <w:pPr>
        <w:pStyle w:val="插入文本样式-插入职责分类绩效目标文件"/>
      </w:pPr>
      <w:r>
        <w:t xml:space="preserve">推进农业结构调整：促进农业发展，农民增收。</w:t>
      </w:r>
    </w:p>
    <w:p>
      <w:pPr>
        <w:pStyle w:val="插入文本样式-插入职责分类绩效目标文件"/>
      </w:pPr>
    </w:p>
    <w:p>
      <w:pPr>
        <w:pStyle w:val="插入文本样式-插入职责分类绩效目标文件"/>
      </w:pPr>
      <w:r>
        <w:t xml:space="preserve">提供公共服务：扩大农村劳动力就业，搞好劳务输出</w:t>
      </w:r>
    </w:p>
    <w:p>
      <w:pPr>
        <w:pStyle w:val="插入文本样式-插入职责分类绩效目标文件"/>
      </w:pPr>
    </w:p>
    <w:p>
      <w:pPr>
        <w:pStyle w:val="插入文本样式-插入职责分类绩效目标文件"/>
      </w:pPr>
      <w:r>
        <w:t xml:space="preserve">基础设施建设：负责本乡镇公共设施的建设、管理、维护工作，本乡镇乡村道路整修、住宅规      划、房屋拆迁等工作。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1、统筹城乡发展，不断夯实经济社会发展基础</w:t>
      </w:r>
    </w:p>
    <w:p>
      <w:pPr>
        <w:pStyle w:val="插入文本样式-插入实现年度发展规划目标的保障措施文件"/>
      </w:pPr>
      <w:r>
        <w:t xml:space="preserve">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插入文本样式-插入实现年度发展规划目标的保障措施文件"/>
      </w:pPr>
      <w:r>
        <w:t xml:space="preserve">2、细化措施办法，全力抓好安全信访稳定工作</w:t>
      </w:r>
    </w:p>
    <w:p>
      <w:pPr>
        <w:pStyle w:val="插入文本样式-插入实现年度发展规划目标的保障措施文件"/>
      </w:pPr>
      <w:r>
        <w:t xml:space="preserve">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插入文本样式-插入实现年度发展规划目标的保障措施文件"/>
      </w:pPr>
      <w:r>
        <w:t xml:space="preserve">3、坚持改革创新，下大力气扎实抓好党建工作</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13043425P004424100583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"通过拨付沙口集镇24个村的村办公经费，保障村内工作正常进行</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1.通过拨付沙口集镇24个村的村办公经费，保障村内工作正常进行</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24个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24个村所需要的办公经费总额度</w:t>
            </w:r>
          </w:p>
        </w:tc>
        <w:tc>
          <w:tcPr>
            <w:tcW w:w="2268" w:type="dxa"/>
            <w:vAlign w:val="center"/>
          </w:tcPr>
          <w:p>
            <w:pPr>
              <w:pStyle w:val="单元格样式2"/>
            </w:pPr>
            <w:r>
              <w:t xml:space="preserve">56.53万元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"及时发放161名村干部工资，提高村干部工作积极性.</w:t>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1.及时发放161名村干部工资，提高村干部工作积极性.</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161人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340.12万元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满意群众占全部调查群众的比例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13043425P004424101081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"""及时拨付55.72万元乡经费后，使沙口集镇环境整治、疫情防控、社会治安、乡村振兴等工作顺利开展，保障下辖24个村的管理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1."及时拨付55.72万元乡经费后，使沙口集镇环境整治、疫情防控、社会治安、乡村振兴等工作顺利开展，保障下辖24个村的管理</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55.72万元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24个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专项经费使用的合规率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服务基层资金占资金总额的比例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13043425P00442410109L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"""保障25位自收自支人员91.5万元工资按时发放，提高职工生活水平，降低信访事件发生，促进工作顺利开展。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1."保障25位自收自支人员91.5万元工资按时发放，提高职工生活水平，降低信访事件发生，促进工作顺利开展。</w:t>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25人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用于发放补助的资金占工资总额的比例</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91.5万元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魏县沙口集乡人民政府（含所属单位）上年末固定资产金额为238.34万元（详见下表）。本年度拟购置固定资产总额为0.00万元，已按要求列入政府采购预算，详见政府采购预算表。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917魏县沙口集乡人民政府</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238.34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2532.70</w:t>
            </w:r>
          </w:p>
        </w:tc>
        <w:tc>
          <w:tcPr>
            <w:tcW w:w="2835" w:type="dxa"/>
            <w:vAlign w:val="center"/>
          </w:tcPr>
          <w:p>
            <w:pPr>
              <w:pStyle w:val="单元格样式4"/>
            </w:pPr>
            <w:r>
              <w:t xml:space="preserve">70.00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5.00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165</w:t>
            </w:r>
          </w:p>
        </w:tc>
        <w:tc>
          <w:tcPr>
            <w:tcW w:w="2835" w:type="dxa"/>
            <w:vAlign w:val="center"/>
          </w:tcPr>
          <w:p>
            <w:pPr>
              <w:pStyle w:val="单元格样式4"/>
            </w:pPr>
            <w:r>
              <w:t xml:space="preserve">163.34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2025-02-18T14:44:23Z</dcterms:created>
  <dcterms:modified xsi:type="dcterms:W3CDTF">2025-02-18T14:44:23Z</dcterms:modified>
</cp:coreProperties>
</file>