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eastAsia="黑体"/>
          <w:sz w:val="72"/>
        </w:rPr>
      </w:pPr>
      <w:bookmarkStart w:id="0" w:name="_GoBack"/>
      <w:bookmarkEnd w:id="0"/>
      <w:r>
        <w:rPr>
          <w:rFonts w:hint="eastAsia" w:eastAsia="黑体"/>
          <w:sz w:val="72"/>
        </w:rPr>
        <w:tab/>
      </w:r>
    </w:p>
    <w:p>
      <w:pPr>
        <w:jc w:val="center"/>
        <w:outlineLvl w:val="0"/>
        <w:rPr>
          <w:rFonts w:eastAsia="黑体"/>
          <w:sz w:val="72"/>
        </w:rPr>
      </w:pPr>
    </w:p>
    <w:p>
      <w:pPr>
        <w:pStyle w:val="2"/>
      </w:pPr>
    </w:p>
    <w:p>
      <w:pPr>
        <w:jc w:val="center"/>
        <w:rPr>
          <w:rFonts w:ascii="黑体" w:hAnsi="黑体" w:eastAsia="黑体" w:cs="黑体"/>
          <w:b/>
          <w:sz w:val="72"/>
        </w:rPr>
      </w:pPr>
      <w:r>
        <w:rPr>
          <w:rFonts w:hint="eastAsia" w:ascii="黑体" w:hAnsi="黑体" w:eastAsia="黑体" w:cs="黑体"/>
          <w:b/>
          <w:sz w:val="72"/>
        </w:rPr>
        <w:t>建设项目环境影响报告表</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（污染影响类）</w:t>
      </w:r>
    </w:p>
    <w:p>
      <w:pPr>
        <w:pStyle w:val="2"/>
        <w:rPr>
          <w:color w:val="auto"/>
        </w:rPr>
      </w:pPr>
    </w:p>
    <w:p>
      <w:pPr>
        <w:spacing w:line="360" w:lineRule="auto"/>
        <w:jc w:val="center"/>
        <w:rPr>
          <w:sz w:val="32"/>
        </w:rPr>
      </w:pPr>
    </w:p>
    <w:p>
      <w:pPr>
        <w:spacing w:line="360" w:lineRule="auto"/>
        <w:jc w:val="center"/>
        <w:rPr>
          <w:sz w:val="32"/>
        </w:rPr>
      </w:pPr>
    </w:p>
    <w:p>
      <w:pPr>
        <w:spacing w:line="360" w:lineRule="auto"/>
        <w:jc w:val="center"/>
        <w:rPr>
          <w:sz w:val="32"/>
        </w:rPr>
      </w:pPr>
    </w:p>
    <w:p>
      <w:pPr>
        <w:pStyle w:val="2"/>
        <w:rPr>
          <w:color w:val="auto"/>
        </w:rPr>
      </w:pPr>
    </w:p>
    <w:p>
      <w:pPr>
        <w:spacing w:line="360" w:lineRule="auto"/>
        <w:jc w:val="center"/>
        <w:rPr>
          <w:sz w:val="32"/>
        </w:rPr>
      </w:pPr>
    </w:p>
    <w:p>
      <w:pPr>
        <w:spacing w:line="360" w:lineRule="auto"/>
        <w:ind w:left="2854" w:hanging="2848" w:hangingChars="800"/>
        <w:rPr>
          <w:rFonts w:ascii="黑体" w:hAnsi="黑体" w:eastAsia="黑体" w:cs="黑体"/>
          <w:b/>
          <w:sz w:val="36"/>
          <w:szCs w:val="36"/>
        </w:rPr>
      </w:pPr>
      <w:r>
        <w:rPr>
          <w:rFonts w:hint="eastAsia" w:ascii="黑体" w:hAnsi="黑体" w:eastAsia="黑体" w:cs="黑体"/>
          <w:b/>
          <w:sz w:val="36"/>
          <w:szCs w:val="36"/>
        </w:rPr>
        <w:t>项目名称： 高层住宅用钢结构装配式构件项目</w:t>
      </w:r>
      <w:r>
        <w:rPr>
          <w:sz w:val="20"/>
        </w:rPr>
        <mc:AlternateContent>
          <mc:Choice Requires="wps">
            <w:drawing>
              <wp:anchor distT="0" distB="0" distL="114300" distR="114300" simplePos="0" relativeHeight="251663360" behindDoc="0" locked="0" layoutInCell="1" allowOverlap="1">
                <wp:simplePos x="0" y="0"/>
                <wp:positionH relativeFrom="column">
                  <wp:posOffset>1110615</wp:posOffset>
                </wp:positionH>
                <wp:positionV relativeFrom="paragraph">
                  <wp:posOffset>368300</wp:posOffset>
                </wp:positionV>
                <wp:extent cx="4085590" cy="635"/>
                <wp:effectExtent l="0" t="0" r="0" b="0"/>
                <wp:wrapNone/>
                <wp:docPr id="4" name="直线 436"/>
                <wp:cNvGraphicFramePr/>
                <a:graphic xmlns:a="http://schemas.openxmlformats.org/drawingml/2006/main">
                  <a:graphicData uri="http://schemas.microsoft.com/office/word/2010/wordprocessingShape">
                    <wps:wsp>
                      <wps:cNvCnPr/>
                      <wps:spPr>
                        <a:xfrm>
                          <a:off x="0" y="0"/>
                          <a:ext cx="40855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436" o:spid="_x0000_s1026" o:spt="20" style="position:absolute;left:0pt;margin-left:87.45pt;margin-top:29pt;height:0.05pt;width:321.7pt;z-index:251663360;mso-width-relative:page;mso-height-relative:page;" filled="f" stroked="t" coordsize="21600,21600" o:gfxdata="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eHFG7NcAAAAJAQAADwAAAAAAAAABACAAAAA4AAAAZHJzL2Rvd25yZXYueG1sUEsBAhQAFAAAAAgA&#10;h07iQKvLFuvXAQAAogMAAA4AAAAAAAAAAQAgAAAAPAEAAGRycy9lMm9Eb2MueG1sUEsFBgAAAAAG&#10;AAYAWQEAAIUFAAAAAA==&#10;">
                <v:fill on="f" focussize="0,0"/>
                <v:stroke color="#000000" joinstyle="round"/>
                <v:imagedata o:title=""/>
                <o:lock v:ext="edit" aspectratio="f"/>
              </v:line>
            </w:pict>
          </mc:Fallback>
        </mc:AlternateContent>
      </w:r>
    </w:p>
    <w:p>
      <w:pPr>
        <w:spacing w:line="360" w:lineRule="auto"/>
        <w:rPr>
          <w:rFonts w:ascii="黑体" w:hAnsi="黑体" w:eastAsia="黑体" w:cs="黑体"/>
          <w:b/>
          <w:sz w:val="36"/>
          <w:szCs w:val="36"/>
        </w:rPr>
      </w:pPr>
      <w:r>
        <w:rPr>
          <w:sz w:val="20"/>
        </w:rPr>
        <mc:AlternateContent>
          <mc:Choice Requires="wps">
            <w:drawing>
              <wp:anchor distT="0" distB="0" distL="114300" distR="114300" simplePos="0" relativeHeight="251661312" behindDoc="0" locked="0" layoutInCell="1" allowOverlap="1">
                <wp:simplePos x="0" y="0"/>
                <wp:positionH relativeFrom="column">
                  <wp:posOffset>1882140</wp:posOffset>
                </wp:positionH>
                <wp:positionV relativeFrom="paragraph">
                  <wp:posOffset>358775</wp:posOffset>
                </wp:positionV>
                <wp:extent cx="3343275" cy="635"/>
                <wp:effectExtent l="0" t="0" r="0" b="0"/>
                <wp:wrapNone/>
                <wp:docPr id="2" name="直线 3"/>
                <wp:cNvGraphicFramePr/>
                <a:graphic xmlns:a="http://schemas.openxmlformats.org/drawingml/2006/main">
                  <a:graphicData uri="http://schemas.microsoft.com/office/word/2010/wordprocessingShape">
                    <wps:wsp>
                      <wps:cNvCnPr/>
                      <wps:spPr>
                        <a:xfrm flipV="true">
                          <a:off x="0" y="0"/>
                          <a:ext cx="334327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flip:y;margin-left:148.2pt;margin-top:28.25pt;height:0.05pt;width:263.25pt;z-index:251661312;mso-width-relative:page;mso-height-relative:page;" filled="f" stroked="t" coordsize="21600,21600" o:gfxdata="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YG1Cu1wAAAAkBAAAPAAAAAAAAAAEAIAAAADgAAABkcnMvZG93bnJldi54bWxQSwECFAAU&#10;AAAACACHTuJAPiIbNNwBAACtAwAADgAAAAAAAAABACAAAAA8AQAAZHJzL2Uyb0RvYy54bWxQSwUG&#10;AAAAAAYABgBZAQAAigUAAAAA&#10;">
                <v:fill on="f" focussize="0,0"/>
                <v:stroke color="#000000" joinstyle="round"/>
                <v:imagedata o:title=""/>
                <o:lock v:ext="edit" aspectratio="f"/>
              </v:line>
            </w:pict>
          </mc:Fallback>
        </mc:AlternateContent>
      </w:r>
      <w:r>
        <w:rPr>
          <w:rFonts w:hint="eastAsia" w:ascii="黑体" w:hAnsi="黑体" w:eastAsia="黑体" w:cs="黑体"/>
          <w:b/>
          <w:sz w:val="36"/>
          <w:szCs w:val="36"/>
        </w:rPr>
        <w:t>建设单位（盖章）：魏县华远新型建材有限公司</w:t>
      </w:r>
    </w:p>
    <w:p>
      <w:pPr>
        <w:spacing w:line="360" w:lineRule="auto"/>
        <w:rPr>
          <w:rFonts w:ascii="黑体" w:hAnsi="黑体" w:eastAsia="黑体" w:cs="黑体"/>
          <w:b/>
          <w:bCs/>
          <w:sz w:val="36"/>
          <w:szCs w:val="36"/>
        </w:rPr>
      </w:pPr>
      <w:r>
        <w:rPr>
          <w:sz w:val="20"/>
        </w:rPr>
        <mc:AlternateContent>
          <mc:Choice Requires="wps">
            <w:drawing>
              <wp:anchor distT="0" distB="0" distL="114300" distR="114300" simplePos="0" relativeHeight="251662336" behindDoc="0" locked="0" layoutInCell="1" allowOverlap="1">
                <wp:simplePos x="0" y="0"/>
                <wp:positionH relativeFrom="column">
                  <wp:posOffset>1139190</wp:posOffset>
                </wp:positionH>
                <wp:positionV relativeFrom="paragraph">
                  <wp:posOffset>342900</wp:posOffset>
                </wp:positionV>
                <wp:extent cx="4095115" cy="635"/>
                <wp:effectExtent l="0" t="0" r="0" b="0"/>
                <wp:wrapNone/>
                <wp:docPr id="3" name="直线 4"/>
                <wp:cNvGraphicFramePr/>
                <a:graphic xmlns:a="http://schemas.openxmlformats.org/drawingml/2006/main">
                  <a:graphicData uri="http://schemas.microsoft.com/office/word/2010/wordprocessingShape">
                    <wps:wsp>
                      <wps:cNvCnPr/>
                      <wps:spPr>
                        <a:xfrm flipV="true">
                          <a:off x="0" y="0"/>
                          <a:ext cx="409511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flip:y;margin-left:89.7pt;margin-top:27pt;height:0.05pt;width:322.45pt;z-index:251662336;mso-width-relative:page;mso-height-relative:page;" filled="f" stroked="t" coordsize="21600,21600" o:gfxdata="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u7owq9cAAAAJAQAADwAAAAAAAAABACAAAAA4AAAAZHJzL2Rvd25yZXYueG1sUEsBAhQA&#10;FAAAAAgAh07iQCQWtW/dAQAArQMAAA4AAAAAAAAAAQAgAAAAPAEAAGRycy9lMm9Eb2MueG1sUEsF&#10;BgAAAAAGAAYAWQEAAIsFAAAAAA==&#10;">
                <v:fill on="f" focussize="0,0"/>
                <v:stroke color="#000000" joinstyle="round"/>
                <v:imagedata o:title=""/>
                <o:lock v:ext="edit" aspectratio="f"/>
              </v:line>
            </w:pict>
          </mc:Fallback>
        </mc:AlternateContent>
      </w:r>
      <w:r>
        <w:rPr>
          <w:rFonts w:hint="eastAsia" w:ascii="黑体" w:hAnsi="黑体" w:eastAsia="黑体" w:cs="黑体"/>
          <w:b/>
          <w:bCs/>
          <w:sz w:val="36"/>
          <w:szCs w:val="36"/>
        </w:rPr>
        <w:t>编制日期：</w:t>
      </w:r>
      <w:r>
        <w:rPr>
          <w:rFonts w:hint="eastAsia" w:ascii="黑体" w:hAnsi="黑体" w:eastAsia="黑体" w:cs="黑体"/>
          <w:sz w:val="36"/>
          <w:szCs w:val="36"/>
        </w:rPr>
        <w:t xml:space="preserve">          </w:t>
      </w:r>
      <w:r>
        <w:rPr>
          <w:rFonts w:hint="eastAsia" w:ascii="黑体" w:hAnsi="黑体" w:eastAsia="黑体" w:cs="黑体"/>
          <w:b/>
          <w:bCs/>
          <w:sz w:val="36"/>
          <w:szCs w:val="36"/>
        </w:rPr>
        <w:t>2021 年 10月</w:t>
      </w:r>
    </w:p>
    <w:p>
      <w:pPr>
        <w:spacing w:line="360" w:lineRule="auto"/>
        <w:jc w:val="center"/>
        <w:rPr>
          <w:rFonts w:ascii="黑体" w:hAnsi="黑体" w:eastAsia="黑体" w:cs="黑体"/>
          <w:b/>
          <w:bCs/>
          <w:sz w:val="36"/>
          <w:szCs w:val="36"/>
        </w:rPr>
      </w:pPr>
    </w:p>
    <w:p>
      <w:pPr>
        <w:pStyle w:val="2"/>
        <w:rPr>
          <w:rFonts w:ascii="黑体" w:hAnsi="黑体" w:eastAsia="黑体" w:cs="黑体"/>
        </w:rPr>
      </w:pPr>
    </w:p>
    <w:p>
      <w:pPr>
        <w:spacing w:line="360" w:lineRule="auto"/>
        <w:jc w:val="center"/>
        <w:rPr>
          <w:rFonts w:ascii="黑体" w:hAnsi="黑体" w:eastAsia="黑体" w:cs="黑体"/>
          <w:b/>
          <w:bCs/>
          <w:sz w:val="32"/>
          <w:szCs w:val="32"/>
        </w:rPr>
      </w:pPr>
      <w:r>
        <w:rPr>
          <w:rFonts w:hint="eastAsia" w:ascii="黑体" w:hAnsi="黑体" w:eastAsia="黑体" w:cs="黑体"/>
          <w:b/>
          <w:bCs/>
          <w:sz w:val="36"/>
          <w:szCs w:val="36"/>
        </w:rPr>
        <w:t>中华人民共和国生态环境部制</w:t>
      </w:r>
    </w:p>
    <w:p>
      <w:pPr>
        <w:pStyle w:val="17"/>
        <w:rPr>
          <w:rFonts w:eastAsia="黑体"/>
          <w:b/>
          <w:sz w:val="32"/>
          <w:szCs w:val="32"/>
        </w:rPr>
        <w:sectPr>
          <w:headerReference r:id="rId3" w:type="default"/>
          <w:pgSz w:w="11906" w:h="16838"/>
          <w:pgMar w:top="1304" w:right="1701" w:bottom="1418" w:left="1701" w:header="851" w:footer="851" w:gutter="0"/>
          <w:pgNumType w:start="1"/>
          <w:cols w:space="720" w:num="1"/>
          <w:docGrid w:type="linesAndChars" w:linePitch="380" w:charSpace="-948"/>
        </w:sectPr>
      </w:pPr>
    </w:p>
    <w:p>
      <w:pPr>
        <w:pStyle w:val="17"/>
        <w:jc w:val="center"/>
        <w:rPr>
          <w:rFonts w:eastAsia="黑体"/>
          <w:b/>
          <w:sz w:val="32"/>
          <w:szCs w:val="32"/>
        </w:rPr>
      </w:pPr>
      <w:r>
        <w:rPr>
          <w:rFonts w:hint="eastAsia" w:eastAsia="黑体"/>
          <w:b/>
          <w:sz w:val="32"/>
          <w:szCs w:val="32"/>
        </w:rPr>
        <w:t>一、</w:t>
      </w:r>
      <w:r>
        <w:rPr>
          <w:rFonts w:eastAsia="黑体"/>
          <w:b/>
          <w:sz w:val="32"/>
          <w:szCs w:val="32"/>
        </w:rPr>
        <w:t>建设项目基本情况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36"/>
        <w:gridCol w:w="1705"/>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b/>
                <w:sz w:val="24"/>
                <w:szCs w:val="24"/>
              </w:rPr>
            </w:pPr>
            <w:r>
              <w:rPr>
                <w:b/>
                <w:sz w:val="24"/>
                <w:szCs w:val="24"/>
              </w:rPr>
              <w:t>建设项目名称</w:t>
            </w:r>
          </w:p>
        </w:tc>
        <w:tc>
          <w:tcPr>
            <w:tcW w:w="7478" w:type="dxa"/>
            <w:gridSpan w:val="3"/>
            <w:vAlign w:val="center"/>
          </w:tcPr>
          <w:p>
            <w:pPr>
              <w:jc w:val="center"/>
              <w:rPr>
                <w:sz w:val="24"/>
                <w:szCs w:val="24"/>
              </w:rPr>
            </w:pPr>
            <w:r>
              <w:rPr>
                <w:sz w:val="24"/>
                <w:szCs w:val="24"/>
              </w:rPr>
              <w:t>高层住宅用钢结构装配式构件项目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b/>
                <w:sz w:val="24"/>
                <w:szCs w:val="24"/>
              </w:rPr>
            </w:pPr>
            <w:r>
              <w:rPr>
                <w:b/>
                <w:sz w:val="24"/>
                <w:szCs w:val="24"/>
              </w:rPr>
              <w:t>项目代码</w:t>
            </w:r>
          </w:p>
        </w:tc>
        <w:tc>
          <w:tcPr>
            <w:tcW w:w="7478" w:type="dxa"/>
            <w:gridSpan w:val="3"/>
            <w:vAlign w:val="center"/>
          </w:tcPr>
          <w:p>
            <w:pPr>
              <w:jc w:val="center"/>
              <w:rPr>
                <w:sz w:val="24"/>
                <w:szCs w:val="24"/>
              </w:rPr>
            </w:pPr>
            <w:r>
              <w:rPr>
                <w:sz w:val="24"/>
                <w:szCs w:val="24"/>
              </w:rPr>
              <w:t>2020-130434-33-03-000320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b/>
                <w:sz w:val="24"/>
                <w:szCs w:val="24"/>
              </w:rPr>
              <w:t>建设单位联系人</w:t>
            </w:r>
          </w:p>
        </w:tc>
        <w:tc>
          <w:tcPr>
            <w:tcW w:w="2636" w:type="dxa"/>
            <w:vAlign w:val="center"/>
          </w:tcPr>
          <w:p>
            <w:pPr>
              <w:jc w:val="center"/>
              <w:rPr>
                <w:rFonts w:eastAsiaTheme="minorEastAsia"/>
                <w:sz w:val="24"/>
                <w:szCs w:val="24"/>
              </w:rPr>
            </w:pPr>
            <w:r>
              <w:rPr>
                <w:sz w:val="24"/>
                <w:szCs w:val="24"/>
              </w:rPr>
              <w:t>徐久良</w:t>
            </w:r>
          </w:p>
        </w:tc>
        <w:tc>
          <w:tcPr>
            <w:tcW w:w="1705" w:type="dxa"/>
            <w:vAlign w:val="center"/>
          </w:tcPr>
          <w:p>
            <w:pPr>
              <w:jc w:val="center"/>
              <w:rPr>
                <w:rFonts w:eastAsiaTheme="minorEastAsia"/>
                <w:b/>
                <w:sz w:val="24"/>
                <w:szCs w:val="24"/>
              </w:rPr>
            </w:pPr>
            <w:r>
              <w:rPr>
                <w:rFonts w:eastAsiaTheme="minorEastAsia"/>
                <w:b/>
                <w:sz w:val="24"/>
                <w:szCs w:val="24"/>
              </w:rPr>
              <w:t>联系方式</w:t>
            </w:r>
          </w:p>
        </w:tc>
        <w:tc>
          <w:tcPr>
            <w:tcW w:w="3137" w:type="dxa"/>
            <w:vAlign w:val="center"/>
          </w:tcPr>
          <w:p>
            <w:pPr>
              <w:jc w:val="center"/>
              <w:rPr>
                <w:rFonts w:eastAsiaTheme="minorEastAsia"/>
                <w:sz w:val="24"/>
                <w:szCs w:val="24"/>
              </w:rPr>
            </w:pPr>
            <w:r>
              <w:rPr>
                <w:sz w:val="24"/>
                <w:szCs w:val="24"/>
              </w:rPr>
              <w:t>13831060011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建设地点</w:t>
            </w:r>
          </w:p>
        </w:tc>
        <w:tc>
          <w:tcPr>
            <w:tcW w:w="7478" w:type="dxa"/>
            <w:gridSpan w:val="3"/>
            <w:vAlign w:val="center"/>
          </w:tcPr>
          <w:p>
            <w:pPr>
              <w:jc w:val="center"/>
              <w:rPr>
                <w:rFonts w:eastAsiaTheme="minorEastAsia"/>
                <w:sz w:val="24"/>
                <w:szCs w:val="24"/>
              </w:rPr>
            </w:pPr>
            <w:r>
              <w:rPr>
                <w:rFonts w:hint="eastAsia" w:eastAsiaTheme="minorEastAsia"/>
                <w:sz w:val="24"/>
                <w:szCs w:val="24"/>
              </w:rPr>
              <w:t>河北省邯郸市魏县经济开发区天雨东路3008号</w:t>
            </w:r>
            <w:r>
              <w:rPr>
                <w:rFonts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ind w:right="-107" w:rightChars="-52"/>
              <w:jc w:val="center"/>
              <w:rPr>
                <w:rFonts w:eastAsiaTheme="minorEastAsia"/>
                <w:b/>
                <w:sz w:val="24"/>
                <w:szCs w:val="24"/>
              </w:rPr>
            </w:pPr>
            <w:r>
              <w:rPr>
                <w:rFonts w:eastAsiaTheme="minorEastAsia"/>
                <w:b/>
                <w:sz w:val="24"/>
                <w:szCs w:val="24"/>
              </w:rPr>
              <w:t>地理坐标</w:t>
            </w:r>
          </w:p>
        </w:tc>
        <w:tc>
          <w:tcPr>
            <w:tcW w:w="7478" w:type="dxa"/>
            <w:gridSpan w:val="3"/>
            <w:vAlign w:val="center"/>
          </w:tcPr>
          <w:p>
            <w:pPr>
              <w:jc w:val="center"/>
              <w:rPr>
                <w:rFonts w:eastAsiaTheme="minorEastAsia"/>
                <w:sz w:val="24"/>
                <w:szCs w:val="24"/>
              </w:rPr>
            </w:pPr>
            <w:r>
              <w:rPr>
                <w:rFonts w:eastAsiaTheme="minorEastAsia"/>
                <w:sz w:val="24"/>
                <w:szCs w:val="24"/>
              </w:rPr>
              <w:t>东径：</w:t>
            </w:r>
            <w:r>
              <w:rPr>
                <w:rFonts w:eastAsiaTheme="minorEastAsia"/>
                <w:sz w:val="24"/>
                <w:szCs w:val="24"/>
                <w:u w:val="single"/>
              </w:rPr>
              <w:t xml:space="preserve"> </w:t>
            </w:r>
            <w:r>
              <w:rPr>
                <w:rFonts w:hint="eastAsia" w:eastAsiaTheme="minorEastAsia"/>
                <w:sz w:val="24"/>
                <w:szCs w:val="24"/>
                <w:u w:val="single"/>
              </w:rPr>
              <w:t>114</w:t>
            </w:r>
            <w:r>
              <w:rPr>
                <w:rFonts w:eastAsiaTheme="minorEastAsia"/>
                <w:sz w:val="24"/>
                <w:szCs w:val="24"/>
                <w:u w:val="single"/>
              </w:rPr>
              <w:t xml:space="preserve"> </w:t>
            </w:r>
            <w:r>
              <w:rPr>
                <w:rFonts w:eastAsiaTheme="minorEastAsia"/>
                <w:sz w:val="24"/>
                <w:szCs w:val="24"/>
              </w:rPr>
              <w:t>度</w:t>
            </w:r>
            <w:r>
              <w:rPr>
                <w:rFonts w:eastAsiaTheme="minorEastAsia"/>
                <w:sz w:val="24"/>
                <w:szCs w:val="24"/>
                <w:u w:val="single"/>
              </w:rPr>
              <w:t xml:space="preserve"> </w:t>
            </w:r>
            <w:r>
              <w:rPr>
                <w:rFonts w:hint="eastAsia" w:eastAsiaTheme="minorEastAsia"/>
                <w:sz w:val="24"/>
                <w:szCs w:val="24"/>
                <w:u w:val="single"/>
              </w:rPr>
              <w:t>59</w:t>
            </w:r>
            <w:r>
              <w:rPr>
                <w:rFonts w:eastAsiaTheme="minorEastAsia"/>
                <w:sz w:val="24"/>
                <w:szCs w:val="24"/>
                <w:u w:val="single"/>
              </w:rPr>
              <w:t xml:space="preserve"> </w:t>
            </w:r>
            <w:r>
              <w:rPr>
                <w:rFonts w:eastAsiaTheme="minorEastAsia"/>
                <w:sz w:val="24"/>
                <w:szCs w:val="24"/>
              </w:rPr>
              <w:t>分</w:t>
            </w:r>
            <w:r>
              <w:rPr>
                <w:rFonts w:hint="eastAsia" w:eastAsiaTheme="minorEastAsia"/>
                <w:sz w:val="24"/>
                <w:szCs w:val="24"/>
                <w:u w:val="single"/>
              </w:rPr>
              <w:t>38.491</w:t>
            </w:r>
            <w:r>
              <w:rPr>
                <w:rFonts w:hint="eastAsia" w:eastAsiaTheme="minorEastAsia"/>
                <w:sz w:val="24"/>
                <w:szCs w:val="24"/>
              </w:rPr>
              <w:t>秒</w:t>
            </w:r>
            <w:r>
              <w:rPr>
                <w:rFonts w:eastAsiaTheme="minorEastAsia"/>
                <w:sz w:val="24"/>
                <w:szCs w:val="24"/>
              </w:rPr>
              <w:t>，北纬：</w:t>
            </w:r>
            <w:r>
              <w:rPr>
                <w:rFonts w:hint="eastAsia" w:eastAsiaTheme="minorEastAsia"/>
                <w:sz w:val="24"/>
                <w:szCs w:val="24"/>
                <w:u w:val="single"/>
              </w:rPr>
              <w:t>36</w:t>
            </w:r>
            <w:r>
              <w:rPr>
                <w:rFonts w:eastAsiaTheme="minorEastAsia"/>
                <w:sz w:val="24"/>
                <w:szCs w:val="24"/>
                <w:u w:val="single"/>
              </w:rPr>
              <w:t xml:space="preserve"> </w:t>
            </w:r>
            <w:r>
              <w:rPr>
                <w:rFonts w:eastAsiaTheme="minorEastAsia"/>
                <w:sz w:val="24"/>
                <w:szCs w:val="24"/>
              </w:rPr>
              <w:t>度</w:t>
            </w:r>
            <w:r>
              <w:rPr>
                <w:rFonts w:eastAsiaTheme="minorEastAsia"/>
                <w:sz w:val="24"/>
                <w:szCs w:val="24"/>
                <w:u w:val="single"/>
              </w:rPr>
              <w:t xml:space="preserve"> </w:t>
            </w:r>
            <w:r>
              <w:rPr>
                <w:rFonts w:hint="eastAsia" w:eastAsiaTheme="minorEastAsia"/>
                <w:sz w:val="24"/>
                <w:szCs w:val="24"/>
                <w:u w:val="single"/>
              </w:rPr>
              <w:t>19</w:t>
            </w:r>
            <w:r>
              <w:rPr>
                <w:rFonts w:eastAsiaTheme="minorEastAsia"/>
                <w:sz w:val="24"/>
                <w:szCs w:val="24"/>
              </w:rPr>
              <w:t>分</w:t>
            </w:r>
            <w:r>
              <w:rPr>
                <w:rFonts w:hint="eastAsia" w:eastAsiaTheme="minorEastAsia"/>
                <w:sz w:val="24"/>
                <w:szCs w:val="24"/>
                <w:u w:val="single"/>
              </w:rPr>
              <w:t>35.529</w:t>
            </w:r>
            <w:r>
              <w:rPr>
                <w:rFonts w:hint="eastAsia" w:eastAsiaTheme="minorEastAsia"/>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国民经济</w:t>
            </w:r>
          </w:p>
          <w:p>
            <w:pPr>
              <w:jc w:val="center"/>
              <w:rPr>
                <w:rFonts w:eastAsiaTheme="minorEastAsia"/>
                <w:b/>
                <w:sz w:val="24"/>
                <w:szCs w:val="24"/>
              </w:rPr>
            </w:pPr>
            <w:r>
              <w:rPr>
                <w:rFonts w:eastAsiaTheme="minorEastAsia"/>
                <w:b/>
                <w:sz w:val="24"/>
                <w:szCs w:val="24"/>
              </w:rPr>
              <w:t>行业类别</w:t>
            </w:r>
          </w:p>
        </w:tc>
        <w:tc>
          <w:tcPr>
            <w:tcW w:w="2636" w:type="dxa"/>
            <w:vAlign w:val="center"/>
          </w:tcPr>
          <w:p>
            <w:pPr>
              <w:pStyle w:val="17"/>
              <w:jc w:val="center"/>
              <w:rPr>
                <w:rFonts w:eastAsiaTheme="minorEastAsia"/>
                <w:sz w:val="24"/>
                <w:szCs w:val="24"/>
              </w:rPr>
            </w:pPr>
            <w:r>
              <w:rPr>
                <w:rFonts w:eastAsiaTheme="minorEastAsia"/>
                <w:sz w:val="24"/>
                <w:szCs w:val="24"/>
              </w:rPr>
              <w:t>C3</w:t>
            </w:r>
            <w:r>
              <w:rPr>
                <w:rFonts w:hint="eastAsia" w:eastAsiaTheme="minorEastAsia"/>
                <w:sz w:val="24"/>
                <w:szCs w:val="24"/>
              </w:rPr>
              <w:t>311金属结构</w:t>
            </w:r>
            <w:r>
              <w:rPr>
                <w:rFonts w:eastAsiaTheme="minorEastAsia"/>
                <w:sz w:val="24"/>
                <w:szCs w:val="24"/>
              </w:rPr>
              <w:t>制造</w:t>
            </w:r>
          </w:p>
        </w:tc>
        <w:tc>
          <w:tcPr>
            <w:tcW w:w="1705" w:type="dxa"/>
            <w:vAlign w:val="center"/>
          </w:tcPr>
          <w:p>
            <w:pPr>
              <w:pStyle w:val="17"/>
              <w:jc w:val="center"/>
              <w:rPr>
                <w:rFonts w:eastAsiaTheme="minorEastAsia"/>
                <w:b/>
                <w:bCs/>
                <w:sz w:val="24"/>
                <w:szCs w:val="24"/>
              </w:rPr>
            </w:pPr>
            <w:r>
              <w:rPr>
                <w:rFonts w:eastAsiaTheme="minorEastAsia"/>
                <w:b/>
                <w:bCs/>
                <w:sz w:val="24"/>
                <w:szCs w:val="24"/>
              </w:rPr>
              <w:t>建设项目</w:t>
            </w:r>
          </w:p>
          <w:p>
            <w:pPr>
              <w:pStyle w:val="17"/>
              <w:jc w:val="center"/>
              <w:rPr>
                <w:rFonts w:eastAsiaTheme="minorEastAsia"/>
                <w:sz w:val="24"/>
                <w:szCs w:val="24"/>
              </w:rPr>
            </w:pPr>
            <w:r>
              <w:rPr>
                <w:rFonts w:eastAsiaTheme="minorEastAsia"/>
                <w:b/>
                <w:bCs/>
                <w:sz w:val="24"/>
                <w:szCs w:val="24"/>
              </w:rPr>
              <w:t>行业类别</w:t>
            </w:r>
          </w:p>
        </w:tc>
        <w:tc>
          <w:tcPr>
            <w:tcW w:w="3137" w:type="dxa"/>
            <w:vAlign w:val="center"/>
          </w:tcPr>
          <w:p>
            <w:pPr>
              <w:pStyle w:val="17"/>
              <w:jc w:val="center"/>
              <w:rPr>
                <w:rFonts w:eastAsiaTheme="minorEastAsia"/>
                <w:sz w:val="24"/>
                <w:szCs w:val="24"/>
              </w:rPr>
            </w:pPr>
            <w:r>
              <w:rPr>
                <w:rFonts w:hint="eastAsia" w:eastAsiaTheme="minorEastAsia"/>
                <w:sz w:val="24"/>
                <w:szCs w:val="24"/>
              </w:rPr>
              <w:t xml:space="preserve">66结构性金属制品制造 </w:t>
            </w:r>
          </w:p>
          <w:p>
            <w:pPr>
              <w:pStyle w:val="17"/>
              <w:jc w:val="center"/>
              <w:rPr>
                <w:rFonts w:eastAsiaTheme="minorEastAsia"/>
                <w:sz w:val="24"/>
                <w:szCs w:val="24"/>
              </w:rPr>
            </w:pPr>
            <w:r>
              <w:rPr>
                <w:rFonts w:hint="eastAsia" w:eastAsiaTheme="minorEastAsia"/>
                <w:sz w:val="24"/>
                <w:szCs w:val="24"/>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建设性质</w:t>
            </w:r>
          </w:p>
        </w:tc>
        <w:tc>
          <w:tcPr>
            <w:tcW w:w="2636" w:type="dxa"/>
            <w:vAlign w:val="center"/>
          </w:tcPr>
          <w:p>
            <w:pPr>
              <w:jc w:val="left"/>
              <w:rPr>
                <w:sz w:val="24"/>
                <w:szCs w:val="24"/>
              </w:rPr>
            </w:pPr>
            <w:r>
              <w:rPr>
                <w:rFonts w:hint="eastAsia"/>
                <w:sz w:val="24"/>
                <w:szCs w:val="24"/>
              </w:rPr>
              <w:t>☑</w:t>
            </w:r>
            <w:r>
              <w:rPr>
                <w:sz w:val="24"/>
                <w:szCs w:val="24"/>
              </w:rPr>
              <w:t>新建（迁建）</w:t>
            </w:r>
          </w:p>
          <w:p>
            <w:pPr>
              <w:jc w:val="left"/>
              <w:rPr>
                <w:sz w:val="24"/>
                <w:szCs w:val="24"/>
              </w:rPr>
            </w:pPr>
            <w:r>
              <w:rPr>
                <w:rFonts w:hint="eastAsia"/>
                <w:sz w:val="24"/>
                <w:szCs w:val="24"/>
              </w:rPr>
              <w:t>□</w:t>
            </w:r>
            <w:r>
              <w:rPr>
                <w:sz w:val="24"/>
                <w:szCs w:val="24"/>
              </w:rPr>
              <w:t>改建</w:t>
            </w:r>
          </w:p>
          <w:p>
            <w:pPr>
              <w:jc w:val="left"/>
              <w:rPr>
                <w:sz w:val="24"/>
                <w:szCs w:val="24"/>
              </w:rPr>
            </w:pPr>
            <w:r>
              <w:rPr>
                <w:rFonts w:hint="eastAsia"/>
                <w:sz w:val="24"/>
                <w:szCs w:val="24"/>
              </w:rPr>
              <w:t>□扩建</w:t>
            </w:r>
          </w:p>
          <w:p>
            <w:pPr>
              <w:jc w:val="left"/>
              <w:rPr>
                <w:rFonts w:eastAsiaTheme="minorEastAsia"/>
                <w:sz w:val="24"/>
                <w:szCs w:val="24"/>
              </w:rPr>
            </w:pPr>
            <w:r>
              <w:rPr>
                <w:rFonts w:hint="eastAsia"/>
                <w:sz w:val="24"/>
                <w:szCs w:val="24"/>
              </w:rPr>
              <w:t>□</w:t>
            </w:r>
            <w:r>
              <w:rPr>
                <w:sz w:val="24"/>
                <w:szCs w:val="24"/>
              </w:rPr>
              <w:t>技术改造</w:t>
            </w:r>
          </w:p>
        </w:tc>
        <w:tc>
          <w:tcPr>
            <w:tcW w:w="1705" w:type="dxa"/>
            <w:vAlign w:val="center"/>
          </w:tcPr>
          <w:p>
            <w:pPr>
              <w:jc w:val="center"/>
              <w:rPr>
                <w:rFonts w:eastAsiaTheme="minorEastAsia"/>
                <w:b/>
                <w:sz w:val="24"/>
                <w:szCs w:val="24"/>
              </w:rPr>
            </w:pPr>
            <w:r>
              <w:rPr>
                <w:rFonts w:eastAsiaTheme="minorEastAsia"/>
                <w:b/>
                <w:sz w:val="24"/>
                <w:szCs w:val="24"/>
              </w:rPr>
              <w:t>建设项目</w:t>
            </w:r>
          </w:p>
          <w:p>
            <w:pPr>
              <w:jc w:val="center"/>
              <w:rPr>
                <w:rFonts w:eastAsiaTheme="minorEastAsia"/>
                <w:b/>
                <w:sz w:val="24"/>
                <w:szCs w:val="24"/>
              </w:rPr>
            </w:pPr>
            <w:r>
              <w:rPr>
                <w:rFonts w:eastAsiaTheme="minorEastAsia"/>
                <w:b/>
                <w:sz w:val="24"/>
                <w:szCs w:val="24"/>
              </w:rPr>
              <w:t>申报情形</w:t>
            </w:r>
          </w:p>
        </w:tc>
        <w:tc>
          <w:tcPr>
            <w:tcW w:w="3137" w:type="dxa"/>
            <w:vAlign w:val="center"/>
          </w:tcPr>
          <w:p>
            <w:pPr>
              <w:jc w:val="left"/>
              <w:rPr>
                <w:sz w:val="24"/>
                <w:szCs w:val="24"/>
              </w:rPr>
            </w:pPr>
            <w:r>
              <w:rPr>
                <w:rFonts w:hint="eastAsia"/>
                <w:sz w:val="24"/>
                <w:szCs w:val="24"/>
              </w:rPr>
              <w:t>□</w:t>
            </w:r>
            <w:r>
              <w:rPr>
                <w:sz w:val="24"/>
                <w:szCs w:val="24"/>
              </w:rPr>
              <w:t>首次申报项目</w:t>
            </w:r>
          </w:p>
          <w:p>
            <w:pPr>
              <w:pStyle w:val="2"/>
              <w:rPr>
                <w:szCs w:val="24"/>
              </w:rPr>
            </w:pPr>
            <w:r>
              <w:rPr>
                <w:rFonts w:hint="eastAsia"/>
                <w:szCs w:val="24"/>
              </w:rPr>
              <w:t>□</w:t>
            </w:r>
            <w:r>
              <w:rPr>
                <w:rFonts w:eastAsiaTheme="minorEastAsia"/>
                <w:szCs w:val="24"/>
              </w:rPr>
              <w:t>不予批准后再次</w:t>
            </w:r>
            <w:r>
              <w:rPr>
                <w:szCs w:val="24"/>
              </w:rPr>
              <w:t>申报项目</w:t>
            </w:r>
          </w:p>
          <w:p>
            <w:pPr>
              <w:pStyle w:val="2"/>
              <w:rPr>
                <w:szCs w:val="24"/>
              </w:rPr>
            </w:pPr>
            <w:r>
              <w:rPr>
                <w:rFonts w:hint="eastAsia"/>
                <w:szCs w:val="24"/>
              </w:rPr>
              <w:t>□</w:t>
            </w:r>
            <w:r>
              <w:rPr>
                <w:szCs w:val="24"/>
              </w:rPr>
              <w:t>超五年重新审核项目</w:t>
            </w:r>
          </w:p>
          <w:p>
            <w:pPr>
              <w:pStyle w:val="2"/>
            </w:pPr>
            <w:r>
              <w:rPr>
                <w:rFonts w:hint="eastAsia"/>
                <w:szCs w:val="24"/>
              </w:rPr>
              <w:t>☑</w:t>
            </w:r>
            <w:r>
              <w:rPr>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项目审批（核准/备案）部门</w:t>
            </w:r>
          </w:p>
        </w:tc>
        <w:tc>
          <w:tcPr>
            <w:tcW w:w="2636" w:type="dxa"/>
            <w:vAlign w:val="center"/>
          </w:tcPr>
          <w:p>
            <w:pPr>
              <w:jc w:val="center"/>
              <w:rPr>
                <w:sz w:val="24"/>
                <w:szCs w:val="24"/>
              </w:rPr>
            </w:pPr>
            <w:r>
              <w:rPr>
                <w:bCs/>
                <w:sz w:val="24"/>
              </w:rPr>
              <w:t>魏县行政审批局</w:t>
            </w:r>
          </w:p>
        </w:tc>
        <w:tc>
          <w:tcPr>
            <w:tcW w:w="1705" w:type="dxa"/>
            <w:vAlign w:val="center"/>
          </w:tcPr>
          <w:p>
            <w:pPr>
              <w:jc w:val="center"/>
              <w:rPr>
                <w:rFonts w:eastAsiaTheme="minorEastAsia"/>
                <w:b/>
                <w:sz w:val="24"/>
                <w:szCs w:val="24"/>
              </w:rPr>
            </w:pPr>
            <w:r>
              <w:rPr>
                <w:rFonts w:eastAsiaTheme="minorEastAsia"/>
                <w:b/>
                <w:sz w:val="24"/>
                <w:szCs w:val="24"/>
              </w:rPr>
              <w:t>项目审批（核准/备案）文号</w:t>
            </w:r>
          </w:p>
        </w:tc>
        <w:tc>
          <w:tcPr>
            <w:tcW w:w="3137" w:type="dxa"/>
            <w:vAlign w:val="center"/>
          </w:tcPr>
          <w:p>
            <w:pPr>
              <w:pStyle w:val="2"/>
              <w:jc w:val="center"/>
              <w:rPr>
                <w:szCs w:val="24"/>
              </w:rPr>
            </w:pPr>
            <w:r>
              <w:rPr>
                <w:bCs/>
                <w:color w:val="auto"/>
              </w:rPr>
              <w:t>魏投资备案(202</w:t>
            </w:r>
            <w:r>
              <w:rPr>
                <w:rFonts w:hint="eastAsia"/>
                <w:bCs/>
                <w:color w:val="auto"/>
              </w:rPr>
              <w:t>1</w:t>
            </w:r>
            <w:r>
              <w:rPr>
                <w:bCs/>
                <w:color w:val="auto"/>
              </w:rPr>
              <w:t>)</w:t>
            </w:r>
            <w:r>
              <w:rPr>
                <w:rFonts w:hint="eastAsia"/>
                <w:bCs/>
                <w:color w:val="auto"/>
              </w:rPr>
              <w:t>37</w:t>
            </w:r>
            <w:r>
              <w:rPr>
                <w:bCs/>
                <w:color w:val="auto"/>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总投资(万元)</w:t>
            </w:r>
          </w:p>
        </w:tc>
        <w:tc>
          <w:tcPr>
            <w:tcW w:w="2636" w:type="dxa"/>
            <w:vAlign w:val="center"/>
          </w:tcPr>
          <w:p>
            <w:pPr>
              <w:jc w:val="center"/>
              <w:rPr>
                <w:sz w:val="24"/>
                <w:szCs w:val="24"/>
              </w:rPr>
            </w:pPr>
            <w:r>
              <w:rPr>
                <w:rFonts w:hint="eastAsia"/>
                <w:sz w:val="24"/>
                <w:szCs w:val="24"/>
              </w:rPr>
              <w:t>12000</w:t>
            </w:r>
          </w:p>
        </w:tc>
        <w:tc>
          <w:tcPr>
            <w:tcW w:w="1705" w:type="dxa"/>
            <w:vAlign w:val="center"/>
          </w:tcPr>
          <w:p>
            <w:pPr>
              <w:jc w:val="center"/>
              <w:rPr>
                <w:rFonts w:eastAsiaTheme="minorEastAsia"/>
                <w:b/>
                <w:sz w:val="24"/>
                <w:szCs w:val="24"/>
              </w:rPr>
            </w:pPr>
            <w:r>
              <w:rPr>
                <w:rFonts w:eastAsiaTheme="minorEastAsia"/>
                <w:b/>
                <w:sz w:val="24"/>
                <w:szCs w:val="24"/>
              </w:rPr>
              <w:t>环保投资(万元)</w:t>
            </w:r>
          </w:p>
        </w:tc>
        <w:tc>
          <w:tcPr>
            <w:tcW w:w="3137" w:type="dxa"/>
            <w:vAlign w:val="center"/>
          </w:tcPr>
          <w:p>
            <w:pPr>
              <w:pStyle w:val="2"/>
              <w:jc w:val="center"/>
              <w:rPr>
                <w:szCs w:val="24"/>
              </w:rPr>
            </w:pPr>
            <w:r>
              <w:rPr>
                <w:rFonts w:hint="eastAsia"/>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环保投资占比（%）</w:t>
            </w:r>
          </w:p>
        </w:tc>
        <w:tc>
          <w:tcPr>
            <w:tcW w:w="2636" w:type="dxa"/>
            <w:vAlign w:val="center"/>
          </w:tcPr>
          <w:p>
            <w:pPr>
              <w:jc w:val="center"/>
              <w:rPr>
                <w:sz w:val="24"/>
                <w:szCs w:val="24"/>
              </w:rPr>
            </w:pPr>
            <w:r>
              <w:rPr>
                <w:rFonts w:hint="eastAsia"/>
                <w:sz w:val="24"/>
                <w:szCs w:val="24"/>
              </w:rPr>
              <w:t>1</w:t>
            </w:r>
          </w:p>
        </w:tc>
        <w:tc>
          <w:tcPr>
            <w:tcW w:w="1705" w:type="dxa"/>
            <w:vAlign w:val="center"/>
          </w:tcPr>
          <w:p>
            <w:pPr>
              <w:jc w:val="center"/>
              <w:rPr>
                <w:rFonts w:eastAsiaTheme="minorEastAsia"/>
                <w:b/>
                <w:sz w:val="24"/>
                <w:szCs w:val="24"/>
              </w:rPr>
            </w:pPr>
            <w:r>
              <w:rPr>
                <w:rFonts w:eastAsiaTheme="minorEastAsia"/>
                <w:b/>
                <w:sz w:val="24"/>
                <w:szCs w:val="24"/>
              </w:rPr>
              <w:t>施工工期</w:t>
            </w:r>
          </w:p>
        </w:tc>
        <w:tc>
          <w:tcPr>
            <w:tcW w:w="3137" w:type="dxa"/>
            <w:vAlign w:val="center"/>
          </w:tcPr>
          <w:p>
            <w:pPr>
              <w:pStyle w:val="2"/>
              <w:jc w:val="center"/>
              <w:rPr>
                <w:szCs w:val="24"/>
              </w:rPr>
            </w:pPr>
            <w:r>
              <w:rPr>
                <w:rFonts w:hint="eastAsia"/>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eastAsiaTheme="minorEastAsia"/>
                <w:b/>
                <w:sz w:val="24"/>
                <w:szCs w:val="24"/>
              </w:rPr>
              <w:t>是否开工建设</w:t>
            </w:r>
          </w:p>
        </w:tc>
        <w:tc>
          <w:tcPr>
            <w:tcW w:w="2636" w:type="dxa"/>
            <w:vAlign w:val="center"/>
          </w:tcPr>
          <w:p>
            <w:r>
              <w:rPr>
                <w:sz w:val="24"/>
                <w:szCs w:val="24"/>
              </w:rPr>
              <w:t>☑</w:t>
            </w:r>
            <w:r>
              <w:t>否</w:t>
            </w:r>
          </w:p>
          <w:p>
            <w:pPr>
              <w:pStyle w:val="2"/>
            </w:pPr>
            <w:r>
              <w:rPr>
                <w:szCs w:val="24"/>
              </w:rPr>
              <w:t>□是</w:t>
            </w:r>
          </w:p>
        </w:tc>
        <w:tc>
          <w:tcPr>
            <w:tcW w:w="1705" w:type="dxa"/>
            <w:vAlign w:val="center"/>
          </w:tcPr>
          <w:p>
            <w:pPr>
              <w:jc w:val="center"/>
              <w:rPr>
                <w:rFonts w:eastAsiaTheme="minorEastAsia"/>
                <w:b/>
                <w:sz w:val="24"/>
                <w:szCs w:val="24"/>
              </w:rPr>
            </w:pPr>
            <w:r>
              <w:rPr>
                <w:rFonts w:eastAsiaTheme="minorEastAsia"/>
                <w:b/>
                <w:sz w:val="24"/>
                <w:szCs w:val="24"/>
              </w:rPr>
              <w:t>用地面积（</w:t>
            </w:r>
            <w:r>
              <w:rPr>
                <w:b/>
                <w:sz w:val="24"/>
                <w:szCs w:val="24"/>
              </w:rPr>
              <w:t>m</w:t>
            </w:r>
            <w:r>
              <w:rPr>
                <w:b/>
                <w:sz w:val="24"/>
                <w:szCs w:val="24"/>
                <w:vertAlign w:val="superscript"/>
              </w:rPr>
              <w:t>2</w:t>
            </w:r>
            <w:r>
              <w:rPr>
                <w:rFonts w:eastAsiaTheme="minorEastAsia"/>
                <w:b/>
                <w:sz w:val="24"/>
                <w:szCs w:val="24"/>
              </w:rPr>
              <w:t>）</w:t>
            </w:r>
          </w:p>
        </w:tc>
        <w:tc>
          <w:tcPr>
            <w:tcW w:w="3137" w:type="dxa"/>
            <w:vAlign w:val="center"/>
          </w:tcPr>
          <w:p>
            <w:pPr>
              <w:pStyle w:val="2"/>
              <w:jc w:val="center"/>
              <w:rPr>
                <w:szCs w:val="24"/>
              </w:rPr>
            </w:pPr>
            <w:r>
              <w:rPr>
                <w:rFonts w:hint="eastAsia"/>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hint="eastAsia" w:eastAsiaTheme="minorEastAsia"/>
                <w:b/>
                <w:sz w:val="24"/>
                <w:szCs w:val="24"/>
              </w:rPr>
              <w:t>专项评价设置情况</w:t>
            </w:r>
          </w:p>
        </w:tc>
        <w:tc>
          <w:tcPr>
            <w:tcW w:w="7478" w:type="dxa"/>
            <w:gridSpan w:val="3"/>
            <w:vAlign w:val="center"/>
          </w:tcPr>
          <w:p>
            <w:pPr>
              <w:jc w:val="center"/>
              <w:rPr>
                <w:rFonts w:eastAsiaTheme="minorEastAsia"/>
                <w:sz w:val="24"/>
                <w:szCs w:val="24"/>
              </w:rPr>
            </w:pPr>
            <w:r>
              <w:rPr>
                <w:rFonts w:hint="eastAsia" w:eastAsia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hint="eastAsia" w:eastAsiaTheme="minorEastAsia"/>
                <w:b/>
                <w:sz w:val="24"/>
                <w:szCs w:val="24"/>
              </w:rPr>
              <w:t>规划情况</w:t>
            </w:r>
          </w:p>
        </w:tc>
        <w:tc>
          <w:tcPr>
            <w:tcW w:w="7478" w:type="dxa"/>
            <w:gridSpan w:val="3"/>
            <w:vAlign w:val="center"/>
          </w:tcPr>
          <w:p>
            <w:pPr>
              <w:spacing w:line="440" w:lineRule="exact"/>
              <w:rPr>
                <w:rFonts w:eastAsiaTheme="minorEastAsia"/>
                <w:sz w:val="24"/>
                <w:szCs w:val="24"/>
              </w:rPr>
            </w:pPr>
            <w:r>
              <w:rPr>
                <w:rFonts w:hint="eastAsia" w:eastAsiaTheme="minorEastAsia"/>
                <w:sz w:val="24"/>
                <w:szCs w:val="24"/>
              </w:rPr>
              <w:t>规划名称：</w:t>
            </w:r>
            <w:r>
              <w:rPr>
                <w:rFonts w:eastAsiaTheme="minorEastAsia"/>
                <w:sz w:val="24"/>
                <w:szCs w:val="24"/>
                <w:u w:val="single"/>
              </w:rPr>
              <w:t>《河北魏县经济技术开发区总体规划</w:t>
            </w:r>
            <w:r>
              <w:rPr>
                <w:rFonts w:hint="eastAsia" w:eastAsiaTheme="minorEastAsia"/>
                <w:sz w:val="24"/>
                <w:szCs w:val="24"/>
                <w:u w:val="single"/>
              </w:rPr>
              <w:t>(2019-2030)</w:t>
            </w:r>
            <w:r>
              <w:rPr>
                <w:rFonts w:eastAsiaTheme="minorEastAsia"/>
                <w:sz w:val="24"/>
                <w:szCs w:val="24"/>
                <w:u w:val="single"/>
              </w:rPr>
              <w:t>》</w:t>
            </w:r>
            <w:r>
              <w:rPr>
                <w:rFonts w:hint="eastAsia" w:eastAsiaTheme="minorEastAsia"/>
                <w:sz w:val="24"/>
                <w:szCs w:val="24"/>
              </w:rPr>
              <w:t>；</w:t>
            </w:r>
          </w:p>
          <w:p>
            <w:pPr>
              <w:spacing w:line="440" w:lineRule="exact"/>
              <w:rPr>
                <w:rFonts w:eastAsiaTheme="minorEastAsia"/>
                <w:sz w:val="24"/>
                <w:szCs w:val="24"/>
                <w:u w:val="single"/>
              </w:rPr>
            </w:pPr>
            <w:r>
              <w:rPr>
                <w:rFonts w:hint="eastAsia" w:eastAsiaTheme="minorEastAsia"/>
                <w:sz w:val="24"/>
                <w:szCs w:val="24"/>
              </w:rPr>
              <w:t>审批机关：</w:t>
            </w:r>
            <w:r>
              <w:rPr>
                <w:rFonts w:hint="eastAsia" w:eastAsiaTheme="minorEastAsia"/>
                <w:sz w:val="24"/>
                <w:szCs w:val="24"/>
                <w:u w:val="single"/>
              </w:rPr>
              <w:t>邯郸市人民政府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hint="eastAsia" w:eastAsiaTheme="minorEastAsia"/>
                <w:b/>
                <w:sz w:val="24"/>
                <w:szCs w:val="24"/>
              </w:rPr>
              <w:t>规划环境影响</w:t>
            </w:r>
          </w:p>
          <w:p>
            <w:pPr>
              <w:jc w:val="center"/>
              <w:rPr>
                <w:rFonts w:eastAsiaTheme="minorEastAsia"/>
                <w:b/>
                <w:sz w:val="24"/>
                <w:szCs w:val="24"/>
              </w:rPr>
            </w:pPr>
            <w:r>
              <w:rPr>
                <w:rFonts w:hint="eastAsia" w:eastAsiaTheme="minorEastAsia"/>
                <w:b/>
                <w:sz w:val="24"/>
                <w:szCs w:val="24"/>
              </w:rPr>
              <w:t>评价情况</w:t>
            </w:r>
          </w:p>
        </w:tc>
        <w:tc>
          <w:tcPr>
            <w:tcW w:w="7478" w:type="dxa"/>
            <w:gridSpan w:val="3"/>
            <w:vAlign w:val="center"/>
          </w:tcPr>
          <w:p>
            <w:pPr>
              <w:spacing w:line="440" w:lineRule="exact"/>
              <w:rPr>
                <w:rFonts w:eastAsiaTheme="minorEastAsia"/>
                <w:sz w:val="24"/>
                <w:szCs w:val="24"/>
              </w:rPr>
            </w:pPr>
            <w:r>
              <w:rPr>
                <w:rFonts w:hint="eastAsia" w:eastAsiaTheme="minorEastAsia"/>
                <w:sz w:val="24"/>
                <w:szCs w:val="24"/>
              </w:rPr>
              <w:t>规划环境影响评价文件名称：</w:t>
            </w:r>
            <w:r>
              <w:rPr>
                <w:rFonts w:eastAsiaTheme="minorEastAsia"/>
                <w:sz w:val="24"/>
                <w:szCs w:val="24"/>
                <w:u w:val="single"/>
              </w:rPr>
              <w:t>《河北魏县经济技术开发区总体规划</w:t>
            </w:r>
            <w:r>
              <w:rPr>
                <w:rFonts w:hint="eastAsia" w:eastAsiaTheme="minorEastAsia"/>
                <w:sz w:val="24"/>
                <w:szCs w:val="24"/>
                <w:u w:val="single"/>
              </w:rPr>
              <w:t>(2019-2030)</w:t>
            </w:r>
            <w:r>
              <w:rPr>
                <w:rFonts w:eastAsiaTheme="minorEastAsia"/>
                <w:sz w:val="24"/>
                <w:szCs w:val="24"/>
                <w:u w:val="single"/>
              </w:rPr>
              <w:t>环境影响报告书》</w:t>
            </w:r>
            <w:r>
              <w:rPr>
                <w:rFonts w:hint="eastAsia" w:eastAsiaTheme="minorEastAsia"/>
                <w:sz w:val="24"/>
                <w:szCs w:val="24"/>
              </w:rPr>
              <w:t>；</w:t>
            </w:r>
          </w:p>
          <w:p>
            <w:pPr>
              <w:spacing w:line="440" w:lineRule="exact"/>
              <w:rPr>
                <w:rFonts w:eastAsiaTheme="minorEastAsia"/>
                <w:sz w:val="24"/>
                <w:szCs w:val="24"/>
              </w:rPr>
            </w:pPr>
            <w:r>
              <w:rPr>
                <w:rFonts w:hint="eastAsia" w:eastAsiaTheme="minorEastAsia"/>
                <w:sz w:val="24"/>
                <w:szCs w:val="24"/>
              </w:rPr>
              <w:t>召集审查机关：</w:t>
            </w:r>
            <w:r>
              <w:rPr>
                <w:rFonts w:eastAsiaTheme="minorEastAsia"/>
                <w:sz w:val="24"/>
                <w:szCs w:val="24"/>
                <w:u w:val="single"/>
              </w:rPr>
              <w:t>河北省环保厅</w:t>
            </w:r>
            <w:r>
              <w:rPr>
                <w:rFonts w:hint="eastAsia" w:eastAsiaTheme="minorEastAsia"/>
                <w:sz w:val="24"/>
                <w:szCs w:val="24"/>
              </w:rPr>
              <w:t>；</w:t>
            </w:r>
          </w:p>
          <w:p>
            <w:pPr>
              <w:spacing w:line="440" w:lineRule="exact"/>
              <w:rPr>
                <w:rFonts w:eastAsiaTheme="minorEastAsia"/>
                <w:sz w:val="24"/>
                <w:szCs w:val="24"/>
              </w:rPr>
            </w:pPr>
            <w:r>
              <w:rPr>
                <w:rFonts w:hint="eastAsia" w:eastAsiaTheme="minorEastAsia"/>
                <w:sz w:val="24"/>
                <w:szCs w:val="24"/>
              </w:rPr>
              <w:t>审查文件名称及文号：</w:t>
            </w:r>
            <w:r>
              <w:rPr>
                <w:rFonts w:eastAsiaTheme="minorEastAsia"/>
                <w:sz w:val="24"/>
                <w:szCs w:val="24"/>
                <w:u w:val="single"/>
              </w:rPr>
              <w:t>《关于转送河北魏县经济开发区总体规划</w:t>
            </w:r>
            <w:r>
              <w:rPr>
                <w:rFonts w:hint="eastAsia" w:eastAsiaTheme="minorEastAsia"/>
                <w:sz w:val="24"/>
                <w:szCs w:val="24"/>
                <w:u w:val="single"/>
              </w:rPr>
              <w:t>(2019-2030)</w:t>
            </w:r>
            <w:r>
              <w:rPr>
                <w:rFonts w:eastAsiaTheme="minorEastAsia"/>
                <w:sz w:val="24"/>
                <w:szCs w:val="24"/>
                <w:u w:val="single"/>
              </w:rPr>
              <w:t>环境影响报告书审查意见的函》</w:t>
            </w:r>
            <w:r>
              <w:rPr>
                <w:rFonts w:hint="eastAsia" w:eastAsiaTheme="minorEastAsia"/>
                <w:sz w:val="24"/>
                <w:szCs w:val="24"/>
                <w:u w:val="single"/>
              </w:rPr>
              <w:t>（</w:t>
            </w:r>
            <w:r>
              <w:rPr>
                <w:rFonts w:eastAsiaTheme="minorEastAsia"/>
                <w:sz w:val="24"/>
                <w:szCs w:val="24"/>
                <w:u w:val="single"/>
              </w:rPr>
              <w:t>冀环环评函[20</w:t>
            </w:r>
            <w:r>
              <w:rPr>
                <w:rFonts w:hint="eastAsia" w:eastAsiaTheme="minorEastAsia"/>
                <w:sz w:val="24"/>
                <w:szCs w:val="24"/>
                <w:u w:val="single"/>
              </w:rPr>
              <w:t>21</w:t>
            </w:r>
            <w:r>
              <w:rPr>
                <w:rFonts w:eastAsiaTheme="minorEastAsia"/>
                <w:sz w:val="24"/>
                <w:szCs w:val="24"/>
                <w:u w:val="single"/>
              </w:rPr>
              <w:t>]</w:t>
            </w:r>
            <w:r>
              <w:rPr>
                <w:rFonts w:hint="eastAsia" w:eastAsiaTheme="minorEastAsia"/>
                <w:sz w:val="24"/>
                <w:szCs w:val="24"/>
                <w:u w:val="single"/>
              </w:rPr>
              <w:t>549</w:t>
            </w:r>
            <w:r>
              <w:rPr>
                <w:rFonts w:eastAsiaTheme="minorEastAsia"/>
                <w:sz w:val="24"/>
                <w:szCs w:val="24"/>
                <w:u w:val="single"/>
              </w:rPr>
              <w:t>号</w:t>
            </w:r>
            <w:r>
              <w:rPr>
                <w:rFonts w:hint="eastAsia" w:eastAsiaTheme="minorEastAsia"/>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hint="eastAsia" w:eastAsiaTheme="minorEastAsia"/>
                <w:b/>
                <w:sz w:val="24"/>
                <w:szCs w:val="24"/>
              </w:rPr>
              <w:t>规划及规划环境影响评价符合性分析</w:t>
            </w:r>
          </w:p>
        </w:tc>
        <w:tc>
          <w:tcPr>
            <w:tcW w:w="7478" w:type="dxa"/>
            <w:gridSpan w:val="3"/>
            <w:vAlign w:val="center"/>
          </w:tcPr>
          <w:p>
            <w:pPr>
              <w:widowControl/>
              <w:spacing w:line="360" w:lineRule="auto"/>
              <w:jc w:val="left"/>
              <w:rPr>
                <w:b/>
                <w:bCs/>
                <w:color w:val="FF0000"/>
                <w:sz w:val="24"/>
                <w:szCs w:val="24"/>
              </w:rPr>
            </w:pPr>
            <w:r>
              <w:rPr>
                <w:rFonts w:hint="eastAsia"/>
                <w:b/>
                <w:bCs/>
                <w:color w:val="FF0000"/>
                <w:sz w:val="24"/>
                <w:szCs w:val="24"/>
              </w:rPr>
              <w:t>一、与规划的符合性分析</w:t>
            </w:r>
          </w:p>
          <w:p>
            <w:pPr>
              <w:pStyle w:val="2"/>
              <w:spacing w:line="440" w:lineRule="exact"/>
              <w:ind w:firstLine="472" w:firstLineChars="200"/>
              <w:rPr>
                <w:rFonts w:eastAsiaTheme="minorEastAsia"/>
                <w:color w:val="FF0000"/>
                <w:szCs w:val="24"/>
              </w:rPr>
            </w:pPr>
            <w:r>
              <w:rPr>
                <w:rFonts w:hint="eastAsia" w:eastAsiaTheme="minorEastAsia"/>
                <w:color w:val="FF0000"/>
                <w:szCs w:val="24"/>
              </w:rPr>
              <w:t>1、园区规划、产业定位和布局</w:t>
            </w:r>
            <w:r>
              <w:rPr>
                <w:rFonts w:hint="eastAsia" w:eastAsiaTheme="minorEastAsia"/>
                <w:bCs/>
                <w:color w:val="FF0000"/>
                <w:szCs w:val="24"/>
              </w:rPr>
              <w:t>符合性分析</w:t>
            </w:r>
          </w:p>
          <w:p>
            <w:pPr>
              <w:pStyle w:val="2"/>
              <w:spacing w:line="440" w:lineRule="exact"/>
              <w:ind w:firstLine="472" w:firstLineChars="200"/>
              <w:rPr>
                <w:rFonts w:eastAsiaTheme="minorEastAsia"/>
                <w:color w:val="FF0000"/>
                <w:szCs w:val="24"/>
              </w:rPr>
            </w:pPr>
            <w:r>
              <w:rPr>
                <w:rFonts w:hint="eastAsia" w:eastAsiaTheme="minorEastAsia"/>
                <w:color w:val="FF0000"/>
                <w:szCs w:val="24"/>
              </w:rPr>
              <w:t>根据</w:t>
            </w:r>
            <w:r>
              <w:rPr>
                <w:rFonts w:eastAsiaTheme="minorEastAsia"/>
                <w:color w:val="FF0000"/>
                <w:szCs w:val="24"/>
              </w:rPr>
              <w:t>《河北魏县经济开发区总体规划</w:t>
            </w:r>
            <w:r>
              <w:rPr>
                <w:rFonts w:hint="eastAsia" w:eastAsiaTheme="minorEastAsia"/>
                <w:color w:val="FF0000"/>
                <w:szCs w:val="24"/>
              </w:rPr>
              <w:t>(2019-2030)</w:t>
            </w:r>
            <w:r>
              <w:rPr>
                <w:rFonts w:eastAsiaTheme="minorEastAsia"/>
                <w:color w:val="FF0000"/>
                <w:szCs w:val="24"/>
              </w:rPr>
              <w:t>》</w:t>
            </w:r>
            <w:r>
              <w:rPr>
                <w:rFonts w:hint="eastAsia" w:eastAsiaTheme="minorEastAsia"/>
                <w:color w:val="FF0000"/>
                <w:szCs w:val="24"/>
              </w:rPr>
              <w:t>，</w:t>
            </w:r>
            <w:r>
              <w:rPr>
                <w:rFonts w:eastAsiaTheme="minorEastAsia"/>
                <w:color w:val="FF0000"/>
                <w:szCs w:val="24"/>
              </w:rPr>
              <w:t>河北魏县经济开发区以兴源河为界，分为东西两区</w:t>
            </w:r>
            <w:r>
              <w:rPr>
                <w:rFonts w:hint="eastAsia" w:eastAsiaTheme="minorEastAsia"/>
                <w:color w:val="FF0000"/>
                <w:szCs w:val="24"/>
              </w:rPr>
              <w:t>，</w:t>
            </w:r>
            <w:r>
              <w:rPr>
                <w:rFonts w:eastAsiaTheme="minorEastAsia"/>
                <w:color w:val="FF0000"/>
                <w:szCs w:val="24"/>
              </w:rPr>
              <w:t>东区</w:t>
            </w:r>
            <w:r>
              <w:rPr>
                <w:rFonts w:hint="eastAsia" w:eastAsiaTheme="minorEastAsia"/>
                <w:color w:val="FF0000"/>
                <w:szCs w:val="24"/>
              </w:rPr>
              <w:t>规划主导</w:t>
            </w:r>
            <w:r>
              <w:rPr>
                <w:rFonts w:eastAsiaTheme="minorEastAsia"/>
                <w:color w:val="FF0000"/>
                <w:szCs w:val="24"/>
              </w:rPr>
              <w:t>产业为装备制造业、再生资源深加工产业、金属压延加工及金属制造业</w:t>
            </w:r>
            <w:r>
              <w:rPr>
                <w:rFonts w:hint="eastAsia"/>
                <w:color w:val="FF0000"/>
              </w:rPr>
              <w:t>。</w:t>
            </w:r>
          </w:p>
          <w:p>
            <w:pPr>
              <w:pStyle w:val="2"/>
              <w:spacing w:line="440" w:lineRule="exact"/>
              <w:ind w:firstLine="472" w:firstLineChars="200"/>
              <w:rPr>
                <w:rFonts w:eastAsiaTheme="minorEastAsia"/>
                <w:color w:val="FF0000"/>
                <w:szCs w:val="24"/>
              </w:rPr>
            </w:pPr>
            <w:r>
              <w:rPr>
                <w:rFonts w:hint="eastAsia"/>
                <w:color w:val="FF0000"/>
              </w:rPr>
              <w:t>本项目</w:t>
            </w:r>
            <w:r>
              <w:rPr>
                <w:rFonts w:hint="eastAsia" w:eastAsiaTheme="minorEastAsia"/>
                <w:color w:val="FF0000"/>
                <w:szCs w:val="24"/>
              </w:rPr>
              <w:t>属于金属结构</w:t>
            </w:r>
            <w:r>
              <w:rPr>
                <w:rFonts w:eastAsiaTheme="minorEastAsia"/>
                <w:color w:val="FF0000"/>
                <w:szCs w:val="24"/>
              </w:rPr>
              <w:t>制造</w:t>
            </w:r>
            <w:r>
              <w:rPr>
                <w:rFonts w:hint="eastAsia" w:eastAsiaTheme="minorEastAsia"/>
                <w:color w:val="FF0000"/>
                <w:szCs w:val="24"/>
              </w:rPr>
              <w:t>，选址</w:t>
            </w:r>
            <w:r>
              <w:rPr>
                <w:rFonts w:hint="eastAsia"/>
                <w:color w:val="FF0000"/>
              </w:rPr>
              <w:t>于</w:t>
            </w:r>
            <w:r>
              <w:rPr>
                <w:rFonts w:eastAsiaTheme="minorEastAsia"/>
                <w:color w:val="FF0000"/>
                <w:szCs w:val="24"/>
              </w:rPr>
              <w:t>河北魏县</w:t>
            </w:r>
            <w:r>
              <w:rPr>
                <w:rFonts w:hint="eastAsia"/>
                <w:color w:val="FF0000"/>
              </w:rPr>
              <w:t>经济开发区东区装备制造产业园区，符合</w:t>
            </w:r>
            <w:r>
              <w:rPr>
                <w:rFonts w:hint="eastAsia" w:eastAsiaTheme="minorEastAsia"/>
                <w:color w:val="FF0000"/>
                <w:szCs w:val="24"/>
              </w:rPr>
              <w:t>园区规划、产业定位和布局。</w:t>
            </w:r>
          </w:p>
          <w:p>
            <w:pPr>
              <w:pStyle w:val="2"/>
              <w:spacing w:line="480" w:lineRule="exact"/>
              <w:ind w:firstLine="472" w:firstLineChars="200"/>
              <w:rPr>
                <w:color w:val="FF0000"/>
              </w:rPr>
            </w:pPr>
            <w:r>
              <w:rPr>
                <w:rFonts w:hint="eastAsia"/>
                <w:color w:val="FF0000"/>
              </w:rPr>
              <w:t>2、基础设施规划及建设现状</w:t>
            </w:r>
          </w:p>
          <w:p>
            <w:pPr>
              <w:pStyle w:val="2"/>
              <w:spacing w:line="480" w:lineRule="exact"/>
              <w:ind w:firstLine="472" w:firstLineChars="200"/>
              <w:rPr>
                <w:color w:val="FF0000"/>
              </w:rPr>
            </w:pPr>
            <w:r>
              <w:rPr>
                <w:rFonts w:hint="eastAsia"/>
                <w:color w:val="FF0000"/>
              </w:rPr>
              <w:t>（1）供水工程</w:t>
            </w:r>
          </w:p>
          <w:p>
            <w:pPr>
              <w:pStyle w:val="2"/>
              <w:spacing w:line="480" w:lineRule="exact"/>
              <w:ind w:firstLine="472" w:firstLineChars="200"/>
              <w:rPr>
                <w:color w:val="FF0000"/>
              </w:rPr>
            </w:pPr>
            <w:r>
              <w:rPr>
                <w:rFonts w:hint="eastAsia"/>
                <w:color w:val="FF0000"/>
              </w:rPr>
              <w:t>开发区西区远期最高日用水量为2.7万m</w:t>
            </w:r>
            <w:r>
              <w:rPr>
                <w:rFonts w:hint="eastAsia"/>
                <w:color w:val="FF0000"/>
                <w:vertAlign w:val="superscript"/>
              </w:rPr>
              <w:t>3</w:t>
            </w:r>
            <w:r>
              <w:rPr>
                <w:rFonts w:hint="eastAsia"/>
                <w:color w:val="FF0000"/>
              </w:rPr>
              <w:t>/d，东区远期最高日用水量为4万m</w:t>
            </w:r>
            <w:r>
              <w:rPr>
                <w:rFonts w:hint="eastAsia"/>
                <w:color w:val="FF0000"/>
                <w:vertAlign w:val="superscript"/>
              </w:rPr>
              <w:t>3</w:t>
            </w:r>
            <w:r>
              <w:rPr>
                <w:rFonts w:hint="eastAsia"/>
                <w:color w:val="FF0000"/>
              </w:rPr>
              <w:t>/d，合计远期最高日用水量6.7万m</w:t>
            </w:r>
            <w:r>
              <w:rPr>
                <w:rFonts w:hint="eastAsia"/>
                <w:color w:val="FF0000"/>
                <w:vertAlign w:val="superscript"/>
              </w:rPr>
              <w:t>3</w:t>
            </w:r>
            <w:r>
              <w:rPr>
                <w:rFonts w:hint="eastAsia"/>
                <w:color w:val="FF0000"/>
              </w:rPr>
              <w:t>/d。水源以地下水和南水北调的引用水相结合。根据邯郸市《关于南水北调配套工程规划有关问题的通知》，魏县属于受水区范围，分配水量为2100万立方米。供水水源包括魏县第一、二自来水厂以及中水回用工程（已建成）。结合方式布置，确保生产、生活和消防等用水安全。管径分别为DN100~400mm之间。此外铺设中水回用工程管线，为东区工业、公共设施及其它用地供水，中水回用工程管线管径分别为DN200~400mm之间。</w:t>
            </w:r>
          </w:p>
          <w:p>
            <w:pPr>
              <w:pStyle w:val="2"/>
              <w:spacing w:line="480" w:lineRule="exact"/>
              <w:ind w:firstLine="472" w:firstLineChars="200"/>
              <w:rPr>
                <w:color w:val="FF0000"/>
              </w:rPr>
            </w:pPr>
            <w:r>
              <w:rPr>
                <w:rFonts w:hint="eastAsia"/>
                <w:color w:val="FF0000"/>
              </w:rPr>
              <w:t>本项目位于开发区东区，项目所在区域给水管网已铺设完毕，项目供水由园区给水管网提供，可满足本项目需求。</w:t>
            </w:r>
          </w:p>
          <w:p>
            <w:pPr>
              <w:pStyle w:val="2"/>
              <w:spacing w:line="480" w:lineRule="exact"/>
              <w:ind w:firstLine="472" w:firstLineChars="200"/>
              <w:rPr>
                <w:color w:val="FF0000"/>
              </w:rPr>
            </w:pPr>
            <w:r>
              <w:rPr>
                <w:rFonts w:hint="eastAsia"/>
                <w:color w:val="FF0000"/>
              </w:rPr>
              <w:t>（2）排水工程</w:t>
            </w:r>
          </w:p>
          <w:p>
            <w:pPr>
              <w:pStyle w:val="2"/>
              <w:spacing w:line="480" w:lineRule="exact"/>
              <w:ind w:firstLine="472" w:firstLineChars="200"/>
              <w:rPr>
                <w:color w:val="FF0000"/>
              </w:rPr>
            </w:pPr>
            <w:r>
              <w:rPr>
                <w:rFonts w:hint="eastAsia"/>
                <w:color w:val="FF0000"/>
              </w:rPr>
              <w:t>规划开发区以兴源河为界分为东西两区，西区污水排入县城污水处理厂，</w:t>
            </w:r>
            <w:r>
              <w:rPr>
                <w:rFonts w:hint="eastAsia" w:ascii="宋体" w:hAnsi="宋体" w:cs="宋体"/>
                <w:color w:val="FF0000"/>
              </w:rPr>
              <w:t>日处理能力</w:t>
            </w:r>
            <w:r>
              <w:rPr>
                <w:color w:val="FF0000"/>
              </w:rPr>
              <w:t>为3</w:t>
            </w:r>
            <w:r>
              <w:rPr>
                <w:rFonts w:hint="eastAsia" w:ascii="宋体" w:hAnsi="宋体" w:cs="宋体"/>
                <w:color w:val="FF0000"/>
              </w:rPr>
              <w:t>万吨,集中处理县城生活污水和西区企业生产废水；</w:t>
            </w:r>
            <w:r>
              <w:rPr>
                <w:rFonts w:hint="eastAsia"/>
                <w:color w:val="FF0000"/>
              </w:rPr>
              <w:t>东区排入魏县开发区污水处理厂，其中电镀小区配套建设园区污水处理站，对电镀、电泳、酸洗、磷化等含重金属污水进行集中处理，并实现全部回用。</w:t>
            </w:r>
          </w:p>
          <w:p>
            <w:pPr>
              <w:pStyle w:val="2"/>
              <w:spacing w:line="480" w:lineRule="exact"/>
              <w:ind w:firstLine="472" w:firstLineChars="200"/>
              <w:rPr>
                <w:color w:val="FF0000"/>
              </w:rPr>
            </w:pPr>
            <w:r>
              <w:rPr>
                <w:rFonts w:hint="eastAsia"/>
                <w:color w:val="FF0000"/>
              </w:rPr>
              <w:t>魏县开发区污水处理厂：魏县开发区污水处理厂于2016年12月20日建设完成，总占地规模60亩，一期工程的污水处理规模为1.5万吨/日，</w:t>
            </w:r>
            <w:r>
              <w:rPr>
                <w:rFonts w:hAnsi="宋体"/>
                <w:color w:val="FF0000"/>
              </w:rPr>
              <w:t>二期</w:t>
            </w:r>
            <w:r>
              <w:rPr>
                <w:rFonts w:hint="eastAsia" w:hAnsi="宋体"/>
                <w:color w:val="FF0000"/>
              </w:rPr>
              <w:t>为中水回用。</w:t>
            </w:r>
            <w:r>
              <w:rPr>
                <w:rFonts w:hint="eastAsia"/>
                <w:color w:val="FF0000"/>
              </w:rPr>
              <w:t>现污水实际处理量约为1万m</w:t>
            </w:r>
            <w:r>
              <w:rPr>
                <w:rFonts w:hint="eastAsia"/>
                <w:color w:val="FF0000"/>
                <w:vertAlign w:val="superscript"/>
              </w:rPr>
              <w:t>3</w:t>
            </w:r>
            <w:r>
              <w:rPr>
                <w:rFonts w:hint="eastAsia"/>
                <w:color w:val="FF0000"/>
              </w:rPr>
              <w:t>/d。主要处理魏县经济开发区排放的三类工业废水及县城科教路以南和外环路的部分生活污水。采用“酸化沉淀+CASS工艺+混凝沉淀+纤维过滤”的处理工艺，设计出水水质标准为《城镇污水处理厂污染物排放标准》(GB18918-2002)表1中一级A标准，</w:t>
            </w:r>
            <w:r>
              <w:rPr>
                <w:rFonts w:hint="eastAsia" w:ascii="宋体" w:hAnsi="宋体" w:cs="宋体"/>
                <w:color w:val="FF0000"/>
              </w:rPr>
              <w:t>经处</w:t>
            </w:r>
            <w:r>
              <w:rPr>
                <w:rFonts w:hint="eastAsia"/>
                <w:color w:val="FF0000"/>
              </w:rPr>
              <w:t>理达到《城镇污水处理厂污染物排放标准》(GB18918-2002)的一级A标准后排至魏大馆渠。</w:t>
            </w:r>
          </w:p>
          <w:p>
            <w:pPr>
              <w:pStyle w:val="2"/>
              <w:spacing w:line="480" w:lineRule="exact"/>
              <w:ind w:firstLine="472" w:firstLineChars="200"/>
              <w:rPr>
                <w:color w:val="FF0000"/>
              </w:rPr>
            </w:pPr>
            <w:r>
              <w:rPr>
                <w:rFonts w:hAnsi="宋体"/>
                <w:color w:val="FF0000"/>
              </w:rPr>
              <w:t>本项目位于</w:t>
            </w:r>
            <w:r>
              <w:rPr>
                <w:rFonts w:hint="eastAsia" w:hAnsi="宋体"/>
                <w:color w:val="FF0000"/>
              </w:rPr>
              <w:t>河北省邯郸市魏县经济开发区天雨东路3008号</w:t>
            </w:r>
            <w:r>
              <w:rPr>
                <w:rFonts w:hAnsi="宋体"/>
                <w:color w:val="FF0000"/>
              </w:rPr>
              <w:t>，</w:t>
            </w:r>
            <w:r>
              <w:rPr>
                <w:rFonts w:hint="eastAsia"/>
                <w:color w:val="FF0000"/>
              </w:rPr>
              <w:t>位于魏县开发区污水处理厂收水范围。本项目</w:t>
            </w:r>
            <w:r>
              <w:rPr>
                <w:rFonts w:hint="eastAsia" w:hAnsi="宋体"/>
                <w:color w:val="FF0000"/>
              </w:rPr>
              <w:t>食堂废水</w:t>
            </w:r>
            <w:r>
              <w:rPr>
                <w:rFonts w:hAnsi="宋体"/>
                <w:color w:val="FF0000"/>
              </w:rPr>
              <w:t>经厂内隔油池、</w:t>
            </w:r>
            <w:r>
              <w:rPr>
                <w:rFonts w:hint="eastAsia" w:hAnsi="宋体"/>
                <w:color w:val="FF0000"/>
              </w:rPr>
              <w:t>生活废水经</w:t>
            </w:r>
            <w:r>
              <w:rPr>
                <w:rFonts w:hAnsi="宋体"/>
                <w:color w:val="FF0000"/>
              </w:rPr>
              <w:t>化粪池处理后经管网进入</w:t>
            </w:r>
            <w:r>
              <w:rPr>
                <w:rFonts w:hint="eastAsia" w:hAnsi="宋体"/>
                <w:color w:val="FF0000"/>
              </w:rPr>
              <w:t>魏县开发区污水处理厂</w:t>
            </w:r>
            <w:r>
              <w:rPr>
                <w:rFonts w:hAnsi="宋体"/>
                <w:color w:val="FF0000"/>
              </w:rPr>
              <w:t>进一步处理，</w:t>
            </w:r>
            <w:r>
              <w:rPr>
                <w:rFonts w:hint="eastAsia" w:hAnsi="宋体"/>
                <w:color w:val="FF0000"/>
              </w:rPr>
              <w:t>魏县开发区污水处理厂</w:t>
            </w:r>
            <w:r>
              <w:rPr>
                <w:rFonts w:hAnsi="宋体"/>
                <w:color w:val="FF0000"/>
              </w:rPr>
              <w:t>进水水质要求为：</w:t>
            </w:r>
            <w:r>
              <w:rPr>
                <w:rFonts w:hint="eastAsia" w:hAnsi="宋体"/>
                <w:color w:val="FF0000"/>
              </w:rPr>
              <w:t>COD</w:t>
            </w:r>
            <w:r>
              <w:rPr>
                <w:color w:val="FF0000"/>
              </w:rPr>
              <w:t>≤</w:t>
            </w:r>
            <w:r>
              <w:rPr>
                <w:rFonts w:hint="eastAsia"/>
                <w:color w:val="FF0000"/>
              </w:rPr>
              <w:t>3</w:t>
            </w:r>
            <w:r>
              <w:rPr>
                <w:color w:val="FF0000"/>
              </w:rPr>
              <w:t>50mg/L</w:t>
            </w:r>
            <w:r>
              <w:rPr>
                <w:rFonts w:hint="eastAsia" w:hAnsi="宋体"/>
                <w:color w:val="FF0000"/>
              </w:rPr>
              <w:t>、BOB</w:t>
            </w:r>
            <w:r>
              <w:rPr>
                <w:rFonts w:hint="eastAsia" w:hAnsi="宋体"/>
                <w:color w:val="FF0000"/>
                <w:vertAlign w:val="subscript"/>
              </w:rPr>
              <w:t>5</w:t>
            </w:r>
            <w:r>
              <w:rPr>
                <w:color w:val="FF0000"/>
              </w:rPr>
              <w:t>≤</w:t>
            </w:r>
            <w:r>
              <w:rPr>
                <w:rFonts w:hint="eastAsia"/>
                <w:color w:val="FF0000"/>
              </w:rPr>
              <w:t>20</w:t>
            </w:r>
            <w:r>
              <w:rPr>
                <w:color w:val="FF0000"/>
              </w:rPr>
              <w:t>0mg/L</w:t>
            </w:r>
            <w:r>
              <w:rPr>
                <w:rFonts w:hint="eastAsia" w:hAnsi="宋体"/>
                <w:color w:val="FF0000"/>
              </w:rPr>
              <w:t>、氨氮</w:t>
            </w:r>
            <w:r>
              <w:rPr>
                <w:color w:val="FF0000"/>
              </w:rPr>
              <w:t>≤</w:t>
            </w:r>
            <w:r>
              <w:rPr>
                <w:rFonts w:hint="eastAsia"/>
                <w:color w:val="FF0000"/>
              </w:rPr>
              <w:t>35</w:t>
            </w:r>
            <w:r>
              <w:rPr>
                <w:color w:val="FF0000"/>
              </w:rPr>
              <w:t>mg/L</w:t>
            </w:r>
            <w:r>
              <w:rPr>
                <w:rFonts w:hint="eastAsia" w:hAnsi="宋体"/>
                <w:color w:val="FF0000"/>
              </w:rPr>
              <w:t>、SS</w:t>
            </w:r>
            <w:r>
              <w:rPr>
                <w:color w:val="FF0000"/>
              </w:rPr>
              <w:t>≤</w:t>
            </w:r>
            <w:r>
              <w:rPr>
                <w:rFonts w:hint="eastAsia"/>
                <w:color w:val="FF0000"/>
              </w:rPr>
              <w:t>2</w:t>
            </w:r>
            <w:r>
              <w:rPr>
                <w:color w:val="FF0000"/>
              </w:rPr>
              <w:t>50mg/L</w:t>
            </w:r>
            <w:r>
              <w:rPr>
                <w:rFonts w:hint="eastAsia"/>
                <w:color w:val="FF0000"/>
              </w:rPr>
              <w:t>、TN</w:t>
            </w:r>
            <w:r>
              <w:rPr>
                <w:color w:val="FF0000"/>
              </w:rPr>
              <w:t>≤</w:t>
            </w:r>
            <w:r>
              <w:rPr>
                <w:rFonts w:hint="eastAsia"/>
                <w:color w:val="FF0000"/>
              </w:rPr>
              <w:t>45</w:t>
            </w:r>
            <w:r>
              <w:rPr>
                <w:color w:val="FF0000"/>
              </w:rPr>
              <w:t>mg/L</w:t>
            </w:r>
            <w:r>
              <w:rPr>
                <w:rFonts w:hint="eastAsia" w:hAnsi="宋体"/>
                <w:color w:val="FF0000"/>
              </w:rPr>
              <w:t>、</w:t>
            </w:r>
            <w:r>
              <w:rPr>
                <w:rFonts w:hint="eastAsia"/>
                <w:color w:val="FF0000"/>
              </w:rPr>
              <w:t>TP</w:t>
            </w:r>
            <w:r>
              <w:rPr>
                <w:color w:val="FF0000"/>
              </w:rPr>
              <w:t>≤</w:t>
            </w:r>
            <w:r>
              <w:rPr>
                <w:rFonts w:hint="eastAsia"/>
                <w:color w:val="FF0000"/>
              </w:rPr>
              <w:t>4</w:t>
            </w:r>
            <w:r>
              <w:rPr>
                <w:color w:val="FF0000"/>
              </w:rPr>
              <w:t>mg/L</w:t>
            </w:r>
            <w:r>
              <w:rPr>
                <w:rFonts w:hint="eastAsia"/>
                <w:color w:val="FF0000"/>
              </w:rPr>
              <w:t>。</w:t>
            </w:r>
          </w:p>
          <w:p>
            <w:pPr>
              <w:pStyle w:val="2"/>
              <w:spacing w:line="480" w:lineRule="exact"/>
              <w:ind w:firstLine="472" w:firstLineChars="200"/>
              <w:rPr>
                <w:color w:val="FF0000"/>
              </w:rPr>
            </w:pPr>
            <w:r>
              <w:rPr>
                <w:rFonts w:hint="eastAsia"/>
                <w:color w:val="FF0000"/>
              </w:rPr>
              <w:t>（3）供电工程</w:t>
            </w:r>
          </w:p>
          <w:p>
            <w:pPr>
              <w:pStyle w:val="2"/>
              <w:spacing w:line="480" w:lineRule="exact"/>
              <w:ind w:firstLine="472" w:firstLineChars="200"/>
              <w:rPr>
                <w:color w:val="FF0000"/>
              </w:rPr>
            </w:pPr>
            <w:r>
              <w:rPr>
                <w:rFonts w:hint="eastAsia"/>
                <w:color w:val="FF0000"/>
              </w:rPr>
              <w:t xml:space="preserve"> 园区内现状电力供应较为充足，3座35kV变电站向开发区供电，分别是安张庄变电站、园区变电站和沙口集变电站，目前在建的有35kV东区变电站，根据开发区用电负荷发展境况，2017年35kV东区变电站在原地扩建成110kV变电站，确保电力供应。</w:t>
            </w:r>
          </w:p>
          <w:p>
            <w:pPr>
              <w:pStyle w:val="2"/>
              <w:spacing w:line="480" w:lineRule="exact"/>
              <w:ind w:firstLine="472" w:firstLineChars="200"/>
              <w:rPr>
                <w:color w:val="FF0000"/>
              </w:rPr>
            </w:pPr>
            <w:r>
              <w:rPr>
                <w:rFonts w:hint="eastAsia"/>
                <w:color w:val="FF0000"/>
              </w:rPr>
              <w:t>本项目用电由开发区变电站提供。</w:t>
            </w:r>
          </w:p>
          <w:p>
            <w:pPr>
              <w:pStyle w:val="2"/>
              <w:spacing w:line="480" w:lineRule="exact"/>
              <w:ind w:firstLine="472" w:firstLineChars="200"/>
              <w:rPr>
                <w:color w:val="FF0000"/>
              </w:rPr>
            </w:pPr>
            <w:r>
              <w:rPr>
                <w:rFonts w:hint="eastAsia"/>
                <w:color w:val="FF0000"/>
              </w:rPr>
              <w:t>（4）供热工程</w:t>
            </w:r>
          </w:p>
          <w:p>
            <w:pPr>
              <w:pStyle w:val="2"/>
              <w:spacing w:line="480" w:lineRule="exact"/>
              <w:ind w:firstLine="472" w:firstLineChars="200"/>
              <w:rPr>
                <w:color w:val="FF0000"/>
              </w:rPr>
            </w:pPr>
            <w:r>
              <w:rPr>
                <w:rFonts w:hint="eastAsia"/>
                <w:color w:val="FF0000"/>
              </w:rPr>
              <w:t xml:space="preserve"> 园区目前尚无集中供热设施，民用建筑采暖和工业用蒸汽均为自备锅炉供给。本项目生产用热采用电加热，职工采暖利用空调。</w:t>
            </w:r>
          </w:p>
          <w:p>
            <w:pPr>
              <w:pStyle w:val="2"/>
              <w:spacing w:line="480" w:lineRule="exact"/>
              <w:rPr>
                <w:b/>
                <w:bCs/>
                <w:color w:val="FF0000"/>
              </w:rPr>
            </w:pPr>
            <w:r>
              <w:rPr>
                <w:rFonts w:hint="eastAsia"/>
                <w:b/>
                <w:bCs/>
                <w:color w:val="FF0000"/>
              </w:rPr>
              <w:t>二、与</w:t>
            </w:r>
            <w:r>
              <w:rPr>
                <w:b/>
                <w:bCs/>
                <w:color w:val="FF0000"/>
              </w:rPr>
              <w:t>《河北魏县经济技术开发区总体规划</w:t>
            </w:r>
            <w:r>
              <w:rPr>
                <w:rFonts w:hint="eastAsia"/>
                <w:b/>
                <w:bCs/>
                <w:color w:val="FF0000"/>
              </w:rPr>
              <w:t>(2019-2030)</w:t>
            </w:r>
            <w:r>
              <w:rPr>
                <w:b/>
                <w:bCs/>
                <w:color w:val="FF0000"/>
              </w:rPr>
              <w:t>环境影响报告书》</w:t>
            </w:r>
            <w:r>
              <w:rPr>
                <w:rFonts w:hint="eastAsia"/>
                <w:b/>
                <w:bCs/>
                <w:color w:val="FF0000"/>
              </w:rPr>
              <w:t>对入园</w:t>
            </w:r>
            <w:r>
              <w:rPr>
                <w:b/>
                <w:bCs/>
                <w:color w:val="FF0000"/>
              </w:rPr>
              <w:t>区项目环境准入、环境污染防治措施和环境管理要求</w:t>
            </w:r>
            <w:r>
              <w:rPr>
                <w:rFonts w:hint="eastAsia"/>
                <w:b/>
                <w:bCs/>
                <w:color w:val="FF0000"/>
              </w:rPr>
              <w:t>的符合性分析见表1-1。</w:t>
            </w:r>
          </w:p>
          <w:p>
            <w:pPr>
              <w:pStyle w:val="2"/>
              <w:spacing w:line="480" w:lineRule="exact"/>
              <w:jc w:val="center"/>
              <w:rPr>
                <w:b/>
                <w:color w:val="FF0000"/>
              </w:rPr>
            </w:pPr>
            <w:r>
              <w:rPr>
                <w:rFonts w:hint="eastAsia"/>
                <w:b/>
                <w:color w:val="FF0000"/>
              </w:rPr>
              <w:t>表1-1 本项目</w:t>
            </w:r>
            <w:r>
              <w:rPr>
                <w:rFonts w:hint="eastAsia"/>
                <w:b/>
                <w:bCs/>
                <w:color w:val="FF0000"/>
              </w:rPr>
              <w:t>与</w:t>
            </w:r>
            <w:r>
              <w:rPr>
                <w:rFonts w:hint="eastAsia"/>
                <w:b/>
                <w:color w:val="FF0000"/>
              </w:rPr>
              <w:t>园区规划</w:t>
            </w:r>
            <w:r>
              <w:rPr>
                <w:b/>
                <w:color w:val="FF0000"/>
              </w:rPr>
              <w:t>环境准入、环境污染防治措施</w:t>
            </w:r>
          </w:p>
          <w:p>
            <w:pPr>
              <w:pStyle w:val="2"/>
              <w:spacing w:line="480" w:lineRule="exact"/>
              <w:jc w:val="center"/>
              <w:rPr>
                <w:b/>
                <w:color w:val="FF0000"/>
              </w:rPr>
            </w:pPr>
            <w:r>
              <w:rPr>
                <w:b/>
                <w:color w:val="FF0000"/>
              </w:rPr>
              <w:t>和环境管理要</w:t>
            </w:r>
            <w:r>
              <w:rPr>
                <w:rFonts w:hint="eastAsia" w:ascii="宋体" w:hAnsi="宋体" w:cs="宋体"/>
                <w:b/>
                <w:color w:val="FF0000"/>
              </w:rPr>
              <w:t>求符合性</w:t>
            </w:r>
            <w:r>
              <w:rPr>
                <w:rFonts w:hint="eastAsia" w:ascii="宋体" w:hAnsi="宋体" w:cs="宋体"/>
                <w:b/>
                <w:bCs/>
                <w:color w:val="FF0000"/>
              </w:rPr>
              <w:t>一览</w:t>
            </w:r>
            <w:r>
              <w:rPr>
                <w:rFonts w:hint="eastAsia" w:ascii="宋体" w:hAnsi="宋体" w:cs="宋体"/>
                <w:b/>
                <w:color w:val="FF0000"/>
              </w:rPr>
              <w:t>表</w:t>
            </w:r>
          </w:p>
          <w:tbl>
            <w:tblPr>
              <w:tblStyle w:val="2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111"/>
              <w:gridCol w:w="2616"/>
              <w:gridCol w:w="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17" w:type="pct"/>
                  <w:gridSpan w:val="2"/>
                  <w:vAlign w:val="center"/>
                </w:tcPr>
                <w:p>
                  <w:pPr>
                    <w:pStyle w:val="2"/>
                    <w:spacing w:line="260" w:lineRule="exact"/>
                    <w:jc w:val="center"/>
                    <w:rPr>
                      <w:b/>
                      <w:color w:val="FF0000"/>
                      <w:sz w:val="22"/>
                    </w:rPr>
                  </w:pPr>
                  <w:r>
                    <w:rPr>
                      <w:rFonts w:hint="eastAsia"/>
                      <w:b/>
                      <w:color w:val="FF0000"/>
                      <w:sz w:val="22"/>
                    </w:rPr>
                    <w:t>入园</w:t>
                  </w:r>
                  <w:r>
                    <w:rPr>
                      <w:b/>
                      <w:color w:val="FF0000"/>
                      <w:sz w:val="22"/>
                    </w:rPr>
                    <w:t>区项目环境准入、环境污染防治措施和环境管理</w:t>
                  </w:r>
                  <w:r>
                    <w:rPr>
                      <w:rFonts w:hint="eastAsia"/>
                      <w:b/>
                      <w:color w:val="FF0000"/>
                      <w:sz w:val="22"/>
                    </w:rPr>
                    <w:t>要点及要求</w:t>
                  </w:r>
                </w:p>
              </w:tc>
              <w:tc>
                <w:tcPr>
                  <w:tcW w:w="1801" w:type="pct"/>
                  <w:vAlign w:val="center"/>
                </w:tcPr>
                <w:p>
                  <w:pPr>
                    <w:pStyle w:val="2"/>
                    <w:spacing w:line="260" w:lineRule="exact"/>
                    <w:jc w:val="center"/>
                    <w:rPr>
                      <w:b/>
                      <w:color w:val="FF0000"/>
                      <w:sz w:val="22"/>
                    </w:rPr>
                  </w:pPr>
                  <w:r>
                    <w:rPr>
                      <w:rFonts w:hint="eastAsia"/>
                      <w:b/>
                      <w:color w:val="FF0000"/>
                      <w:sz w:val="22"/>
                    </w:rPr>
                    <w:t>本项目情况</w:t>
                  </w:r>
                </w:p>
              </w:tc>
              <w:tc>
                <w:tcPr>
                  <w:tcW w:w="582" w:type="pct"/>
                  <w:vAlign w:val="center"/>
                </w:tcPr>
                <w:p>
                  <w:pPr>
                    <w:pStyle w:val="2"/>
                    <w:spacing w:line="260" w:lineRule="exact"/>
                    <w:jc w:val="center"/>
                    <w:rPr>
                      <w:b/>
                      <w:color w:val="FF0000"/>
                      <w:sz w:val="22"/>
                    </w:rPr>
                  </w:pPr>
                  <w:r>
                    <w:rPr>
                      <w:rFonts w:hint="eastAsia"/>
                      <w:b/>
                      <w:color w:val="FF0000"/>
                      <w:sz w:val="22"/>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pStyle w:val="2"/>
                    <w:spacing w:line="260" w:lineRule="exact"/>
                    <w:jc w:val="center"/>
                    <w:rPr>
                      <w:color w:val="FF0000"/>
                      <w:sz w:val="22"/>
                    </w:rPr>
                  </w:pPr>
                  <w:r>
                    <w:rPr>
                      <w:color w:val="FF0000"/>
                      <w:sz w:val="22"/>
                    </w:rPr>
                    <w:t>选址</w:t>
                  </w:r>
                </w:p>
              </w:tc>
              <w:tc>
                <w:tcPr>
                  <w:tcW w:w="2142" w:type="pct"/>
                  <w:vAlign w:val="center"/>
                </w:tcPr>
                <w:p>
                  <w:pPr>
                    <w:pStyle w:val="2"/>
                    <w:spacing w:line="260" w:lineRule="exact"/>
                    <w:jc w:val="center"/>
                    <w:rPr>
                      <w:color w:val="FF0000"/>
                      <w:sz w:val="22"/>
                    </w:rPr>
                  </w:pPr>
                  <w:r>
                    <w:rPr>
                      <w:color w:val="FF0000"/>
                      <w:sz w:val="22"/>
                    </w:rPr>
                    <w:t>建立入园项目评估制度，由园区管委会组织安全、节能、环保、管理、循环 经济等方面的专家，对入园项目的土地利用率、工艺先进性、安全风险、污染控制、能源消耗、资源利用、经济效益等进行综合评估</w:t>
                  </w:r>
                </w:p>
              </w:tc>
              <w:tc>
                <w:tcPr>
                  <w:tcW w:w="1801" w:type="pct"/>
                  <w:vAlign w:val="center"/>
                </w:tcPr>
                <w:p>
                  <w:pPr>
                    <w:pStyle w:val="2"/>
                    <w:spacing w:line="260" w:lineRule="exact"/>
                    <w:jc w:val="center"/>
                    <w:rPr>
                      <w:color w:val="FF0000"/>
                      <w:sz w:val="22"/>
                    </w:rPr>
                  </w:pPr>
                  <w:r>
                    <w:rPr>
                      <w:color w:val="FF0000"/>
                      <w:sz w:val="22"/>
                    </w:rPr>
                    <w:t>园区管委会</w:t>
                  </w:r>
                  <w:r>
                    <w:rPr>
                      <w:rFonts w:hint="eastAsia"/>
                      <w:color w:val="FF0000"/>
                      <w:sz w:val="22"/>
                    </w:rPr>
                    <w:t>已对本项目</w:t>
                  </w:r>
                  <w:r>
                    <w:rPr>
                      <w:color w:val="FF0000"/>
                      <w:sz w:val="22"/>
                    </w:rPr>
                    <w:t>土地利用率、工艺先进性、安全风险、污染控制、能源消耗、资源利用、经济效益等进行综合评估</w:t>
                  </w:r>
                  <w:r>
                    <w:rPr>
                      <w:rFonts w:hint="eastAsia"/>
                      <w:color w:val="FF0000"/>
                      <w:sz w:val="22"/>
                    </w:rPr>
                    <w:t>，</w:t>
                  </w:r>
                  <w:r>
                    <w:rPr>
                      <w:bCs/>
                      <w:color w:val="FF0000"/>
                      <w:sz w:val="22"/>
                    </w:rPr>
                    <w:t>魏县行政审批局</w:t>
                  </w:r>
                  <w:r>
                    <w:rPr>
                      <w:rFonts w:hint="eastAsia"/>
                      <w:color w:val="FF0000"/>
                      <w:sz w:val="22"/>
                    </w:rPr>
                    <w:t>已为本项目出具备案（</w:t>
                  </w:r>
                  <w:r>
                    <w:rPr>
                      <w:bCs/>
                      <w:color w:val="FF0000"/>
                      <w:sz w:val="22"/>
                    </w:rPr>
                    <w:t>魏投资备案(202</w:t>
                  </w:r>
                  <w:r>
                    <w:rPr>
                      <w:rFonts w:hint="eastAsia"/>
                      <w:bCs/>
                      <w:color w:val="FF0000"/>
                      <w:sz w:val="22"/>
                    </w:rPr>
                    <w:t>1</w:t>
                  </w:r>
                  <w:r>
                    <w:rPr>
                      <w:bCs/>
                      <w:color w:val="FF0000"/>
                      <w:sz w:val="22"/>
                    </w:rPr>
                    <w:t>)</w:t>
                  </w:r>
                  <w:r>
                    <w:rPr>
                      <w:rFonts w:hint="eastAsia"/>
                      <w:bCs/>
                      <w:color w:val="FF0000"/>
                      <w:sz w:val="22"/>
                    </w:rPr>
                    <w:t>37</w:t>
                  </w:r>
                  <w:r>
                    <w:rPr>
                      <w:bCs/>
                      <w:color w:val="FF0000"/>
                      <w:sz w:val="22"/>
                    </w:rPr>
                    <w:t>号</w:t>
                  </w:r>
                  <w:r>
                    <w:rPr>
                      <w:rFonts w:hint="eastAsia"/>
                      <w:bCs/>
                      <w:color w:val="FF0000"/>
                      <w:sz w:val="22"/>
                    </w:rPr>
                    <w:t>，见附件1</w:t>
                  </w:r>
                  <w:r>
                    <w:rPr>
                      <w:rFonts w:hint="eastAsia"/>
                      <w:color w:val="FF0000"/>
                      <w:sz w:val="22"/>
                    </w:rPr>
                    <w:t>），且本项目已被列入</w:t>
                  </w:r>
                  <w:r>
                    <w:rPr>
                      <w:rFonts w:hint="eastAsia"/>
                      <w:bCs/>
                      <w:color w:val="FF0000"/>
                      <w:sz w:val="22"/>
                    </w:rPr>
                    <w:t>邯郸市2021年重点项目名单（</w:t>
                  </w:r>
                  <w:r>
                    <w:rPr>
                      <w:rFonts w:hint="eastAsia"/>
                      <w:color w:val="FF0000"/>
                      <w:sz w:val="22"/>
                    </w:rPr>
                    <w:t>见</w:t>
                  </w:r>
                  <w:r>
                    <w:rPr>
                      <w:rFonts w:hint="eastAsia"/>
                      <w:bCs/>
                      <w:color w:val="FF0000"/>
                      <w:sz w:val="22"/>
                    </w:rPr>
                    <w:t>附件5）</w:t>
                  </w:r>
                  <w:r>
                    <w:rPr>
                      <w:rFonts w:hint="eastAsia"/>
                      <w:color w:val="FF0000"/>
                      <w:sz w:val="22"/>
                    </w:rPr>
                    <w:t>。</w:t>
                  </w:r>
                </w:p>
              </w:tc>
              <w:tc>
                <w:tcPr>
                  <w:tcW w:w="582" w:type="pct"/>
                  <w:vAlign w:val="center"/>
                </w:tcPr>
                <w:p>
                  <w:pPr>
                    <w:pStyle w:val="2"/>
                    <w:spacing w:line="260" w:lineRule="exact"/>
                    <w:jc w:val="center"/>
                    <w:rPr>
                      <w:color w:val="FF0000"/>
                      <w:sz w:val="22"/>
                    </w:rPr>
                  </w:pPr>
                  <w:r>
                    <w:rPr>
                      <w:rFonts w:hint="eastAsia"/>
                      <w:color w:val="FF0000"/>
                      <w:sz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pStyle w:val="2"/>
                    <w:spacing w:line="260" w:lineRule="exact"/>
                    <w:jc w:val="center"/>
                    <w:rPr>
                      <w:color w:val="FF0000"/>
                      <w:sz w:val="22"/>
                    </w:rPr>
                  </w:pPr>
                  <w:r>
                    <w:rPr>
                      <w:color w:val="FF0000"/>
                      <w:sz w:val="22"/>
                    </w:rPr>
                    <w:t>规模</w:t>
                  </w:r>
                </w:p>
              </w:tc>
              <w:tc>
                <w:tcPr>
                  <w:tcW w:w="2142" w:type="pct"/>
                  <w:vAlign w:val="center"/>
                </w:tcPr>
                <w:p>
                  <w:pPr>
                    <w:pStyle w:val="2"/>
                    <w:spacing w:line="260" w:lineRule="exact"/>
                    <w:jc w:val="center"/>
                    <w:rPr>
                      <w:color w:val="FF0000"/>
                      <w:sz w:val="22"/>
                    </w:rPr>
                  </w:pPr>
                  <w:r>
                    <w:rPr>
                      <w:color w:val="FF0000"/>
                      <w:sz w:val="22"/>
                    </w:rPr>
                    <w:t>入园项目需符合产业政策和行业规范（准入）条件要求，根据《产业结构调 整指导目录》、《外商投资产业指导目录》和《产业转移指导目录》，支持鼓励类项目进入园区，禁止新增限制类项目产能（搬迁改造升级项目除外），落后工艺或落后产品应予以淘汰</w:t>
                  </w:r>
                </w:p>
              </w:tc>
              <w:tc>
                <w:tcPr>
                  <w:tcW w:w="1801" w:type="pct"/>
                  <w:vAlign w:val="center"/>
                </w:tcPr>
                <w:p>
                  <w:pPr>
                    <w:pStyle w:val="2"/>
                    <w:spacing w:line="260" w:lineRule="exact"/>
                    <w:jc w:val="center"/>
                    <w:rPr>
                      <w:color w:val="FF0000"/>
                      <w:sz w:val="22"/>
                    </w:rPr>
                  </w:pPr>
                  <w:r>
                    <w:rPr>
                      <w:rFonts w:hint="eastAsia"/>
                      <w:color w:val="FF0000"/>
                      <w:sz w:val="22"/>
                    </w:rPr>
                    <w:t>本项目设备、产品和工艺未列入《产业结构调整指导目录（2019 年本）》中规定的限制类、淘汰类，且未列入《河北省新增限制和淘汰类产业目录（2015年版）》(冀政办发〔2015]7号)</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475" w:type="pct"/>
                  <w:vAlign w:val="center"/>
                </w:tcPr>
                <w:p>
                  <w:pPr>
                    <w:pStyle w:val="2"/>
                    <w:spacing w:line="260" w:lineRule="exact"/>
                    <w:jc w:val="center"/>
                    <w:rPr>
                      <w:color w:val="FF0000"/>
                      <w:sz w:val="22"/>
                    </w:rPr>
                  </w:pPr>
                  <w:r>
                    <w:rPr>
                      <w:color w:val="FF0000"/>
                      <w:sz w:val="22"/>
                    </w:rPr>
                    <w:t>清洁生产水平、节能减排</w:t>
                  </w:r>
                </w:p>
              </w:tc>
              <w:tc>
                <w:tcPr>
                  <w:tcW w:w="2142" w:type="pct"/>
                  <w:vAlign w:val="center"/>
                </w:tcPr>
                <w:p>
                  <w:pPr>
                    <w:pStyle w:val="2"/>
                    <w:spacing w:line="260" w:lineRule="exact"/>
                    <w:jc w:val="center"/>
                    <w:rPr>
                      <w:color w:val="FF0000"/>
                      <w:sz w:val="22"/>
                    </w:rPr>
                  </w:pPr>
                  <w:r>
                    <w:rPr>
                      <w:color w:val="FF0000"/>
                      <w:sz w:val="22"/>
                    </w:rPr>
                    <w:t>推行清洁生产、坚持高科技、精细化、生态型、循环式的发展方向，推进技术创新、优化产业机构、发展循环经济</w:t>
                  </w:r>
                </w:p>
              </w:tc>
              <w:tc>
                <w:tcPr>
                  <w:tcW w:w="1801" w:type="pct"/>
                  <w:vAlign w:val="center"/>
                </w:tcPr>
                <w:p>
                  <w:pPr>
                    <w:pStyle w:val="2"/>
                    <w:spacing w:line="260" w:lineRule="exact"/>
                    <w:jc w:val="center"/>
                    <w:rPr>
                      <w:color w:val="FF0000"/>
                      <w:sz w:val="22"/>
                    </w:rPr>
                  </w:pPr>
                  <w:r>
                    <w:rPr>
                      <w:rFonts w:hint="eastAsia"/>
                      <w:color w:val="FF0000"/>
                      <w:sz w:val="22"/>
                    </w:rPr>
                    <w:t>本项目不属于</w:t>
                  </w:r>
                  <w:r>
                    <w:rPr>
                      <w:color w:val="FF0000"/>
                      <w:sz w:val="22"/>
                    </w:rPr>
                    <w:t>高水耗、高物耗、高能耗的项目</w:t>
                  </w:r>
                  <w:r>
                    <w:rPr>
                      <w:rFonts w:hint="eastAsia"/>
                      <w:color w:val="FF0000"/>
                      <w:sz w:val="22"/>
                    </w:rPr>
                    <w:t>，本项目设备、产品和工艺未列入《产业结构调整指导目录（2019 年本）》中规定的限制类、淘汰类，且未列入《河北省新增限制和淘汰类产业目录（2015年版）》(冀政办发〔2015]7号)</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pStyle w:val="2"/>
                    <w:spacing w:line="260" w:lineRule="exact"/>
                    <w:jc w:val="center"/>
                    <w:rPr>
                      <w:color w:val="FF0000"/>
                      <w:sz w:val="22"/>
                    </w:rPr>
                  </w:pPr>
                  <w:r>
                    <w:rPr>
                      <w:color w:val="FF0000"/>
                      <w:sz w:val="22"/>
                    </w:rPr>
                    <w:t>污染防治措施建设</w:t>
                  </w:r>
                </w:p>
              </w:tc>
              <w:tc>
                <w:tcPr>
                  <w:tcW w:w="2142" w:type="pct"/>
                  <w:vAlign w:val="center"/>
                </w:tcPr>
                <w:p>
                  <w:pPr>
                    <w:pStyle w:val="2"/>
                    <w:spacing w:line="260" w:lineRule="exact"/>
                    <w:jc w:val="center"/>
                    <w:rPr>
                      <w:color w:val="FF0000"/>
                      <w:sz w:val="22"/>
                    </w:rPr>
                  </w:pPr>
                  <w:r>
                    <w:rPr>
                      <w:color w:val="FF0000"/>
                      <w:sz w:val="22"/>
                    </w:rPr>
                    <w:t>建设集中式污水处理厂及配套管网，实现废水分类收集、分质预处理，采用专管或明管输送。加强对废气尤其是有毒及恶臭气体的收集和处置，严格控制挥发性有机物（VOCs）排放。对固体废物和危险废物进行妥善处置，规范危险废 物运输管理。 参照《大气污染防治先进技术汇编》、《“十三五”挥发性有机物污染防治工作 方案》、《2018 年国家先进污染防治技术目录（大气污染防治领域）（公示稿）》 以及参照相关行业污染防治技术政策等，本次评价要求本园区涉及有机废气排放的企业不得使用单一活性炭吸附、光氧催化、低温等离子处理工艺，建议采用催化燃烧设备</w:t>
                  </w:r>
                </w:p>
              </w:tc>
              <w:tc>
                <w:tcPr>
                  <w:tcW w:w="1801" w:type="pct"/>
                  <w:vAlign w:val="center"/>
                </w:tcPr>
                <w:p>
                  <w:pPr>
                    <w:pStyle w:val="2"/>
                    <w:spacing w:line="260" w:lineRule="exact"/>
                    <w:jc w:val="center"/>
                    <w:rPr>
                      <w:color w:val="FF0000"/>
                      <w:sz w:val="22"/>
                    </w:rPr>
                  </w:pPr>
                  <w:r>
                    <w:rPr>
                      <w:rFonts w:hint="eastAsia"/>
                      <w:b/>
                      <w:color w:val="FF0000"/>
                      <w:sz w:val="22"/>
                    </w:rPr>
                    <w:t>废水：</w:t>
                  </w:r>
                  <w:r>
                    <w:rPr>
                      <w:rFonts w:hint="eastAsia"/>
                      <w:color w:val="FF0000"/>
                      <w:sz w:val="22"/>
                    </w:rPr>
                    <w:t>本项目</w:t>
                  </w:r>
                  <w:r>
                    <w:rPr>
                      <w:color w:val="FF0000"/>
                      <w:sz w:val="22"/>
                    </w:rPr>
                    <w:t>生活污水经化粪池处理、食堂废水经隔油池处理后经管网进入魏县开发区污水处理厂</w:t>
                  </w:r>
                  <w:r>
                    <w:rPr>
                      <w:rFonts w:hint="eastAsia"/>
                      <w:color w:val="FF0000"/>
                      <w:sz w:val="22"/>
                    </w:rPr>
                    <w:t>处理；漆雾喷淋</w:t>
                  </w:r>
                  <w:r>
                    <w:rPr>
                      <w:color w:val="FF0000"/>
                      <w:sz w:val="22"/>
                    </w:rPr>
                    <w:t>废水</w:t>
                  </w:r>
                  <w:r>
                    <w:rPr>
                      <w:rFonts w:hint="eastAsia"/>
                      <w:color w:val="FF0000"/>
                      <w:sz w:val="22"/>
                    </w:rPr>
                    <w:t>经沉淀后循环使用，不外排；</w:t>
                  </w:r>
                </w:p>
                <w:p>
                  <w:pPr>
                    <w:pStyle w:val="2"/>
                    <w:spacing w:line="260" w:lineRule="exact"/>
                    <w:jc w:val="center"/>
                    <w:rPr>
                      <w:color w:val="FF0000"/>
                      <w:sz w:val="22"/>
                    </w:rPr>
                  </w:pPr>
                  <w:r>
                    <w:rPr>
                      <w:rFonts w:hint="eastAsia"/>
                      <w:b/>
                      <w:color w:val="FF0000"/>
                      <w:sz w:val="22"/>
                    </w:rPr>
                    <w:t>废气：</w:t>
                  </w:r>
                  <w:r>
                    <w:rPr>
                      <w:color w:val="FF0000"/>
                      <w:sz w:val="22"/>
                    </w:rPr>
                    <w:t>食堂油烟</w:t>
                  </w:r>
                  <w:r>
                    <w:rPr>
                      <w:rFonts w:hint="eastAsia"/>
                      <w:color w:val="FF0000"/>
                      <w:sz w:val="22"/>
                    </w:rPr>
                    <w:t>经</w:t>
                  </w:r>
                  <w:r>
                    <w:rPr>
                      <w:color w:val="FF0000"/>
                      <w:sz w:val="22"/>
                    </w:rPr>
                    <w:t>高效油烟器净化器处理</w:t>
                  </w:r>
                  <w:r>
                    <w:rPr>
                      <w:rFonts w:hint="eastAsia"/>
                      <w:color w:val="FF0000"/>
                      <w:sz w:val="22"/>
                    </w:rPr>
                    <w:t>；</w:t>
                  </w:r>
                </w:p>
                <w:p>
                  <w:pPr>
                    <w:pStyle w:val="2"/>
                    <w:spacing w:line="260" w:lineRule="exact"/>
                    <w:jc w:val="center"/>
                    <w:rPr>
                      <w:color w:val="FF0000"/>
                      <w:sz w:val="22"/>
                    </w:rPr>
                  </w:pPr>
                  <w:r>
                    <w:rPr>
                      <w:color w:val="FF0000"/>
                      <w:sz w:val="22"/>
                    </w:rPr>
                    <w:t>抛丸废气</w:t>
                  </w:r>
                  <w:r>
                    <w:rPr>
                      <w:rFonts w:hint="eastAsia"/>
                      <w:color w:val="FF0000"/>
                      <w:sz w:val="22"/>
                    </w:rPr>
                    <w:t>经</w:t>
                  </w:r>
                  <w:r>
                    <w:rPr>
                      <w:color w:val="FF0000"/>
                      <w:sz w:val="22"/>
                    </w:rPr>
                    <w:t>布袋除尘器</w:t>
                  </w:r>
                  <w:r>
                    <w:rPr>
                      <w:rFonts w:hint="eastAsia"/>
                      <w:color w:val="FF0000"/>
                      <w:sz w:val="22"/>
                    </w:rPr>
                    <w:t>处理后由1根</w:t>
                  </w:r>
                  <w:r>
                    <w:rPr>
                      <w:color w:val="FF0000"/>
                      <w:sz w:val="22"/>
                    </w:rPr>
                    <w:t>15m排气筒</w:t>
                  </w:r>
                  <w:r>
                    <w:rPr>
                      <w:rFonts w:hint="eastAsia"/>
                      <w:color w:val="FF0000"/>
                      <w:sz w:val="22"/>
                    </w:rPr>
                    <w:t>排放；</w:t>
                  </w:r>
                  <w:r>
                    <w:rPr>
                      <w:color w:val="FF0000"/>
                      <w:sz w:val="22"/>
                    </w:rPr>
                    <w:t>焊接废气</w:t>
                  </w:r>
                  <w:r>
                    <w:rPr>
                      <w:rFonts w:hint="eastAsia"/>
                      <w:color w:val="FF0000"/>
                      <w:sz w:val="22"/>
                    </w:rPr>
                    <w:t>经集气罩收集后分别送2套</w:t>
                  </w:r>
                  <w:r>
                    <w:rPr>
                      <w:color w:val="FF0000"/>
                      <w:sz w:val="22"/>
                    </w:rPr>
                    <w:t>布袋除尘器</w:t>
                  </w:r>
                  <w:r>
                    <w:rPr>
                      <w:rFonts w:hint="eastAsia"/>
                      <w:color w:val="FF0000"/>
                      <w:sz w:val="22"/>
                    </w:rPr>
                    <w:t>处理，由2根</w:t>
                  </w:r>
                  <w:r>
                    <w:rPr>
                      <w:color w:val="FF0000"/>
                      <w:sz w:val="22"/>
                    </w:rPr>
                    <w:t>15m排气筒</w:t>
                  </w:r>
                  <w:r>
                    <w:rPr>
                      <w:rFonts w:hint="eastAsia"/>
                      <w:color w:val="FF0000"/>
                      <w:sz w:val="22"/>
                    </w:rPr>
                    <w:t>排放；</w:t>
                  </w:r>
                </w:p>
                <w:p>
                  <w:pPr>
                    <w:pStyle w:val="2"/>
                    <w:spacing w:line="260" w:lineRule="exact"/>
                    <w:jc w:val="center"/>
                    <w:rPr>
                      <w:color w:val="FF0000"/>
                      <w:sz w:val="22"/>
                    </w:rPr>
                  </w:pPr>
                  <w:r>
                    <w:rPr>
                      <w:rFonts w:hint="eastAsia"/>
                      <w:color w:val="FF0000"/>
                      <w:sz w:val="22"/>
                    </w:rPr>
                    <w:t>喷漆、烘干废气经“水帘+催化燃烧”装置处理后，由1根15米高排气筒排放，本项目不涉及有毒气体。</w:t>
                  </w:r>
                </w:p>
                <w:p>
                  <w:pPr>
                    <w:pStyle w:val="2"/>
                    <w:spacing w:line="260" w:lineRule="exact"/>
                    <w:jc w:val="center"/>
                    <w:rPr>
                      <w:color w:val="FF0000"/>
                      <w:sz w:val="22"/>
                    </w:rPr>
                  </w:pPr>
                  <w:r>
                    <w:rPr>
                      <w:rFonts w:hint="eastAsia"/>
                      <w:b/>
                      <w:color w:val="FF0000"/>
                      <w:sz w:val="22"/>
                    </w:rPr>
                    <w:t>固废：</w:t>
                  </w:r>
                  <w:r>
                    <w:rPr>
                      <w:rFonts w:hint="eastAsia"/>
                      <w:color w:val="FF0000"/>
                      <w:sz w:val="22"/>
                    </w:rPr>
                    <w:t>切割、机加工过程产生的边角料和金属废料、除尘器收集的除尘灰收集后外售；废漆渣、废漆桶由厂家回收；生活垃圾、含油废抹布经收集后，交环卫部门统一处理；废切削液、废液压油委托资质单位处置。</w:t>
                  </w:r>
                </w:p>
              </w:tc>
              <w:tc>
                <w:tcPr>
                  <w:tcW w:w="582" w:type="pct"/>
                  <w:vAlign w:val="center"/>
                </w:tcPr>
                <w:p>
                  <w:pPr>
                    <w:jc w:val="center"/>
                    <w:rPr>
                      <w:color w:val="FF0000"/>
                      <w:sz w:val="22"/>
                      <w:szCs w:val="22"/>
                    </w:rPr>
                  </w:pPr>
                  <w:r>
                    <w:rPr>
                      <w:rFonts w:hint="eastAsia"/>
                      <w:color w:val="FF0000"/>
                      <w:sz w:val="22"/>
                      <w:szCs w:val="22"/>
                    </w:rPr>
                    <w:t>符合</w:t>
                  </w:r>
                </w:p>
              </w:tc>
            </w:tr>
          </w:tbl>
          <w:p>
            <w:pPr>
              <w:pStyle w:val="2"/>
              <w:spacing w:line="480" w:lineRule="exact"/>
              <w:rPr>
                <w:color w:val="FF0000"/>
              </w:rPr>
            </w:pPr>
            <w:r>
              <w:rPr>
                <w:rFonts w:hint="eastAsia"/>
                <w:color w:val="FF0000"/>
              </w:rPr>
              <w:t xml:space="preserve">    综上，本项目满足规划环境影响评价</w:t>
            </w:r>
            <w:r>
              <w:rPr>
                <w:bCs/>
                <w:color w:val="FF0000"/>
              </w:rPr>
              <w:t>环境准入、环境污染防治措施和环境管理要求</w:t>
            </w:r>
            <w:r>
              <w:rPr>
                <w:rFonts w:hint="eastAsia"/>
                <w:color w:val="FF0000"/>
              </w:rPr>
              <w:t>。</w:t>
            </w:r>
          </w:p>
          <w:p>
            <w:pPr>
              <w:pStyle w:val="2"/>
              <w:spacing w:line="480" w:lineRule="exact"/>
              <w:rPr>
                <w:b/>
                <w:bCs/>
                <w:color w:val="FF0000"/>
              </w:rPr>
            </w:pPr>
            <w:r>
              <w:rPr>
                <w:rFonts w:hint="eastAsia"/>
                <w:b/>
                <w:bCs/>
                <w:color w:val="FF0000"/>
              </w:rPr>
              <w:t>三、与规划审查意见的符合性分析</w:t>
            </w:r>
          </w:p>
          <w:p>
            <w:pPr>
              <w:pStyle w:val="2"/>
              <w:spacing w:line="480" w:lineRule="exact"/>
              <w:jc w:val="both"/>
              <w:rPr>
                <w:color w:val="FF0000"/>
              </w:rPr>
            </w:pPr>
            <w:r>
              <w:rPr>
                <w:rFonts w:hint="eastAsia"/>
                <w:color w:val="FF0000"/>
              </w:rPr>
              <w:t xml:space="preserve">    对照</w:t>
            </w:r>
            <w:r>
              <w:rPr>
                <w:color w:val="FF0000"/>
              </w:rPr>
              <w:t>《关于转送河北魏县经济开发区总体规划</w:t>
            </w:r>
            <w:r>
              <w:rPr>
                <w:rFonts w:hint="eastAsia"/>
                <w:color w:val="FF0000"/>
              </w:rPr>
              <w:t>(2019-2030)</w:t>
            </w:r>
            <w:r>
              <w:rPr>
                <w:color w:val="FF0000"/>
              </w:rPr>
              <w:t>环境影响报告书审查意见的函》</w:t>
            </w:r>
            <w:r>
              <w:rPr>
                <w:rFonts w:hint="eastAsia"/>
                <w:color w:val="FF0000"/>
              </w:rPr>
              <w:t>（</w:t>
            </w:r>
            <w:r>
              <w:rPr>
                <w:color w:val="FF0000"/>
              </w:rPr>
              <w:t>冀环环评函[20</w:t>
            </w:r>
            <w:r>
              <w:rPr>
                <w:rFonts w:hint="eastAsia"/>
                <w:color w:val="FF0000"/>
              </w:rPr>
              <w:t>21</w:t>
            </w:r>
            <w:r>
              <w:rPr>
                <w:color w:val="FF0000"/>
              </w:rPr>
              <w:t>]</w:t>
            </w:r>
            <w:r>
              <w:rPr>
                <w:rFonts w:hint="eastAsia"/>
                <w:color w:val="FF0000"/>
              </w:rPr>
              <w:t>549</w:t>
            </w:r>
            <w:r>
              <w:rPr>
                <w:color w:val="FF0000"/>
              </w:rPr>
              <w:t>号</w:t>
            </w:r>
            <w:r>
              <w:rPr>
                <w:rFonts w:hint="eastAsia"/>
                <w:color w:val="FF0000"/>
              </w:rPr>
              <w:t>），本项目</w:t>
            </w:r>
            <w:r>
              <w:rPr>
                <w:rFonts w:hint="eastAsia"/>
                <w:bCs/>
                <w:color w:val="FF0000"/>
              </w:rPr>
              <w:t>与规划审查意见的符合性对比见表1-2</w:t>
            </w:r>
            <w:r>
              <w:rPr>
                <w:rFonts w:hint="eastAsia"/>
                <w:color w:val="FF0000"/>
              </w:rPr>
              <w:t>。</w:t>
            </w:r>
          </w:p>
          <w:p>
            <w:pPr>
              <w:pStyle w:val="2"/>
              <w:spacing w:line="480" w:lineRule="exact"/>
              <w:jc w:val="center"/>
              <w:rPr>
                <w:rFonts w:ascii="宋体" w:hAnsi="宋体" w:cs="宋体"/>
                <w:b/>
                <w:color w:val="FF0000"/>
              </w:rPr>
            </w:pPr>
            <w:r>
              <w:rPr>
                <w:rFonts w:hint="eastAsia"/>
                <w:b/>
                <w:color w:val="FF0000"/>
              </w:rPr>
              <w:t>表1-2   本项目</w:t>
            </w:r>
            <w:r>
              <w:rPr>
                <w:rFonts w:hint="eastAsia"/>
                <w:b/>
                <w:bCs/>
                <w:color w:val="FF0000"/>
              </w:rPr>
              <w:t>与规划审查意见的符合性一览表</w:t>
            </w:r>
          </w:p>
          <w:tbl>
            <w:tblPr>
              <w:tblStyle w:val="2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3497"/>
              <w:gridCol w:w="2414"/>
              <w:gridCol w:w="8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b/>
                      <w:color w:val="FF0000"/>
                      <w:sz w:val="22"/>
                    </w:rPr>
                  </w:pPr>
                  <w:r>
                    <w:rPr>
                      <w:rFonts w:hint="eastAsia"/>
                      <w:b/>
                      <w:color w:val="FF0000"/>
                      <w:sz w:val="22"/>
                    </w:rPr>
                    <w:t>序号</w:t>
                  </w:r>
                </w:p>
              </w:tc>
              <w:tc>
                <w:tcPr>
                  <w:tcW w:w="2408" w:type="pct"/>
                  <w:vAlign w:val="center"/>
                </w:tcPr>
                <w:p>
                  <w:pPr>
                    <w:pStyle w:val="2"/>
                    <w:spacing w:line="260" w:lineRule="exact"/>
                    <w:jc w:val="center"/>
                    <w:rPr>
                      <w:b/>
                      <w:color w:val="FF0000"/>
                      <w:sz w:val="22"/>
                    </w:rPr>
                  </w:pPr>
                  <w:r>
                    <w:rPr>
                      <w:b/>
                      <w:color w:val="FF0000"/>
                      <w:sz w:val="22"/>
                    </w:rPr>
                    <w:t>规划经济开发区项目准入原则</w:t>
                  </w:r>
                  <w:r>
                    <w:rPr>
                      <w:rFonts w:hint="eastAsia"/>
                      <w:b/>
                      <w:color w:val="FF0000"/>
                      <w:sz w:val="22"/>
                    </w:rPr>
                    <w:t>要点</w:t>
                  </w:r>
                </w:p>
              </w:tc>
              <w:tc>
                <w:tcPr>
                  <w:tcW w:w="1662" w:type="pct"/>
                  <w:vAlign w:val="center"/>
                </w:tcPr>
                <w:p>
                  <w:pPr>
                    <w:pStyle w:val="2"/>
                    <w:spacing w:line="260" w:lineRule="exact"/>
                    <w:jc w:val="center"/>
                    <w:rPr>
                      <w:b/>
                      <w:color w:val="FF0000"/>
                      <w:sz w:val="22"/>
                    </w:rPr>
                  </w:pPr>
                  <w:r>
                    <w:rPr>
                      <w:rFonts w:hint="eastAsia"/>
                      <w:b/>
                      <w:color w:val="FF0000"/>
                      <w:sz w:val="22"/>
                    </w:rPr>
                    <w:t>本项目情况</w:t>
                  </w:r>
                </w:p>
              </w:tc>
              <w:tc>
                <w:tcPr>
                  <w:tcW w:w="582" w:type="pct"/>
                  <w:vAlign w:val="center"/>
                </w:tcPr>
                <w:p>
                  <w:pPr>
                    <w:pStyle w:val="2"/>
                    <w:spacing w:line="260" w:lineRule="exact"/>
                    <w:jc w:val="center"/>
                    <w:rPr>
                      <w:b/>
                      <w:color w:val="FF0000"/>
                      <w:sz w:val="22"/>
                    </w:rPr>
                  </w:pPr>
                  <w:r>
                    <w:rPr>
                      <w:rFonts w:hint="eastAsia"/>
                      <w:b/>
                      <w:color w:val="FF0000"/>
                      <w:sz w:val="22"/>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color w:val="FF0000"/>
                      <w:sz w:val="22"/>
                    </w:rPr>
                  </w:pPr>
                  <w:r>
                    <w:rPr>
                      <w:rFonts w:hint="eastAsia"/>
                      <w:color w:val="FF0000"/>
                      <w:sz w:val="22"/>
                    </w:rPr>
                    <w:t>1</w:t>
                  </w:r>
                </w:p>
              </w:tc>
              <w:tc>
                <w:tcPr>
                  <w:tcW w:w="2408" w:type="pct"/>
                  <w:vAlign w:val="center"/>
                </w:tcPr>
                <w:p>
                  <w:pPr>
                    <w:pStyle w:val="2"/>
                    <w:spacing w:line="260" w:lineRule="exact"/>
                    <w:jc w:val="center"/>
                    <w:rPr>
                      <w:color w:val="FF0000"/>
                      <w:sz w:val="22"/>
                    </w:rPr>
                  </w:pPr>
                  <w:r>
                    <w:rPr>
                      <w:rFonts w:hint="eastAsia"/>
                      <w:color w:val="FF0000"/>
                      <w:sz w:val="22"/>
                    </w:rPr>
                    <w:t>严格环境准入,推动产业转型升级和绿色发展。按照环评报告书提出的“三线一单”管理要求,入区企业应符合《关于促进京津冀地区经济社会与生态环境保护协调发展的指导意见》(环办环评〔2018]24号)、《产业结构调整指导目录(2019年本)》、《河北省新增限制和淘汰类产业目录(2015年本)》(冀政办发〔2015]7号)等文件规定要求,落实环评报告中生态环境准入清单要求</w:t>
                  </w:r>
                </w:p>
              </w:tc>
              <w:tc>
                <w:tcPr>
                  <w:tcW w:w="1662" w:type="pct"/>
                  <w:vAlign w:val="center"/>
                </w:tcPr>
                <w:p>
                  <w:pPr>
                    <w:pStyle w:val="2"/>
                    <w:spacing w:line="260" w:lineRule="exact"/>
                    <w:jc w:val="center"/>
                    <w:rPr>
                      <w:color w:val="FF0000"/>
                      <w:sz w:val="22"/>
                    </w:rPr>
                  </w:pPr>
                  <w:r>
                    <w:rPr>
                      <w:rFonts w:hint="eastAsia"/>
                      <w:color w:val="FF0000"/>
                      <w:sz w:val="22"/>
                    </w:rPr>
                    <w:t>本项目符合《关于促进京津冀地区经济社会与生态环境保护协调发展的指导意见》(环办环评〔2018]24号)，未列入《产业结构调整指导目录（2019 年本）》中规定的限制类、淘汰类，且未列入《河北省新增限制和淘汰类产业目录（2015年版）》(冀政办发〔2015]7号)中，本项目符合</w:t>
                  </w:r>
                  <w:r>
                    <w:rPr>
                      <w:bCs/>
                      <w:color w:val="FF0000"/>
                      <w:sz w:val="22"/>
                    </w:rPr>
                    <w:t>魏县经济开发区</w:t>
                  </w:r>
                  <w:r>
                    <w:rPr>
                      <w:rFonts w:hint="eastAsia"/>
                      <w:color w:val="FF0000"/>
                      <w:sz w:val="22"/>
                    </w:rPr>
                    <w:t>“三线一单”管理要求，本项目已被列入</w:t>
                  </w:r>
                  <w:r>
                    <w:rPr>
                      <w:rFonts w:hint="eastAsia"/>
                      <w:bCs/>
                      <w:color w:val="FF0000"/>
                      <w:sz w:val="22"/>
                    </w:rPr>
                    <w:t>邯郸市2021年重点项目名单（</w:t>
                  </w:r>
                  <w:r>
                    <w:rPr>
                      <w:rFonts w:hint="eastAsia"/>
                      <w:color w:val="FF0000"/>
                      <w:sz w:val="22"/>
                    </w:rPr>
                    <w:t>见</w:t>
                  </w:r>
                  <w:r>
                    <w:rPr>
                      <w:rFonts w:hint="eastAsia"/>
                      <w:bCs/>
                      <w:color w:val="FF0000"/>
                      <w:sz w:val="22"/>
                    </w:rPr>
                    <w:t>附件5）</w:t>
                  </w:r>
                  <w:r>
                    <w:rPr>
                      <w:rFonts w:hint="eastAsia"/>
                      <w:color w:val="FF0000"/>
                      <w:sz w:val="22"/>
                    </w:rPr>
                    <w:t>。</w:t>
                  </w:r>
                </w:p>
              </w:tc>
              <w:tc>
                <w:tcPr>
                  <w:tcW w:w="582" w:type="pct"/>
                  <w:vAlign w:val="center"/>
                </w:tcPr>
                <w:p>
                  <w:pPr>
                    <w:pStyle w:val="2"/>
                    <w:spacing w:line="260" w:lineRule="exact"/>
                    <w:jc w:val="center"/>
                    <w:rPr>
                      <w:color w:val="FF0000"/>
                      <w:sz w:val="22"/>
                    </w:rPr>
                  </w:pPr>
                  <w:r>
                    <w:rPr>
                      <w:rFonts w:hint="eastAsia"/>
                      <w:color w:val="FF0000"/>
                      <w:sz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color w:val="FF0000"/>
                      <w:sz w:val="22"/>
                    </w:rPr>
                  </w:pPr>
                  <w:r>
                    <w:rPr>
                      <w:rFonts w:hint="eastAsia"/>
                      <w:color w:val="FF0000"/>
                      <w:sz w:val="22"/>
                    </w:rPr>
                    <w:t>2</w:t>
                  </w:r>
                </w:p>
              </w:tc>
              <w:tc>
                <w:tcPr>
                  <w:tcW w:w="2408" w:type="pct"/>
                  <w:vAlign w:val="center"/>
                </w:tcPr>
                <w:p>
                  <w:pPr>
                    <w:pStyle w:val="2"/>
                    <w:spacing w:line="260" w:lineRule="exact"/>
                    <w:jc w:val="center"/>
                    <w:rPr>
                      <w:color w:val="FF0000"/>
                      <w:sz w:val="22"/>
                    </w:rPr>
                  </w:pPr>
                  <w:r>
                    <w:rPr>
                      <w:rFonts w:hint="eastAsia"/>
                      <w:color w:val="FF0000"/>
                      <w:sz w:val="22"/>
                    </w:rPr>
                    <w:t>加强空间管制,优化生产空间和生活空间。落实环评报告中空间管控要求,控制开发区内居住区范围,确保区内企业与敏感点保持足够的环境防护距离,合理选址和优化内部布局,减少突发事件可能对居民区环境产生的影响。严格落实《魏县土地利用总体规划》建设用地空间管制要求,合理控制开发区发展规模和开发强度</w:t>
                  </w:r>
                </w:p>
              </w:tc>
              <w:tc>
                <w:tcPr>
                  <w:tcW w:w="1662" w:type="pct"/>
                  <w:vAlign w:val="center"/>
                </w:tcPr>
                <w:p>
                  <w:pPr>
                    <w:pStyle w:val="2"/>
                    <w:spacing w:line="260" w:lineRule="exact"/>
                    <w:jc w:val="center"/>
                    <w:rPr>
                      <w:color w:val="FF0000"/>
                      <w:sz w:val="22"/>
                    </w:rPr>
                  </w:pPr>
                  <w:r>
                    <w:rPr>
                      <w:rFonts w:hint="eastAsia"/>
                      <w:color w:val="FF0000"/>
                      <w:sz w:val="22"/>
                    </w:rPr>
                    <w:t>本项目位于</w:t>
                  </w:r>
                  <w:r>
                    <w:rPr>
                      <w:bCs/>
                      <w:color w:val="FF0000"/>
                      <w:sz w:val="22"/>
                    </w:rPr>
                    <w:t>魏县经济开发区</w:t>
                  </w:r>
                  <w:r>
                    <w:rPr>
                      <w:rFonts w:hint="eastAsia"/>
                      <w:bCs/>
                      <w:color w:val="FF0000"/>
                      <w:sz w:val="22"/>
                    </w:rPr>
                    <w:t>内，租赁</w:t>
                  </w:r>
                  <w:r>
                    <w:rPr>
                      <w:color w:val="FF0000"/>
                      <w:spacing w:val="-2"/>
                      <w:sz w:val="22"/>
                    </w:rPr>
                    <w:t>邯郸无声门业有限公司</w:t>
                  </w:r>
                  <w:r>
                    <w:rPr>
                      <w:rFonts w:hint="eastAsia"/>
                      <w:color w:val="FF0000"/>
                      <w:spacing w:val="-2"/>
                      <w:sz w:val="22"/>
                    </w:rPr>
                    <w:t>厂区</w:t>
                  </w:r>
                  <w:r>
                    <w:rPr>
                      <w:rFonts w:hint="eastAsia" w:hAnsiTheme="minorEastAsia" w:eastAsiaTheme="minorEastAsia"/>
                      <w:bCs/>
                      <w:color w:val="FF0000"/>
                      <w:sz w:val="22"/>
                    </w:rPr>
                    <w:t>用地面积</w:t>
                  </w:r>
                  <w:r>
                    <w:rPr>
                      <w:rFonts w:hint="eastAsia"/>
                      <w:color w:val="FF0000"/>
                      <w:sz w:val="22"/>
                    </w:rPr>
                    <w:t>20000m</w:t>
                  </w:r>
                  <w:r>
                    <w:rPr>
                      <w:rFonts w:hint="eastAsia"/>
                      <w:color w:val="FF0000"/>
                      <w:sz w:val="22"/>
                      <w:vertAlign w:val="superscript"/>
                    </w:rPr>
                    <w:t>2</w:t>
                  </w:r>
                  <w:r>
                    <w:rPr>
                      <w:rFonts w:hint="eastAsia" w:hAnsiTheme="minorEastAsia" w:eastAsiaTheme="minorEastAsia"/>
                      <w:bCs/>
                      <w:color w:val="FF0000"/>
                      <w:sz w:val="22"/>
                    </w:rPr>
                    <w:t>（出租方土地证见附件3，租赁协议见附件4），</w:t>
                  </w:r>
                  <w:r>
                    <w:rPr>
                      <w:rFonts w:hint="eastAsia"/>
                      <w:bCs/>
                      <w:color w:val="FF0000"/>
                      <w:sz w:val="22"/>
                    </w:rPr>
                    <w:t>现有厂区进行建设，不新增占地，</w:t>
                  </w:r>
                  <w:r>
                    <w:rPr>
                      <w:rFonts w:hint="eastAsia"/>
                      <w:color w:val="FF0000"/>
                      <w:sz w:val="22"/>
                    </w:rPr>
                    <w:t>选址和内部布局合理，符合《魏县土地利用总体规划》建设用地空间管制要求</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348" w:type="pct"/>
                  <w:vAlign w:val="center"/>
                </w:tcPr>
                <w:p>
                  <w:pPr>
                    <w:pStyle w:val="2"/>
                    <w:spacing w:line="260" w:lineRule="exact"/>
                    <w:jc w:val="center"/>
                    <w:rPr>
                      <w:color w:val="FF0000"/>
                      <w:sz w:val="22"/>
                    </w:rPr>
                  </w:pPr>
                  <w:r>
                    <w:rPr>
                      <w:rFonts w:hint="eastAsia"/>
                      <w:color w:val="FF0000"/>
                      <w:sz w:val="22"/>
                    </w:rPr>
                    <w:t>3</w:t>
                  </w:r>
                </w:p>
              </w:tc>
              <w:tc>
                <w:tcPr>
                  <w:tcW w:w="2408" w:type="pct"/>
                  <w:vAlign w:val="center"/>
                </w:tcPr>
                <w:p>
                  <w:pPr>
                    <w:pStyle w:val="2"/>
                    <w:spacing w:line="260" w:lineRule="exact"/>
                    <w:jc w:val="center"/>
                    <w:rPr>
                      <w:color w:val="FF0000"/>
                      <w:sz w:val="22"/>
                    </w:rPr>
                  </w:pPr>
                  <w:r>
                    <w:rPr>
                      <w:rFonts w:hint="eastAsia"/>
                      <w:color w:val="FF0000"/>
                      <w:sz w:val="22"/>
                    </w:rPr>
                    <w:t>加强总量管控,推进环境质量改善。按照最不利条件并预留一定安全余量的原则,环评中提出的污染物排放总量控制上线作为开发区污染物排放总量管控限值。严格落实区域污染物削减方案,不断提升技术工艺及节能节水控污水平,推动环境质量改善</w:t>
                  </w:r>
                </w:p>
              </w:tc>
              <w:tc>
                <w:tcPr>
                  <w:tcW w:w="1662" w:type="pct"/>
                  <w:vAlign w:val="center"/>
                </w:tcPr>
                <w:p>
                  <w:pPr>
                    <w:pStyle w:val="98"/>
                    <w:spacing w:line="240" w:lineRule="auto"/>
                    <w:ind w:firstLine="0" w:firstLineChars="0"/>
                    <w:rPr>
                      <w:color w:val="FF0000"/>
                      <w:sz w:val="22"/>
                      <w:szCs w:val="22"/>
                    </w:rPr>
                  </w:pPr>
                  <w:r>
                    <w:rPr>
                      <w:rFonts w:hint="eastAsia"/>
                      <w:color w:val="FF0000"/>
                      <w:sz w:val="22"/>
                      <w:szCs w:val="22"/>
                    </w:rPr>
                    <w:t>主要污染物排放 “减二增一”倍原则，已取得《邯郸市建设项目主要污染物总量指标确认书》[邯环总量确认（2020/0241号）]（见</w:t>
                  </w:r>
                  <w:r>
                    <w:rPr>
                      <w:rFonts w:hint="eastAsia"/>
                      <w:bCs/>
                      <w:color w:val="FF0000"/>
                      <w:sz w:val="22"/>
                      <w:szCs w:val="22"/>
                    </w:rPr>
                    <w:t>附件7</w:t>
                  </w:r>
                  <w:r>
                    <w:rPr>
                      <w:rFonts w:hint="eastAsia"/>
                      <w:color w:val="FF0000"/>
                      <w:sz w:val="22"/>
                      <w:szCs w:val="22"/>
                    </w:rPr>
                    <w:t>）</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color w:val="FF0000"/>
                      <w:sz w:val="22"/>
                    </w:rPr>
                  </w:pPr>
                  <w:r>
                    <w:rPr>
                      <w:rFonts w:hint="eastAsia"/>
                      <w:color w:val="FF0000"/>
                      <w:sz w:val="22"/>
                    </w:rPr>
                    <w:t>4</w:t>
                  </w:r>
                </w:p>
              </w:tc>
              <w:tc>
                <w:tcPr>
                  <w:tcW w:w="2408" w:type="pct"/>
                  <w:vAlign w:val="center"/>
                </w:tcPr>
                <w:p>
                  <w:pPr>
                    <w:pStyle w:val="2"/>
                    <w:spacing w:line="260" w:lineRule="exact"/>
                    <w:jc w:val="center"/>
                    <w:rPr>
                      <w:color w:val="FF0000"/>
                      <w:sz w:val="22"/>
                    </w:rPr>
                  </w:pPr>
                  <w:r>
                    <w:rPr>
                      <w:rFonts w:hint="eastAsia"/>
                      <w:color w:val="FF0000"/>
                      <w:sz w:val="22"/>
                    </w:rPr>
                    <w:t>加强规划环评与项目环评联动。切实发挥规划环评和项目环评预防环境污染和生态破坏的作用,项目环评文件应落实规划环评提出的各项要求,选址符合性分析、区域大气环境容量及总量控制、配套基础设施可行性可适当简化。同时,应重点开展项目准入条件符合性、工程分析、布局合理性、环保措施的可行性论证、污染物排放量与总量控制指标、大气环境防护距离符合性、清洁生产水平分析,并关注开发区基础设施及应急体系保障能力建设,强化环境监测和环境保护相关措施的落实。</w:t>
                  </w:r>
                </w:p>
              </w:tc>
              <w:tc>
                <w:tcPr>
                  <w:tcW w:w="1662" w:type="pct"/>
                  <w:vAlign w:val="center"/>
                </w:tcPr>
                <w:p>
                  <w:pPr>
                    <w:pStyle w:val="2"/>
                    <w:spacing w:line="260" w:lineRule="exact"/>
                    <w:jc w:val="center"/>
                    <w:rPr>
                      <w:color w:val="FF0000"/>
                      <w:sz w:val="22"/>
                    </w:rPr>
                  </w:pPr>
                  <w:r>
                    <w:rPr>
                      <w:rFonts w:hint="eastAsia"/>
                      <w:color w:val="FF0000"/>
                      <w:sz w:val="22"/>
                    </w:rPr>
                    <w:t>本项目环评文件全部落实规划环评提出的各项要求，已开展项目准入条件符合性、工程分析、布局合理性、环保措施的可行性论证、污染物排放量与总量控制指标分析、环境监测和环境保护相关措施</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color w:val="FF0000"/>
                      <w:sz w:val="22"/>
                    </w:rPr>
                  </w:pPr>
                  <w:r>
                    <w:rPr>
                      <w:rFonts w:hint="eastAsia"/>
                      <w:color w:val="FF0000"/>
                      <w:sz w:val="22"/>
                    </w:rPr>
                    <w:t>5</w:t>
                  </w:r>
                </w:p>
              </w:tc>
              <w:tc>
                <w:tcPr>
                  <w:tcW w:w="2408" w:type="pct"/>
                  <w:vAlign w:val="center"/>
                </w:tcPr>
                <w:p>
                  <w:pPr>
                    <w:pStyle w:val="2"/>
                    <w:spacing w:line="260" w:lineRule="exact"/>
                    <w:jc w:val="center"/>
                    <w:rPr>
                      <w:color w:val="FF0000"/>
                      <w:sz w:val="22"/>
                    </w:rPr>
                  </w:pPr>
                  <w:r>
                    <w:rPr>
                      <w:rFonts w:hint="eastAsia"/>
                      <w:color w:val="FF0000"/>
                      <w:sz w:val="22"/>
                    </w:rPr>
                    <w:t>注重开发区发展与区域资源承载力相协调,统筹规划建设开发区配套的基础设施。开发区集中供水由魏县南水北调水厂供应,现已完成水源切换,规划近期供水规模为500万立方米/年,规划远期供水规模为850万立方米/年,开发区东、西分区污水分别送魏县开发区污水处理厂(现状处理规模1.5万立方米/日,二期扩建完成后3万立方米/日)和魏县污水处理厂(处理规模3万立方米/日)处理,达到《城镇污水处理厂污染物排放标准》GB18918-2002)一级A标准后,部分回用开发区内企业生产用水,其余排入魏大馆渠;两个污水处理厂应于2022年6月底前完成中水回用工程配套管网建设。开发区东区供热由企业自建天然气锅炉供给,西区供热由魏县城区集中供热供给</w:t>
                  </w:r>
                </w:p>
              </w:tc>
              <w:tc>
                <w:tcPr>
                  <w:tcW w:w="1662" w:type="pct"/>
                  <w:vAlign w:val="center"/>
                </w:tcPr>
                <w:p>
                  <w:pPr>
                    <w:pStyle w:val="2"/>
                    <w:spacing w:line="260" w:lineRule="exact"/>
                    <w:jc w:val="center"/>
                    <w:rPr>
                      <w:color w:val="FF0000"/>
                      <w:sz w:val="22"/>
                    </w:rPr>
                  </w:pPr>
                  <w:r>
                    <w:rPr>
                      <w:rFonts w:hint="eastAsia"/>
                      <w:color w:val="FF0000"/>
                      <w:sz w:val="22"/>
                    </w:rPr>
                    <w:t>本项目供水由开发区集中供水管网供应；</w:t>
                  </w:r>
                  <w:r>
                    <w:rPr>
                      <w:color w:val="FF0000"/>
                      <w:sz w:val="22"/>
                    </w:rPr>
                    <w:t>生活污水经化粪池处理、食堂废水经隔油池处理后经管网进入魏县开发区污水处理厂</w:t>
                  </w:r>
                  <w:r>
                    <w:rPr>
                      <w:rFonts w:hint="eastAsia"/>
                      <w:color w:val="FF0000"/>
                      <w:sz w:val="22"/>
                    </w:rPr>
                    <w:t>处理；漆雾喷淋</w:t>
                  </w:r>
                  <w:r>
                    <w:rPr>
                      <w:color w:val="FF0000"/>
                      <w:sz w:val="22"/>
                    </w:rPr>
                    <w:t>废水</w:t>
                  </w:r>
                  <w:r>
                    <w:rPr>
                      <w:rFonts w:hint="eastAsia"/>
                      <w:color w:val="FF0000"/>
                      <w:sz w:val="22"/>
                    </w:rPr>
                    <w:t>经沉淀后循环使用，不外排；本项目生产用热采用电能。</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color w:val="FF0000"/>
                      <w:sz w:val="22"/>
                    </w:rPr>
                  </w:pPr>
                  <w:r>
                    <w:rPr>
                      <w:rFonts w:hint="eastAsia"/>
                      <w:color w:val="FF0000"/>
                      <w:sz w:val="22"/>
                    </w:rPr>
                    <w:t>6</w:t>
                  </w:r>
                </w:p>
              </w:tc>
              <w:tc>
                <w:tcPr>
                  <w:tcW w:w="2408" w:type="pct"/>
                  <w:vAlign w:val="center"/>
                </w:tcPr>
                <w:p>
                  <w:pPr>
                    <w:pStyle w:val="2"/>
                    <w:spacing w:line="260" w:lineRule="exact"/>
                    <w:jc w:val="center"/>
                    <w:rPr>
                      <w:color w:val="FF0000"/>
                      <w:sz w:val="22"/>
                    </w:rPr>
                  </w:pPr>
                  <w:r>
                    <w:rPr>
                      <w:rFonts w:hint="eastAsia"/>
                      <w:color w:val="FF0000"/>
                      <w:sz w:val="22"/>
                    </w:rPr>
                    <w:t>鼓励开发区提高清洁能源汽车运输比例或实现大宗物料铁路运输,优化区域运输方式,减轻公路运输产生的不利环境影响。暂不能实现铁路运输的现有涉及大宗物料运输的重点企业应采用新能源汽车或达到国六排放标准的汽车运输;结合秋冬季行业错峰生产和重污染天气应急响应要求,制定应急运输响应方案,在黄色及以上重污染天气预警期间,大宗物料运输的重点用车企业实施应急运输响应。</w:t>
                  </w:r>
                </w:p>
              </w:tc>
              <w:tc>
                <w:tcPr>
                  <w:tcW w:w="1662" w:type="pct"/>
                  <w:vAlign w:val="center"/>
                </w:tcPr>
                <w:p>
                  <w:pPr>
                    <w:pStyle w:val="2"/>
                    <w:spacing w:line="260" w:lineRule="exact"/>
                    <w:jc w:val="center"/>
                    <w:rPr>
                      <w:color w:val="FF0000"/>
                      <w:sz w:val="22"/>
                    </w:rPr>
                  </w:pPr>
                  <w:r>
                    <w:rPr>
                      <w:rFonts w:hint="eastAsia"/>
                      <w:color w:val="FF0000"/>
                      <w:sz w:val="22"/>
                    </w:rPr>
                    <w:t>本项目全部采用达到国六排放标准的汽车运输，并结合秋冬季行业错峰生产和重污染天气应急响应要求,制定应急运输响应方案,在黄色及以上重污染天气预警期间,实施应急运输响应。</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348" w:type="pct"/>
                  <w:vAlign w:val="center"/>
                </w:tcPr>
                <w:p>
                  <w:pPr>
                    <w:pStyle w:val="2"/>
                    <w:spacing w:line="260" w:lineRule="exact"/>
                    <w:jc w:val="center"/>
                    <w:rPr>
                      <w:color w:val="FF0000"/>
                      <w:sz w:val="22"/>
                    </w:rPr>
                  </w:pPr>
                  <w:r>
                    <w:rPr>
                      <w:rFonts w:hint="eastAsia"/>
                      <w:color w:val="FF0000"/>
                      <w:sz w:val="22"/>
                    </w:rPr>
                    <w:t>7</w:t>
                  </w:r>
                </w:p>
              </w:tc>
              <w:tc>
                <w:tcPr>
                  <w:tcW w:w="2408" w:type="pct"/>
                  <w:vAlign w:val="center"/>
                </w:tcPr>
                <w:p>
                  <w:pPr>
                    <w:pStyle w:val="2"/>
                    <w:spacing w:line="260" w:lineRule="exact"/>
                    <w:jc w:val="center"/>
                    <w:rPr>
                      <w:color w:val="FF0000"/>
                      <w:sz w:val="22"/>
                    </w:rPr>
                  </w:pPr>
                  <w:r>
                    <w:rPr>
                      <w:rFonts w:hint="eastAsia"/>
                      <w:color w:val="FF0000"/>
                      <w:sz w:val="22"/>
                    </w:rPr>
                    <w:t>加强区域环境污染防治和应急处置措施。强化区域环境大气、水污染防治措施,加强固体废物管理,危险废物坚持无害化、减量化、资源化原则,妥善利用或处置,确保环境安全,开发区需严格落实各项环境风险防范措施,强化区内危险源管控,加强风险事故情况下的环境污染防范措施和应急处置,防止对区域周边环境敏感点和地表水环境造成影响</w:t>
                  </w:r>
                </w:p>
              </w:tc>
              <w:tc>
                <w:tcPr>
                  <w:tcW w:w="1662" w:type="pct"/>
                  <w:vAlign w:val="center"/>
                </w:tcPr>
                <w:p>
                  <w:pPr>
                    <w:pStyle w:val="2"/>
                    <w:spacing w:line="260" w:lineRule="exact"/>
                    <w:jc w:val="center"/>
                    <w:rPr>
                      <w:color w:val="FF0000"/>
                      <w:sz w:val="22"/>
                    </w:rPr>
                  </w:pPr>
                  <w:r>
                    <w:rPr>
                      <w:rFonts w:hint="eastAsia"/>
                      <w:color w:val="FF0000"/>
                      <w:sz w:val="22"/>
                    </w:rPr>
                    <w:t>本项目严格落实环评报告中提出的废气、废水、噪声、固废、环境风险等预防措施，对周围环境的影响是可接受的</w:t>
                  </w:r>
                </w:p>
              </w:tc>
              <w:tc>
                <w:tcPr>
                  <w:tcW w:w="582" w:type="pct"/>
                  <w:vAlign w:val="center"/>
                </w:tcPr>
                <w:p>
                  <w:pPr>
                    <w:jc w:val="center"/>
                    <w:rPr>
                      <w:color w:val="FF0000"/>
                      <w:sz w:val="22"/>
                      <w:szCs w:val="22"/>
                    </w:rPr>
                  </w:pPr>
                  <w:r>
                    <w:rPr>
                      <w:rFonts w:hint="eastAsia"/>
                      <w:color w:val="FF0000"/>
                      <w:sz w:val="22"/>
                      <w:szCs w:val="22"/>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pStyle w:val="2"/>
                    <w:spacing w:line="260" w:lineRule="exact"/>
                    <w:jc w:val="center"/>
                    <w:rPr>
                      <w:color w:val="FF0000"/>
                      <w:sz w:val="22"/>
                    </w:rPr>
                  </w:pPr>
                  <w:r>
                    <w:rPr>
                      <w:rFonts w:hint="eastAsia"/>
                      <w:color w:val="FF0000"/>
                      <w:sz w:val="22"/>
                    </w:rPr>
                    <w:t>8</w:t>
                  </w:r>
                </w:p>
              </w:tc>
              <w:tc>
                <w:tcPr>
                  <w:tcW w:w="2408" w:type="pct"/>
                  <w:vAlign w:val="center"/>
                </w:tcPr>
                <w:p>
                  <w:pPr>
                    <w:pStyle w:val="2"/>
                    <w:spacing w:line="260" w:lineRule="exact"/>
                    <w:jc w:val="center"/>
                    <w:rPr>
                      <w:color w:val="FF0000"/>
                      <w:sz w:val="22"/>
                    </w:rPr>
                  </w:pPr>
                  <w:r>
                    <w:rPr>
                      <w:rFonts w:hint="eastAsia"/>
                      <w:color w:val="FF0000"/>
                      <w:sz w:val="22"/>
                    </w:rPr>
                    <w:t>切实落实环评报告书中环境管理、环境监测计划、清洁生产有关措施。充分落实公众参与期间各项公众意见,切实保障公众对环境保护的参与权与监督权。规划实施过程中,按照要求毎五年组织开展规划环境影响的跟踪评价工作。对已经批准的规划在实施范围、适用期限、规模、结构和布局等方面发生重大调整或修订的,应及时重新或者补充环境影响评价</w:t>
                  </w:r>
                </w:p>
              </w:tc>
              <w:tc>
                <w:tcPr>
                  <w:tcW w:w="1662" w:type="pct"/>
                  <w:vAlign w:val="center"/>
                </w:tcPr>
                <w:p>
                  <w:pPr>
                    <w:pStyle w:val="2"/>
                    <w:spacing w:line="260" w:lineRule="exact"/>
                    <w:jc w:val="both"/>
                    <w:rPr>
                      <w:color w:val="FF0000"/>
                      <w:sz w:val="22"/>
                    </w:rPr>
                  </w:pPr>
                  <w:r>
                    <w:rPr>
                      <w:color w:val="FF0000"/>
                      <w:sz w:val="22"/>
                    </w:rPr>
                    <w:t>《河北魏县经济开发区总体规划</w:t>
                  </w:r>
                  <w:r>
                    <w:rPr>
                      <w:rFonts w:hint="eastAsia"/>
                      <w:color w:val="FF0000"/>
                      <w:sz w:val="22"/>
                    </w:rPr>
                    <w:t>(2019-2030)</w:t>
                  </w:r>
                  <w:r>
                    <w:rPr>
                      <w:color w:val="FF0000"/>
                      <w:sz w:val="22"/>
                    </w:rPr>
                    <w:t>环境影响报告书》</w:t>
                  </w:r>
                  <w:r>
                    <w:rPr>
                      <w:rFonts w:hint="eastAsia"/>
                      <w:color w:val="FF0000"/>
                      <w:sz w:val="22"/>
                    </w:rPr>
                    <w:t>于2021年7月2日通过河北省生态环境厅审查（审查意见见附件2），在适用期限内，且规模、结构和布局等方面均未发生重大调整或修订</w:t>
                  </w:r>
                </w:p>
              </w:tc>
              <w:tc>
                <w:tcPr>
                  <w:tcW w:w="582" w:type="pct"/>
                  <w:vAlign w:val="center"/>
                </w:tcPr>
                <w:p>
                  <w:pPr>
                    <w:pStyle w:val="2"/>
                    <w:spacing w:line="260" w:lineRule="exact"/>
                    <w:jc w:val="center"/>
                    <w:rPr>
                      <w:color w:val="FF0000"/>
                      <w:sz w:val="22"/>
                    </w:rPr>
                  </w:pPr>
                  <w:r>
                    <w:rPr>
                      <w:rFonts w:hint="eastAsia"/>
                      <w:color w:val="FF0000"/>
                      <w:sz w:val="22"/>
                    </w:rPr>
                    <w:t>符合</w:t>
                  </w:r>
                </w:p>
              </w:tc>
            </w:tr>
          </w:tbl>
          <w:p>
            <w:pPr>
              <w:pStyle w:val="2"/>
              <w:spacing w:line="480" w:lineRule="exact"/>
              <w:rPr>
                <w:color w:val="auto"/>
              </w:rPr>
            </w:pPr>
            <w:r>
              <w:rPr>
                <w:rFonts w:hint="eastAsia"/>
                <w:color w:val="FF0000"/>
              </w:rPr>
              <w:t xml:space="preserve">    综上，本项目的建设符合园区规划审查意见的要求。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jc w:val="center"/>
              <w:rPr>
                <w:rFonts w:eastAsiaTheme="minorEastAsia"/>
                <w:b/>
                <w:sz w:val="24"/>
                <w:szCs w:val="24"/>
              </w:rPr>
            </w:pPr>
            <w:r>
              <w:rPr>
                <w:rFonts w:hint="eastAsia" w:eastAsiaTheme="minorEastAsia"/>
                <w:b/>
                <w:sz w:val="24"/>
                <w:szCs w:val="24"/>
              </w:rPr>
              <w:t>其他符合性分析</w:t>
            </w:r>
          </w:p>
        </w:tc>
        <w:tc>
          <w:tcPr>
            <w:tcW w:w="7478" w:type="dxa"/>
            <w:gridSpan w:val="3"/>
            <w:vAlign w:val="center"/>
          </w:tcPr>
          <w:p>
            <w:pPr>
              <w:spacing w:line="440" w:lineRule="exact"/>
              <w:rPr>
                <w:rFonts w:eastAsiaTheme="minorEastAsia"/>
                <w:b/>
                <w:sz w:val="24"/>
                <w:szCs w:val="24"/>
              </w:rPr>
            </w:pPr>
            <w:r>
              <w:rPr>
                <w:rFonts w:hint="eastAsia" w:eastAsiaTheme="minorEastAsia"/>
                <w:b/>
                <w:sz w:val="24"/>
                <w:szCs w:val="24"/>
              </w:rPr>
              <w:t>一、产业政策符合性分析：</w:t>
            </w:r>
          </w:p>
          <w:p>
            <w:pPr>
              <w:spacing w:line="440" w:lineRule="exact"/>
              <w:ind w:firstLine="472" w:firstLineChars="200"/>
              <w:rPr>
                <w:rFonts w:eastAsiaTheme="minorEastAsia"/>
                <w:sz w:val="24"/>
                <w:szCs w:val="24"/>
              </w:rPr>
            </w:pPr>
            <w:r>
              <w:rPr>
                <w:rFonts w:hint="eastAsia" w:eastAsiaTheme="minorEastAsia"/>
                <w:sz w:val="24"/>
                <w:szCs w:val="24"/>
              </w:rPr>
              <w:t>本项目不属于中华人民共和国国家发展和改革委员会《产业结构调整指导目录（2019年本）》中鼓励类、限制类和淘汰类项目，为允许类，且项目不属于《关于印发河北省新增限制和淘汰类产业目录（2015年版）的通知》的通知（冀政办[2015]7号）规定的禁（限）建设项目，本项目已经</w:t>
            </w:r>
            <w:r>
              <w:rPr>
                <w:bCs/>
                <w:sz w:val="24"/>
              </w:rPr>
              <w:t>魏县行政审批局</w:t>
            </w:r>
            <w:r>
              <w:rPr>
                <w:rFonts w:hint="eastAsia"/>
                <w:bCs/>
                <w:sz w:val="24"/>
              </w:rPr>
              <w:t>备案，备案文号：</w:t>
            </w:r>
            <w:r>
              <w:rPr>
                <w:bCs/>
                <w:sz w:val="24"/>
              </w:rPr>
              <w:t>魏投资备案(202</w:t>
            </w:r>
            <w:r>
              <w:rPr>
                <w:rFonts w:hint="eastAsia"/>
                <w:bCs/>
                <w:sz w:val="24"/>
              </w:rPr>
              <w:t>1</w:t>
            </w:r>
            <w:r>
              <w:rPr>
                <w:bCs/>
                <w:sz w:val="24"/>
              </w:rPr>
              <w:t>)</w:t>
            </w:r>
            <w:r>
              <w:rPr>
                <w:rFonts w:hint="eastAsia"/>
                <w:bCs/>
                <w:sz w:val="24"/>
              </w:rPr>
              <w:t>37</w:t>
            </w:r>
            <w:r>
              <w:rPr>
                <w:bCs/>
                <w:sz w:val="24"/>
              </w:rPr>
              <w:t>号</w:t>
            </w:r>
            <w:r>
              <w:rPr>
                <w:rFonts w:hint="eastAsia"/>
                <w:bCs/>
                <w:sz w:val="24"/>
              </w:rPr>
              <w:t>（见附件1）。</w:t>
            </w:r>
            <w:r>
              <w:rPr>
                <w:rFonts w:hint="eastAsia" w:eastAsiaTheme="minorEastAsia"/>
                <w:sz w:val="24"/>
                <w:szCs w:val="24"/>
              </w:rPr>
              <w:t>因此该项目的建设符合国家及地方产业政策要求。</w:t>
            </w:r>
          </w:p>
          <w:p>
            <w:pPr>
              <w:pStyle w:val="2"/>
              <w:spacing w:line="480" w:lineRule="exact"/>
              <w:rPr>
                <w:b/>
                <w:color w:val="FF0000"/>
              </w:rPr>
            </w:pPr>
            <w:r>
              <w:rPr>
                <w:rFonts w:hint="eastAsia"/>
                <w:b/>
                <w:color w:val="FF0000"/>
                <w:szCs w:val="24"/>
              </w:rPr>
              <w:t>二、</w:t>
            </w:r>
            <w:r>
              <w:rPr>
                <w:rFonts w:hint="eastAsia"/>
                <w:b/>
                <w:color w:val="FF0000"/>
              </w:rPr>
              <w:t>项目选址可行性分析</w:t>
            </w:r>
          </w:p>
          <w:p>
            <w:pPr>
              <w:pStyle w:val="2"/>
              <w:spacing w:line="480" w:lineRule="exact"/>
              <w:ind w:firstLine="480"/>
              <w:rPr>
                <w:color w:val="FF0000"/>
              </w:rPr>
            </w:pPr>
            <w:r>
              <w:rPr>
                <w:rFonts w:hint="eastAsia"/>
                <w:color w:val="FF0000"/>
              </w:rPr>
              <w:t>本项目</w:t>
            </w:r>
            <w:r>
              <w:rPr>
                <w:rFonts w:hint="eastAsia" w:eastAsiaTheme="minorEastAsia"/>
                <w:color w:val="FF0000"/>
                <w:szCs w:val="24"/>
              </w:rPr>
              <w:t>河北省邯郸市魏县经济开发区天雨东路3008号，</w:t>
            </w:r>
            <w:r>
              <w:rPr>
                <w:rFonts w:hint="eastAsia"/>
                <w:bCs/>
                <w:color w:val="FF0000"/>
              </w:rPr>
              <w:t>租赁</w:t>
            </w:r>
            <w:r>
              <w:rPr>
                <w:color w:val="FF0000"/>
              </w:rPr>
              <w:t>邯郸无声门业有限公司</w:t>
            </w:r>
            <w:r>
              <w:rPr>
                <w:rFonts w:hint="eastAsia"/>
                <w:bCs/>
                <w:color w:val="FF0000"/>
              </w:rPr>
              <w:t>现有厂区进行建设，不新增占地</w:t>
            </w:r>
            <w:r>
              <w:rPr>
                <w:rFonts w:hint="eastAsia"/>
                <w:color w:val="FF0000"/>
              </w:rPr>
              <w:t>。根据</w:t>
            </w:r>
            <w:r>
              <w:rPr>
                <w:color w:val="FF0000"/>
              </w:rPr>
              <w:t>邯郸无声门业有限公司</w:t>
            </w:r>
            <w:r>
              <w:rPr>
                <w:rFonts w:hint="eastAsia"/>
                <w:color w:val="FF0000"/>
              </w:rPr>
              <w:t>不动产权证{（冀（2019）县不动产权第 0002535号、（冀（2019）县不动产权第 0002536号），见附件}可知：该项目占地为工业用地。项目周围无国家、省、市规定的自然保护区、风景名胜区、世界文化和自然遗产地、饮用水水源保护区，基本农田保护区、文物保护单位等环境敏感点。</w:t>
            </w:r>
          </w:p>
          <w:p>
            <w:pPr>
              <w:pStyle w:val="2"/>
              <w:spacing w:line="480" w:lineRule="exact"/>
              <w:ind w:firstLine="480"/>
              <w:rPr>
                <w:color w:val="FF0000"/>
              </w:rPr>
            </w:pPr>
            <w:r>
              <w:rPr>
                <w:rFonts w:hint="eastAsia"/>
                <w:color w:val="FF0000"/>
              </w:rPr>
              <w:t>因此，本项目选址可行。</w:t>
            </w:r>
          </w:p>
          <w:p>
            <w:pPr>
              <w:pStyle w:val="2"/>
              <w:spacing w:line="480" w:lineRule="exact"/>
              <w:rPr>
                <w:b/>
                <w:color w:val="FF0000"/>
                <w:szCs w:val="24"/>
              </w:rPr>
            </w:pPr>
            <w:r>
              <w:rPr>
                <w:rFonts w:hint="eastAsia"/>
                <w:b/>
                <w:color w:val="FF0000"/>
                <w:szCs w:val="24"/>
              </w:rPr>
              <w:t>三、邯郸市“三线一单”生态环境分区管控准入清单符合性分析：</w:t>
            </w:r>
          </w:p>
          <w:p>
            <w:pPr>
              <w:widowControl/>
              <w:spacing w:line="360" w:lineRule="auto"/>
              <w:ind w:firstLine="472" w:firstLineChars="200"/>
              <w:jc w:val="left"/>
              <w:rPr>
                <w:bCs/>
                <w:color w:val="FF0000"/>
                <w:sz w:val="24"/>
                <w:szCs w:val="24"/>
              </w:rPr>
            </w:pPr>
            <w:r>
              <w:rPr>
                <w:bCs/>
                <w:color w:val="FF0000"/>
                <w:sz w:val="24"/>
                <w:szCs w:val="24"/>
              </w:rPr>
              <w:t>根据《</w:t>
            </w:r>
            <w:r>
              <w:rPr>
                <w:rFonts w:hint="eastAsia"/>
                <w:bCs/>
                <w:color w:val="FF0000"/>
                <w:sz w:val="24"/>
                <w:szCs w:val="24"/>
              </w:rPr>
              <w:t>邯郸市人民政府关于推进“三线一单”生态环境分区管控的实施意见</w:t>
            </w:r>
            <w:r>
              <w:rPr>
                <w:bCs/>
                <w:color w:val="FF0000"/>
                <w:sz w:val="24"/>
                <w:szCs w:val="24"/>
              </w:rPr>
              <w:t>》</w:t>
            </w:r>
            <w:r>
              <w:rPr>
                <w:rFonts w:hint="eastAsia"/>
                <w:bCs/>
                <w:color w:val="FF0000"/>
                <w:sz w:val="24"/>
                <w:szCs w:val="24"/>
              </w:rPr>
              <w:t>（邯政字（2021）9号）及关于印发《</w:t>
            </w:r>
            <w:r>
              <w:rPr>
                <w:rFonts w:ascii="FZXiaoBiaoSong-B05" w:hAnsi="FZXiaoBiaoSong-B05" w:eastAsia="FZXiaoBiaoSong-B05" w:cs="FZXiaoBiaoSong-B05"/>
                <w:color w:val="FF0000"/>
                <w:kern w:val="0"/>
                <w:sz w:val="24"/>
                <w:szCs w:val="24"/>
              </w:rPr>
              <w:t>邯郸市</w:t>
            </w:r>
            <w:r>
              <w:rPr>
                <w:rFonts w:hint="eastAsia" w:ascii="宋体" w:hAnsi="宋体" w:cs="宋体"/>
                <w:color w:val="FF0000"/>
                <w:kern w:val="0"/>
                <w:sz w:val="24"/>
                <w:szCs w:val="24"/>
              </w:rPr>
              <w:t>“三线一单”</w:t>
            </w:r>
            <w:r>
              <w:rPr>
                <w:rFonts w:ascii="FZXiaoBiaoSong-B05" w:hAnsi="FZXiaoBiaoSong-B05" w:eastAsia="FZXiaoBiaoSong-B05" w:cs="FZXiaoBiaoSong-B05"/>
                <w:color w:val="FF0000"/>
                <w:kern w:val="0"/>
                <w:sz w:val="24"/>
                <w:szCs w:val="24"/>
              </w:rPr>
              <w:t>生态环境分区管控准入清单</w:t>
            </w:r>
            <w:r>
              <w:rPr>
                <w:rFonts w:hint="eastAsia"/>
                <w:bCs/>
                <w:color w:val="FF0000"/>
                <w:sz w:val="24"/>
                <w:szCs w:val="24"/>
              </w:rPr>
              <w:t>》的通知</w:t>
            </w:r>
            <w:r>
              <w:rPr>
                <w:bCs/>
                <w:color w:val="FF0000"/>
                <w:sz w:val="24"/>
                <w:szCs w:val="24"/>
              </w:rPr>
              <w:t>要求，</w:t>
            </w:r>
            <w:r>
              <w:rPr>
                <w:rFonts w:hint="eastAsia"/>
                <w:color w:val="FF0000"/>
                <w:sz w:val="24"/>
                <w:szCs w:val="24"/>
              </w:rPr>
              <w:t>分析于本项目有关的管控要求符合性，分析结果如下：</w:t>
            </w:r>
          </w:p>
          <w:p>
            <w:pPr>
              <w:pStyle w:val="9"/>
              <w:adjustRightInd w:val="0"/>
              <w:snapToGrid w:val="0"/>
              <w:ind w:firstLine="482"/>
              <w:jc w:val="center"/>
              <w:rPr>
                <w:b/>
                <w:bCs/>
                <w:color w:val="FF0000"/>
                <w:szCs w:val="24"/>
              </w:rPr>
            </w:pPr>
            <w:r>
              <w:rPr>
                <w:b/>
                <w:bCs/>
                <w:color w:val="FF0000"/>
                <w:szCs w:val="24"/>
              </w:rPr>
              <w:t>表</w:t>
            </w:r>
            <w:r>
              <w:rPr>
                <w:rFonts w:hint="eastAsia"/>
                <w:b/>
                <w:bCs/>
                <w:color w:val="FF0000"/>
                <w:szCs w:val="24"/>
              </w:rPr>
              <w:t xml:space="preserve">1-3 </w:t>
            </w:r>
            <w:r>
              <w:rPr>
                <w:b/>
                <w:bCs/>
                <w:color w:val="FF0000"/>
                <w:szCs w:val="24"/>
              </w:rPr>
              <w:t xml:space="preserve"> 本项目与</w:t>
            </w:r>
            <w:r>
              <w:rPr>
                <w:rFonts w:hint="eastAsia"/>
                <w:b/>
                <w:bCs/>
                <w:color w:val="FF0000"/>
                <w:szCs w:val="24"/>
              </w:rPr>
              <w:t>邯郸市生态空间总体管控要求</w:t>
            </w:r>
            <w:r>
              <w:rPr>
                <w:b/>
                <w:bCs/>
                <w:color w:val="FF0000"/>
                <w:szCs w:val="24"/>
              </w:rPr>
              <w:t>符合性一览表</w:t>
            </w:r>
          </w:p>
          <w:tbl>
            <w:tblPr>
              <w:tblStyle w:val="28"/>
              <w:tblW w:w="703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32"/>
              <w:gridCol w:w="432"/>
              <w:gridCol w:w="691"/>
              <w:gridCol w:w="3780"/>
              <w:gridCol w:w="12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64" w:type="dxa"/>
                  <w:gridSpan w:val="2"/>
                  <w:vAlign w:val="center"/>
                </w:tcPr>
                <w:p>
                  <w:pPr>
                    <w:adjustRightInd w:val="0"/>
                    <w:snapToGrid w:val="0"/>
                    <w:jc w:val="center"/>
                    <w:rPr>
                      <w:color w:val="FF0000"/>
                      <w:sz w:val="22"/>
                      <w:szCs w:val="22"/>
                    </w:rPr>
                  </w:pPr>
                  <w:r>
                    <w:rPr>
                      <w:rFonts w:hint="eastAsia"/>
                      <w:color w:val="FF0000"/>
                      <w:sz w:val="22"/>
                      <w:szCs w:val="22"/>
                    </w:rPr>
                    <w:t>属性</w:t>
                  </w:r>
                </w:p>
              </w:tc>
              <w:tc>
                <w:tcPr>
                  <w:tcW w:w="1123" w:type="dxa"/>
                  <w:gridSpan w:val="2"/>
                  <w:vAlign w:val="center"/>
                </w:tcPr>
                <w:p>
                  <w:pPr>
                    <w:adjustRightInd w:val="0"/>
                    <w:snapToGrid w:val="0"/>
                    <w:jc w:val="center"/>
                    <w:rPr>
                      <w:color w:val="FF0000"/>
                      <w:sz w:val="22"/>
                      <w:szCs w:val="22"/>
                    </w:rPr>
                  </w:pPr>
                  <w:r>
                    <w:rPr>
                      <w:rFonts w:hint="eastAsia"/>
                      <w:color w:val="FF0000"/>
                      <w:sz w:val="22"/>
                      <w:szCs w:val="22"/>
                    </w:rPr>
                    <w:t>管控</w:t>
                  </w:r>
                </w:p>
              </w:tc>
              <w:tc>
                <w:tcPr>
                  <w:tcW w:w="3780" w:type="dxa"/>
                  <w:vAlign w:val="center"/>
                </w:tcPr>
                <w:p>
                  <w:pPr>
                    <w:adjustRightInd w:val="0"/>
                    <w:snapToGrid w:val="0"/>
                    <w:jc w:val="center"/>
                    <w:rPr>
                      <w:color w:val="FF0000"/>
                      <w:sz w:val="22"/>
                      <w:szCs w:val="22"/>
                    </w:rPr>
                  </w:pPr>
                  <w:r>
                    <w:rPr>
                      <w:rFonts w:hint="eastAsia"/>
                      <w:color w:val="FF0000"/>
                      <w:sz w:val="22"/>
                      <w:szCs w:val="22"/>
                    </w:rPr>
                    <w:t>管控要求</w:t>
                  </w:r>
                </w:p>
              </w:tc>
              <w:tc>
                <w:tcPr>
                  <w:tcW w:w="1271" w:type="dxa"/>
                  <w:vAlign w:val="center"/>
                </w:tcPr>
                <w:p>
                  <w:pPr>
                    <w:adjustRightInd w:val="0"/>
                    <w:snapToGrid w:val="0"/>
                    <w:jc w:val="center"/>
                    <w:rPr>
                      <w:color w:val="FF0000"/>
                      <w:sz w:val="22"/>
                      <w:szCs w:val="22"/>
                    </w:rPr>
                  </w:pPr>
                  <w:r>
                    <w:rPr>
                      <w:rFonts w:hint="eastAsia"/>
                      <w:color w:val="FF0000"/>
                      <w:sz w:val="22"/>
                      <w:szCs w:val="22"/>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64" w:type="dxa"/>
                  <w:gridSpan w:val="2"/>
                  <w:vMerge w:val="restart"/>
                  <w:vAlign w:val="center"/>
                </w:tcPr>
                <w:p>
                  <w:pPr>
                    <w:adjustRightInd w:val="0"/>
                    <w:snapToGrid w:val="0"/>
                    <w:jc w:val="center"/>
                    <w:rPr>
                      <w:color w:val="FF0000"/>
                      <w:sz w:val="22"/>
                      <w:szCs w:val="22"/>
                    </w:rPr>
                  </w:pPr>
                  <w:r>
                    <w:rPr>
                      <w:color w:val="FF0000"/>
                      <w:sz w:val="22"/>
                      <w:szCs w:val="22"/>
                    </w:rPr>
                    <w:t>生态保护红线</w:t>
                  </w:r>
                </w:p>
              </w:tc>
              <w:tc>
                <w:tcPr>
                  <w:tcW w:w="432" w:type="dxa"/>
                  <w:vMerge w:val="restart"/>
                  <w:vAlign w:val="center"/>
                </w:tcPr>
                <w:p>
                  <w:pPr>
                    <w:adjustRightInd w:val="0"/>
                    <w:snapToGrid w:val="0"/>
                    <w:jc w:val="center"/>
                    <w:rPr>
                      <w:color w:val="FF0000"/>
                      <w:sz w:val="22"/>
                      <w:szCs w:val="22"/>
                    </w:rPr>
                  </w:pPr>
                  <w:r>
                    <w:rPr>
                      <w:rFonts w:hint="eastAsia"/>
                      <w:color w:val="FF0000"/>
                      <w:sz w:val="22"/>
                      <w:szCs w:val="22"/>
                    </w:rPr>
                    <w:t>空间布局约束</w:t>
                  </w:r>
                </w:p>
              </w:tc>
              <w:tc>
                <w:tcPr>
                  <w:tcW w:w="691" w:type="dxa"/>
                  <w:vAlign w:val="center"/>
                </w:tcPr>
                <w:p>
                  <w:pPr>
                    <w:adjustRightInd w:val="0"/>
                    <w:snapToGrid w:val="0"/>
                    <w:ind w:left="-103" w:leftChars="-50" w:right="-103" w:rightChars="-50"/>
                    <w:jc w:val="center"/>
                    <w:textAlignment w:val="center"/>
                    <w:rPr>
                      <w:color w:val="FF0000"/>
                      <w:sz w:val="22"/>
                      <w:szCs w:val="22"/>
                    </w:rPr>
                  </w:pPr>
                  <w:r>
                    <w:rPr>
                      <w:rFonts w:hint="eastAsia"/>
                      <w:color w:val="FF0000"/>
                      <w:sz w:val="22"/>
                      <w:szCs w:val="22"/>
                    </w:rPr>
                    <w:t>禁止类活动</w:t>
                  </w:r>
                </w:p>
              </w:tc>
              <w:tc>
                <w:tcPr>
                  <w:tcW w:w="3780" w:type="dxa"/>
                  <w:vAlign w:val="center"/>
                </w:tcPr>
                <w:p>
                  <w:pPr>
                    <w:adjustRightInd w:val="0"/>
                    <w:snapToGrid w:val="0"/>
                    <w:ind w:left="-103" w:leftChars="-50" w:right="-103" w:rightChars="-50" w:firstLine="432" w:firstLineChars="200"/>
                    <w:rPr>
                      <w:color w:val="FF0000"/>
                      <w:sz w:val="22"/>
                      <w:szCs w:val="22"/>
                    </w:rPr>
                  </w:pPr>
                  <w:r>
                    <w:rPr>
                      <w:color w:val="FF0000"/>
                      <w:sz w:val="22"/>
                      <w:szCs w:val="22"/>
                    </w:rPr>
                    <w:t>1.生态保护红线原则上按禁止开发区域的要求进行管理。严禁不符合主体功能定位的各类开发活动，严禁任意改变用途。</w:t>
                  </w:r>
                </w:p>
                <w:p>
                  <w:pPr>
                    <w:adjustRightInd w:val="0"/>
                    <w:snapToGrid w:val="0"/>
                    <w:ind w:left="-103" w:leftChars="-50" w:right="-103" w:rightChars="-50" w:firstLine="432" w:firstLineChars="200"/>
                    <w:rPr>
                      <w:color w:val="FF0000"/>
                      <w:sz w:val="22"/>
                      <w:szCs w:val="22"/>
                    </w:rPr>
                  </w:pPr>
                  <w:r>
                    <w:rPr>
                      <w:color w:val="FF0000"/>
                      <w:sz w:val="22"/>
                      <w:szCs w:val="22"/>
                    </w:rPr>
                    <w:t>2.严格禁止任何单位和个人擅自占用和改变用地性质。禁止生态保护红线内空间违法转为城镇空间和农业空间。</w:t>
                  </w:r>
                </w:p>
              </w:tc>
              <w:tc>
                <w:tcPr>
                  <w:tcW w:w="1271" w:type="dxa"/>
                  <w:vMerge w:val="restart"/>
                  <w:vAlign w:val="center"/>
                </w:tcPr>
                <w:p>
                  <w:pPr>
                    <w:adjustRightInd w:val="0"/>
                    <w:snapToGrid w:val="0"/>
                    <w:jc w:val="center"/>
                    <w:rPr>
                      <w:color w:val="FF0000"/>
                      <w:sz w:val="22"/>
                      <w:szCs w:val="22"/>
                    </w:rPr>
                  </w:pPr>
                  <w:r>
                    <w:rPr>
                      <w:rFonts w:hint="eastAsia"/>
                      <w:color w:val="FF0000"/>
                      <w:sz w:val="22"/>
                      <w:szCs w:val="22"/>
                    </w:rPr>
                    <w:t>本项目不在生态保护红线内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4" w:type="dxa"/>
                  <w:gridSpan w:val="2"/>
                  <w:vMerge w:val="continue"/>
                  <w:vAlign w:val="center"/>
                </w:tcPr>
                <w:p>
                  <w:pPr>
                    <w:adjustRightInd w:val="0"/>
                    <w:snapToGrid w:val="0"/>
                    <w:jc w:val="center"/>
                    <w:rPr>
                      <w:color w:val="FF0000"/>
                      <w:sz w:val="22"/>
                      <w:szCs w:val="22"/>
                    </w:rPr>
                  </w:pPr>
                </w:p>
              </w:tc>
              <w:tc>
                <w:tcPr>
                  <w:tcW w:w="432" w:type="dxa"/>
                  <w:vMerge w:val="continue"/>
                  <w:vAlign w:val="center"/>
                </w:tcPr>
                <w:p>
                  <w:pPr>
                    <w:adjustRightInd w:val="0"/>
                    <w:snapToGrid w:val="0"/>
                    <w:jc w:val="center"/>
                    <w:rPr>
                      <w:color w:val="FF0000"/>
                      <w:sz w:val="22"/>
                      <w:szCs w:val="22"/>
                    </w:rPr>
                  </w:pPr>
                </w:p>
              </w:tc>
              <w:tc>
                <w:tcPr>
                  <w:tcW w:w="691" w:type="dxa"/>
                  <w:vAlign w:val="center"/>
                </w:tcPr>
                <w:p>
                  <w:pPr>
                    <w:adjustRightInd w:val="0"/>
                    <w:snapToGrid w:val="0"/>
                    <w:ind w:left="-103" w:leftChars="-50" w:right="-103" w:rightChars="-50"/>
                    <w:jc w:val="center"/>
                    <w:rPr>
                      <w:color w:val="FF0000"/>
                      <w:sz w:val="22"/>
                      <w:szCs w:val="22"/>
                    </w:rPr>
                  </w:pPr>
                  <w:r>
                    <w:rPr>
                      <w:rFonts w:hint="eastAsia"/>
                      <w:color w:val="FF0000"/>
                      <w:sz w:val="22"/>
                      <w:szCs w:val="22"/>
                    </w:rPr>
                    <w:t>允许类活动相关要求</w:t>
                  </w:r>
                </w:p>
              </w:tc>
              <w:tc>
                <w:tcPr>
                  <w:tcW w:w="3780" w:type="dxa"/>
                  <w:vAlign w:val="center"/>
                </w:tcPr>
                <w:p>
                  <w:pPr>
                    <w:adjustRightInd w:val="0"/>
                    <w:snapToGrid w:val="0"/>
                    <w:ind w:left="-103" w:leftChars="-50" w:right="-103" w:rightChars="-50" w:firstLine="432" w:firstLineChars="200"/>
                    <w:rPr>
                      <w:color w:val="FF0000"/>
                      <w:sz w:val="22"/>
                      <w:szCs w:val="22"/>
                    </w:rPr>
                  </w:pPr>
                  <w:r>
                    <w:rPr>
                      <w:color w:val="FF0000"/>
                      <w:sz w:val="22"/>
                      <w:szCs w:val="22"/>
                    </w:rPr>
                    <w:t>1.因国家重大战略资源勘查需要，在不影响主体功能定位的前提下，经依法批准后予以安排勘查项目。</w:t>
                  </w:r>
                </w:p>
                <w:p>
                  <w:pPr>
                    <w:adjustRightInd w:val="0"/>
                    <w:snapToGrid w:val="0"/>
                    <w:ind w:left="-103" w:leftChars="-50" w:right="-103" w:rightChars="-50" w:firstLine="432" w:firstLineChars="200"/>
                    <w:rPr>
                      <w:color w:val="FF0000"/>
                      <w:sz w:val="22"/>
                      <w:szCs w:val="22"/>
                    </w:rPr>
                  </w:pPr>
                  <w:r>
                    <w:rPr>
                      <w:color w:val="FF0000"/>
                      <w:sz w:val="22"/>
                      <w:szCs w:val="22"/>
                    </w:rPr>
                    <w:t>2.鼓励按照规划开展维护、修复和提升生态功能的活动。</w:t>
                  </w:r>
                </w:p>
              </w:tc>
              <w:tc>
                <w:tcPr>
                  <w:tcW w:w="1271" w:type="dxa"/>
                  <w:vMerge w:val="continue"/>
                  <w:vAlign w:val="center"/>
                </w:tcPr>
                <w:p>
                  <w:pPr>
                    <w:pStyle w:val="101"/>
                    <w:adjustRightInd w:val="0"/>
                    <w:snapToGrid w:val="0"/>
                    <w:jc w:val="center"/>
                    <w:rPr>
                      <w:color w:val="FF0000"/>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696" w:hRule="atLeast"/>
                <w:jc w:val="center"/>
              </w:trPr>
              <w:tc>
                <w:tcPr>
                  <w:tcW w:w="432" w:type="dxa"/>
                  <w:vMerge w:val="restart"/>
                  <w:vAlign w:val="center"/>
                </w:tcPr>
                <w:p>
                  <w:pPr>
                    <w:adjustRightInd w:val="0"/>
                    <w:snapToGrid w:val="0"/>
                    <w:jc w:val="center"/>
                    <w:rPr>
                      <w:color w:val="FF0000"/>
                      <w:sz w:val="22"/>
                      <w:szCs w:val="22"/>
                    </w:rPr>
                  </w:pPr>
                  <w:r>
                    <w:rPr>
                      <w:rFonts w:hint="eastAsia"/>
                      <w:color w:val="FF0000"/>
                      <w:sz w:val="22"/>
                      <w:szCs w:val="22"/>
                    </w:rPr>
                    <w:t>一般生态空间</w:t>
                  </w:r>
                </w:p>
              </w:tc>
              <w:tc>
                <w:tcPr>
                  <w:tcW w:w="432" w:type="dxa"/>
                  <w:vMerge w:val="restart"/>
                  <w:vAlign w:val="center"/>
                </w:tcPr>
                <w:p>
                  <w:pPr>
                    <w:adjustRightInd w:val="0"/>
                    <w:snapToGrid w:val="0"/>
                    <w:jc w:val="center"/>
                    <w:rPr>
                      <w:color w:val="FF0000"/>
                      <w:sz w:val="22"/>
                      <w:szCs w:val="22"/>
                    </w:rPr>
                  </w:pPr>
                  <w:r>
                    <w:rPr>
                      <w:rFonts w:hint="eastAsia"/>
                      <w:color w:val="FF0000"/>
                      <w:sz w:val="22"/>
                      <w:szCs w:val="22"/>
                    </w:rPr>
                    <w:t>总体要求</w:t>
                  </w:r>
                </w:p>
              </w:tc>
              <w:tc>
                <w:tcPr>
                  <w:tcW w:w="432" w:type="dxa"/>
                  <w:vMerge w:val="restart"/>
                  <w:vAlign w:val="center"/>
                </w:tcPr>
                <w:p>
                  <w:pPr>
                    <w:adjustRightInd w:val="0"/>
                    <w:snapToGrid w:val="0"/>
                    <w:jc w:val="center"/>
                    <w:rPr>
                      <w:color w:val="FF0000"/>
                      <w:sz w:val="22"/>
                      <w:szCs w:val="22"/>
                    </w:rPr>
                  </w:pPr>
                  <w:r>
                    <w:rPr>
                      <w:rFonts w:hint="eastAsia"/>
                      <w:color w:val="FF0000"/>
                      <w:sz w:val="22"/>
                      <w:szCs w:val="22"/>
                    </w:rPr>
                    <w:t>空间布局约束</w:t>
                  </w:r>
                </w:p>
              </w:tc>
              <w:tc>
                <w:tcPr>
                  <w:tcW w:w="691" w:type="dxa"/>
                  <w:vAlign w:val="center"/>
                </w:tcPr>
                <w:p>
                  <w:pPr>
                    <w:adjustRightInd w:val="0"/>
                    <w:snapToGrid w:val="0"/>
                    <w:ind w:left="-103" w:leftChars="-50" w:right="-103" w:rightChars="-50"/>
                    <w:jc w:val="center"/>
                    <w:rPr>
                      <w:color w:val="FF0000"/>
                      <w:sz w:val="22"/>
                      <w:szCs w:val="22"/>
                    </w:rPr>
                  </w:pPr>
                  <w:r>
                    <w:rPr>
                      <w:rFonts w:hint="eastAsia"/>
                      <w:color w:val="FF0000"/>
                      <w:sz w:val="22"/>
                      <w:szCs w:val="22"/>
                    </w:rPr>
                    <w:t>限制类活动</w:t>
                  </w:r>
                </w:p>
              </w:tc>
              <w:tc>
                <w:tcPr>
                  <w:tcW w:w="3780" w:type="dxa"/>
                  <w:vAlign w:val="center"/>
                </w:tcPr>
                <w:p>
                  <w:pPr>
                    <w:adjustRightInd w:val="0"/>
                    <w:snapToGrid w:val="0"/>
                    <w:ind w:left="-103" w:leftChars="-50" w:right="-103" w:rightChars="-50" w:firstLine="432" w:firstLineChars="200"/>
                    <w:rPr>
                      <w:color w:val="FF0000"/>
                      <w:sz w:val="22"/>
                      <w:szCs w:val="22"/>
                    </w:rPr>
                  </w:pPr>
                  <w:r>
                    <w:rPr>
                      <w:color w:val="FF0000"/>
                      <w:sz w:val="22"/>
                      <w:szCs w:val="22"/>
                    </w:rPr>
                    <w:t>1.生态保护红线外的生态空间，原则上按限制开发区域的要求进行管理。</w:t>
                  </w:r>
                </w:p>
                <w:p>
                  <w:pPr>
                    <w:adjustRightInd w:val="0"/>
                    <w:snapToGrid w:val="0"/>
                    <w:ind w:left="-103" w:leftChars="-50" w:right="-103" w:rightChars="-50" w:firstLine="432" w:firstLineChars="200"/>
                    <w:rPr>
                      <w:color w:val="FF0000"/>
                      <w:sz w:val="22"/>
                      <w:szCs w:val="22"/>
                    </w:rPr>
                  </w:pPr>
                  <w:r>
                    <w:rPr>
                      <w:color w:val="FF0000"/>
                      <w:sz w:val="22"/>
                      <w:szCs w:val="22"/>
                    </w:rPr>
                    <w:t>2.从严控制生态空间转为城镇空间和农业空间。</w:t>
                  </w:r>
                </w:p>
                <w:p>
                  <w:pPr>
                    <w:adjustRightInd w:val="0"/>
                    <w:snapToGrid w:val="0"/>
                    <w:ind w:left="-103" w:leftChars="-50" w:right="-103" w:rightChars="-50" w:firstLine="432" w:firstLineChars="200"/>
                    <w:rPr>
                      <w:color w:val="FF0000"/>
                      <w:sz w:val="22"/>
                      <w:szCs w:val="22"/>
                    </w:rPr>
                  </w:pPr>
                  <w:r>
                    <w:rPr>
                      <w:color w:val="FF0000"/>
                      <w:sz w:val="22"/>
                      <w:szCs w:val="22"/>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ind w:left="-103" w:leftChars="-50" w:right="-103" w:rightChars="-50" w:firstLine="432" w:firstLineChars="200"/>
                    <w:rPr>
                      <w:color w:val="FF0000"/>
                      <w:sz w:val="22"/>
                      <w:szCs w:val="22"/>
                    </w:rPr>
                  </w:pPr>
                  <w:r>
                    <w:rPr>
                      <w:color w:val="FF0000"/>
                      <w:sz w:val="22"/>
                      <w:szCs w:val="22"/>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271" w:type="dxa"/>
                  <w:vMerge w:val="restart"/>
                  <w:vAlign w:val="center"/>
                </w:tcPr>
                <w:p>
                  <w:pPr>
                    <w:pStyle w:val="101"/>
                    <w:adjustRightInd w:val="0"/>
                    <w:snapToGrid w:val="0"/>
                    <w:ind w:left="0"/>
                    <w:jc w:val="center"/>
                    <w:rPr>
                      <w:color w:val="FF0000"/>
                      <w:sz w:val="22"/>
                      <w:szCs w:val="22"/>
                    </w:rPr>
                  </w:pPr>
                  <w:r>
                    <w:rPr>
                      <w:rFonts w:hint="eastAsia"/>
                      <w:color w:val="FF0000"/>
                      <w:sz w:val="22"/>
                      <w:szCs w:val="22"/>
                    </w:rPr>
                    <w:t>本项目不属于限制类活动，符合空间布局要求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dxa"/>
                  <w:vMerge w:val="continue"/>
                  <w:vAlign w:val="center"/>
                </w:tcPr>
                <w:p>
                  <w:pPr>
                    <w:adjustRightInd w:val="0"/>
                    <w:snapToGrid w:val="0"/>
                    <w:jc w:val="center"/>
                    <w:rPr>
                      <w:color w:val="FF0000"/>
                      <w:sz w:val="22"/>
                      <w:szCs w:val="22"/>
                    </w:rPr>
                  </w:pPr>
                </w:p>
              </w:tc>
              <w:tc>
                <w:tcPr>
                  <w:tcW w:w="432" w:type="dxa"/>
                  <w:vMerge w:val="continue"/>
                  <w:vAlign w:val="center"/>
                </w:tcPr>
                <w:p>
                  <w:pPr>
                    <w:adjustRightInd w:val="0"/>
                    <w:snapToGrid w:val="0"/>
                    <w:jc w:val="center"/>
                    <w:rPr>
                      <w:color w:val="FF0000"/>
                      <w:sz w:val="22"/>
                      <w:szCs w:val="22"/>
                    </w:rPr>
                  </w:pPr>
                </w:p>
              </w:tc>
              <w:tc>
                <w:tcPr>
                  <w:tcW w:w="432" w:type="dxa"/>
                  <w:vMerge w:val="continue"/>
                  <w:vAlign w:val="center"/>
                </w:tcPr>
                <w:p>
                  <w:pPr>
                    <w:adjustRightInd w:val="0"/>
                    <w:snapToGrid w:val="0"/>
                    <w:jc w:val="center"/>
                    <w:rPr>
                      <w:color w:val="FF0000"/>
                      <w:sz w:val="22"/>
                      <w:szCs w:val="22"/>
                    </w:rPr>
                  </w:pPr>
                </w:p>
              </w:tc>
              <w:tc>
                <w:tcPr>
                  <w:tcW w:w="691" w:type="dxa"/>
                  <w:vAlign w:val="center"/>
                </w:tcPr>
                <w:p>
                  <w:pPr>
                    <w:adjustRightInd w:val="0"/>
                    <w:snapToGrid w:val="0"/>
                    <w:ind w:left="-103" w:leftChars="-50" w:right="-103" w:rightChars="-50"/>
                    <w:jc w:val="center"/>
                    <w:rPr>
                      <w:color w:val="FF0000"/>
                      <w:sz w:val="22"/>
                      <w:szCs w:val="22"/>
                    </w:rPr>
                  </w:pPr>
                  <w:r>
                    <w:rPr>
                      <w:rFonts w:hint="eastAsia"/>
                      <w:color w:val="FF0000"/>
                      <w:sz w:val="22"/>
                      <w:szCs w:val="22"/>
                    </w:rPr>
                    <w:t>允许类活动相关要求</w:t>
                  </w:r>
                </w:p>
              </w:tc>
              <w:tc>
                <w:tcPr>
                  <w:tcW w:w="3780" w:type="dxa"/>
                  <w:vAlign w:val="center"/>
                </w:tcPr>
                <w:p>
                  <w:pPr>
                    <w:adjustRightInd w:val="0"/>
                    <w:snapToGrid w:val="0"/>
                    <w:ind w:left="-103" w:leftChars="-50" w:right="-103" w:rightChars="-50" w:firstLine="432" w:firstLineChars="200"/>
                    <w:rPr>
                      <w:color w:val="FF0000"/>
                      <w:sz w:val="22"/>
                      <w:szCs w:val="22"/>
                    </w:rPr>
                  </w:pPr>
                  <w:r>
                    <w:rPr>
                      <w:color w:val="FF0000"/>
                      <w:sz w:val="22"/>
                      <w:szCs w:val="22"/>
                    </w:rPr>
                    <w:t>1.鼓励城镇空间和符合国家生态退耕条件的农业空间转为生态空间。</w:t>
                  </w:r>
                </w:p>
                <w:p>
                  <w:pPr>
                    <w:adjustRightInd w:val="0"/>
                    <w:snapToGrid w:val="0"/>
                    <w:ind w:left="-103" w:leftChars="-50" w:right="-103" w:rightChars="-50" w:firstLine="432" w:firstLineChars="200"/>
                    <w:rPr>
                      <w:color w:val="FF0000"/>
                      <w:sz w:val="22"/>
                      <w:szCs w:val="22"/>
                    </w:rPr>
                  </w:pPr>
                  <w:r>
                    <w:rPr>
                      <w:color w:val="FF0000"/>
                      <w:sz w:val="22"/>
                      <w:szCs w:val="22"/>
                    </w:rPr>
                    <w:t>2.鼓励各地根据生态保护需要和规划，结合土地综合整治、工矿废弃地复垦利用、矿山环境恢复治理等各类工程实施，因地制宜促进生态空间内建设用地逐步有序退出。</w:t>
                  </w:r>
                </w:p>
              </w:tc>
              <w:tc>
                <w:tcPr>
                  <w:tcW w:w="1271" w:type="dxa"/>
                  <w:vMerge w:val="continue"/>
                  <w:vAlign w:val="center"/>
                </w:tcPr>
                <w:p>
                  <w:pPr>
                    <w:pStyle w:val="101"/>
                    <w:adjustRightInd w:val="0"/>
                    <w:snapToGrid w:val="0"/>
                    <w:ind w:left="0"/>
                    <w:jc w:val="center"/>
                    <w:rPr>
                      <w:color w:val="FF0000"/>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32" w:type="dxa"/>
                  <w:vMerge w:val="continue"/>
                  <w:vAlign w:val="center"/>
                </w:tcPr>
                <w:p>
                  <w:pPr>
                    <w:adjustRightInd w:val="0"/>
                    <w:snapToGrid w:val="0"/>
                    <w:jc w:val="center"/>
                    <w:rPr>
                      <w:color w:val="FF0000"/>
                      <w:sz w:val="22"/>
                      <w:szCs w:val="22"/>
                    </w:rPr>
                  </w:pPr>
                </w:p>
              </w:tc>
              <w:tc>
                <w:tcPr>
                  <w:tcW w:w="432" w:type="dxa"/>
                  <w:vMerge w:val="restart"/>
                  <w:vAlign w:val="center"/>
                </w:tcPr>
                <w:p>
                  <w:pPr>
                    <w:adjustRightInd w:val="0"/>
                    <w:snapToGrid w:val="0"/>
                    <w:jc w:val="center"/>
                    <w:rPr>
                      <w:color w:val="FF0000"/>
                      <w:sz w:val="22"/>
                      <w:szCs w:val="22"/>
                    </w:rPr>
                  </w:pPr>
                  <w:r>
                    <w:rPr>
                      <w:rFonts w:hint="eastAsia"/>
                      <w:color w:val="FF0000"/>
                      <w:sz w:val="22"/>
                      <w:szCs w:val="22"/>
                    </w:rPr>
                    <w:t>水源涵养</w:t>
                  </w:r>
                </w:p>
              </w:tc>
              <w:tc>
                <w:tcPr>
                  <w:tcW w:w="432" w:type="dxa"/>
                  <w:vMerge w:val="restart"/>
                  <w:vAlign w:val="center"/>
                </w:tcPr>
                <w:p>
                  <w:pPr>
                    <w:adjustRightInd w:val="0"/>
                    <w:snapToGrid w:val="0"/>
                    <w:jc w:val="center"/>
                    <w:rPr>
                      <w:color w:val="FF0000"/>
                      <w:sz w:val="22"/>
                      <w:szCs w:val="22"/>
                    </w:rPr>
                  </w:pPr>
                  <w:r>
                    <w:rPr>
                      <w:rFonts w:hint="eastAsia"/>
                      <w:color w:val="FF0000"/>
                      <w:sz w:val="22"/>
                      <w:szCs w:val="22"/>
                    </w:rPr>
                    <w:t>空间布局约束</w:t>
                  </w:r>
                </w:p>
              </w:tc>
              <w:tc>
                <w:tcPr>
                  <w:tcW w:w="691" w:type="dxa"/>
                  <w:vAlign w:val="center"/>
                </w:tcPr>
                <w:p>
                  <w:pPr>
                    <w:adjustRightInd w:val="0"/>
                    <w:snapToGrid w:val="0"/>
                    <w:ind w:left="-103" w:leftChars="-50" w:right="-103" w:rightChars="-50"/>
                    <w:jc w:val="center"/>
                    <w:rPr>
                      <w:color w:val="FF0000"/>
                      <w:sz w:val="22"/>
                      <w:szCs w:val="22"/>
                    </w:rPr>
                  </w:pPr>
                  <w:r>
                    <w:rPr>
                      <w:rFonts w:hint="eastAsia"/>
                      <w:color w:val="FF0000"/>
                      <w:sz w:val="22"/>
                      <w:szCs w:val="22"/>
                    </w:rPr>
                    <w:t>禁止类活动</w:t>
                  </w:r>
                </w:p>
              </w:tc>
              <w:tc>
                <w:tcPr>
                  <w:tcW w:w="3780" w:type="dxa"/>
                  <w:vAlign w:val="center"/>
                </w:tcPr>
                <w:p>
                  <w:pPr>
                    <w:adjustRightInd w:val="0"/>
                    <w:snapToGrid w:val="0"/>
                    <w:ind w:left="-103" w:leftChars="-50" w:right="-103" w:rightChars="-50" w:firstLine="432" w:firstLineChars="200"/>
                    <w:rPr>
                      <w:color w:val="FF0000"/>
                      <w:sz w:val="22"/>
                      <w:szCs w:val="22"/>
                    </w:rPr>
                  </w:pPr>
                  <w:r>
                    <w:rPr>
                      <w:color w:val="FF0000"/>
                      <w:sz w:val="22"/>
                      <w:szCs w:val="22"/>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ind w:left="-103" w:leftChars="-50" w:right="-103" w:rightChars="-50" w:firstLine="432" w:firstLineChars="200"/>
                    <w:rPr>
                      <w:color w:val="FF0000"/>
                      <w:sz w:val="22"/>
                      <w:szCs w:val="22"/>
                    </w:rPr>
                  </w:pPr>
                  <w:r>
                    <w:rPr>
                      <w:color w:val="FF0000"/>
                      <w:sz w:val="22"/>
                      <w:szCs w:val="22"/>
                    </w:rPr>
                    <w:t>2.控制水污染，减轻水污染负荷，禁止导致水体污染的产业发展，开展生态清洁小流域的建设。</w:t>
                  </w:r>
                </w:p>
              </w:tc>
              <w:tc>
                <w:tcPr>
                  <w:tcW w:w="1271" w:type="dxa"/>
                  <w:vMerge w:val="restart"/>
                  <w:vAlign w:val="center"/>
                </w:tcPr>
                <w:p>
                  <w:pPr>
                    <w:pStyle w:val="101"/>
                    <w:adjustRightInd w:val="0"/>
                    <w:snapToGrid w:val="0"/>
                    <w:ind w:left="0"/>
                    <w:jc w:val="center"/>
                    <w:rPr>
                      <w:color w:val="FF0000"/>
                      <w:sz w:val="22"/>
                      <w:szCs w:val="22"/>
                    </w:rPr>
                  </w:pPr>
                  <w:r>
                    <w:rPr>
                      <w:rFonts w:hint="eastAsia"/>
                      <w:color w:val="FF0000"/>
                      <w:sz w:val="22"/>
                      <w:szCs w:val="22"/>
                    </w:rPr>
                    <w:t>本项目食堂废水经</w:t>
                  </w:r>
                  <w:r>
                    <w:rPr>
                      <w:color w:val="FF0000"/>
                      <w:sz w:val="22"/>
                      <w:szCs w:val="22"/>
                    </w:rPr>
                    <w:t>隔油池</w:t>
                  </w:r>
                  <w:r>
                    <w:rPr>
                      <w:rFonts w:hint="eastAsia"/>
                      <w:color w:val="FF0000"/>
                      <w:sz w:val="22"/>
                      <w:szCs w:val="22"/>
                    </w:rPr>
                    <w:t>处理、其他</w:t>
                  </w:r>
                  <w:r>
                    <w:rPr>
                      <w:color w:val="FF0000"/>
                      <w:sz w:val="22"/>
                      <w:szCs w:val="22"/>
                    </w:rPr>
                    <w:t>生活废水经化粪池处理后，经污水管网进入魏县经济开发区东区污水处理厂处理</w:t>
                  </w:r>
                  <w:r>
                    <w:rPr>
                      <w:rFonts w:hint="eastAsia"/>
                      <w:color w:val="FF0000"/>
                      <w:sz w:val="22"/>
                      <w:szCs w:val="22"/>
                    </w:rPr>
                    <w:t>；漆雾喷淋</w:t>
                  </w:r>
                  <w:r>
                    <w:rPr>
                      <w:color w:val="FF0000"/>
                      <w:sz w:val="22"/>
                      <w:szCs w:val="22"/>
                    </w:rPr>
                    <w:t>废水</w:t>
                  </w:r>
                  <w:r>
                    <w:rPr>
                      <w:rFonts w:hint="eastAsia"/>
                      <w:color w:val="FF0000"/>
                      <w:sz w:val="22"/>
                      <w:szCs w:val="22"/>
                    </w:rPr>
                    <w:t>经沉淀后循环使用，不外排。不属于禁止类活动，符合空间布局要求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32" w:type="dxa"/>
                  <w:vMerge w:val="continue"/>
                  <w:vAlign w:val="center"/>
                </w:tcPr>
                <w:p>
                  <w:pPr>
                    <w:adjustRightInd w:val="0"/>
                    <w:snapToGrid w:val="0"/>
                    <w:jc w:val="center"/>
                    <w:rPr>
                      <w:color w:val="FF0000"/>
                      <w:sz w:val="22"/>
                      <w:szCs w:val="22"/>
                    </w:rPr>
                  </w:pPr>
                </w:p>
              </w:tc>
              <w:tc>
                <w:tcPr>
                  <w:tcW w:w="432" w:type="dxa"/>
                  <w:vMerge w:val="continue"/>
                  <w:vAlign w:val="center"/>
                </w:tcPr>
                <w:p>
                  <w:pPr>
                    <w:adjustRightInd w:val="0"/>
                    <w:snapToGrid w:val="0"/>
                    <w:jc w:val="center"/>
                    <w:rPr>
                      <w:color w:val="FF0000"/>
                      <w:sz w:val="22"/>
                      <w:szCs w:val="22"/>
                    </w:rPr>
                  </w:pPr>
                </w:p>
              </w:tc>
              <w:tc>
                <w:tcPr>
                  <w:tcW w:w="432" w:type="dxa"/>
                  <w:vMerge w:val="continue"/>
                  <w:vAlign w:val="center"/>
                </w:tcPr>
                <w:p>
                  <w:pPr>
                    <w:adjustRightInd w:val="0"/>
                    <w:snapToGrid w:val="0"/>
                    <w:jc w:val="center"/>
                    <w:rPr>
                      <w:color w:val="FF0000"/>
                      <w:sz w:val="22"/>
                      <w:szCs w:val="22"/>
                    </w:rPr>
                  </w:pPr>
                </w:p>
              </w:tc>
              <w:tc>
                <w:tcPr>
                  <w:tcW w:w="691" w:type="dxa"/>
                  <w:vAlign w:val="center"/>
                </w:tcPr>
                <w:p>
                  <w:pPr>
                    <w:adjustRightInd w:val="0"/>
                    <w:snapToGrid w:val="0"/>
                    <w:ind w:left="-103" w:leftChars="-50" w:right="-103" w:rightChars="-50"/>
                    <w:jc w:val="center"/>
                    <w:rPr>
                      <w:color w:val="FF0000"/>
                      <w:sz w:val="22"/>
                      <w:szCs w:val="22"/>
                    </w:rPr>
                  </w:pPr>
                  <w:r>
                    <w:rPr>
                      <w:rFonts w:hint="eastAsia"/>
                      <w:color w:val="FF0000"/>
                      <w:sz w:val="22"/>
                      <w:szCs w:val="22"/>
                    </w:rPr>
                    <w:t>允许类活动相关要求</w:t>
                  </w:r>
                </w:p>
              </w:tc>
              <w:tc>
                <w:tcPr>
                  <w:tcW w:w="3780" w:type="dxa"/>
                  <w:vAlign w:val="center"/>
                </w:tcPr>
                <w:p>
                  <w:pPr>
                    <w:adjustRightInd w:val="0"/>
                    <w:snapToGrid w:val="0"/>
                    <w:ind w:left="-103" w:leftChars="-50" w:right="-103" w:rightChars="-50" w:firstLine="432" w:firstLineChars="200"/>
                    <w:rPr>
                      <w:color w:val="FF0000"/>
                      <w:sz w:val="22"/>
                      <w:szCs w:val="22"/>
                    </w:rPr>
                  </w:pPr>
                  <w:r>
                    <w:rPr>
                      <w:color w:val="FF0000"/>
                      <w:sz w:val="22"/>
                      <w:szCs w:val="22"/>
                    </w:rPr>
                    <w:t>1.坚持自然恢复为主，严格限制在水源涵养区大规模人工造林。</w:t>
                  </w:r>
                </w:p>
                <w:p>
                  <w:pPr>
                    <w:adjustRightInd w:val="0"/>
                    <w:snapToGrid w:val="0"/>
                    <w:ind w:left="-103" w:leftChars="-50" w:right="-103" w:rightChars="-50" w:firstLine="432" w:firstLineChars="200"/>
                    <w:rPr>
                      <w:color w:val="FF0000"/>
                      <w:sz w:val="22"/>
                      <w:szCs w:val="22"/>
                    </w:rPr>
                  </w:pPr>
                  <w:r>
                    <w:rPr>
                      <w:color w:val="FF0000"/>
                      <w:sz w:val="22"/>
                      <w:szCs w:val="22"/>
                    </w:rPr>
                    <w:t>2.严格控制载畜量，实行以草定畜，在农牧交错区提倡农牧结合，发展生态产业，培育替代产业，减轻区内畜牧业对水源和生态系统的压力。</w:t>
                  </w:r>
                </w:p>
              </w:tc>
              <w:tc>
                <w:tcPr>
                  <w:tcW w:w="1271" w:type="dxa"/>
                  <w:vMerge w:val="continue"/>
                  <w:vAlign w:val="center"/>
                </w:tcPr>
                <w:p>
                  <w:pPr>
                    <w:pStyle w:val="101"/>
                    <w:adjustRightInd w:val="0"/>
                    <w:snapToGrid w:val="0"/>
                    <w:jc w:val="center"/>
                    <w:rPr>
                      <w:color w:val="FF0000"/>
                      <w:sz w:val="22"/>
                      <w:szCs w:val="22"/>
                    </w:rPr>
                  </w:pPr>
                </w:p>
              </w:tc>
            </w:tr>
          </w:tbl>
          <w:p>
            <w:pPr>
              <w:pStyle w:val="9"/>
              <w:adjustRightInd w:val="0"/>
              <w:snapToGrid w:val="0"/>
              <w:ind w:firstLine="482"/>
              <w:jc w:val="center"/>
              <w:rPr>
                <w:b/>
                <w:bCs/>
                <w:color w:val="FF0000"/>
                <w:szCs w:val="24"/>
              </w:rPr>
            </w:pPr>
            <w:r>
              <w:rPr>
                <w:b/>
                <w:bCs/>
                <w:color w:val="FF0000"/>
                <w:szCs w:val="24"/>
              </w:rPr>
              <w:t>表</w:t>
            </w:r>
            <w:r>
              <w:rPr>
                <w:rFonts w:hint="eastAsia"/>
                <w:b/>
                <w:bCs/>
                <w:color w:val="FF0000"/>
                <w:szCs w:val="24"/>
              </w:rPr>
              <w:t>1-4</w:t>
            </w:r>
            <w:r>
              <w:rPr>
                <w:b/>
                <w:bCs/>
                <w:color w:val="FF0000"/>
                <w:szCs w:val="24"/>
              </w:rPr>
              <w:t xml:space="preserve">  本项目与</w:t>
            </w:r>
            <w:r>
              <w:rPr>
                <w:rFonts w:hint="eastAsia"/>
                <w:b/>
                <w:bCs/>
                <w:color w:val="FF0000"/>
                <w:szCs w:val="24"/>
              </w:rPr>
              <w:t>邯郸市大气环境总体管控要求</w:t>
            </w:r>
            <w:r>
              <w:rPr>
                <w:b/>
                <w:bCs/>
                <w:color w:val="FF0000"/>
                <w:szCs w:val="24"/>
              </w:rPr>
              <w:t>符合性一览表</w:t>
            </w:r>
          </w:p>
          <w:tbl>
            <w:tblPr>
              <w:tblStyle w:val="28"/>
              <w:tblW w:w="4991"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974"/>
              <w:gridCol w:w="1404"/>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1" w:type="pct"/>
                  <w:vAlign w:val="center"/>
                </w:tcPr>
                <w:p>
                  <w:pPr>
                    <w:adjustRightInd w:val="0"/>
                    <w:snapToGrid w:val="0"/>
                    <w:jc w:val="center"/>
                    <w:rPr>
                      <w:color w:val="FF0000"/>
                      <w:szCs w:val="21"/>
                    </w:rPr>
                  </w:pPr>
                  <w:r>
                    <w:rPr>
                      <w:rFonts w:hint="eastAsia"/>
                      <w:color w:val="FF0000"/>
                      <w:szCs w:val="21"/>
                    </w:rPr>
                    <w:t>管控维度</w:t>
                  </w:r>
                </w:p>
              </w:tc>
              <w:tc>
                <w:tcPr>
                  <w:tcW w:w="3431" w:type="pct"/>
                  <w:vAlign w:val="center"/>
                </w:tcPr>
                <w:p>
                  <w:pPr>
                    <w:adjustRightInd w:val="0"/>
                    <w:snapToGrid w:val="0"/>
                    <w:jc w:val="center"/>
                    <w:rPr>
                      <w:color w:val="FF0000"/>
                      <w:szCs w:val="21"/>
                    </w:rPr>
                  </w:pPr>
                  <w:r>
                    <w:rPr>
                      <w:rFonts w:hint="eastAsia"/>
                      <w:color w:val="FF0000"/>
                      <w:szCs w:val="21"/>
                    </w:rPr>
                    <w:t>管控要求</w:t>
                  </w:r>
                </w:p>
              </w:tc>
              <w:tc>
                <w:tcPr>
                  <w:tcW w:w="968" w:type="pct"/>
                  <w:vAlign w:val="center"/>
                </w:tcPr>
                <w:p>
                  <w:pPr>
                    <w:adjustRightInd w:val="0"/>
                    <w:snapToGrid w:val="0"/>
                    <w:jc w:val="center"/>
                    <w:rPr>
                      <w:color w:val="FF0000"/>
                      <w:szCs w:val="21"/>
                    </w:rPr>
                  </w:pPr>
                  <w:r>
                    <w:rPr>
                      <w:rFonts w:hint="eastAsia"/>
                      <w:color w:val="FF0000"/>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1" w:type="pct"/>
                  <w:vAlign w:val="center"/>
                </w:tcPr>
                <w:p>
                  <w:pPr>
                    <w:adjustRightInd w:val="0"/>
                    <w:snapToGrid w:val="0"/>
                    <w:jc w:val="center"/>
                    <w:rPr>
                      <w:color w:val="FF0000"/>
                      <w:szCs w:val="21"/>
                    </w:rPr>
                  </w:pPr>
                  <w:r>
                    <w:rPr>
                      <w:rFonts w:hint="eastAsia"/>
                      <w:color w:val="FF0000"/>
                      <w:szCs w:val="21"/>
                    </w:rPr>
                    <w:t>污染物防控目标</w:t>
                  </w:r>
                </w:p>
              </w:tc>
              <w:tc>
                <w:tcPr>
                  <w:tcW w:w="3431" w:type="pct"/>
                  <w:vAlign w:val="center"/>
                </w:tcPr>
                <w:p>
                  <w:pPr>
                    <w:adjustRightInd w:val="0"/>
                    <w:snapToGrid w:val="0"/>
                    <w:ind w:firstLine="412" w:firstLineChars="200"/>
                    <w:rPr>
                      <w:color w:val="FF0000"/>
                      <w:szCs w:val="21"/>
                    </w:rPr>
                  </w:pPr>
                  <w:r>
                    <w:rPr>
                      <w:rFonts w:hint="eastAsia"/>
                      <w:color w:val="FF0000"/>
                      <w:szCs w:val="21"/>
                    </w:rPr>
                    <w:t>2025年SO</w:t>
                  </w:r>
                  <w:r>
                    <w:rPr>
                      <w:rFonts w:hint="eastAsia"/>
                      <w:color w:val="FF0000"/>
                      <w:szCs w:val="21"/>
                      <w:vertAlign w:val="subscript"/>
                    </w:rPr>
                    <w:t>2</w:t>
                  </w:r>
                  <w:r>
                    <w:rPr>
                      <w:rFonts w:hint="eastAsia"/>
                      <w:color w:val="FF0000"/>
                      <w:szCs w:val="21"/>
                    </w:rPr>
                    <w:t>、NO</w:t>
                  </w:r>
                  <w:r>
                    <w:rPr>
                      <w:rFonts w:hint="eastAsia"/>
                      <w:color w:val="FF0000"/>
                      <w:szCs w:val="21"/>
                      <w:vertAlign w:val="subscript"/>
                    </w:rPr>
                    <w:t>2</w:t>
                  </w:r>
                  <w:r>
                    <w:rPr>
                      <w:rFonts w:hint="eastAsia"/>
                      <w:color w:val="FF0000"/>
                      <w:szCs w:val="21"/>
                    </w:rPr>
                    <w:t>、PM</w:t>
                  </w:r>
                  <w:r>
                    <w:rPr>
                      <w:rFonts w:hint="eastAsia"/>
                      <w:color w:val="FF0000"/>
                      <w:szCs w:val="21"/>
                      <w:vertAlign w:val="subscript"/>
                    </w:rPr>
                    <w:t>2.5</w:t>
                  </w:r>
                  <w:r>
                    <w:rPr>
                      <w:rFonts w:hint="eastAsia"/>
                      <w:color w:val="FF0000"/>
                      <w:szCs w:val="21"/>
                    </w:rPr>
                    <w:t>年均浓度分别达到20微克/立方米、38微克/立方米、46微克/立方米，遏制O</w:t>
                  </w:r>
                  <w:r>
                    <w:rPr>
                      <w:rFonts w:hint="eastAsia"/>
                      <w:color w:val="FF0000"/>
                      <w:szCs w:val="21"/>
                      <w:vertAlign w:val="subscript"/>
                    </w:rPr>
                    <w:t>3</w:t>
                  </w:r>
                  <w:r>
                    <w:rPr>
                      <w:rFonts w:hint="eastAsia"/>
                      <w:color w:val="FF0000"/>
                      <w:szCs w:val="21"/>
                    </w:rPr>
                    <w:t>恶化态势，优良天数比例控制在58%以上。</w:t>
                  </w:r>
                </w:p>
                <w:p>
                  <w:pPr>
                    <w:adjustRightInd w:val="0"/>
                    <w:snapToGrid w:val="0"/>
                    <w:ind w:firstLine="412" w:firstLineChars="200"/>
                    <w:rPr>
                      <w:color w:val="FF0000"/>
                      <w:szCs w:val="21"/>
                    </w:rPr>
                  </w:pPr>
                  <w:r>
                    <w:rPr>
                      <w:rFonts w:hint="eastAsia"/>
                      <w:color w:val="FF0000"/>
                      <w:szCs w:val="21"/>
                    </w:rPr>
                    <w:t>2035年SO</w:t>
                  </w:r>
                  <w:r>
                    <w:rPr>
                      <w:rFonts w:hint="eastAsia"/>
                      <w:color w:val="FF0000"/>
                      <w:szCs w:val="21"/>
                      <w:vertAlign w:val="subscript"/>
                    </w:rPr>
                    <w:t>2</w:t>
                  </w:r>
                  <w:r>
                    <w:rPr>
                      <w:rFonts w:hint="eastAsia"/>
                      <w:color w:val="FF0000"/>
                      <w:szCs w:val="21"/>
                    </w:rPr>
                    <w:t>、NO</w:t>
                  </w:r>
                  <w:r>
                    <w:rPr>
                      <w:rFonts w:hint="eastAsia"/>
                      <w:color w:val="FF0000"/>
                      <w:szCs w:val="21"/>
                      <w:vertAlign w:val="subscript"/>
                    </w:rPr>
                    <w:t>2</w:t>
                  </w:r>
                  <w:r>
                    <w:rPr>
                      <w:rFonts w:hint="eastAsia"/>
                      <w:color w:val="FF0000"/>
                      <w:szCs w:val="21"/>
                    </w:rPr>
                    <w:t>、PM</w:t>
                  </w:r>
                  <w:r>
                    <w:rPr>
                      <w:rFonts w:hint="eastAsia"/>
                      <w:color w:val="FF0000"/>
                      <w:szCs w:val="21"/>
                      <w:vertAlign w:val="subscript"/>
                    </w:rPr>
                    <w:t>2.5</w:t>
                  </w:r>
                  <w:r>
                    <w:rPr>
                      <w:rFonts w:hint="eastAsia"/>
                      <w:color w:val="FF0000"/>
                      <w:szCs w:val="21"/>
                    </w:rPr>
                    <w:t>年均浓度分别达到20微克/立方米、38微克/立方米、35微克/立方米，O</w:t>
                  </w:r>
                  <w:r>
                    <w:rPr>
                      <w:rFonts w:hint="eastAsia"/>
                      <w:color w:val="FF0000"/>
                      <w:szCs w:val="21"/>
                      <w:vertAlign w:val="subscript"/>
                    </w:rPr>
                    <w:t>3</w:t>
                  </w:r>
                  <w:r>
                    <w:rPr>
                      <w:rFonts w:hint="eastAsia"/>
                      <w:color w:val="FF0000"/>
                      <w:szCs w:val="21"/>
                    </w:rPr>
                    <w:t>在现状基础上得到控制，优良天数比例控制在75%以上。</w:t>
                  </w:r>
                </w:p>
              </w:tc>
              <w:tc>
                <w:tcPr>
                  <w:tcW w:w="968" w:type="pct"/>
                  <w:vAlign w:val="center"/>
                </w:tcPr>
                <w:p>
                  <w:pPr>
                    <w:adjustRightInd w:val="0"/>
                    <w:snapToGrid w:val="0"/>
                    <w:jc w:val="center"/>
                    <w:rPr>
                      <w:color w:val="FF0000"/>
                      <w:sz w:val="22"/>
                      <w:szCs w:val="22"/>
                    </w:rPr>
                  </w:pPr>
                  <w:r>
                    <w:rPr>
                      <w:rFonts w:hint="eastAsia"/>
                      <w:color w:val="FF0000"/>
                      <w:sz w:val="22"/>
                      <w:szCs w:val="22"/>
                    </w:rPr>
                    <w:t>本项目</w:t>
                  </w:r>
                  <w:r>
                    <w:rPr>
                      <w:rFonts w:hint="eastAsia" w:eastAsiaTheme="minorEastAsia"/>
                      <w:color w:val="FF0000"/>
                      <w:sz w:val="22"/>
                      <w:szCs w:val="22"/>
                    </w:rPr>
                    <w:t>被列为</w:t>
                  </w:r>
                  <w:r>
                    <w:rPr>
                      <w:rFonts w:hint="eastAsia" w:eastAsiaTheme="minorEastAsia"/>
                      <w:bCs/>
                      <w:color w:val="FF0000"/>
                      <w:sz w:val="22"/>
                      <w:szCs w:val="22"/>
                    </w:rPr>
                    <w:t>邯郸市2021年重点项目，</w:t>
                  </w:r>
                  <w:r>
                    <w:rPr>
                      <w:rFonts w:hint="eastAsia"/>
                      <w:color w:val="FF0000"/>
                      <w:sz w:val="22"/>
                      <w:szCs w:val="22"/>
                    </w:rPr>
                    <w:t>污染物排放量较小</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1" w:type="pct"/>
                  <w:vAlign w:val="center"/>
                </w:tcPr>
                <w:p>
                  <w:pPr>
                    <w:adjustRightInd w:val="0"/>
                    <w:snapToGrid w:val="0"/>
                    <w:jc w:val="center"/>
                    <w:rPr>
                      <w:color w:val="FF0000"/>
                      <w:szCs w:val="21"/>
                    </w:rPr>
                  </w:pPr>
                  <w:r>
                    <w:rPr>
                      <w:rFonts w:hint="eastAsia"/>
                      <w:color w:val="FF0000"/>
                      <w:szCs w:val="21"/>
                    </w:rPr>
                    <w:t>空间布局</w:t>
                  </w:r>
                </w:p>
              </w:tc>
              <w:tc>
                <w:tcPr>
                  <w:tcW w:w="3431" w:type="pct"/>
                  <w:vAlign w:val="center"/>
                </w:tcPr>
                <w:p>
                  <w:pPr>
                    <w:adjustRightInd w:val="0"/>
                    <w:snapToGrid w:val="0"/>
                    <w:ind w:firstLine="412" w:firstLineChars="200"/>
                    <w:rPr>
                      <w:color w:val="FF0000"/>
                      <w:szCs w:val="21"/>
                    </w:rPr>
                  </w:pPr>
                  <w:r>
                    <w:rPr>
                      <w:rFonts w:hint="eastAsia"/>
                      <w:color w:val="FF0000"/>
                      <w:szCs w:val="21"/>
                    </w:rPr>
                    <w:t>1.严格落实钢铁、水泥、平板玻璃等行业产能置换政策，严禁新增钢铁、焦化、铸造、水泥和平板玻璃等产能，禁止新增化工园区。</w:t>
                  </w:r>
                </w:p>
                <w:p>
                  <w:pPr>
                    <w:adjustRightInd w:val="0"/>
                    <w:snapToGrid w:val="0"/>
                    <w:ind w:firstLine="412" w:firstLineChars="200"/>
                    <w:rPr>
                      <w:color w:val="FF0000"/>
                      <w:szCs w:val="21"/>
                    </w:rPr>
                  </w:pPr>
                  <w:r>
                    <w:rPr>
                      <w:rFonts w:hint="eastAsia"/>
                      <w:color w:val="FF0000"/>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color w:val="FF0000"/>
                      <w:szCs w:val="21"/>
                    </w:rPr>
                  </w:pPr>
                  <w:r>
                    <w:rPr>
                      <w:rFonts w:hint="eastAsia"/>
                      <w:color w:val="FF0000"/>
                      <w:szCs w:val="21"/>
                    </w:rPr>
                    <w:t>3.加快城市建成区钢铁、煤炭、火电企业搬迁改造或关停退出，县城及主要城镇建成区的钢铁、煤炭、火电企业逐步实施退城搬迁。</w:t>
                  </w:r>
                </w:p>
                <w:p>
                  <w:pPr>
                    <w:adjustRightInd w:val="0"/>
                    <w:snapToGrid w:val="0"/>
                    <w:ind w:firstLine="412" w:firstLineChars="200"/>
                    <w:rPr>
                      <w:color w:val="FF0000"/>
                      <w:szCs w:val="21"/>
                    </w:rPr>
                  </w:pPr>
                  <w:r>
                    <w:rPr>
                      <w:rFonts w:hint="eastAsia"/>
                      <w:color w:val="FF0000"/>
                      <w:szCs w:val="21"/>
                    </w:rPr>
                    <w:t>4.严格控制高耗能项目建设，提高市场准入门槛，严格控制新增煤电机组装机规模，审慎发展石油化工等项目。</w:t>
                  </w:r>
                </w:p>
                <w:p>
                  <w:pPr>
                    <w:adjustRightInd w:val="0"/>
                    <w:snapToGrid w:val="0"/>
                    <w:ind w:firstLine="412" w:firstLineChars="200"/>
                    <w:rPr>
                      <w:color w:val="FF0000"/>
                      <w:szCs w:val="21"/>
                    </w:rPr>
                  </w:pPr>
                  <w:r>
                    <w:rPr>
                      <w:rFonts w:hint="eastAsia"/>
                      <w:color w:val="FF0000"/>
                      <w:szCs w:val="21"/>
                    </w:rPr>
                    <w:t>5.严格散煤生产、加工、储运、销售环节监管，“禁煤区”“高污染燃料禁燃区”不得新设散煤经营网点。</w:t>
                  </w:r>
                </w:p>
                <w:p>
                  <w:pPr>
                    <w:adjustRightInd w:val="0"/>
                    <w:snapToGrid w:val="0"/>
                    <w:ind w:firstLine="412" w:firstLineChars="200"/>
                    <w:rPr>
                      <w:color w:val="FF0000"/>
                      <w:szCs w:val="21"/>
                    </w:rPr>
                  </w:pPr>
                  <w:r>
                    <w:rPr>
                      <w:rFonts w:hint="eastAsia"/>
                      <w:color w:val="FF0000"/>
                      <w:szCs w:val="21"/>
                    </w:rPr>
                    <w:t>6.推进煤炭、钢铁、焦化、水泥等大宗货物年运输量150万吨以上的大型工矿企业、大型物流园区以及港口集疏运铁路专用线、管道或封闭管廊等建设。</w:t>
                  </w:r>
                </w:p>
              </w:tc>
              <w:tc>
                <w:tcPr>
                  <w:tcW w:w="968" w:type="pct"/>
                  <w:vAlign w:val="center"/>
                </w:tcPr>
                <w:p>
                  <w:pPr>
                    <w:adjustRightInd w:val="0"/>
                    <w:snapToGrid w:val="0"/>
                    <w:jc w:val="center"/>
                    <w:rPr>
                      <w:color w:val="FF0000"/>
                      <w:szCs w:val="21"/>
                    </w:rPr>
                  </w:pPr>
                  <w:r>
                    <w:rPr>
                      <w:color w:val="FF0000"/>
                      <w:szCs w:val="21"/>
                    </w:rPr>
                    <w:t>本项目</w:t>
                  </w:r>
                  <w:r>
                    <w:rPr>
                      <w:rFonts w:hint="eastAsia" w:eastAsiaTheme="minorEastAsia"/>
                      <w:color w:val="FF0000"/>
                      <w:sz w:val="22"/>
                      <w:szCs w:val="22"/>
                    </w:rPr>
                    <w:t>金属结构</w:t>
                  </w:r>
                  <w:r>
                    <w:rPr>
                      <w:rFonts w:eastAsiaTheme="minorEastAsia"/>
                      <w:color w:val="FF0000"/>
                      <w:sz w:val="22"/>
                      <w:szCs w:val="22"/>
                    </w:rPr>
                    <w:t>制造</w:t>
                  </w:r>
                  <w:r>
                    <w:rPr>
                      <w:color w:val="FF0000"/>
                      <w:szCs w:val="21"/>
                    </w:rPr>
                    <w:t>，</w:t>
                  </w:r>
                  <w:r>
                    <w:rPr>
                      <w:rFonts w:hint="eastAsia"/>
                      <w:color w:val="FF0000"/>
                      <w:szCs w:val="21"/>
                    </w:rPr>
                    <w:t>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1" w:type="pct"/>
                  <w:vAlign w:val="center"/>
                </w:tcPr>
                <w:p>
                  <w:pPr>
                    <w:adjustRightInd w:val="0"/>
                    <w:snapToGrid w:val="0"/>
                    <w:jc w:val="center"/>
                    <w:rPr>
                      <w:color w:val="FF0000"/>
                      <w:szCs w:val="21"/>
                    </w:rPr>
                  </w:pPr>
                  <w:r>
                    <w:rPr>
                      <w:rFonts w:hint="eastAsia"/>
                      <w:color w:val="FF0000"/>
                      <w:szCs w:val="21"/>
                    </w:rPr>
                    <w:t>污染物排放</w:t>
                  </w:r>
                </w:p>
              </w:tc>
              <w:tc>
                <w:tcPr>
                  <w:tcW w:w="3431" w:type="pct"/>
                  <w:vAlign w:val="center"/>
                </w:tcPr>
                <w:p>
                  <w:pPr>
                    <w:adjustRightInd w:val="0"/>
                    <w:snapToGrid w:val="0"/>
                    <w:ind w:firstLine="412" w:firstLineChars="200"/>
                    <w:rPr>
                      <w:color w:val="FF0000"/>
                      <w:szCs w:val="21"/>
                    </w:rPr>
                  </w:pPr>
                  <w:r>
                    <w:rPr>
                      <w:rFonts w:hint="eastAsia"/>
                      <w:color w:val="FF0000"/>
                      <w:szCs w:val="21"/>
                    </w:rPr>
                    <w:t>1.开展重点行业能源消耗、资源效率</w:t>
                  </w:r>
                  <w:r>
                    <w:rPr>
                      <w:rFonts w:hint="eastAsia"/>
                      <w:color w:val="FF0000"/>
                      <w:szCs w:val="21"/>
                      <w:lang w:eastAsia="zh-CN"/>
                    </w:rPr>
                    <w:t>对标对表</w:t>
                  </w:r>
                  <w:r>
                    <w:rPr>
                      <w:rFonts w:hint="eastAsia"/>
                      <w:color w:val="FF0000"/>
                      <w:szCs w:val="21"/>
                    </w:rPr>
                    <w:t>行动，推动重点污染企业搬迁入园、改造升级或依法退出。对未按期完成有组织、无组织超低排放改造、超标排放的重点行业企业实施停产整治。</w:t>
                  </w:r>
                </w:p>
                <w:p>
                  <w:pPr>
                    <w:adjustRightInd w:val="0"/>
                    <w:snapToGrid w:val="0"/>
                    <w:ind w:firstLine="412" w:firstLineChars="200"/>
                    <w:rPr>
                      <w:color w:val="FF0000"/>
                      <w:szCs w:val="21"/>
                    </w:rPr>
                  </w:pPr>
                  <w:r>
                    <w:rPr>
                      <w:rFonts w:hint="eastAsia"/>
                      <w:color w:val="FF0000"/>
                      <w:szCs w:val="21"/>
                    </w:rPr>
                    <w:t>2.以钢铁、焦化、水泥、平板玻璃等行业为重点，开展清洁化、循环化、低碳化改造。</w:t>
                  </w:r>
                </w:p>
                <w:p>
                  <w:pPr>
                    <w:adjustRightInd w:val="0"/>
                    <w:snapToGrid w:val="0"/>
                    <w:ind w:firstLine="412" w:firstLineChars="200"/>
                    <w:rPr>
                      <w:color w:val="FF0000"/>
                      <w:szCs w:val="21"/>
                    </w:rPr>
                  </w:pPr>
                  <w:r>
                    <w:rPr>
                      <w:rFonts w:hint="eastAsia"/>
                      <w:color w:val="FF0000"/>
                      <w:szCs w:val="21"/>
                    </w:rPr>
                    <w:t>3.全面推进燃煤电厂超净排放改造。</w:t>
                  </w:r>
                </w:p>
                <w:p>
                  <w:pPr>
                    <w:adjustRightInd w:val="0"/>
                    <w:snapToGrid w:val="0"/>
                    <w:ind w:firstLine="412" w:firstLineChars="200"/>
                    <w:rPr>
                      <w:color w:val="FF0000"/>
                      <w:szCs w:val="21"/>
                    </w:rPr>
                  </w:pPr>
                  <w:r>
                    <w:rPr>
                      <w:rFonts w:hint="eastAsia"/>
                      <w:color w:val="FF0000"/>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color w:val="FF0000"/>
                      <w:szCs w:val="21"/>
                    </w:rPr>
                  </w:pPr>
                  <w:r>
                    <w:rPr>
                      <w:rFonts w:hint="eastAsia"/>
                      <w:color w:val="FF0000"/>
                      <w:szCs w:val="21"/>
                    </w:rPr>
                    <w:t>5.深入开展工业窑炉和锅炉综合治理。全面提升砖瓦、石灰、耐火材料等行业工业窑炉的治污设施处理能力。</w:t>
                  </w:r>
                </w:p>
                <w:p>
                  <w:pPr>
                    <w:adjustRightInd w:val="0"/>
                    <w:snapToGrid w:val="0"/>
                    <w:ind w:firstLine="412" w:firstLineChars="200"/>
                    <w:rPr>
                      <w:color w:val="FF0000"/>
                      <w:szCs w:val="21"/>
                    </w:rPr>
                  </w:pPr>
                  <w:r>
                    <w:rPr>
                      <w:rFonts w:hint="eastAsia"/>
                      <w:color w:val="FF0000"/>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color w:val="FF0000"/>
                      <w:szCs w:val="21"/>
                    </w:rPr>
                  </w:pPr>
                  <w:r>
                    <w:rPr>
                      <w:rFonts w:hint="eastAsia"/>
                      <w:color w:val="FF0000"/>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color w:val="FF0000"/>
                      <w:szCs w:val="21"/>
                    </w:rPr>
                  </w:pPr>
                  <w:r>
                    <w:rPr>
                      <w:rFonts w:hint="eastAsia"/>
                      <w:color w:val="FF0000"/>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color w:val="FF0000"/>
                      <w:szCs w:val="21"/>
                    </w:rPr>
                  </w:pPr>
                  <w:r>
                    <w:rPr>
                      <w:rFonts w:hint="eastAsia"/>
                      <w:color w:val="FF0000"/>
                      <w:szCs w:val="21"/>
                    </w:rPr>
                    <w:t>9.严控建筑工地、裸土裸地、公路、城市和县乡(镇)道路扬尘，实行“以克论净”和尘负荷考核。逐年提高城镇绿化率和全市林木覆盖率。</w:t>
                  </w:r>
                </w:p>
                <w:p>
                  <w:pPr>
                    <w:adjustRightInd w:val="0"/>
                    <w:snapToGrid w:val="0"/>
                    <w:ind w:firstLine="412" w:firstLineChars="200"/>
                    <w:rPr>
                      <w:color w:val="FF0000"/>
                      <w:szCs w:val="21"/>
                    </w:rPr>
                  </w:pPr>
                  <w:r>
                    <w:rPr>
                      <w:rFonts w:hint="eastAsia"/>
                      <w:color w:val="FF0000"/>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color w:val="FF0000"/>
                      <w:szCs w:val="21"/>
                    </w:rPr>
                  </w:pPr>
                  <w:r>
                    <w:rPr>
                      <w:rFonts w:hint="eastAsia"/>
                      <w:color w:val="FF0000"/>
                      <w:szCs w:val="21"/>
                    </w:rPr>
                    <w:t>11.严控露天烧烤及秸秆焚烧污染。</w:t>
                  </w:r>
                </w:p>
                <w:p>
                  <w:pPr>
                    <w:adjustRightInd w:val="0"/>
                    <w:snapToGrid w:val="0"/>
                    <w:ind w:firstLine="412" w:firstLineChars="200"/>
                    <w:rPr>
                      <w:color w:val="FF0000"/>
                      <w:szCs w:val="21"/>
                    </w:rPr>
                  </w:pPr>
                  <w:r>
                    <w:rPr>
                      <w:rFonts w:hint="eastAsia"/>
                      <w:color w:val="FF0000"/>
                      <w:szCs w:val="21"/>
                    </w:rPr>
                    <w:t>12.实施农业氨排放削减。2021年，在全市推广氨排放控制措施，完成210万亩农田推广应用，有效降低氨对PM</w:t>
                  </w:r>
                  <w:r>
                    <w:rPr>
                      <w:rFonts w:hint="eastAsia"/>
                      <w:color w:val="FF0000"/>
                      <w:szCs w:val="21"/>
                      <w:vertAlign w:val="subscript"/>
                    </w:rPr>
                    <w:t>2.5</w:t>
                  </w:r>
                  <w:r>
                    <w:rPr>
                      <w:rFonts w:hint="eastAsia"/>
                      <w:color w:val="FF0000"/>
                      <w:szCs w:val="21"/>
                    </w:rPr>
                    <w:t>的影响。</w:t>
                  </w:r>
                </w:p>
              </w:tc>
              <w:tc>
                <w:tcPr>
                  <w:tcW w:w="968" w:type="pct"/>
                  <w:vAlign w:val="center"/>
                </w:tcPr>
                <w:p>
                  <w:pPr>
                    <w:adjustRightInd w:val="0"/>
                    <w:snapToGrid w:val="0"/>
                    <w:jc w:val="center"/>
                    <w:rPr>
                      <w:color w:val="FF0000"/>
                      <w:szCs w:val="21"/>
                    </w:rPr>
                  </w:pPr>
                  <w:r>
                    <w:rPr>
                      <w:rFonts w:hint="eastAsia"/>
                      <w:color w:val="FF0000"/>
                      <w:szCs w:val="21"/>
                    </w:rPr>
                    <w:t>本项目废气污染物为颗粒物、非甲烷总烃，颗粒物经除尘器处理，</w:t>
                  </w:r>
                  <w:r>
                    <w:rPr>
                      <w:rFonts w:hint="eastAsia"/>
                      <w:color w:val="FF0000"/>
                    </w:rPr>
                    <w:t>非甲烷总烃经“</w:t>
                  </w:r>
                  <w:r>
                    <w:rPr>
                      <w:rFonts w:hint="eastAsia"/>
                      <w:color w:val="FF0000"/>
                      <w:szCs w:val="21"/>
                    </w:rPr>
                    <w:t>水帘+催化燃烧装置”处理后能满足相关排放标准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1" w:type="pct"/>
                  <w:vAlign w:val="center"/>
                </w:tcPr>
                <w:p>
                  <w:pPr>
                    <w:adjustRightInd w:val="0"/>
                    <w:snapToGrid w:val="0"/>
                    <w:jc w:val="center"/>
                    <w:rPr>
                      <w:color w:val="FF0000"/>
                      <w:szCs w:val="21"/>
                    </w:rPr>
                  </w:pPr>
                  <w:r>
                    <w:rPr>
                      <w:rFonts w:hint="eastAsia"/>
                      <w:color w:val="FF0000"/>
                      <w:szCs w:val="21"/>
                    </w:rPr>
                    <w:t>环境风险防控</w:t>
                  </w:r>
                </w:p>
              </w:tc>
              <w:tc>
                <w:tcPr>
                  <w:tcW w:w="3431" w:type="pct"/>
                  <w:vAlign w:val="center"/>
                </w:tcPr>
                <w:p>
                  <w:pPr>
                    <w:adjustRightInd w:val="0"/>
                    <w:snapToGrid w:val="0"/>
                    <w:ind w:firstLine="412" w:firstLineChars="200"/>
                    <w:rPr>
                      <w:color w:val="FF0000"/>
                      <w:szCs w:val="21"/>
                    </w:rPr>
                  </w:pPr>
                  <w:r>
                    <w:rPr>
                      <w:rFonts w:hint="eastAsia"/>
                      <w:color w:val="FF0000"/>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color w:val="FF0000"/>
                      <w:szCs w:val="21"/>
                    </w:rPr>
                  </w:pPr>
                  <w:r>
                    <w:rPr>
                      <w:rFonts w:hint="eastAsia"/>
                      <w:color w:val="FF0000"/>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1" w:type="pct"/>
                  <w:vAlign w:val="center"/>
                </w:tcPr>
                <w:p>
                  <w:pPr>
                    <w:adjustRightInd w:val="0"/>
                    <w:snapToGrid w:val="0"/>
                    <w:jc w:val="center"/>
                    <w:rPr>
                      <w:color w:val="FF0000"/>
                      <w:szCs w:val="21"/>
                    </w:rPr>
                  </w:pPr>
                  <w:r>
                    <w:rPr>
                      <w:rFonts w:hint="eastAsia"/>
                      <w:color w:val="FF0000"/>
                      <w:szCs w:val="21"/>
                    </w:rPr>
                    <w:t>资源开发利用</w:t>
                  </w:r>
                </w:p>
              </w:tc>
              <w:tc>
                <w:tcPr>
                  <w:tcW w:w="3431" w:type="pct"/>
                  <w:vAlign w:val="center"/>
                </w:tcPr>
                <w:p>
                  <w:pPr>
                    <w:adjustRightInd w:val="0"/>
                    <w:snapToGrid w:val="0"/>
                    <w:ind w:firstLine="412" w:firstLineChars="200"/>
                    <w:rPr>
                      <w:color w:val="FF0000"/>
                      <w:szCs w:val="21"/>
                    </w:rPr>
                  </w:pPr>
                  <w:r>
                    <w:rPr>
                      <w:rFonts w:hint="eastAsia"/>
                      <w:color w:val="FF0000"/>
                      <w:szCs w:val="21"/>
                    </w:rPr>
                    <w:t>1.新上涉气建设项目绩效评价达到B级及以上水平。</w:t>
                  </w:r>
                </w:p>
                <w:p>
                  <w:pPr>
                    <w:adjustRightInd w:val="0"/>
                    <w:snapToGrid w:val="0"/>
                    <w:ind w:firstLine="412" w:firstLineChars="200"/>
                    <w:rPr>
                      <w:color w:val="FF0000"/>
                      <w:szCs w:val="21"/>
                    </w:rPr>
                  </w:pPr>
                  <w:r>
                    <w:rPr>
                      <w:rFonts w:hint="eastAsia"/>
                      <w:color w:val="FF0000"/>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color w:val="FF0000"/>
                      <w:szCs w:val="21"/>
                    </w:rPr>
                  </w:pPr>
                  <w:r>
                    <w:rPr>
                      <w:rFonts w:hint="eastAsia"/>
                      <w:color w:val="FF0000"/>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color w:val="FF0000"/>
                      <w:szCs w:val="21"/>
                    </w:rPr>
                  </w:pPr>
                  <w:r>
                    <w:rPr>
                      <w:rFonts w:hint="eastAsia"/>
                      <w:color w:val="FF0000"/>
                      <w:szCs w:val="21"/>
                    </w:rPr>
                    <w:t>4.推进畜禽粪污综合利用，规模化畜禽养殖场全部建成粪污治理设施。</w:t>
                  </w:r>
                </w:p>
                <w:p>
                  <w:pPr>
                    <w:adjustRightInd w:val="0"/>
                    <w:snapToGrid w:val="0"/>
                    <w:ind w:firstLine="412" w:firstLineChars="200"/>
                    <w:rPr>
                      <w:color w:val="FF0000"/>
                      <w:szCs w:val="21"/>
                    </w:rPr>
                  </w:pPr>
                  <w:r>
                    <w:rPr>
                      <w:rFonts w:hint="eastAsia"/>
                      <w:color w:val="FF0000"/>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color w:val="FF0000"/>
                      <w:szCs w:val="21"/>
                    </w:rPr>
                  </w:pPr>
                  <w:r>
                    <w:rPr>
                      <w:rFonts w:hint="eastAsia"/>
                      <w:color w:val="FF0000"/>
                      <w:szCs w:val="21"/>
                    </w:rPr>
                    <w:t>/</w:t>
                  </w:r>
                </w:p>
              </w:tc>
            </w:tr>
          </w:tbl>
          <w:p>
            <w:pPr>
              <w:pStyle w:val="9"/>
              <w:adjustRightInd w:val="0"/>
              <w:snapToGrid w:val="0"/>
              <w:spacing w:line="360" w:lineRule="auto"/>
              <w:ind w:firstLine="0"/>
              <w:jc w:val="center"/>
              <w:rPr>
                <w:b/>
                <w:bCs/>
                <w:color w:val="FF0000"/>
              </w:rPr>
            </w:pPr>
            <w:r>
              <w:rPr>
                <w:b/>
                <w:bCs/>
                <w:color w:val="FF0000"/>
                <w:szCs w:val="24"/>
              </w:rPr>
              <w:t>表</w:t>
            </w:r>
            <w:r>
              <w:rPr>
                <w:rFonts w:hint="eastAsia"/>
                <w:b/>
                <w:bCs/>
                <w:color w:val="FF0000"/>
                <w:szCs w:val="24"/>
              </w:rPr>
              <w:t>1-5</w:t>
            </w:r>
            <w:r>
              <w:rPr>
                <w:b/>
                <w:bCs/>
                <w:color w:val="FF0000"/>
                <w:szCs w:val="24"/>
              </w:rPr>
              <w:t xml:space="preserve">  本项目与</w:t>
            </w:r>
            <w:r>
              <w:rPr>
                <w:rFonts w:hint="eastAsia"/>
                <w:b/>
                <w:bCs/>
                <w:color w:val="FF0000"/>
                <w:szCs w:val="24"/>
              </w:rPr>
              <w:t>邯郸市水环境总体管控要求</w:t>
            </w:r>
            <w:r>
              <w:rPr>
                <w:b/>
                <w:bCs/>
                <w:color w:val="FF0000"/>
                <w:szCs w:val="24"/>
              </w:rPr>
              <w:t>符合性一览表</w:t>
            </w:r>
          </w:p>
          <w:tbl>
            <w:tblPr>
              <w:tblStyle w:val="28"/>
              <w:tblW w:w="7004" w:type="dxa"/>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845"/>
              <w:gridCol w:w="136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7" w:type="pct"/>
                  <w:vAlign w:val="center"/>
                </w:tcPr>
                <w:p>
                  <w:pPr>
                    <w:adjustRightInd w:val="0"/>
                    <w:snapToGrid w:val="0"/>
                    <w:jc w:val="center"/>
                    <w:rPr>
                      <w:color w:val="FF0000"/>
                      <w:szCs w:val="21"/>
                    </w:rPr>
                  </w:pPr>
                  <w:r>
                    <w:rPr>
                      <w:rFonts w:hint="eastAsia"/>
                      <w:color w:val="FF0000"/>
                      <w:szCs w:val="21"/>
                    </w:rPr>
                    <w:t>管控维度</w:t>
                  </w:r>
                </w:p>
              </w:tc>
              <w:tc>
                <w:tcPr>
                  <w:tcW w:w="3458" w:type="pct"/>
                  <w:vAlign w:val="center"/>
                </w:tcPr>
                <w:p>
                  <w:pPr>
                    <w:adjustRightInd w:val="0"/>
                    <w:snapToGrid w:val="0"/>
                    <w:jc w:val="center"/>
                    <w:rPr>
                      <w:color w:val="FF0000"/>
                      <w:szCs w:val="21"/>
                    </w:rPr>
                  </w:pPr>
                  <w:r>
                    <w:rPr>
                      <w:rFonts w:hint="eastAsia"/>
                      <w:color w:val="FF0000"/>
                      <w:szCs w:val="21"/>
                    </w:rPr>
                    <w:t>管控要求</w:t>
                  </w:r>
                </w:p>
              </w:tc>
              <w:tc>
                <w:tcPr>
                  <w:tcW w:w="974" w:type="pct"/>
                  <w:vAlign w:val="center"/>
                </w:tcPr>
                <w:p>
                  <w:pPr>
                    <w:adjustRightInd w:val="0"/>
                    <w:snapToGrid w:val="0"/>
                    <w:jc w:val="center"/>
                    <w:rPr>
                      <w:color w:val="FF0000"/>
                      <w:szCs w:val="21"/>
                    </w:rPr>
                  </w:pPr>
                  <w:r>
                    <w:rPr>
                      <w:rFonts w:hint="eastAsia"/>
                      <w:color w:val="FF0000"/>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7" w:type="pct"/>
                  <w:vAlign w:val="center"/>
                </w:tcPr>
                <w:p>
                  <w:pPr>
                    <w:adjustRightInd w:val="0"/>
                    <w:snapToGrid w:val="0"/>
                    <w:jc w:val="center"/>
                    <w:rPr>
                      <w:color w:val="FF0000"/>
                      <w:szCs w:val="21"/>
                    </w:rPr>
                  </w:pPr>
                  <w:r>
                    <w:rPr>
                      <w:rFonts w:hint="eastAsia"/>
                      <w:color w:val="FF0000"/>
                      <w:szCs w:val="21"/>
                    </w:rPr>
                    <w:t>污染物防控目标</w:t>
                  </w:r>
                </w:p>
              </w:tc>
              <w:tc>
                <w:tcPr>
                  <w:tcW w:w="3458" w:type="pct"/>
                  <w:vAlign w:val="center"/>
                </w:tcPr>
                <w:p>
                  <w:pPr>
                    <w:adjustRightInd w:val="0"/>
                    <w:snapToGrid w:val="0"/>
                    <w:ind w:firstLine="412" w:firstLineChars="200"/>
                    <w:rPr>
                      <w:color w:val="FF0000"/>
                      <w:szCs w:val="21"/>
                    </w:rPr>
                  </w:pPr>
                  <w:r>
                    <w:rPr>
                      <w:rFonts w:hint="eastAsia"/>
                      <w:color w:val="FF0000"/>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color w:val="FF0000"/>
                      <w:szCs w:val="21"/>
                    </w:rPr>
                  </w:pPr>
                  <w:r>
                    <w:rPr>
                      <w:rFonts w:hint="eastAsia"/>
                      <w:color w:val="FF0000"/>
                      <w:szCs w:val="21"/>
                    </w:rPr>
                    <w:t>本项目</w:t>
                  </w:r>
                  <w:r>
                    <w:rPr>
                      <w:rFonts w:hint="eastAsia"/>
                      <w:color w:val="FF0000"/>
                    </w:rPr>
                    <w:t>食堂废水经</w:t>
                  </w:r>
                  <w:r>
                    <w:rPr>
                      <w:color w:val="FF0000"/>
                    </w:rPr>
                    <w:t>隔油池</w:t>
                  </w:r>
                  <w:r>
                    <w:rPr>
                      <w:rFonts w:hint="eastAsia"/>
                      <w:color w:val="FF0000"/>
                    </w:rPr>
                    <w:t>处理、其他</w:t>
                  </w:r>
                  <w:r>
                    <w:rPr>
                      <w:color w:val="FF0000"/>
                    </w:rPr>
                    <w:t>生活废水经化粪池处理后，经污水管网进入魏县经济开发区东区污水处理厂处理</w:t>
                  </w:r>
                  <w:r>
                    <w:rPr>
                      <w:rFonts w:hint="eastAsia"/>
                      <w:color w:val="FF0000"/>
                    </w:rPr>
                    <w:t>；漆雾喷淋</w:t>
                  </w:r>
                  <w:r>
                    <w:rPr>
                      <w:color w:val="FF0000"/>
                    </w:rPr>
                    <w:t>废水</w:t>
                  </w:r>
                  <w:r>
                    <w:rPr>
                      <w:rFonts w:hint="eastAsia"/>
                      <w:color w:val="FF0000"/>
                    </w:rPr>
                    <w:t>经沉淀后循环使用，不外排</w:t>
                  </w:r>
                  <w:r>
                    <w:rPr>
                      <w:rFonts w:hint="eastAsia"/>
                      <w:bCs/>
                      <w:color w:val="FF0000"/>
                      <w:szCs w:val="21"/>
                      <w:lang w:val="en-GB"/>
                    </w:rPr>
                    <w:t>。</w:t>
                  </w:r>
                  <w:r>
                    <w:rPr>
                      <w:rFonts w:hint="eastAsia"/>
                      <w:color w:val="FF0000"/>
                      <w:szCs w:val="21"/>
                    </w:rPr>
                    <w:t>不与地表水发生联系。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567" w:type="pct"/>
                  <w:vAlign w:val="center"/>
                </w:tcPr>
                <w:p>
                  <w:pPr>
                    <w:adjustRightInd w:val="0"/>
                    <w:snapToGrid w:val="0"/>
                    <w:jc w:val="center"/>
                    <w:rPr>
                      <w:color w:val="FF0000"/>
                      <w:szCs w:val="21"/>
                    </w:rPr>
                  </w:pPr>
                  <w:r>
                    <w:rPr>
                      <w:rFonts w:hint="eastAsia"/>
                      <w:color w:val="FF0000"/>
                      <w:szCs w:val="21"/>
                    </w:rPr>
                    <w:t>空间布局</w:t>
                  </w:r>
                </w:p>
              </w:tc>
              <w:tc>
                <w:tcPr>
                  <w:tcW w:w="3458" w:type="pct"/>
                  <w:vAlign w:val="center"/>
                </w:tcPr>
                <w:p>
                  <w:pPr>
                    <w:adjustRightInd w:val="0"/>
                    <w:snapToGrid w:val="0"/>
                    <w:ind w:firstLine="412" w:firstLineChars="200"/>
                    <w:rPr>
                      <w:color w:val="FF0000"/>
                      <w:szCs w:val="21"/>
                    </w:rPr>
                  </w:pPr>
                  <w:r>
                    <w:rPr>
                      <w:rFonts w:hint="eastAsia"/>
                      <w:color w:val="FF0000"/>
                      <w:szCs w:val="21"/>
                    </w:rPr>
                    <w:t>1.强化饮用水水源保护。建立县级及以上集中式饮用水水源清单，明确水质目标，实行达标管理。</w:t>
                  </w:r>
                </w:p>
                <w:p>
                  <w:pPr>
                    <w:adjustRightInd w:val="0"/>
                    <w:snapToGrid w:val="0"/>
                    <w:ind w:firstLine="412" w:firstLineChars="200"/>
                    <w:rPr>
                      <w:color w:val="FF0000"/>
                      <w:szCs w:val="21"/>
                    </w:rPr>
                  </w:pPr>
                  <w:r>
                    <w:rPr>
                      <w:rFonts w:hint="eastAsia"/>
                      <w:color w:val="FF0000"/>
                      <w:szCs w:val="21"/>
                    </w:rPr>
                    <w:t>2.开展水环境承载力评价。推进美丽河湖保护与建设，发挥引领示范作用。</w:t>
                  </w:r>
                </w:p>
                <w:p>
                  <w:pPr>
                    <w:adjustRightInd w:val="0"/>
                    <w:snapToGrid w:val="0"/>
                    <w:ind w:firstLine="412" w:firstLineChars="200"/>
                    <w:rPr>
                      <w:color w:val="FF0000"/>
                      <w:szCs w:val="21"/>
                    </w:rPr>
                  </w:pPr>
                  <w:r>
                    <w:rPr>
                      <w:rFonts w:hint="eastAsia"/>
                      <w:color w:val="FF0000"/>
                      <w:szCs w:val="21"/>
                    </w:rPr>
                    <w:t>3.保护河湖生态空间。落实生态保护红线制度。禁止侵占自然湿地等水源涵养生态空间，已侵占的全部予以恢复。</w:t>
                  </w:r>
                </w:p>
                <w:p>
                  <w:pPr>
                    <w:adjustRightInd w:val="0"/>
                    <w:snapToGrid w:val="0"/>
                    <w:ind w:firstLine="412" w:firstLineChars="200"/>
                    <w:rPr>
                      <w:color w:val="FF0000"/>
                      <w:szCs w:val="21"/>
                    </w:rPr>
                  </w:pPr>
                  <w:r>
                    <w:rPr>
                      <w:rFonts w:hint="eastAsia"/>
                      <w:color w:val="FF0000"/>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color w:val="FF0000"/>
                      <w:szCs w:val="21"/>
                    </w:rPr>
                  </w:pPr>
                  <w:r>
                    <w:rPr>
                      <w:rFonts w:hint="eastAsia"/>
                      <w:color w:val="FF0000"/>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color w:val="FF0000"/>
                      <w:szCs w:val="21"/>
                    </w:rPr>
                  </w:pPr>
                  <w:r>
                    <w:rPr>
                      <w:rFonts w:hint="eastAsia"/>
                      <w:color w:val="FF0000"/>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color w:val="FF0000"/>
                      <w:szCs w:val="21"/>
                    </w:rPr>
                  </w:pPr>
                  <w:r>
                    <w:rPr>
                      <w:rFonts w:hint="eastAsia"/>
                      <w:color w:val="FF0000"/>
                      <w:szCs w:val="21"/>
                    </w:rPr>
                    <w:t>本项目位于魏县经济开发区内，不在饮用水水源保护范围内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7" w:type="pct"/>
                  <w:vAlign w:val="center"/>
                </w:tcPr>
                <w:p>
                  <w:pPr>
                    <w:adjustRightInd w:val="0"/>
                    <w:snapToGrid w:val="0"/>
                    <w:jc w:val="center"/>
                    <w:rPr>
                      <w:color w:val="FF0000"/>
                      <w:szCs w:val="21"/>
                    </w:rPr>
                  </w:pPr>
                </w:p>
                <w:p>
                  <w:pPr>
                    <w:adjustRightInd w:val="0"/>
                    <w:snapToGrid w:val="0"/>
                    <w:jc w:val="center"/>
                    <w:rPr>
                      <w:color w:val="FF0000"/>
                      <w:szCs w:val="21"/>
                    </w:rPr>
                  </w:pPr>
                  <w:r>
                    <w:rPr>
                      <w:rFonts w:hint="eastAsia"/>
                      <w:color w:val="FF0000"/>
                      <w:szCs w:val="21"/>
                    </w:rPr>
                    <w:t>污染物排放</w:t>
                  </w:r>
                </w:p>
              </w:tc>
              <w:tc>
                <w:tcPr>
                  <w:tcW w:w="3458" w:type="pct"/>
                  <w:vAlign w:val="center"/>
                </w:tcPr>
                <w:p>
                  <w:pPr>
                    <w:adjustRightInd w:val="0"/>
                    <w:snapToGrid w:val="0"/>
                    <w:ind w:firstLine="412" w:firstLineChars="200"/>
                    <w:rPr>
                      <w:color w:val="FF0000"/>
                      <w:szCs w:val="21"/>
                    </w:rPr>
                  </w:pPr>
                  <w:r>
                    <w:rPr>
                      <w:rFonts w:hint="eastAsia"/>
                      <w:color w:val="FF0000"/>
                      <w:szCs w:val="21"/>
                    </w:rPr>
                    <w:t>1.严查非法排污行为，压实地方政府属地责任，建立健全长效监管机制，促进国考重要水功能区稳定达标。</w:t>
                  </w:r>
                </w:p>
                <w:p>
                  <w:pPr>
                    <w:adjustRightInd w:val="0"/>
                    <w:snapToGrid w:val="0"/>
                    <w:ind w:firstLine="412" w:firstLineChars="200"/>
                    <w:rPr>
                      <w:color w:val="FF0000"/>
                      <w:szCs w:val="21"/>
                    </w:rPr>
                  </w:pPr>
                  <w:r>
                    <w:rPr>
                      <w:rFonts w:hint="eastAsia"/>
                      <w:color w:val="FF0000"/>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color w:val="FF0000"/>
                      <w:szCs w:val="21"/>
                    </w:rPr>
                  </w:pPr>
                  <w:r>
                    <w:rPr>
                      <w:rFonts w:hint="eastAsia"/>
                      <w:color w:val="FF0000"/>
                      <w:szCs w:val="21"/>
                    </w:rPr>
                    <w:t>3.严格排水许可监管，杜绝雨污混接错接，遏制雨水管网违法排污。加强雨水管网运行维护，定期清疏管道污泥。</w:t>
                  </w:r>
                </w:p>
                <w:p>
                  <w:pPr>
                    <w:adjustRightInd w:val="0"/>
                    <w:snapToGrid w:val="0"/>
                    <w:ind w:firstLine="412" w:firstLineChars="200"/>
                    <w:rPr>
                      <w:color w:val="FF0000"/>
                      <w:szCs w:val="21"/>
                    </w:rPr>
                  </w:pPr>
                  <w:r>
                    <w:rPr>
                      <w:rFonts w:hint="eastAsia"/>
                      <w:color w:val="FF0000"/>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color w:val="FF0000"/>
                      <w:szCs w:val="21"/>
                    </w:rPr>
                  </w:pPr>
                  <w:r>
                    <w:rPr>
                      <w:rFonts w:hint="eastAsia"/>
                      <w:color w:val="FF0000"/>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color w:val="FF0000"/>
                      <w:szCs w:val="21"/>
                    </w:rPr>
                  </w:pPr>
                  <w:r>
                    <w:rPr>
                      <w:rFonts w:hint="eastAsia"/>
                      <w:color w:val="FF0000"/>
                      <w:szCs w:val="21"/>
                    </w:rPr>
                    <w:t>6.严格执行相关流域和行业水污染物排放标准，对未达到相应排放标准和排放限值的企业实施污水处理设施提升改造。</w:t>
                  </w:r>
                </w:p>
                <w:p>
                  <w:pPr>
                    <w:adjustRightInd w:val="0"/>
                    <w:snapToGrid w:val="0"/>
                    <w:ind w:firstLine="412" w:firstLineChars="200"/>
                    <w:rPr>
                      <w:color w:val="FF0000"/>
                      <w:szCs w:val="21"/>
                    </w:rPr>
                  </w:pPr>
                  <w:r>
                    <w:rPr>
                      <w:rFonts w:hint="eastAsia"/>
                      <w:color w:val="FF0000"/>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color w:val="FF0000"/>
                      <w:szCs w:val="21"/>
                    </w:rPr>
                  </w:pPr>
                  <w:r>
                    <w:rPr>
                      <w:rFonts w:hint="eastAsia"/>
                      <w:color w:val="FF0000"/>
                      <w:szCs w:val="21"/>
                    </w:rPr>
                    <w:t>本项目</w:t>
                  </w:r>
                  <w:r>
                    <w:rPr>
                      <w:rFonts w:hint="eastAsia"/>
                      <w:color w:val="FF0000"/>
                    </w:rPr>
                    <w:t>食堂废水经</w:t>
                  </w:r>
                  <w:r>
                    <w:rPr>
                      <w:color w:val="FF0000"/>
                    </w:rPr>
                    <w:t>隔油池</w:t>
                  </w:r>
                  <w:r>
                    <w:rPr>
                      <w:rFonts w:hint="eastAsia"/>
                      <w:color w:val="FF0000"/>
                    </w:rPr>
                    <w:t>处理、其他</w:t>
                  </w:r>
                  <w:r>
                    <w:rPr>
                      <w:color w:val="FF0000"/>
                    </w:rPr>
                    <w:t>生活废水经化粪池处理后，经污水管网进入魏县经济开发区东区污水处理厂处理</w:t>
                  </w:r>
                  <w:r>
                    <w:rPr>
                      <w:rFonts w:hint="eastAsia"/>
                      <w:color w:val="FF0000"/>
                    </w:rPr>
                    <w:t>；漆雾喷淋</w:t>
                  </w:r>
                  <w:r>
                    <w:rPr>
                      <w:color w:val="FF0000"/>
                    </w:rPr>
                    <w:t>废水</w:t>
                  </w:r>
                  <w:r>
                    <w:rPr>
                      <w:rFonts w:hint="eastAsia"/>
                      <w:color w:val="FF0000"/>
                    </w:rPr>
                    <w:t>经沉淀后循环使用，不外排</w:t>
                  </w:r>
                  <w:r>
                    <w:rPr>
                      <w:rFonts w:hint="eastAsia"/>
                      <w:bCs/>
                      <w:color w:val="FF0000"/>
                      <w:szCs w:val="21"/>
                      <w:lang w:val="en-GB"/>
                    </w:rPr>
                    <w:t>。</w:t>
                  </w:r>
                  <w:r>
                    <w:rPr>
                      <w:rFonts w:hint="eastAsia"/>
                      <w:color w:val="FF0000"/>
                      <w:szCs w:val="21"/>
                    </w:rPr>
                    <w:t>不与地表水发生联系。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7" w:type="pct"/>
                  <w:vAlign w:val="center"/>
                </w:tcPr>
                <w:p>
                  <w:pPr>
                    <w:adjustRightInd w:val="0"/>
                    <w:snapToGrid w:val="0"/>
                    <w:jc w:val="center"/>
                    <w:rPr>
                      <w:color w:val="FF0000"/>
                      <w:szCs w:val="21"/>
                    </w:rPr>
                  </w:pPr>
                  <w:r>
                    <w:rPr>
                      <w:rFonts w:hint="eastAsia"/>
                      <w:color w:val="FF0000"/>
                      <w:szCs w:val="21"/>
                    </w:rPr>
                    <w:t>环境风险防控</w:t>
                  </w:r>
                </w:p>
              </w:tc>
              <w:tc>
                <w:tcPr>
                  <w:tcW w:w="3458" w:type="pct"/>
                  <w:vAlign w:val="center"/>
                </w:tcPr>
                <w:p>
                  <w:pPr>
                    <w:adjustRightInd w:val="0"/>
                    <w:snapToGrid w:val="0"/>
                    <w:ind w:firstLine="412" w:firstLineChars="200"/>
                    <w:rPr>
                      <w:color w:val="FF0000"/>
                      <w:szCs w:val="21"/>
                    </w:rPr>
                  </w:pPr>
                  <w:r>
                    <w:rPr>
                      <w:rFonts w:hint="eastAsia"/>
                      <w:color w:val="FF0000"/>
                      <w:szCs w:val="21"/>
                    </w:rPr>
                    <w:t>1.加强监测能力建设，定期开展市、县、乡、农村集中式饮用水水源及南水北调输水工程水质监测。</w:t>
                  </w:r>
                </w:p>
                <w:p>
                  <w:pPr>
                    <w:adjustRightInd w:val="0"/>
                    <w:snapToGrid w:val="0"/>
                    <w:ind w:firstLine="412" w:firstLineChars="200"/>
                    <w:rPr>
                      <w:color w:val="FF0000"/>
                      <w:szCs w:val="21"/>
                    </w:rPr>
                  </w:pPr>
                  <w:r>
                    <w:rPr>
                      <w:rFonts w:hint="eastAsia"/>
                      <w:color w:val="FF0000"/>
                      <w:szCs w:val="21"/>
                    </w:rPr>
                    <w:t>2.定期监测入河排污口，对超标排放的进行通报、督办。建设完善监管体制机制，督促各地落实属地监管责任。</w:t>
                  </w:r>
                </w:p>
                <w:p>
                  <w:pPr>
                    <w:adjustRightInd w:val="0"/>
                    <w:snapToGrid w:val="0"/>
                    <w:ind w:firstLine="412" w:firstLineChars="200"/>
                    <w:rPr>
                      <w:color w:val="FF0000"/>
                      <w:szCs w:val="21"/>
                    </w:rPr>
                  </w:pPr>
                  <w:r>
                    <w:rPr>
                      <w:rFonts w:hint="eastAsia"/>
                      <w:color w:val="FF0000"/>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color w:val="FF0000"/>
                      <w:szCs w:val="21"/>
                    </w:rPr>
                  </w:pPr>
                  <w:r>
                    <w:rPr>
                      <w:rFonts w:hint="eastAsia"/>
                      <w:color w:val="FF0000"/>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color w:val="FF0000"/>
                      <w:szCs w:val="21"/>
                    </w:rPr>
                  </w:pPr>
                  <w:r>
                    <w:rPr>
                      <w:rFonts w:hint="eastAsia"/>
                      <w:color w:val="FF0000"/>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color w:val="FF0000"/>
                      <w:szCs w:val="21"/>
                    </w:rPr>
                  </w:pPr>
                  <w:r>
                    <w:rPr>
                      <w:rFonts w:hint="eastAsia"/>
                      <w:color w:val="FF0000"/>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7" w:type="pct"/>
                  <w:vAlign w:val="center"/>
                </w:tcPr>
                <w:p>
                  <w:pPr>
                    <w:adjustRightInd w:val="0"/>
                    <w:snapToGrid w:val="0"/>
                    <w:jc w:val="center"/>
                    <w:rPr>
                      <w:color w:val="FF0000"/>
                      <w:szCs w:val="21"/>
                    </w:rPr>
                  </w:pPr>
                  <w:r>
                    <w:rPr>
                      <w:rFonts w:hint="eastAsia"/>
                      <w:color w:val="FF0000"/>
                      <w:szCs w:val="21"/>
                    </w:rPr>
                    <w:t>资源开发利用</w:t>
                  </w:r>
                </w:p>
              </w:tc>
              <w:tc>
                <w:tcPr>
                  <w:tcW w:w="3458" w:type="pct"/>
                  <w:vAlign w:val="center"/>
                </w:tcPr>
                <w:p>
                  <w:pPr>
                    <w:adjustRightInd w:val="0"/>
                    <w:snapToGrid w:val="0"/>
                    <w:ind w:firstLine="412" w:firstLineChars="200"/>
                    <w:rPr>
                      <w:color w:val="FF0000"/>
                      <w:szCs w:val="21"/>
                    </w:rPr>
                  </w:pPr>
                  <w:r>
                    <w:rPr>
                      <w:rFonts w:hint="eastAsia"/>
                      <w:color w:val="FF0000"/>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color w:val="FF0000"/>
                      <w:szCs w:val="21"/>
                    </w:rPr>
                  </w:pPr>
                  <w:r>
                    <w:rPr>
                      <w:rFonts w:hint="eastAsia"/>
                      <w:color w:val="FF0000"/>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color w:val="FF0000"/>
                      <w:szCs w:val="21"/>
                    </w:rPr>
                  </w:pPr>
                  <w:r>
                    <w:rPr>
                      <w:rFonts w:hint="eastAsia"/>
                      <w:color w:val="FF0000"/>
                      <w:szCs w:val="21"/>
                    </w:rPr>
                    <w:t>/</w:t>
                  </w:r>
                </w:p>
              </w:tc>
            </w:tr>
          </w:tbl>
          <w:p>
            <w:pPr>
              <w:pStyle w:val="9"/>
              <w:adjustRightInd w:val="0"/>
              <w:snapToGrid w:val="0"/>
              <w:spacing w:line="360" w:lineRule="auto"/>
              <w:ind w:firstLine="0"/>
              <w:jc w:val="center"/>
              <w:rPr>
                <w:b/>
                <w:bCs/>
                <w:color w:val="FF0000"/>
                <w:szCs w:val="24"/>
              </w:rPr>
            </w:pPr>
            <w:r>
              <w:rPr>
                <w:b/>
                <w:bCs/>
                <w:color w:val="FF0000"/>
                <w:szCs w:val="24"/>
              </w:rPr>
              <w:t>表</w:t>
            </w:r>
            <w:r>
              <w:rPr>
                <w:rFonts w:hint="eastAsia"/>
                <w:b/>
                <w:bCs/>
                <w:color w:val="FF0000"/>
                <w:szCs w:val="24"/>
              </w:rPr>
              <w:t>1-6</w:t>
            </w:r>
            <w:r>
              <w:rPr>
                <w:b/>
                <w:bCs/>
                <w:color w:val="FF0000"/>
                <w:szCs w:val="24"/>
              </w:rPr>
              <w:t xml:space="preserve">  本项目与</w:t>
            </w:r>
            <w:r>
              <w:rPr>
                <w:rFonts w:hint="eastAsia"/>
                <w:b/>
                <w:bCs/>
                <w:color w:val="FF0000"/>
                <w:szCs w:val="24"/>
              </w:rPr>
              <w:t>邯郸市土壤环境总体管控要求</w:t>
            </w:r>
            <w:r>
              <w:rPr>
                <w:b/>
                <w:bCs/>
                <w:color w:val="FF0000"/>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5020"/>
              <w:gridCol w:w="1556"/>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color w:val="FF0000"/>
                      <w:szCs w:val="21"/>
                    </w:rPr>
                  </w:pPr>
                  <w:r>
                    <w:rPr>
                      <w:rFonts w:hint="eastAsia"/>
                      <w:color w:val="FF0000"/>
                      <w:szCs w:val="21"/>
                    </w:rPr>
                    <w:t>管控维度</w:t>
                  </w:r>
                </w:p>
              </w:tc>
              <w:tc>
                <w:tcPr>
                  <w:tcW w:w="3458" w:type="pct"/>
                  <w:vAlign w:val="center"/>
                </w:tcPr>
                <w:p>
                  <w:pPr>
                    <w:adjustRightInd w:val="0"/>
                    <w:snapToGrid w:val="0"/>
                    <w:jc w:val="center"/>
                    <w:rPr>
                      <w:color w:val="FF0000"/>
                      <w:szCs w:val="21"/>
                    </w:rPr>
                  </w:pPr>
                  <w:r>
                    <w:rPr>
                      <w:rFonts w:hint="eastAsia"/>
                      <w:color w:val="FF0000"/>
                      <w:szCs w:val="21"/>
                    </w:rPr>
                    <w:t>管控要求</w:t>
                  </w:r>
                </w:p>
              </w:tc>
              <w:tc>
                <w:tcPr>
                  <w:tcW w:w="1072" w:type="pct"/>
                  <w:vAlign w:val="center"/>
                </w:tcPr>
                <w:p>
                  <w:pPr>
                    <w:adjustRightInd w:val="0"/>
                    <w:snapToGrid w:val="0"/>
                    <w:jc w:val="center"/>
                    <w:rPr>
                      <w:color w:val="FF0000"/>
                      <w:szCs w:val="21"/>
                    </w:rPr>
                  </w:pPr>
                  <w:r>
                    <w:rPr>
                      <w:rFonts w:hint="eastAsia"/>
                      <w:color w:val="FF0000"/>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FF0000"/>
                      <w:szCs w:val="21"/>
                    </w:rPr>
                  </w:pPr>
                  <w:r>
                    <w:rPr>
                      <w:rFonts w:hint="eastAsia"/>
                      <w:color w:val="FF0000"/>
                      <w:szCs w:val="21"/>
                    </w:rPr>
                    <w:t>污染物防控目标</w:t>
                  </w:r>
                </w:p>
              </w:tc>
              <w:tc>
                <w:tcPr>
                  <w:tcW w:w="3458" w:type="pct"/>
                  <w:vAlign w:val="center"/>
                </w:tcPr>
                <w:p>
                  <w:pPr>
                    <w:adjustRightInd w:val="0"/>
                    <w:snapToGrid w:val="0"/>
                    <w:ind w:firstLine="412" w:firstLineChars="200"/>
                    <w:rPr>
                      <w:color w:val="FF0000"/>
                      <w:szCs w:val="21"/>
                    </w:rPr>
                  </w:pPr>
                  <w:r>
                    <w:rPr>
                      <w:color w:val="FF0000"/>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color w:val="FF0000"/>
                      <w:szCs w:val="21"/>
                    </w:rPr>
                  </w:pPr>
                  <w:r>
                    <w:rPr>
                      <w:rFonts w:hint="eastAsia"/>
                      <w:color w:val="FF0000"/>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color w:val="FF0000"/>
                      <w:szCs w:val="21"/>
                    </w:rPr>
                  </w:pPr>
                  <w:r>
                    <w:rPr>
                      <w:rFonts w:hint="eastAsia"/>
                      <w:color w:val="FF0000"/>
                      <w:szCs w:val="21"/>
                    </w:rPr>
                    <w:t>空间布局</w:t>
                  </w:r>
                </w:p>
              </w:tc>
              <w:tc>
                <w:tcPr>
                  <w:tcW w:w="3458" w:type="pct"/>
                  <w:vAlign w:val="center"/>
                </w:tcPr>
                <w:p>
                  <w:pPr>
                    <w:adjustRightInd w:val="0"/>
                    <w:snapToGrid w:val="0"/>
                    <w:ind w:firstLine="412" w:firstLineChars="200"/>
                    <w:rPr>
                      <w:color w:val="FF0000"/>
                      <w:szCs w:val="21"/>
                    </w:rPr>
                  </w:pPr>
                  <w:r>
                    <w:rPr>
                      <w:rFonts w:hint="eastAsia"/>
                      <w:color w:val="FF0000"/>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color w:val="FF0000"/>
                      <w:szCs w:val="21"/>
                    </w:rPr>
                  </w:pPr>
                  <w:r>
                    <w:rPr>
                      <w:rFonts w:hint="eastAsia"/>
                      <w:color w:val="FF0000"/>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color w:val="FF0000"/>
                      <w:szCs w:val="21"/>
                    </w:rPr>
                  </w:pPr>
                  <w:r>
                    <w:rPr>
                      <w:rFonts w:hint="eastAsia"/>
                      <w:color w:val="FF0000"/>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color w:val="FF0000"/>
                      <w:szCs w:val="21"/>
                    </w:rPr>
                  </w:pPr>
                  <w:r>
                    <w:rPr>
                      <w:rFonts w:hint="eastAsia"/>
                      <w:color w:val="FF0000"/>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color w:val="FF0000"/>
                      <w:szCs w:val="21"/>
                    </w:rPr>
                  </w:pPr>
                  <w:r>
                    <w:rPr>
                      <w:rFonts w:hint="eastAsia"/>
                      <w:color w:val="FF0000"/>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color w:val="FF0000"/>
                      <w:szCs w:val="21"/>
                    </w:rPr>
                  </w:pPr>
                  <w:r>
                    <w:rPr>
                      <w:rFonts w:hint="eastAsia"/>
                      <w:color w:val="FF0000"/>
                      <w:szCs w:val="21"/>
                    </w:rPr>
                    <w:t>本项目位于魏县经济开发区内，为金属结构</w:t>
                  </w:r>
                  <w:r>
                    <w:rPr>
                      <w:color w:val="FF0000"/>
                      <w:szCs w:val="21"/>
                    </w:rPr>
                    <w:t>制造</w:t>
                  </w:r>
                  <w:r>
                    <w:rPr>
                      <w:rFonts w:hint="eastAsia"/>
                      <w:color w:val="FF0000"/>
                      <w:szCs w:val="21"/>
                    </w:rPr>
                    <w:t>行业，不属于土壤污染重点监管单位；本项目一般固废综合利用，危废委托资质单位处置，并采取防渗措施。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color w:val="FF0000"/>
                      <w:szCs w:val="21"/>
                    </w:rPr>
                  </w:pPr>
                  <w:r>
                    <w:rPr>
                      <w:rFonts w:hint="eastAsia"/>
                      <w:color w:val="FF0000"/>
                      <w:szCs w:val="21"/>
                    </w:rPr>
                    <w:t>污染物排放</w:t>
                  </w:r>
                </w:p>
              </w:tc>
              <w:tc>
                <w:tcPr>
                  <w:tcW w:w="3458" w:type="pct"/>
                  <w:vAlign w:val="center"/>
                </w:tcPr>
                <w:p>
                  <w:pPr>
                    <w:adjustRightInd w:val="0"/>
                    <w:snapToGrid w:val="0"/>
                    <w:ind w:firstLine="412" w:firstLineChars="200"/>
                    <w:rPr>
                      <w:color w:val="FF0000"/>
                      <w:szCs w:val="21"/>
                    </w:rPr>
                  </w:pPr>
                  <w:r>
                    <w:rPr>
                      <w:rFonts w:hint="eastAsia"/>
                      <w:color w:val="FF0000"/>
                      <w:szCs w:val="21"/>
                    </w:rPr>
                    <w:t>1.依法加强未污染耕地土壤的保护，未利用地不得污染和破坏，确保优先保护类耕地面积不减少、土壤环境质量不下降。</w:t>
                  </w:r>
                </w:p>
                <w:p>
                  <w:pPr>
                    <w:adjustRightInd w:val="0"/>
                    <w:snapToGrid w:val="0"/>
                    <w:ind w:firstLine="412" w:firstLineChars="200"/>
                    <w:rPr>
                      <w:color w:val="FF0000"/>
                      <w:szCs w:val="21"/>
                    </w:rPr>
                  </w:pPr>
                  <w:r>
                    <w:rPr>
                      <w:rFonts w:hint="eastAsia"/>
                      <w:color w:val="FF0000"/>
                      <w:szCs w:val="21"/>
                    </w:rPr>
                    <w:t>2.治理修复优先采取不影响农业生产、不降低土壤生产功能的农艺、生物修复措施，采取措施防止产生二次污染。</w:t>
                  </w:r>
                </w:p>
                <w:p>
                  <w:pPr>
                    <w:adjustRightInd w:val="0"/>
                    <w:snapToGrid w:val="0"/>
                    <w:ind w:firstLine="412" w:firstLineChars="200"/>
                    <w:rPr>
                      <w:color w:val="FF0000"/>
                      <w:szCs w:val="21"/>
                    </w:rPr>
                  </w:pPr>
                  <w:r>
                    <w:rPr>
                      <w:rFonts w:hint="eastAsia"/>
                      <w:color w:val="FF0000"/>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color w:val="FF0000"/>
                      <w:szCs w:val="21"/>
                    </w:rPr>
                  </w:pPr>
                  <w:r>
                    <w:rPr>
                      <w:rFonts w:hint="eastAsia"/>
                      <w:color w:val="FF0000"/>
                      <w:szCs w:val="21"/>
                    </w:rPr>
                    <w:t>4.加强企业拆除活动污染防治现场检查，督促企业落实拆除活动污染防治措施。</w:t>
                  </w:r>
                </w:p>
                <w:p>
                  <w:pPr>
                    <w:adjustRightInd w:val="0"/>
                    <w:snapToGrid w:val="0"/>
                    <w:ind w:firstLine="412" w:firstLineChars="200"/>
                    <w:rPr>
                      <w:color w:val="FF0000"/>
                      <w:szCs w:val="21"/>
                    </w:rPr>
                  </w:pPr>
                  <w:r>
                    <w:rPr>
                      <w:rFonts w:hint="eastAsia"/>
                      <w:color w:val="FF0000"/>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color w:val="FF0000"/>
                      <w:szCs w:val="21"/>
                    </w:rPr>
                  </w:pPr>
                  <w:r>
                    <w:rPr>
                      <w:rFonts w:hint="eastAsia"/>
                      <w:color w:val="FF0000"/>
                      <w:szCs w:val="21"/>
                    </w:rPr>
                    <w:t>6.加快城镇(园区)污水处理厂管网覆盖范围内村庄污水管网建设。加强集中式污水处理设施建设。统筹厕所粪污无害化集中处理和生活灰水有效管控。</w:t>
                  </w:r>
                </w:p>
                <w:p>
                  <w:pPr>
                    <w:adjustRightInd w:val="0"/>
                    <w:snapToGrid w:val="0"/>
                    <w:ind w:firstLine="412" w:firstLineChars="200"/>
                    <w:rPr>
                      <w:color w:val="FF0000"/>
                      <w:szCs w:val="21"/>
                    </w:rPr>
                  </w:pPr>
                  <w:r>
                    <w:rPr>
                      <w:rFonts w:hint="eastAsia"/>
                      <w:color w:val="FF0000"/>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color w:val="FF0000"/>
                      <w:szCs w:val="21"/>
                    </w:rPr>
                  </w:pPr>
                  <w:r>
                    <w:rPr>
                      <w:rFonts w:hint="eastAsia"/>
                      <w:color w:val="FF0000"/>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FF0000"/>
                      <w:szCs w:val="21"/>
                    </w:rPr>
                  </w:pPr>
                  <w:r>
                    <w:rPr>
                      <w:rFonts w:hint="eastAsia"/>
                      <w:color w:val="FF0000"/>
                      <w:szCs w:val="21"/>
                    </w:rPr>
                    <w:t>环境风险防控</w:t>
                  </w:r>
                </w:p>
              </w:tc>
              <w:tc>
                <w:tcPr>
                  <w:tcW w:w="3458" w:type="pct"/>
                  <w:vAlign w:val="center"/>
                </w:tcPr>
                <w:p>
                  <w:pPr>
                    <w:adjustRightInd w:val="0"/>
                    <w:snapToGrid w:val="0"/>
                    <w:ind w:firstLine="412" w:firstLineChars="200"/>
                    <w:rPr>
                      <w:color w:val="FF0000"/>
                      <w:szCs w:val="21"/>
                    </w:rPr>
                  </w:pPr>
                  <w:r>
                    <w:rPr>
                      <w:rFonts w:hint="eastAsia"/>
                      <w:color w:val="FF0000"/>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color w:val="FF0000"/>
                      <w:szCs w:val="21"/>
                    </w:rPr>
                  </w:pPr>
                  <w:r>
                    <w:rPr>
                      <w:rFonts w:hint="eastAsia"/>
                      <w:color w:val="FF0000"/>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color w:val="FF0000"/>
                      <w:szCs w:val="21"/>
                    </w:rPr>
                  </w:pPr>
                  <w:r>
                    <w:rPr>
                      <w:rFonts w:hint="eastAsia"/>
                      <w:color w:val="FF0000"/>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color w:val="FF0000"/>
                      <w:szCs w:val="21"/>
                    </w:rPr>
                  </w:pPr>
                  <w:r>
                    <w:rPr>
                      <w:rFonts w:hint="eastAsia"/>
                      <w:color w:val="FF0000"/>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color w:val="FF0000"/>
                      <w:szCs w:val="21"/>
                    </w:rPr>
                  </w:pPr>
                  <w:r>
                    <w:rPr>
                      <w:rFonts w:hint="eastAsia"/>
                      <w:color w:val="FF0000"/>
                      <w:szCs w:val="21"/>
                    </w:rPr>
                    <w:t>资源开发利用</w:t>
                  </w:r>
                </w:p>
              </w:tc>
              <w:tc>
                <w:tcPr>
                  <w:tcW w:w="3458" w:type="pct"/>
                  <w:vAlign w:val="center"/>
                </w:tcPr>
                <w:p>
                  <w:pPr>
                    <w:adjustRightInd w:val="0"/>
                    <w:snapToGrid w:val="0"/>
                    <w:ind w:firstLine="412" w:firstLineChars="200"/>
                    <w:rPr>
                      <w:color w:val="FF0000"/>
                      <w:szCs w:val="21"/>
                    </w:rPr>
                  </w:pPr>
                  <w:r>
                    <w:rPr>
                      <w:rFonts w:hint="eastAsia"/>
                      <w:color w:val="FF0000"/>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color w:val="FF0000"/>
                      <w:szCs w:val="21"/>
                    </w:rPr>
                  </w:pPr>
                  <w:r>
                    <w:rPr>
                      <w:rFonts w:hint="eastAsia"/>
                      <w:color w:val="FF0000"/>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color w:val="FF0000"/>
                      <w:szCs w:val="21"/>
                    </w:rPr>
                  </w:pPr>
                  <w:r>
                    <w:rPr>
                      <w:rFonts w:hint="eastAsia"/>
                      <w:color w:val="FF0000"/>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color w:val="FF0000"/>
                      <w:szCs w:val="21"/>
                    </w:rPr>
                  </w:pPr>
                  <w:r>
                    <w:rPr>
                      <w:rFonts w:hint="eastAsia"/>
                      <w:color w:val="FF0000"/>
                      <w:szCs w:val="21"/>
                    </w:rPr>
                    <w:t>/</w:t>
                  </w:r>
                </w:p>
              </w:tc>
            </w:tr>
          </w:tbl>
          <w:p>
            <w:pPr>
              <w:pStyle w:val="9"/>
              <w:adjustRightInd w:val="0"/>
              <w:snapToGrid w:val="0"/>
              <w:spacing w:line="360" w:lineRule="auto"/>
              <w:ind w:firstLine="482"/>
              <w:jc w:val="center"/>
              <w:rPr>
                <w:b/>
                <w:bCs/>
                <w:color w:val="FF0000"/>
                <w:szCs w:val="24"/>
              </w:rPr>
            </w:pPr>
            <w:r>
              <w:rPr>
                <w:b/>
                <w:bCs/>
                <w:color w:val="FF0000"/>
                <w:szCs w:val="24"/>
              </w:rPr>
              <w:t>表</w:t>
            </w:r>
            <w:r>
              <w:rPr>
                <w:rFonts w:hint="eastAsia"/>
                <w:b/>
                <w:bCs/>
                <w:color w:val="FF0000"/>
                <w:szCs w:val="24"/>
              </w:rPr>
              <w:t>1-7</w:t>
            </w:r>
            <w:r>
              <w:rPr>
                <w:b/>
                <w:bCs/>
                <w:color w:val="FF0000"/>
                <w:szCs w:val="24"/>
              </w:rPr>
              <w:t xml:space="preserve">  本项目与</w:t>
            </w:r>
            <w:r>
              <w:rPr>
                <w:rFonts w:hint="eastAsia"/>
                <w:b/>
                <w:bCs/>
                <w:color w:val="FF0000"/>
                <w:szCs w:val="24"/>
              </w:rPr>
              <w:t>邯郸市资源利用总体管控要求</w:t>
            </w:r>
            <w:r>
              <w:rPr>
                <w:b/>
                <w:bCs/>
                <w:color w:val="FF0000"/>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76"/>
              <w:gridCol w:w="94"/>
              <w:gridCol w:w="4445"/>
              <w:gridCol w:w="1163"/>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pct"/>
                  <w:vAlign w:val="center"/>
                </w:tcPr>
                <w:p>
                  <w:pPr>
                    <w:adjustRightInd w:val="0"/>
                    <w:snapToGrid w:val="0"/>
                    <w:jc w:val="center"/>
                    <w:rPr>
                      <w:color w:val="FF0000"/>
                      <w:szCs w:val="21"/>
                    </w:rPr>
                  </w:pPr>
                  <w:r>
                    <w:rPr>
                      <w:rFonts w:hint="eastAsia"/>
                      <w:color w:val="FF0000"/>
                      <w:szCs w:val="21"/>
                    </w:rPr>
                    <w:t>属性</w:t>
                  </w:r>
                </w:p>
              </w:tc>
              <w:tc>
                <w:tcPr>
                  <w:tcW w:w="3729" w:type="pct"/>
                  <w:gridSpan w:val="3"/>
                  <w:vAlign w:val="center"/>
                </w:tcPr>
                <w:p>
                  <w:pPr>
                    <w:adjustRightInd w:val="0"/>
                    <w:snapToGrid w:val="0"/>
                    <w:jc w:val="center"/>
                    <w:rPr>
                      <w:color w:val="FF0000"/>
                      <w:szCs w:val="21"/>
                    </w:rPr>
                  </w:pPr>
                  <w:r>
                    <w:rPr>
                      <w:rFonts w:hint="eastAsia"/>
                      <w:color w:val="FF0000"/>
                      <w:szCs w:val="21"/>
                    </w:rPr>
                    <w:t>管控要求</w:t>
                  </w:r>
                </w:p>
              </w:tc>
              <w:tc>
                <w:tcPr>
                  <w:tcW w:w="801" w:type="pct"/>
                  <w:vAlign w:val="center"/>
                </w:tcPr>
                <w:p>
                  <w:pPr>
                    <w:adjustRightInd w:val="0"/>
                    <w:snapToGrid w:val="0"/>
                    <w:jc w:val="center"/>
                    <w:rPr>
                      <w:color w:val="FF0000"/>
                      <w:szCs w:val="21"/>
                    </w:rPr>
                  </w:pPr>
                  <w:r>
                    <w:rPr>
                      <w:rFonts w:hint="eastAsia"/>
                      <w:color w:val="FF0000"/>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pct"/>
                  <w:vMerge w:val="restart"/>
                  <w:vAlign w:val="center"/>
                </w:tcPr>
                <w:p>
                  <w:pPr>
                    <w:adjustRightInd w:val="0"/>
                    <w:snapToGrid w:val="0"/>
                    <w:jc w:val="center"/>
                    <w:rPr>
                      <w:color w:val="FF0000"/>
                      <w:szCs w:val="21"/>
                    </w:rPr>
                  </w:pPr>
                  <w:r>
                    <w:rPr>
                      <w:rFonts w:hint="eastAsia"/>
                      <w:color w:val="FF0000"/>
                      <w:szCs w:val="21"/>
                    </w:rPr>
                    <w:t>水资源</w:t>
                  </w:r>
                </w:p>
              </w:tc>
              <w:tc>
                <w:tcPr>
                  <w:tcW w:w="603" w:type="pct"/>
                  <w:vAlign w:val="center"/>
                </w:tcPr>
                <w:p>
                  <w:pPr>
                    <w:adjustRightInd w:val="0"/>
                    <w:snapToGrid w:val="0"/>
                    <w:jc w:val="center"/>
                    <w:rPr>
                      <w:color w:val="FF0000"/>
                      <w:szCs w:val="21"/>
                    </w:rPr>
                  </w:pPr>
                  <w:r>
                    <w:rPr>
                      <w:rFonts w:hint="eastAsia"/>
                      <w:color w:val="FF0000"/>
                      <w:szCs w:val="21"/>
                    </w:rPr>
                    <w:t>总量和强度要求</w:t>
                  </w:r>
                </w:p>
              </w:tc>
              <w:tc>
                <w:tcPr>
                  <w:tcW w:w="3126" w:type="pct"/>
                  <w:gridSpan w:val="2"/>
                  <w:vAlign w:val="center"/>
                </w:tcPr>
                <w:p>
                  <w:pPr>
                    <w:adjustRightInd w:val="0"/>
                    <w:snapToGrid w:val="0"/>
                    <w:ind w:firstLine="412" w:firstLineChars="200"/>
                    <w:jc w:val="left"/>
                    <w:rPr>
                      <w:color w:val="FF0000"/>
                      <w:szCs w:val="21"/>
                    </w:rPr>
                  </w:pPr>
                  <w:r>
                    <w:rPr>
                      <w:rFonts w:hint="eastAsia"/>
                      <w:color w:val="FF0000"/>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color w:val="FF0000"/>
                      <w:szCs w:val="21"/>
                    </w:rPr>
                  </w:pPr>
                  <w:r>
                    <w:rPr>
                      <w:rFonts w:hint="eastAsia"/>
                      <w:color w:val="FF0000"/>
                      <w:szCs w:val="21"/>
                    </w:rPr>
                    <w:t>本项目用水</w:t>
                  </w:r>
                  <w:r>
                    <w:rPr>
                      <w:color w:val="FF0000"/>
                    </w:rPr>
                    <w:t>由园区供水管网提供</w:t>
                  </w:r>
                  <w:r>
                    <w:rPr>
                      <w:rFonts w:hint="eastAsia"/>
                      <w:color w:val="FF0000"/>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pct"/>
                  <w:vMerge w:val="continue"/>
                  <w:vAlign w:val="center"/>
                </w:tcPr>
                <w:p>
                  <w:pPr>
                    <w:adjustRightInd w:val="0"/>
                    <w:snapToGrid w:val="0"/>
                    <w:jc w:val="center"/>
                    <w:rPr>
                      <w:color w:val="FF0000"/>
                      <w:szCs w:val="21"/>
                    </w:rPr>
                  </w:pPr>
                </w:p>
              </w:tc>
              <w:tc>
                <w:tcPr>
                  <w:tcW w:w="603" w:type="pct"/>
                  <w:vAlign w:val="center"/>
                </w:tcPr>
                <w:p>
                  <w:pPr>
                    <w:adjustRightInd w:val="0"/>
                    <w:snapToGrid w:val="0"/>
                    <w:jc w:val="center"/>
                    <w:rPr>
                      <w:color w:val="FF0000"/>
                      <w:szCs w:val="21"/>
                    </w:rPr>
                  </w:pPr>
                  <w:r>
                    <w:rPr>
                      <w:rFonts w:hint="eastAsia"/>
                      <w:color w:val="FF0000"/>
                      <w:szCs w:val="21"/>
                    </w:rPr>
                    <w:t>管控要求</w:t>
                  </w:r>
                </w:p>
              </w:tc>
              <w:tc>
                <w:tcPr>
                  <w:tcW w:w="3126" w:type="pct"/>
                  <w:gridSpan w:val="2"/>
                  <w:vAlign w:val="center"/>
                </w:tcPr>
                <w:p>
                  <w:pPr>
                    <w:adjustRightInd w:val="0"/>
                    <w:snapToGrid w:val="0"/>
                    <w:ind w:firstLine="412" w:firstLineChars="200"/>
                    <w:jc w:val="left"/>
                    <w:rPr>
                      <w:color w:val="FF0000"/>
                      <w:szCs w:val="21"/>
                    </w:rPr>
                  </w:pPr>
                  <w:r>
                    <w:rPr>
                      <w:rFonts w:hint="eastAsia"/>
                      <w:color w:val="FF0000"/>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color w:val="FF0000"/>
                      <w:szCs w:val="21"/>
                    </w:rPr>
                  </w:pPr>
                  <w:r>
                    <w:rPr>
                      <w:rFonts w:hint="eastAsia"/>
                      <w:color w:val="FF0000"/>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color w:val="FF0000"/>
                      <w:szCs w:val="21"/>
                    </w:rPr>
                  </w:pPr>
                  <w:r>
                    <w:rPr>
                      <w:rFonts w:hint="eastAsia"/>
                      <w:color w:val="FF0000"/>
                      <w:szCs w:val="21"/>
                    </w:rPr>
                    <w:t>3.实行严格的产业准入制度，对地下水超采地区，严把取水许可关口，不得新建扩建高耗水项目。</w:t>
                  </w:r>
                </w:p>
                <w:p>
                  <w:pPr>
                    <w:adjustRightInd w:val="0"/>
                    <w:snapToGrid w:val="0"/>
                    <w:ind w:firstLine="412" w:firstLineChars="200"/>
                    <w:jc w:val="left"/>
                    <w:rPr>
                      <w:color w:val="FF0000"/>
                      <w:szCs w:val="21"/>
                    </w:rPr>
                  </w:pPr>
                  <w:r>
                    <w:rPr>
                      <w:rFonts w:hint="eastAsia"/>
                      <w:color w:val="FF0000"/>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color w:val="FF0000"/>
                      <w:szCs w:val="21"/>
                    </w:rPr>
                  </w:pPr>
                  <w:r>
                    <w:rPr>
                      <w:rFonts w:hint="eastAsia"/>
                      <w:color w:val="FF0000"/>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color w:val="FF0000"/>
                      <w:szCs w:val="21"/>
                    </w:rPr>
                  </w:pPr>
                  <w:r>
                    <w:rPr>
                      <w:rFonts w:hint="eastAsia"/>
                      <w:color w:val="FF0000"/>
                      <w:szCs w:val="21"/>
                    </w:rPr>
                    <w:t>本项目不开采地下水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restart"/>
                  <w:vAlign w:val="center"/>
                </w:tcPr>
                <w:p>
                  <w:pPr>
                    <w:adjustRightInd w:val="0"/>
                    <w:snapToGrid w:val="0"/>
                    <w:jc w:val="center"/>
                    <w:rPr>
                      <w:color w:val="FF0000"/>
                      <w:szCs w:val="21"/>
                    </w:rPr>
                  </w:pPr>
                  <w:r>
                    <w:rPr>
                      <w:rFonts w:hint="eastAsia"/>
                      <w:color w:val="FF0000"/>
                      <w:szCs w:val="21"/>
                    </w:rPr>
                    <w:t>能源</w:t>
                  </w:r>
                </w:p>
              </w:tc>
              <w:tc>
                <w:tcPr>
                  <w:tcW w:w="668" w:type="pct"/>
                  <w:gridSpan w:val="2"/>
                  <w:vAlign w:val="center"/>
                </w:tcPr>
                <w:p>
                  <w:pPr>
                    <w:adjustRightInd w:val="0"/>
                    <w:snapToGrid w:val="0"/>
                    <w:jc w:val="center"/>
                    <w:rPr>
                      <w:color w:val="FF0000"/>
                      <w:szCs w:val="21"/>
                    </w:rPr>
                  </w:pPr>
                  <w:r>
                    <w:rPr>
                      <w:rFonts w:hint="eastAsia"/>
                      <w:color w:val="FF0000"/>
                      <w:szCs w:val="21"/>
                    </w:rPr>
                    <w:t>总量和强度要求</w:t>
                  </w:r>
                </w:p>
              </w:tc>
              <w:tc>
                <w:tcPr>
                  <w:tcW w:w="3060" w:type="pct"/>
                  <w:vAlign w:val="center"/>
                </w:tcPr>
                <w:p>
                  <w:pPr>
                    <w:adjustRightInd w:val="0"/>
                    <w:snapToGrid w:val="0"/>
                    <w:ind w:firstLine="412" w:firstLineChars="200"/>
                    <w:jc w:val="left"/>
                    <w:rPr>
                      <w:color w:val="FF0000"/>
                      <w:szCs w:val="21"/>
                    </w:rPr>
                  </w:pPr>
                  <w:r>
                    <w:rPr>
                      <w:rFonts w:hint="eastAsia"/>
                      <w:color w:val="FF0000"/>
                      <w:szCs w:val="21"/>
                    </w:rPr>
                    <w:t>2025年能源消费总量为5032万吨标准煤；2035年能源消费总量为6134万吨标准煤。</w:t>
                  </w:r>
                </w:p>
              </w:tc>
              <w:tc>
                <w:tcPr>
                  <w:tcW w:w="801" w:type="pct"/>
                  <w:vMerge w:val="restart"/>
                  <w:vAlign w:val="center"/>
                </w:tcPr>
                <w:p>
                  <w:pPr>
                    <w:adjustRightInd w:val="0"/>
                    <w:snapToGrid w:val="0"/>
                    <w:jc w:val="center"/>
                    <w:rPr>
                      <w:color w:val="FF0000"/>
                      <w:szCs w:val="21"/>
                    </w:rPr>
                  </w:pPr>
                  <w:r>
                    <w:rPr>
                      <w:rFonts w:hint="eastAsia"/>
                      <w:color w:val="FF0000"/>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pct"/>
                  <w:vMerge w:val="continue"/>
                  <w:vAlign w:val="center"/>
                </w:tcPr>
                <w:p>
                  <w:pPr>
                    <w:adjustRightInd w:val="0"/>
                    <w:snapToGrid w:val="0"/>
                    <w:jc w:val="center"/>
                    <w:rPr>
                      <w:color w:val="FF0000"/>
                      <w:szCs w:val="21"/>
                    </w:rPr>
                  </w:pPr>
                </w:p>
              </w:tc>
              <w:tc>
                <w:tcPr>
                  <w:tcW w:w="668" w:type="pct"/>
                  <w:gridSpan w:val="2"/>
                  <w:vAlign w:val="center"/>
                </w:tcPr>
                <w:p>
                  <w:pPr>
                    <w:adjustRightInd w:val="0"/>
                    <w:snapToGrid w:val="0"/>
                    <w:jc w:val="center"/>
                    <w:rPr>
                      <w:color w:val="FF0000"/>
                      <w:szCs w:val="21"/>
                    </w:rPr>
                  </w:pPr>
                  <w:r>
                    <w:rPr>
                      <w:rFonts w:hint="eastAsia"/>
                      <w:color w:val="FF0000"/>
                      <w:szCs w:val="21"/>
                    </w:rPr>
                    <w:t>管控要求</w:t>
                  </w:r>
                </w:p>
              </w:tc>
              <w:tc>
                <w:tcPr>
                  <w:tcW w:w="3060" w:type="pct"/>
                  <w:vAlign w:val="center"/>
                </w:tcPr>
                <w:p>
                  <w:pPr>
                    <w:adjustRightInd w:val="0"/>
                    <w:snapToGrid w:val="0"/>
                    <w:ind w:firstLine="412" w:firstLineChars="200"/>
                    <w:jc w:val="left"/>
                    <w:rPr>
                      <w:color w:val="FF0000"/>
                      <w:szCs w:val="21"/>
                    </w:rPr>
                  </w:pPr>
                  <w:r>
                    <w:rPr>
                      <w:rFonts w:hint="eastAsia"/>
                      <w:color w:val="FF0000"/>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color w:val="FF0000"/>
                      <w:szCs w:val="21"/>
                    </w:rPr>
                  </w:pPr>
                  <w:r>
                    <w:rPr>
                      <w:rFonts w:hint="eastAsia"/>
                      <w:color w:val="FF0000"/>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color w:val="FF0000"/>
                      <w:szCs w:val="21"/>
                    </w:rPr>
                  </w:pPr>
                  <w:r>
                    <w:rPr>
                      <w:rFonts w:hint="eastAsia"/>
                      <w:color w:val="FF0000"/>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color w:val="FF0000"/>
                      <w:szCs w:val="21"/>
                    </w:rPr>
                  </w:pPr>
                  <w:r>
                    <w:rPr>
                      <w:rFonts w:hint="eastAsia"/>
                      <w:color w:val="FF0000"/>
                      <w:szCs w:val="21"/>
                    </w:rPr>
                    <w:t>4.对新增耗煤项目实施等(减)量替代。</w:t>
                  </w:r>
                </w:p>
                <w:p>
                  <w:pPr>
                    <w:adjustRightInd w:val="0"/>
                    <w:snapToGrid w:val="0"/>
                    <w:ind w:firstLine="412" w:firstLineChars="200"/>
                    <w:jc w:val="left"/>
                    <w:rPr>
                      <w:color w:val="FF0000"/>
                      <w:szCs w:val="21"/>
                    </w:rPr>
                  </w:pPr>
                  <w:r>
                    <w:rPr>
                      <w:rFonts w:hint="eastAsia"/>
                      <w:color w:val="FF0000"/>
                      <w:szCs w:val="21"/>
                    </w:rPr>
                    <w:t>5.平原地区农村全部完成生活和冬季取暖散煤替代，实现散煤动态清零。</w:t>
                  </w:r>
                </w:p>
              </w:tc>
              <w:tc>
                <w:tcPr>
                  <w:tcW w:w="801" w:type="pct"/>
                  <w:vMerge w:val="continue"/>
                  <w:vAlign w:val="center"/>
                </w:tcPr>
                <w:p>
                  <w:pPr>
                    <w:adjustRightInd w:val="0"/>
                    <w:snapToGrid w:val="0"/>
                    <w:jc w:val="center"/>
                    <w:rPr>
                      <w:color w:val="FF0000"/>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pct"/>
                  <w:vMerge w:val="restart"/>
                  <w:vAlign w:val="center"/>
                </w:tcPr>
                <w:p>
                  <w:pPr>
                    <w:adjustRightInd w:val="0"/>
                    <w:snapToGrid w:val="0"/>
                    <w:jc w:val="center"/>
                    <w:rPr>
                      <w:color w:val="FF0000"/>
                      <w:szCs w:val="21"/>
                    </w:rPr>
                  </w:pPr>
                  <w:r>
                    <w:rPr>
                      <w:rFonts w:hint="eastAsia"/>
                      <w:color w:val="FF0000"/>
                      <w:szCs w:val="21"/>
                    </w:rPr>
                    <w:t>土地资源</w:t>
                  </w:r>
                </w:p>
              </w:tc>
              <w:tc>
                <w:tcPr>
                  <w:tcW w:w="668" w:type="pct"/>
                  <w:gridSpan w:val="2"/>
                  <w:vAlign w:val="center"/>
                </w:tcPr>
                <w:p>
                  <w:pPr>
                    <w:adjustRightInd w:val="0"/>
                    <w:snapToGrid w:val="0"/>
                    <w:jc w:val="center"/>
                    <w:rPr>
                      <w:color w:val="FF0000"/>
                      <w:szCs w:val="21"/>
                    </w:rPr>
                  </w:pPr>
                  <w:r>
                    <w:rPr>
                      <w:rFonts w:hint="eastAsia"/>
                      <w:color w:val="FF0000"/>
                      <w:szCs w:val="21"/>
                    </w:rPr>
                    <w:t>总量和强度要求</w:t>
                  </w:r>
                </w:p>
              </w:tc>
              <w:tc>
                <w:tcPr>
                  <w:tcW w:w="3060" w:type="pct"/>
                  <w:vAlign w:val="center"/>
                </w:tcPr>
                <w:p>
                  <w:pPr>
                    <w:adjustRightInd w:val="0"/>
                    <w:snapToGrid w:val="0"/>
                    <w:ind w:firstLine="412" w:firstLineChars="200"/>
                    <w:jc w:val="left"/>
                    <w:rPr>
                      <w:color w:val="FF0000"/>
                      <w:szCs w:val="21"/>
                    </w:rPr>
                  </w:pPr>
                  <w:r>
                    <w:rPr>
                      <w:rFonts w:hint="eastAsia"/>
                      <w:color w:val="FF0000"/>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color w:val="FF0000"/>
                      <w:szCs w:val="21"/>
                    </w:rPr>
                  </w:pPr>
                  <w:r>
                    <w:rPr>
                      <w:rFonts w:hint="eastAsia"/>
                      <w:color w:val="FF0000"/>
                      <w:szCs w:val="21"/>
                    </w:rPr>
                    <w:t>本项目位于魏县经济开发区内，</w:t>
                  </w:r>
                  <w:r>
                    <w:rPr>
                      <w:rFonts w:hint="eastAsia"/>
                      <w:bCs/>
                      <w:color w:val="FF0000"/>
                      <w:szCs w:val="21"/>
                    </w:rPr>
                    <w:t>租赁</w:t>
                  </w:r>
                  <w:r>
                    <w:rPr>
                      <w:color w:val="FF0000"/>
                      <w:szCs w:val="21"/>
                    </w:rPr>
                    <w:t>邯郸无声门业有限公司</w:t>
                  </w:r>
                  <w:r>
                    <w:rPr>
                      <w:rFonts w:hint="eastAsia"/>
                      <w:color w:val="FF0000"/>
                      <w:szCs w:val="21"/>
                    </w:rPr>
                    <w:t>厂区</w:t>
                  </w:r>
                  <w:r>
                    <w:rPr>
                      <w:rFonts w:hint="eastAsia"/>
                      <w:bCs/>
                      <w:color w:val="FF0000"/>
                      <w:szCs w:val="21"/>
                    </w:rPr>
                    <w:t>用地进行建设</w:t>
                  </w:r>
                  <w:r>
                    <w:rPr>
                      <w:rFonts w:hint="eastAsia"/>
                      <w:color w:val="FF0000"/>
                      <w:szCs w:val="21"/>
                    </w:rPr>
                    <w:t>，占地性质为工业用地</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pct"/>
                  <w:vMerge w:val="continue"/>
                  <w:vAlign w:val="center"/>
                </w:tcPr>
                <w:p>
                  <w:pPr>
                    <w:adjustRightInd w:val="0"/>
                    <w:snapToGrid w:val="0"/>
                    <w:jc w:val="center"/>
                    <w:rPr>
                      <w:color w:val="FF0000"/>
                      <w:szCs w:val="21"/>
                    </w:rPr>
                  </w:pPr>
                </w:p>
              </w:tc>
              <w:tc>
                <w:tcPr>
                  <w:tcW w:w="668" w:type="pct"/>
                  <w:gridSpan w:val="2"/>
                  <w:vAlign w:val="center"/>
                </w:tcPr>
                <w:p>
                  <w:pPr>
                    <w:adjustRightInd w:val="0"/>
                    <w:snapToGrid w:val="0"/>
                    <w:jc w:val="center"/>
                    <w:rPr>
                      <w:color w:val="FF0000"/>
                      <w:szCs w:val="21"/>
                    </w:rPr>
                  </w:pPr>
                  <w:r>
                    <w:rPr>
                      <w:rFonts w:hint="eastAsia"/>
                      <w:color w:val="FF0000"/>
                      <w:szCs w:val="21"/>
                    </w:rPr>
                    <w:t>管控要求</w:t>
                  </w:r>
                </w:p>
              </w:tc>
              <w:tc>
                <w:tcPr>
                  <w:tcW w:w="3060" w:type="pct"/>
                  <w:vAlign w:val="center"/>
                </w:tcPr>
                <w:p>
                  <w:pPr>
                    <w:adjustRightInd w:val="0"/>
                    <w:snapToGrid w:val="0"/>
                    <w:ind w:firstLine="412" w:firstLineChars="200"/>
                    <w:jc w:val="left"/>
                    <w:rPr>
                      <w:color w:val="FF0000"/>
                      <w:szCs w:val="21"/>
                    </w:rPr>
                  </w:pPr>
                  <w:r>
                    <w:rPr>
                      <w:rFonts w:hint="eastAsia"/>
                      <w:color w:val="FF0000"/>
                      <w:szCs w:val="21"/>
                    </w:rPr>
                    <w:t>1.国家保护耕地，严格控制耕地转为非耕地。国家实行占用耕地补偿制度。</w:t>
                  </w:r>
                </w:p>
                <w:p>
                  <w:pPr>
                    <w:adjustRightInd w:val="0"/>
                    <w:snapToGrid w:val="0"/>
                    <w:ind w:firstLine="412" w:firstLineChars="200"/>
                    <w:jc w:val="left"/>
                    <w:rPr>
                      <w:color w:val="FF0000"/>
                      <w:szCs w:val="21"/>
                    </w:rPr>
                  </w:pPr>
                  <w:r>
                    <w:rPr>
                      <w:rFonts w:hint="eastAsia"/>
                      <w:color w:val="FF0000"/>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color w:val="FF0000"/>
                      <w:szCs w:val="21"/>
                    </w:rPr>
                  </w:pPr>
                  <w:r>
                    <w:rPr>
                      <w:rFonts w:hint="eastAsia"/>
                      <w:color w:val="FF0000"/>
                      <w:szCs w:val="21"/>
                    </w:rPr>
                    <w:t>3.建设占用土地，涉及农用地转为建设用地的，应当办理农用地转用审批手续。</w:t>
                  </w:r>
                </w:p>
              </w:tc>
              <w:tc>
                <w:tcPr>
                  <w:tcW w:w="801" w:type="pct"/>
                  <w:vMerge w:val="continue"/>
                  <w:vAlign w:val="center"/>
                </w:tcPr>
                <w:p>
                  <w:pPr>
                    <w:adjustRightInd w:val="0"/>
                    <w:snapToGrid w:val="0"/>
                    <w:jc w:val="center"/>
                    <w:rPr>
                      <w:color w:val="FF0000"/>
                      <w:szCs w:val="21"/>
                    </w:rPr>
                  </w:pPr>
                </w:p>
              </w:tc>
            </w:tr>
          </w:tbl>
          <w:p>
            <w:pPr>
              <w:pStyle w:val="9"/>
              <w:adjustRightInd w:val="0"/>
              <w:snapToGrid w:val="0"/>
              <w:ind w:firstLine="482"/>
              <w:jc w:val="center"/>
              <w:rPr>
                <w:b/>
                <w:bCs/>
                <w:color w:val="FF0000"/>
                <w:szCs w:val="24"/>
              </w:rPr>
            </w:pPr>
            <w:r>
              <w:rPr>
                <w:b/>
                <w:bCs/>
                <w:color w:val="FF0000"/>
                <w:szCs w:val="24"/>
              </w:rPr>
              <w:t>表</w:t>
            </w:r>
            <w:r>
              <w:rPr>
                <w:rFonts w:hint="eastAsia"/>
                <w:b/>
                <w:bCs/>
                <w:color w:val="FF0000"/>
                <w:szCs w:val="24"/>
              </w:rPr>
              <w:t>1-8</w:t>
            </w:r>
            <w:r>
              <w:rPr>
                <w:b/>
                <w:bCs/>
                <w:color w:val="FF0000"/>
                <w:szCs w:val="24"/>
              </w:rPr>
              <w:t xml:space="preserve">  本项目与</w:t>
            </w:r>
            <w:r>
              <w:rPr>
                <w:rFonts w:hint="eastAsia"/>
                <w:b/>
                <w:bCs/>
                <w:color w:val="FF0000"/>
                <w:szCs w:val="24"/>
              </w:rPr>
              <w:t>邯郸市产业布局总体管控要求</w:t>
            </w:r>
            <w:r>
              <w:rPr>
                <w:b/>
                <w:bCs/>
                <w:color w:val="FF0000"/>
                <w:szCs w:val="24"/>
              </w:rPr>
              <w:t>符合性一览表</w:t>
            </w:r>
          </w:p>
          <w:tbl>
            <w:tblPr>
              <w:tblStyle w:val="28"/>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5539"/>
              <w:gridCol w:w="1041"/>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FF0000"/>
                      <w:szCs w:val="21"/>
                    </w:rPr>
                  </w:pPr>
                  <w:r>
                    <w:rPr>
                      <w:rFonts w:hint="eastAsia"/>
                      <w:color w:val="FF0000"/>
                      <w:szCs w:val="21"/>
                    </w:rPr>
                    <w:t>产业</w:t>
                  </w:r>
                </w:p>
              </w:tc>
              <w:tc>
                <w:tcPr>
                  <w:tcW w:w="3815" w:type="pct"/>
                  <w:vAlign w:val="center"/>
                </w:tcPr>
                <w:p>
                  <w:pPr>
                    <w:adjustRightInd w:val="0"/>
                    <w:snapToGrid w:val="0"/>
                    <w:jc w:val="center"/>
                    <w:rPr>
                      <w:color w:val="FF0000"/>
                      <w:szCs w:val="21"/>
                    </w:rPr>
                  </w:pPr>
                  <w:r>
                    <w:rPr>
                      <w:rFonts w:hint="eastAsia"/>
                      <w:color w:val="FF0000"/>
                      <w:szCs w:val="21"/>
                    </w:rPr>
                    <w:t>管控要求</w:t>
                  </w:r>
                </w:p>
              </w:tc>
              <w:tc>
                <w:tcPr>
                  <w:tcW w:w="717" w:type="pct"/>
                  <w:vAlign w:val="center"/>
                </w:tcPr>
                <w:p>
                  <w:pPr>
                    <w:adjustRightInd w:val="0"/>
                    <w:snapToGrid w:val="0"/>
                    <w:jc w:val="center"/>
                    <w:rPr>
                      <w:color w:val="FF0000"/>
                      <w:szCs w:val="21"/>
                    </w:rPr>
                  </w:pPr>
                  <w:r>
                    <w:rPr>
                      <w:rFonts w:hint="eastAsia"/>
                      <w:color w:val="FF0000"/>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FF0000"/>
                      <w:szCs w:val="21"/>
                    </w:rPr>
                  </w:pPr>
                  <w:r>
                    <w:rPr>
                      <w:rFonts w:hint="eastAsia"/>
                      <w:color w:val="FF0000"/>
                      <w:szCs w:val="21"/>
                    </w:rPr>
                    <w:t>产业布局总体要求</w:t>
                  </w:r>
                </w:p>
              </w:tc>
              <w:tc>
                <w:tcPr>
                  <w:tcW w:w="3815" w:type="pct"/>
                  <w:vAlign w:val="center"/>
                </w:tcPr>
                <w:p>
                  <w:pPr>
                    <w:adjustRightInd w:val="0"/>
                    <w:snapToGrid w:val="0"/>
                    <w:ind w:firstLine="412" w:firstLineChars="200"/>
                    <w:jc w:val="left"/>
                    <w:rPr>
                      <w:color w:val="FF0000"/>
                      <w:szCs w:val="21"/>
                    </w:rPr>
                  </w:pPr>
                  <w:r>
                    <w:rPr>
                      <w:rFonts w:hint="eastAsia"/>
                      <w:color w:val="FF0000"/>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园区。</w:t>
                  </w:r>
                </w:p>
                <w:p>
                  <w:pPr>
                    <w:adjustRightInd w:val="0"/>
                    <w:snapToGrid w:val="0"/>
                    <w:ind w:firstLine="412" w:firstLineChars="200"/>
                    <w:jc w:val="left"/>
                    <w:rPr>
                      <w:color w:val="FF0000"/>
                      <w:szCs w:val="21"/>
                    </w:rPr>
                  </w:pPr>
                  <w:r>
                    <w:rPr>
                      <w:rFonts w:hint="eastAsia"/>
                      <w:color w:val="FF0000"/>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color w:val="FF0000"/>
                      <w:szCs w:val="21"/>
                    </w:rPr>
                  </w:pPr>
                  <w:r>
                    <w:rPr>
                      <w:rFonts w:hint="eastAsia"/>
                      <w:color w:val="FF0000"/>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color w:val="FF0000"/>
                      <w:szCs w:val="21"/>
                    </w:rPr>
                  </w:pPr>
                  <w:r>
                    <w:rPr>
                      <w:rFonts w:hint="eastAsia"/>
                      <w:color w:val="FF0000"/>
                      <w:szCs w:val="21"/>
                    </w:rPr>
                    <w:t>4.通过整合重组、退城进园、转型升级，在全市打造“3+3”钢铁产业格局。</w:t>
                  </w:r>
                </w:p>
              </w:tc>
              <w:tc>
                <w:tcPr>
                  <w:tcW w:w="717" w:type="pct"/>
                  <w:vAlign w:val="center"/>
                </w:tcPr>
                <w:p>
                  <w:pPr>
                    <w:adjustRightInd w:val="0"/>
                    <w:snapToGrid w:val="0"/>
                    <w:jc w:val="center"/>
                    <w:rPr>
                      <w:color w:val="FF0000"/>
                      <w:szCs w:val="21"/>
                    </w:rPr>
                  </w:pPr>
                  <w:r>
                    <w:rPr>
                      <w:color w:val="FF0000"/>
                      <w:szCs w:val="21"/>
                    </w:rPr>
                    <w:t>本项目为</w:t>
                  </w:r>
                  <w:r>
                    <w:rPr>
                      <w:rFonts w:hint="eastAsia"/>
                      <w:color w:val="FF0000"/>
                      <w:szCs w:val="21"/>
                    </w:rPr>
                    <w:t>金属结构</w:t>
                  </w:r>
                  <w:r>
                    <w:rPr>
                      <w:color w:val="FF0000"/>
                      <w:szCs w:val="21"/>
                    </w:rPr>
                    <w:t>制造行业，</w:t>
                  </w:r>
                  <w:r>
                    <w:rPr>
                      <w:rFonts w:hint="eastAsia" w:eastAsiaTheme="minorEastAsia"/>
                      <w:color w:val="FF0000"/>
                      <w:sz w:val="22"/>
                      <w:szCs w:val="22"/>
                    </w:rPr>
                    <w:t>被列为</w:t>
                  </w:r>
                  <w:r>
                    <w:rPr>
                      <w:rFonts w:hint="eastAsia" w:eastAsiaTheme="minorEastAsia"/>
                      <w:bCs/>
                      <w:color w:val="FF0000"/>
                      <w:sz w:val="22"/>
                      <w:szCs w:val="22"/>
                    </w:rPr>
                    <w:t>邯郸市2021年重点项目，</w:t>
                  </w:r>
                  <w:r>
                    <w:rPr>
                      <w:rFonts w:hint="eastAsia"/>
                      <w:color w:val="FF0000"/>
                      <w:szCs w:val="21"/>
                    </w:rPr>
                    <w:t>位于河北省邯郸市魏县经济开发区天雨东路3008号</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color w:val="FF0000"/>
                      <w:szCs w:val="21"/>
                    </w:rPr>
                  </w:pPr>
                  <w:r>
                    <w:rPr>
                      <w:rFonts w:hint="eastAsia"/>
                      <w:color w:val="FF0000"/>
                      <w:szCs w:val="21"/>
                    </w:rPr>
                    <w:t>项目入园准入要求</w:t>
                  </w:r>
                </w:p>
              </w:tc>
              <w:tc>
                <w:tcPr>
                  <w:tcW w:w="3815" w:type="pct"/>
                  <w:vAlign w:val="center"/>
                </w:tcPr>
                <w:p>
                  <w:pPr>
                    <w:adjustRightInd w:val="0"/>
                    <w:snapToGrid w:val="0"/>
                    <w:ind w:firstLine="412" w:firstLineChars="200"/>
                    <w:jc w:val="left"/>
                    <w:rPr>
                      <w:color w:val="FF0000"/>
                      <w:szCs w:val="21"/>
                    </w:rPr>
                  </w:pPr>
                  <w:r>
                    <w:rPr>
                      <w:rFonts w:hint="eastAsia"/>
                      <w:color w:val="FF0000"/>
                      <w:szCs w:val="21"/>
                    </w:rPr>
                    <w:t>1.造纸、焦化、氮肥、有色金属、印染、农副食品加工、原料药制造、皮革、农药、电镀、钢铁、水泥、平板玻璃、石灰、石化、化工等高污染工业项目必须入园进区，其他工业项目原则上也不在园区外布局。</w:t>
                  </w:r>
                </w:p>
                <w:p>
                  <w:pPr>
                    <w:adjustRightInd w:val="0"/>
                    <w:snapToGrid w:val="0"/>
                    <w:ind w:firstLine="412" w:firstLineChars="200"/>
                    <w:jc w:val="left"/>
                    <w:rPr>
                      <w:color w:val="FF0000"/>
                      <w:szCs w:val="21"/>
                    </w:rPr>
                  </w:pPr>
                  <w:r>
                    <w:rPr>
                      <w:rFonts w:hint="eastAsia"/>
                      <w:color w:val="FF0000"/>
                      <w:szCs w:val="21"/>
                    </w:rPr>
                    <w:t>2.新（改、扩）建钢铁、石化、化工、焦化、建材、有色等项目的环境影响评价，应满足区域、规划环评要求。</w:t>
                  </w:r>
                </w:p>
              </w:tc>
              <w:tc>
                <w:tcPr>
                  <w:tcW w:w="717" w:type="pct"/>
                  <w:vAlign w:val="center"/>
                </w:tcPr>
                <w:p>
                  <w:pPr>
                    <w:adjustRightInd w:val="0"/>
                    <w:snapToGrid w:val="0"/>
                    <w:jc w:val="center"/>
                    <w:rPr>
                      <w:color w:val="FF0000"/>
                      <w:szCs w:val="21"/>
                    </w:rPr>
                  </w:pPr>
                  <w:r>
                    <w:rPr>
                      <w:color w:val="FF0000"/>
                      <w:szCs w:val="21"/>
                    </w:rPr>
                    <w:t>本项目为</w:t>
                  </w:r>
                  <w:r>
                    <w:rPr>
                      <w:rFonts w:hint="eastAsia"/>
                      <w:color w:val="FF0000"/>
                      <w:szCs w:val="21"/>
                    </w:rPr>
                    <w:t>金属结构</w:t>
                  </w:r>
                  <w:r>
                    <w:rPr>
                      <w:color w:val="FF0000"/>
                      <w:szCs w:val="21"/>
                    </w:rPr>
                    <w:t>制造行业，</w:t>
                  </w:r>
                  <w:r>
                    <w:rPr>
                      <w:rFonts w:hint="eastAsia" w:eastAsiaTheme="minorEastAsia"/>
                      <w:color w:val="FF0000"/>
                      <w:sz w:val="22"/>
                      <w:szCs w:val="22"/>
                    </w:rPr>
                    <w:t>被列为</w:t>
                  </w:r>
                  <w:r>
                    <w:rPr>
                      <w:rFonts w:hint="eastAsia" w:eastAsiaTheme="minorEastAsia"/>
                      <w:bCs/>
                      <w:color w:val="FF0000"/>
                      <w:sz w:val="22"/>
                      <w:szCs w:val="22"/>
                    </w:rPr>
                    <w:t>邯郸市2021年重点项目</w:t>
                  </w:r>
                  <w:r>
                    <w:rPr>
                      <w:rFonts w:hint="eastAsia"/>
                      <w:color w:val="FF0000"/>
                      <w:szCs w:val="21"/>
                    </w:rPr>
                    <w:t>，不属于高污染工业项目</w:t>
                  </w:r>
                </w:p>
              </w:tc>
            </w:tr>
          </w:tbl>
          <w:p>
            <w:pPr>
              <w:pStyle w:val="2"/>
              <w:spacing w:line="480" w:lineRule="exact"/>
              <w:jc w:val="center"/>
              <w:rPr>
                <w:bCs/>
                <w:color w:val="FF0000"/>
                <w:szCs w:val="24"/>
              </w:rPr>
            </w:pPr>
            <w:r>
              <w:rPr>
                <w:rFonts w:hint="eastAsia"/>
                <w:b/>
                <w:bCs/>
                <w:color w:val="FF0000"/>
                <w:szCs w:val="24"/>
              </w:rPr>
              <w:t>表1-9</w:t>
            </w:r>
            <w:r>
              <w:rPr>
                <w:rFonts w:hint="eastAsia"/>
                <w:bCs/>
                <w:color w:val="FF0000"/>
                <w:szCs w:val="24"/>
              </w:rPr>
              <w:t xml:space="preserve"> </w:t>
            </w:r>
            <w:r>
              <w:rPr>
                <w:b/>
                <w:bCs/>
                <w:color w:val="FF0000"/>
                <w:szCs w:val="24"/>
              </w:rPr>
              <w:t>魏城</w:t>
            </w:r>
            <w:r>
              <w:rPr>
                <w:rFonts w:hint="eastAsia"/>
                <w:b/>
                <w:bCs/>
                <w:color w:val="FF0000"/>
                <w:szCs w:val="24"/>
              </w:rPr>
              <w:t>镇重点管控单元生态环境准入清单符合性对比表</w:t>
            </w:r>
          </w:p>
          <w:tbl>
            <w:tblPr>
              <w:tblStyle w:val="2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92"/>
              <w:gridCol w:w="567"/>
              <w:gridCol w:w="492"/>
              <w:gridCol w:w="811"/>
              <w:gridCol w:w="413"/>
              <w:gridCol w:w="1795"/>
              <w:gridCol w:w="1795"/>
              <w:gridCol w:w="4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color w:val="FF0000"/>
                      <w:sz w:val="18"/>
                      <w:szCs w:val="18"/>
                    </w:rPr>
                  </w:pPr>
                  <w:r>
                    <w:rPr>
                      <w:b/>
                      <w:color w:val="FF0000"/>
                      <w:kern w:val="0"/>
                      <w:sz w:val="18"/>
                      <w:szCs w:val="18"/>
                    </w:rPr>
                    <w:t>编</w:t>
                  </w:r>
                </w:p>
                <w:p>
                  <w:pPr>
                    <w:widowControl/>
                    <w:spacing w:line="240" w:lineRule="exact"/>
                    <w:ind w:left="-103" w:leftChars="-50" w:right="-103" w:rightChars="-50"/>
                    <w:jc w:val="center"/>
                    <w:rPr>
                      <w:b/>
                      <w:color w:val="FF0000"/>
                      <w:sz w:val="18"/>
                      <w:szCs w:val="18"/>
                    </w:rPr>
                  </w:pPr>
                  <w:r>
                    <w:rPr>
                      <w:b/>
                      <w:color w:val="FF0000"/>
                      <w:kern w:val="0"/>
                      <w:sz w:val="18"/>
                      <w:szCs w:val="18"/>
                    </w:rPr>
                    <w:t>号</w:t>
                  </w:r>
                </w:p>
              </w:tc>
              <w:tc>
                <w:tcPr>
                  <w:tcW w:w="270" w:type="pct"/>
                  <w:vAlign w:val="center"/>
                </w:tcPr>
                <w:p>
                  <w:pPr>
                    <w:widowControl/>
                    <w:spacing w:line="240" w:lineRule="exact"/>
                    <w:ind w:left="-103" w:leftChars="-50" w:right="-103" w:rightChars="-50"/>
                    <w:jc w:val="center"/>
                    <w:rPr>
                      <w:b/>
                      <w:color w:val="FF0000"/>
                      <w:sz w:val="18"/>
                      <w:szCs w:val="18"/>
                    </w:rPr>
                  </w:pPr>
                  <w:r>
                    <w:rPr>
                      <w:b/>
                      <w:color w:val="FF0000"/>
                      <w:kern w:val="0"/>
                      <w:sz w:val="18"/>
                      <w:szCs w:val="18"/>
                    </w:rPr>
                    <w:t>区</w:t>
                  </w:r>
                </w:p>
                <w:p>
                  <w:pPr>
                    <w:widowControl/>
                    <w:spacing w:line="240" w:lineRule="exact"/>
                    <w:ind w:left="-103" w:leftChars="-50" w:right="-103" w:rightChars="-50"/>
                    <w:jc w:val="center"/>
                    <w:rPr>
                      <w:b/>
                      <w:color w:val="FF0000"/>
                      <w:sz w:val="18"/>
                      <w:szCs w:val="18"/>
                    </w:rPr>
                  </w:pPr>
                  <w:r>
                    <w:rPr>
                      <w:b/>
                      <w:color w:val="FF0000"/>
                      <w:kern w:val="0"/>
                      <w:sz w:val="18"/>
                      <w:szCs w:val="18"/>
                    </w:rPr>
                    <w:t>县</w:t>
                  </w:r>
                </w:p>
              </w:tc>
              <w:tc>
                <w:tcPr>
                  <w:tcW w:w="390" w:type="pct"/>
                  <w:vAlign w:val="center"/>
                </w:tcPr>
                <w:p>
                  <w:pPr>
                    <w:widowControl/>
                    <w:spacing w:line="240" w:lineRule="exact"/>
                    <w:ind w:left="-103" w:leftChars="-50" w:right="-103" w:rightChars="-50"/>
                    <w:jc w:val="center"/>
                    <w:rPr>
                      <w:b/>
                      <w:color w:val="FF0000"/>
                      <w:sz w:val="18"/>
                      <w:szCs w:val="18"/>
                    </w:rPr>
                  </w:pPr>
                  <w:r>
                    <w:rPr>
                      <w:b/>
                      <w:color w:val="FF0000"/>
                      <w:kern w:val="0"/>
                      <w:sz w:val="18"/>
                      <w:szCs w:val="18"/>
                    </w:rPr>
                    <w:t>涉及乡镇</w:t>
                  </w:r>
                </w:p>
              </w:tc>
              <w:tc>
                <w:tcPr>
                  <w:tcW w:w="339" w:type="pct"/>
                  <w:vAlign w:val="center"/>
                </w:tcPr>
                <w:p>
                  <w:pPr>
                    <w:widowControl/>
                    <w:spacing w:line="240" w:lineRule="exact"/>
                    <w:ind w:left="-103" w:leftChars="-50" w:right="-103" w:rightChars="-50"/>
                    <w:jc w:val="center"/>
                    <w:rPr>
                      <w:b/>
                      <w:color w:val="FF0000"/>
                      <w:sz w:val="18"/>
                      <w:szCs w:val="18"/>
                    </w:rPr>
                  </w:pPr>
                  <w:r>
                    <w:rPr>
                      <w:b/>
                      <w:color w:val="FF0000"/>
                      <w:kern w:val="0"/>
                      <w:sz w:val="18"/>
                      <w:szCs w:val="18"/>
                    </w:rPr>
                    <w:t>单元</w:t>
                  </w:r>
                </w:p>
                <w:p>
                  <w:pPr>
                    <w:widowControl/>
                    <w:spacing w:line="240" w:lineRule="exact"/>
                    <w:ind w:left="-103" w:leftChars="-50" w:right="-103" w:rightChars="-50"/>
                    <w:jc w:val="center"/>
                    <w:rPr>
                      <w:b/>
                      <w:color w:val="FF0000"/>
                      <w:sz w:val="18"/>
                      <w:szCs w:val="18"/>
                    </w:rPr>
                  </w:pPr>
                  <w:r>
                    <w:rPr>
                      <w:b/>
                      <w:color w:val="FF0000"/>
                      <w:kern w:val="0"/>
                      <w:sz w:val="18"/>
                      <w:szCs w:val="18"/>
                    </w:rPr>
                    <w:t>类别</w:t>
                  </w:r>
                </w:p>
              </w:tc>
              <w:tc>
                <w:tcPr>
                  <w:tcW w:w="558" w:type="pct"/>
                  <w:vAlign w:val="center"/>
                </w:tcPr>
                <w:p>
                  <w:pPr>
                    <w:widowControl/>
                    <w:spacing w:line="240" w:lineRule="exact"/>
                    <w:ind w:left="-103" w:leftChars="-50" w:right="-103" w:rightChars="-50"/>
                    <w:jc w:val="center"/>
                    <w:rPr>
                      <w:b/>
                      <w:color w:val="FF0000"/>
                      <w:sz w:val="18"/>
                      <w:szCs w:val="18"/>
                    </w:rPr>
                  </w:pPr>
                  <w:r>
                    <w:rPr>
                      <w:b/>
                      <w:color w:val="FF0000"/>
                      <w:kern w:val="0"/>
                      <w:sz w:val="18"/>
                      <w:szCs w:val="18"/>
                    </w:rPr>
                    <w:t>环境要素</w:t>
                  </w:r>
                </w:p>
                <w:p>
                  <w:pPr>
                    <w:widowControl/>
                    <w:spacing w:line="240" w:lineRule="exact"/>
                    <w:ind w:left="-103" w:leftChars="-50" w:right="-103" w:rightChars="-50"/>
                    <w:jc w:val="center"/>
                    <w:rPr>
                      <w:b/>
                      <w:color w:val="FF0000"/>
                      <w:sz w:val="18"/>
                      <w:szCs w:val="18"/>
                    </w:rPr>
                  </w:pPr>
                  <w:r>
                    <w:rPr>
                      <w:b/>
                      <w:color w:val="FF0000"/>
                      <w:kern w:val="0"/>
                      <w:sz w:val="18"/>
                      <w:szCs w:val="18"/>
                    </w:rPr>
                    <w:t>类别</w:t>
                  </w:r>
                </w:p>
              </w:tc>
              <w:tc>
                <w:tcPr>
                  <w:tcW w:w="284" w:type="pct"/>
                  <w:vAlign w:val="center"/>
                </w:tcPr>
                <w:p>
                  <w:pPr>
                    <w:pStyle w:val="98"/>
                    <w:spacing w:line="240" w:lineRule="exact"/>
                    <w:ind w:firstLine="0" w:firstLineChars="0"/>
                    <w:jc w:val="center"/>
                    <w:rPr>
                      <w:rFonts w:ascii="宋体" w:hAnsi="宋体" w:cs="宋体"/>
                      <w:b/>
                      <w:color w:val="FF0000"/>
                      <w:sz w:val="18"/>
                      <w:szCs w:val="18"/>
                    </w:rPr>
                  </w:pPr>
                  <w:r>
                    <w:rPr>
                      <w:rFonts w:hint="eastAsia" w:ascii="宋体" w:hAnsi="宋体" w:cs="宋体"/>
                      <w:b/>
                      <w:bCs/>
                      <w:color w:val="FF0000"/>
                      <w:sz w:val="18"/>
                      <w:szCs w:val="18"/>
                    </w:rPr>
                    <w:t>维度</w:t>
                  </w:r>
                </w:p>
              </w:tc>
              <w:tc>
                <w:tcPr>
                  <w:tcW w:w="1236" w:type="pct"/>
                  <w:vAlign w:val="center"/>
                </w:tcPr>
                <w:p>
                  <w:pPr>
                    <w:pStyle w:val="98"/>
                    <w:spacing w:line="240" w:lineRule="exact"/>
                    <w:ind w:firstLine="0" w:firstLineChars="0"/>
                    <w:jc w:val="center"/>
                    <w:rPr>
                      <w:b/>
                      <w:color w:val="FF0000"/>
                      <w:sz w:val="18"/>
                      <w:szCs w:val="18"/>
                    </w:rPr>
                  </w:pPr>
                  <w:r>
                    <w:rPr>
                      <w:b/>
                      <w:bCs/>
                      <w:color w:val="FF0000"/>
                      <w:sz w:val="18"/>
                      <w:szCs w:val="18"/>
                    </w:rPr>
                    <w:t>管控</w:t>
                  </w:r>
                  <w:r>
                    <w:rPr>
                      <w:rFonts w:hint="eastAsia"/>
                      <w:b/>
                      <w:bCs/>
                      <w:color w:val="FF0000"/>
                      <w:sz w:val="18"/>
                      <w:szCs w:val="18"/>
                    </w:rPr>
                    <w:t>措施要求要点</w:t>
                  </w:r>
                </w:p>
              </w:tc>
              <w:tc>
                <w:tcPr>
                  <w:tcW w:w="1236" w:type="pct"/>
                  <w:vAlign w:val="center"/>
                </w:tcPr>
                <w:p>
                  <w:pPr>
                    <w:pStyle w:val="98"/>
                    <w:spacing w:line="240" w:lineRule="exact"/>
                    <w:ind w:firstLine="0" w:firstLineChars="0"/>
                    <w:jc w:val="center"/>
                    <w:rPr>
                      <w:b/>
                      <w:color w:val="FF0000"/>
                      <w:sz w:val="18"/>
                      <w:szCs w:val="18"/>
                    </w:rPr>
                  </w:pPr>
                  <w:r>
                    <w:rPr>
                      <w:rFonts w:hint="eastAsia"/>
                      <w:b/>
                      <w:color w:val="FF0000"/>
                      <w:sz w:val="18"/>
                      <w:szCs w:val="18"/>
                    </w:rPr>
                    <w:t>本项目情况</w:t>
                  </w:r>
                </w:p>
              </w:tc>
              <w:tc>
                <w:tcPr>
                  <w:tcW w:w="296" w:type="pct"/>
                  <w:vAlign w:val="center"/>
                </w:tcPr>
                <w:p>
                  <w:pPr>
                    <w:pStyle w:val="98"/>
                    <w:spacing w:line="240" w:lineRule="exact"/>
                    <w:ind w:firstLine="0" w:firstLineChars="0"/>
                    <w:jc w:val="center"/>
                    <w:rPr>
                      <w:b/>
                      <w:color w:val="FF0000"/>
                      <w:sz w:val="18"/>
                      <w:szCs w:val="18"/>
                    </w:rPr>
                  </w:pPr>
                  <w:r>
                    <w:rPr>
                      <w:b/>
                      <w:color w:val="FF0000"/>
                      <w:sz w:val="18"/>
                      <w:szCs w:val="18"/>
                    </w:rPr>
                    <w:t>符合</w:t>
                  </w:r>
                  <w:r>
                    <w:rPr>
                      <w:rFonts w:hint="eastAsia"/>
                      <w:b/>
                      <w:color w:val="FF0000"/>
                      <w:sz w:val="18"/>
                      <w:szCs w:val="18"/>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98"/>
                    <w:spacing w:line="240" w:lineRule="exact"/>
                    <w:ind w:firstLine="0" w:firstLineChars="0"/>
                    <w:jc w:val="center"/>
                    <w:rPr>
                      <w:rFonts w:ascii="宋体" w:hAnsi="宋体" w:cs="宋体"/>
                      <w:color w:val="FF0000"/>
                      <w:sz w:val="18"/>
                      <w:szCs w:val="18"/>
                    </w:rPr>
                  </w:pPr>
                  <w:r>
                    <w:rPr>
                      <w:rFonts w:ascii="宋体" w:hAnsi="宋体" w:cs="宋体"/>
                      <w:color w:val="FF0000"/>
                      <w:sz w:val="18"/>
                      <w:szCs w:val="18"/>
                    </w:rPr>
                    <w:t>ZH13 0434 1013 3</w:t>
                  </w:r>
                </w:p>
              </w:tc>
              <w:tc>
                <w:tcPr>
                  <w:tcW w:w="270" w:type="pct"/>
                  <w:vMerge w:val="restart"/>
                  <w:vAlign w:val="center"/>
                </w:tcPr>
                <w:p>
                  <w:pPr>
                    <w:pStyle w:val="98"/>
                    <w:spacing w:line="240" w:lineRule="exact"/>
                    <w:ind w:firstLine="0" w:firstLineChars="0"/>
                    <w:jc w:val="center"/>
                    <w:rPr>
                      <w:rFonts w:ascii="宋体" w:hAnsi="宋体" w:cs="宋体"/>
                      <w:color w:val="FF0000"/>
                      <w:sz w:val="18"/>
                      <w:szCs w:val="18"/>
                    </w:rPr>
                  </w:pPr>
                  <w:r>
                    <w:rPr>
                      <w:rFonts w:ascii="宋体" w:hAnsi="宋体" w:cs="宋体"/>
                      <w:bCs/>
                      <w:color w:val="FF0000"/>
                      <w:sz w:val="18"/>
                      <w:szCs w:val="18"/>
                    </w:rPr>
                    <w:t>魏县</w:t>
                  </w:r>
                </w:p>
              </w:tc>
              <w:tc>
                <w:tcPr>
                  <w:tcW w:w="390" w:type="pct"/>
                  <w:vMerge w:val="restart"/>
                  <w:vAlign w:val="center"/>
                </w:tcPr>
                <w:p>
                  <w:pPr>
                    <w:pStyle w:val="98"/>
                    <w:spacing w:line="240" w:lineRule="exact"/>
                    <w:ind w:firstLine="0" w:firstLineChars="0"/>
                    <w:jc w:val="center"/>
                    <w:rPr>
                      <w:rFonts w:ascii="宋体" w:hAnsi="宋体" w:cs="宋体"/>
                      <w:color w:val="FF0000"/>
                      <w:sz w:val="18"/>
                      <w:szCs w:val="18"/>
                    </w:rPr>
                  </w:pPr>
                  <w:r>
                    <w:rPr>
                      <w:rFonts w:ascii="宋体" w:hAnsi="宋体" w:cs="宋体"/>
                      <w:color w:val="FF0000"/>
                      <w:sz w:val="18"/>
                      <w:szCs w:val="18"/>
                    </w:rPr>
                    <w:t>魏城镇、 德政镇、 东代固 镇、沙口 集乡</w:t>
                  </w:r>
                </w:p>
              </w:tc>
              <w:tc>
                <w:tcPr>
                  <w:tcW w:w="339" w:type="pct"/>
                  <w:vMerge w:val="restart"/>
                  <w:vAlign w:val="center"/>
                </w:tcPr>
                <w:p>
                  <w:pPr>
                    <w:pStyle w:val="98"/>
                    <w:spacing w:line="240" w:lineRule="exact"/>
                    <w:ind w:firstLine="0" w:firstLineChars="0"/>
                    <w:jc w:val="center"/>
                    <w:rPr>
                      <w:rFonts w:ascii="宋体" w:hAnsi="宋体" w:cs="宋体"/>
                      <w:color w:val="FF0000"/>
                      <w:sz w:val="18"/>
                      <w:szCs w:val="18"/>
                    </w:rPr>
                  </w:pPr>
                  <w:r>
                    <w:rPr>
                      <w:rFonts w:ascii="宋体" w:hAnsi="宋体" w:cs="宋体"/>
                      <w:color w:val="FF0000"/>
                      <w:sz w:val="18"/>
                      <w:szCs w:val="18"/>
                    </w:rPr>
                    <w:t>重</w:t>
                  </w:r>
                  <w:r>
                    <w:rPr>
                      <w:rFonts w:hint="eastAsia" w:ascii="宋体" w:hAnsi="宋体" w:cs="宋体"/>
                      <w:color w:val="FF0000"/>
                      <w:sz w:val="18"/>
                      <w:szCs w:val="18"/>
                    </w:rPr>
                    <w:t>点</w:t>
                  </w:r>
                  <w:r>
                    <w:rPr>
                      <w:rFonts w:hint="eastAsia" w:ascii="宋体" w:hAnsi="宋体" w:cs="宋体"/>
                      <w:bCs/>
                      <w:color w:val="FF0000"/>
                      <w:sz w:val="18"/>
                      <w:szCs w:val="18"/>
                    </w:rPr>
                    <w:t>管控单元</w:t>
                  </w:r>
                </w:p>
              </w:tc>
              <w:tc>
                <w:tcPr>
                  <w:tcW w:w="558" w:type="pct"/>
                  <w:vMerge w:val="restart"/>
                  <w:vAlign w:val="center"/>
                </w:tcPr>
                <w:p>
                  <w:pPr>
                    <w:pStyle w:val="98"/>
                    <w:spacing w:line="240" w:lineRule="exact"/>
                    <w:ind w:firstLine="0" w:firstLineChars="0"/>
                    <w:jc w:val="center"/>
                    <w:rPr>
                      <w:rFonts w:ascii="宋体" w:hAnsi="宋体" w:cs="宋体"/>
                      <w:color w:val="FF0000"/>
                      <w:sz w:val="18"/>
                      <w:szCs w:val="18"/>
                    </w:rPr>
                  </w:pPr>
                  <w:r>
                    <w:rPr>
                      <w:rFonts w:ascii="宋体" w:hAnsi="宋体" w:cs="宋体"/>
                      <w:bCs/>
                      <w:color w:val="FF0000"/>
                      <w:sz w:val="18"/>
                      <w:szCs w:val="18"/>
                    </w:rPr>
                    <w:t>大气环 境高排 放重点 管控 区、水 环境工 业污染 重点管 控区、 魏县经 济开发 区、高 污染燃 料禁燃 区</w:t>
                  </w:r>
                </w:p>
              </w:tc>
              <w:tc>
                <w:tcPr>
                  <w:tcW w:w="284" w:type="pct"/>
                  <w:vAlign w:val="center"/>
                </w:tcPr>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空间</w:t>
                  </w:r>
                </w:p>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布局</w:t>
                  </w:r>
                </w:p>
              </w:tc>
              <w:tc>
                <w:tcPr>
                  <w:tcW w:w="1236" w:type="pct"/>
                  <w:vAlign w:val="center"/>
                </w:tcPr>
                <w:p>
                  <w:pPr>
                    <w:pStyle w:val="98"/>
                    <w:spacing w:line="240" w:lineRule="exact"/>
                    <w:ind w:firstLine="0" w:firstLineChars="0"/>
                    <w:jc w:val="center"/>
                    <w:rPr>
                      <w:color w:val="FF0000"/>
                      <w:sz w:val="18"/>
                      <w:szCs w:val="18"/>
                    </w:rPr>
                  </w:pPr>
                  <w:r>
                    <w:rPr>
                      <w:rFonts w:hint="eastAsia"/>
                      <w:bCs/>
                      <w:color w:val="FF0000"/>
                      <w:sz w:val="18"/>
                      <w:szCs w:val="18"/>
                    </w:rPr>
                    <w:t>（1）</w:t>
                  </w:r>
                  <w:r>
                    <w:rPr>
                      <w:color w:val="FF0000"/>
                      <w:sz w:val="18"/>
                      <w:szCs w:val="18"/>
                    </w:rPr>
                    <w:t>不符合经济开发区产业定位、 污染物排放较大的行业；高水耗、高物耗、高能耗的项目；废水含难降解的有机污染物、“三致”污染物</w:t>
                  </w:r>
                  <w:r>
                    <w:rPr>
                      <w:rFonts w:hint="eastAsia"/>
                      <w:color w:val="FF0000"/>
                      <w:sz w:val="18"/>
                      <w:szCs w:val="18"/>
                      <w:lang w:eastAsia="zh-CN"/>
                    </w:rPr>
                    <w:t>及</w:t>
                  </w:r>
                  <w:r>
                    <w:rPr>
                      <w:color w:val="FF0000"/>
                      <w:sz w:val="18"/>
                      <w:szCs w:val="18"/>
                    </w:rPr>
                    <w:t>盐份含量较高的项目；废水经预处理达不到污水处理厂接管标准的项目； 污染严重的项目；高耗水项目；工艺废气中含有难处理的、有毒有害物质的项目；采用落后的生产工艺或设备，不符合国家相关产业政策的项目禁止入区。</w:t>
                  </w:r>
                </w:p>
                <w:p>
                  <w:pPr>
                    <w:pStyle w:val="98"/>
                    <w:spacing w:line="240" w:lineRule="exact"/>
                    <w:ind w:firstLine="0" w:firstLineChars="0"/>
                    <w:jc w:val="center"/>
                    <w:rPr>
                      <w:bCs/>
                      <w:color w:val="FF0000"/>
                      <w:sz w:val="18"/>
                      <w:szCs w:val="18"/>
                    </w:rPr>
                  </w:pPr>
                  <w:r>
                    <w:rPr>
                      <w:rFonts w:hint="eastAsia"/>
                      <w:color w:val="FF0000"/>
                      <w:sz w:val="18"/>
                      <w:szCs w:val="18"/>
                    </w:rPr>
                    <w:t>（2）</w:t>
                  </w:r>
                  <w:r>
                    <w:rPr>
                      <w:color w:val="FF0000"/>
                      <w:sz w:val="18"/>
                      <w:szCs w:val="18"/>
                    </w:rPr>
                    <w:t>满足《河北省大运河文化保护传承利用实施规划-生态环境保护修复专项规划》《河北省大运河文化保护传承利用生态环境保护修复专项规划实施方案》中相应要求</w:t>
                  </w:r>
                  <w:r>
                    <w:rPr>
                      <w:rFonts w:hint="eastAsia"/>
                      <w:color w:val="FF0000"/>
                      <w:sz w:val="18"/>
                      <w:szCs w:val="18"/>
                    </w:rPr>
                    <w:t>。</w:t>
                  </w:r>
                </w:p>
              </w:tc>
              <w:tc>
                <w:tcPr>
                  <w:tcW w:w="1236" w:type="pct"/>
                  <w:vAlign w:val="center"/>
                </w:tcPr>
                <w:p>
                  <w:pPr>
                    <w:pStyle w:val="98"/>
                    <w:spacing w:line="240" w:lineRule="exact"/>
                    <w:ind w:firstLine="0" w:firstLineChars="0"/>
                    <w:jc w:val="center"/>
                    <w:rPr>
                      <w:color w:val="FF0000"/>
                      <w:sz w:val="18"/>
                      <w:szCs w:val="18"/>
                    </w:rPr>
                  </w:pPr>
                  <w:r>
                    <w:rPr>
                      <w:rFonts w:hint="eastAsia"/>
                      <w:color w:val="FF0000"/>
                      <w:sz w:val="18"/>
                      <w:szCs w:val="18"/>
                    </w:rPr>
                    <w:t>本项目</w:t>
                  </w:r>
                  <w:r>
                    <w:rPr>
                      <w:color w:val="FF0000"/>
                      <w:sz w:val="18"/>
                      <w:szCs w:val="18"/>
                    </w:rPr>
                    <w:t>符合经济开发区产业定位</w:t>
                  </w:r>
                  <w:r>
                    <w:rPr>
                      <w:rFonts w:hint="eastAsia"/>
                      <w:color w:val="FF0000"/>
                      <w:sz w:val="18"/>
                      <w:szCs w:val="18"/>
                    </w:rPr>
                    <w:t>；本项目不属于</w:t>
                  </w:r>
                  <w:r>
                    <w:rPr>
                      <w:color w:val="FF0000"/>
                      <w:sz w:val="18"/>
                      <w:szCs w:val="18"/>
                    </w:rPr>
                    <w:t>高水耗、高物耗、高能耗的项目；</w:t>
                  </w:r>
                  <w:r>
                    <w:rPr>
                      <w:rFonts w:hint="eastAsia"/>
                      <w:color w:val="FF0000"/>
                      <w:sz w:val="18"/>
                      <w:szCs w:val="18"/>
                    </w:rPr>
                    <w:t>不属于</w:t>
                  </w:r>
                  <w:r>
                    <w:rPr>
                      <w:color w:val="FF0000"/>
                      <w:sz w:val="18"/>
                      <w:szCs w:val="18"/>
                    </w:rPr>
                    <w:t>废水含难降解的有机污染物、“三致”污染物</w:t>
                  </w:r>
                  <w:r>
                    <w:rPr>
                      <w:rFonts w:hint="eastAsia"/>
                      <w:color w:val="FF0000"/>
                      <w:sz w:val="18"/>
                      <w:szCs w:val="18"/>
                      <w:lang w:eastAsia="zh-CN"/>
                    </w:rPr>
                    <w:t>及</w:t>
                  </w:r>
                  <w:r>
                    <w:rPr>
                      <w:color w:val="FF0000"/>
                      <w:sz w:val="18"/>
                      <w:szCs w:val="18"/>
                    </w:rPr>
                    <w:t>盐份含量较高的项目；</w:t>
                  </w:r>
                  <w:r>
                    <w:rPr>
                      <w:rFonts w:hint="eastAsia"/>
                      <w:color w:val="FF0000"/>
                      <w:sz w:val="18"/>
                      <w:szCs w:val="18"/>
                    </w:rPr>
                    <w:t>本项目</w:t>
                  </w:r>
                  <w:r>
                    <w:rPr>
                      <w:color w:val="FF0000"/>
                      <w:sz w:val="20"/>
                      <w:szCs w:val="20"/>
                    </w:rPr>
                    <w:t>生活污水经化粪池处理、食堂废水经隔油池处理后经管网</w:t>
                  </w:r>
                  <w:r>
                    <w:rPr>
                      <w:rFonts w:hint="eastAsia"/>
                      <w:color w:val="FF0000"/>
                      <w:sz w:val="20"/>
                      <w:szCs w:val="20"/>
                    </w:rPr>
                    <w:t>达标</w:t>
                  </w:r>
                  <w:r>
                    <w:rPr>
                      <w:color w:val="FF0000"/>
                      <w:sz w:val="20"/>
                      <w:szCs w:val="20"/>
                    </w:rPr>
                    <w:t>进入魏县开发区污水处理厂</w:t>
                  </w:r>
                  <w:r>
                    <w:rPr>
                      <w:rFonts w:hint="eastAsia"/>
                      <w:color w:val="FF0000"/>
                      <w:sz w:val="20"/>
                      <w:szCs w:val="20"/>
                    </w:rPr>
                    <w:t>处理；漆雾喷淋</w:t>
                  </w:r>
                  <w:r>
                    <w:rPr>
                      <w:color w:val="FF0000"/>
                      <w:sz w:val="20"/>
                      <w:szCs w:val="20"/>
                    </w:rPr>
                    <w:t>废水</w:t>
                  </w:r>
                  <w:r>
                    <w:rPr>
                      <w:rFonts w:hint="eastAsia"/>
                      <w:color w:val="FF0000"/>
                      <w:sz w:val="20"/>
                      <w:szCs w:val="20"/>
                    </w:rPr>
                    <w:t>经沉淀后循环使用，不外排</w:t>
                  </w:r>
                  <w:r>
                    <w:rPr>
                      <w:color w:val="FF0000"/>
                      <w:sz w:val="18"/>
                      <w:szCs w:val="18"/>
                    </w:rPr>
                    <w:t>；</w:t>
                  </w:r>
                  <w:r>
                    <w:rPr>
                      <w:rFonts w:hint="eastAsia"/>
                      <w:color w:val="FF0000"/>
                      <w:sz w:val="18"/>
                      <w:szCs w:val="18"/>
                    </w:rPr>
                    <w:t>本项目不属于</w:t>
                  </w:r>
                  <w:r>
                    <w:rPr>
                      <w:color w:val="FF0000"/>
                      <w:sz w:val="18"/>
                      <w:szCs w:val="18"/>
                    </w:rPr>
                    <w:t>污染严重的项目</w:t>
                  </w:r>
                  <w:r>
                    <w:rPr>
                      <w:rFonts w:hint="eastAsia"/>
                      <w:color w:val="FF0000"/>
                      <w:sz w:val="18"/>
                      <w:szCs w:val="18"/>
                    </w:rPr>
                    <w:t>和</w:t>
                  </w:r>
                  <w:r>
                    <w:rPr>
                      <w:color w:val="FF0000"/>
                      <w:sz w:val="18"/>
                      <w:szCs w:val="18"/>
                    </w:rPr>
                    <w:t>高耗水项目；</w:t>
                  </w:r>
                  <w:r>
                    <w:rPr>
                      <w:rFonts w:hint="eastAsia"/>
                      <w:color w:val="FF0000"/>
                      <w:sz w:val="18"/>
                      <w:szCs w:val="18"/>
                    </w:rPr>
                    <w:t>本项目</w:t>
                  </w:r>
                  <w:r>
                    <w:rPr>
                      <w:color w:val="FF0000"/>
                      <w:sz w:val="18"/>
                      <w:szCs w:val="18"/>
                    </w:rPr>
                    <w:t>工艺废气</w:t>
                  </w:r>
                  <w:r>
                    <w:rPr>
                      <w:rFonts w:hint="eastAsia"/>
                      <w:color w:val="FF0000"/>
                      <w:sz w:val="18"/>
                      <w:szCs w:val="18"/>
                    </w:rPr>
                    <w:t>污染物为颗粒物、非甲烷总烃，不</w:t>
                  </w:r>
                  <w:r>
                    <w:rPr>
                      <w:color w:val="FF0000"/>
                      <w:sz w:val="18"/>
                      <w:szCs w:val="18"/>
                    </w:rPr>
                    <w:t>含难处理的、有毒有害物质；</w:t>
                  </w:r>
                  <w:r>
                    <w:rPr>
                      <w:rFonts w:hint="eastAsia"/>
                      <w:color w:val="FF0000"/>
                      <w:sz w:val="18"/>
                      <w:szCs w:val="18"/>
                    </w:rPr>
                    <w:t>本</w:t>
                  </w:r>
                  <w:r>
                    <w:rPr>
                      <w:color w:val="FF0000"/>
                      <w:sz w:val="18"/>
                      <w:szCs w:val="18"/>
                    </w:rPr>
                    <w:t>项目</w:t>
                  </w:r>
                  <w:r>
                    <w:rPr>
                      <w:rFonts w:hint="eastAsia"/>
                      <w:bCs/>
                      <w:color w:val="FF0000"/>
                      <w:sz w:val="18"/>
                      <w:szCs w:val="18"/>
                    </w:rPr>
                    <w:t>不属于《产业结构调整指导目录(2019 年本)》中禁止类项目，且不使用禁止类设备和工艺</w:t>
                  </w:r>
                  <w:r>
                    <w:rPr>
                      <w:color w:val="FF0000"/>
                      <w:sz w:val="18"/>
                      <w:szCs w:val="18"/>
                    </w:rPr>
                    <w:t xml:space="preserve"> </w:t>
                  </w:r>
                </w:p>
              </w:tc>
              <w:tc>
                <w:tcPr>
                  <w:tcW w:w="296" w:type="pct"/>
                  <w:vAlign w:val="center"/>
                </w:tcPr>
                <w:p>
                  <w:pPr>
                    <w:pStyle w:val="98"/>
                    <w:spacing w:line="240" w:lineRule="exact"/>
                    <w:ind w:firstLine="0" w:firstLineChars="0"/>
                    <w:jc w:val="center"/>
                    <w:rPr>
                      <w:color w:val="FF0000"/>
                      <w:sz w:val="18"/>
                      <w:szCs w:val="18"/>
                    </w:rPr>
                  </w:pPr>
                  <w:r>
                    <w:rPr>
                      <w:color w:val="FF0000"/>
                      <w:sz w:val="18"/>
                      <w:szCs w:val="18"/>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270"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390"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339"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558"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284" w:type="pct"/>
                  <w:vAlign w:val="center"/>
                </w:tcPr>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污染</w:t>
                  </w:r>
                </w:p>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排放管控</w:t>
                  </w:r>
                </w:p>
              </w:tc>
              <w:tc>
                <w:tcPr>
                  <w:tcW w:w="1236" w:type="pct"/>
                  <w:vAlign w:val="center"/>
                </w:tcPr>
                <w:p>
                  <w:pPr>
                    <w:pStyle w:val="98"/>
                    <w:spacing w:line="240" w:lineRule="exact"/>
                    <w:ind w:firstLine="0" w:firstLineChars="0"/>
                    <w:jc w:val="center"/>
                    <w:rPr>
                      <w:color w:val="FF0000"/>
                      <w:sz w:val="18"/>
                      <w:szCs w:val="18"/>
                    </w:rPr>
                  </w:pPr>
                  <w:r>
                    <w:rPr>
                      <w:rFonts w:hint="eastAsia"/>
                      <w:bCs/>
                      <w:color w:val="FF0000"/>
                      <w:sz w:val="18"/>
                      <w:szCs w:val="18"/>
                    </w:rPr>
                    <w:t>（1）</w:t>
                  </w:r>
                  <w:r>
                    <w:rPr>
                      <w:color w:val="FF0000"/>
                      <w:sz w:val="18"/>
                      <w:szCs w:val="18"/>
                    </w:rPr>
                    <w:t>入园企业污染物排放满足各污染物排放标准特别排放限值要求。</w:t>
                  </w:r>
                </w:p>
                <w:p>
                  <w:pPr>
                    <w:pStyle w:val="98"/>
                    <w:spacing w:line="240" w:lineRule="exact"/>
                    <w:ind w:firstLine="0" w:firstLineChars="0"/>
                    <w:jc w:val="center"/>
                    <w:rPr>
                      <w:color w:val="FF0000"/>
                      <w:sz w:val="18"/>
                      <w:szCs w:val="18"/>
                    </w:rPr>
                  </w:pPr>
                  <w:r>
                    <w:rPr>
                      <w:rFonts w:hint="eastAsia"/>
                      <w:bCs/>
                      <w:color w:val="FF0000"/>
                      <w:sz w:val="18"/>
                      <w:szCs w:val="18"/>
                    </w:rPr>
                    <w:t>（2）</w:t>
                  </w:r>
                  <w:r>
                    <w:rPr>
                      <w:color w:val="FF0000"/>
                      <w:sz w:val="18"/>
                      <w:szCs w:val="18"/>
                    </w:rPr>
                    <w:t>开发区内锅炉污染物排放满足《锅炉大气污染物排放标准 》 （DB13/5161-2020）相应排放限值要求。</w:t>
                  </w:r>
                </w:p>
                <w:p>
                  <w:pPr>
                    <w:pStyle w:val="98"/>
                    <w:spacing w:line="240" w:lineRule="exact"/>
                    <w:ind w:firstLine="0" w:firstLineChars="0"/>
                    <w:jc w:val="center"/>
                    <w:rPr>
                      <w:color w:val="FF0000"/>
                      <w:sz w:val="18"/>
                      <w:szCs w:val="18"/>
                    </w:rPr>
                  </w:pPr>
                  <w:r>
                    <w:rPr>
                      <w:rFonts w:hint="eastAsia"/>
                      <w:bCs/>
                      <w:color w:val="FF0000"/>
                      <w:sz w:val="18"/>
                      <w:szCs w:val="18"/>
                    </w:rPr>
                    <w:t>（3）</w:t>
                  </w:r>
                  <w:r>
                    <w:rPr>
                      <w:color w:val="FF0000"/>
                      <w:sz w:val="18"/>
                      <w:szCs w:val="18"/>
                    </w:rPr>
                    <w:t>涉 VOCs 排放工业企业污染物排放满足《工业企业挥发性有机物排 放控制标准》（DB13/2322-2016）及 《挥发性有机物无组织排放控制标 准》（GB37822-2019）相应排放限值要求。</w:t>
                  </w:r>
                </w:p>
                <w:p>
                  <w:pPr>
                    <w:pStyle w:val="98"/>
                    <w:spacing w:line="240" w:lineRule="exact"/>
                    <w:ind w:firstLine="0" w:firstLineChars="0"/>
                    <w:jc w:val="center"/>
                    <w:rPr>
                      <w:color w:val="FF0000"/>
                      <w:sz w:val="18"/>
                      <w:szCs w:val="18"/>
                    </w:rPr>
                  </w:pPr>
                  <w:r>
                    <w:rPr>
                      <w:rFonts w:hint="eastAsia"/>
                      <w:bCs/>
                      <w:color w:val="FF0000"/>
                      <w:sz w:val="18"/>
                      <w:szCs w:val="18"/>
                    </w:rPr>
                    <w:t>（4）</w:t>
                  </w:r>
                  <w:r>
                    <w:rPr>
                      <w:color w:val="FF0000"/>
                      <w:sz w:val="18"/>
                      <w:szCs w:val="18"/>
                    </w:rPr>
                    <w:t>电镀废水经电镀小区污水处理站集中处理深度处理后，全部回</w:t>
                  </w:r>
                  <w:r>
                    <w:rPr>
                      <w:rFonts w:hint="eastAsia"/>
                      <w:color w:val="FF0000"/>
                      <w:sz w:val="18"/>
                      <w:szCs w:val="18"/>
                    </w:rPr>
                    <w:t>用。</w:t>
                  </w:r>
                </w:p>
              </w:tc>
              <w:tc>
                <w:tcPr>
                  <w:tcW w:w="1236" w:type="pct"/>
                  <w:vAlign w:val="center"/>
                </w:tcPr>
                <w:p>
                  <w:pPr>
                    <w:pStyle w:val="98"/>
                    <w:spacing w:line="240" w:lineRule="exact"/>
                    <w:ind w:firstLine="0" w:firstLineChars="0"/>
                    <w:jc w:val="center"/>
                    <w:rPr>
                      <w:color w:val="FF0000"/>
                      <w:sz w:val="18"/>
                      <w:szCs w:val="18"/>
                    </w:rPr>
                  </w:pPr>
                  <w:r>
                    <w:rPr>
                      <w:rFonts w:hint="eastAsia"/>
                      <w:color w:val="FF0000"/>
                      <w:sz w:val="18"/>
                      <w:szCs w:val="18"/>
                    </w:rPr>
                    <w:t>本项目</w:t>
                  </w:r>
                  <w:r>
                    <w:rPr>
                      <w:color w:val="FF0000"/>
                      <w:sz w:val="18"/>
                      <w:szCs w:val="18"/>
                    </w:rPr>
                    <w:t>污染物排放满足各污染物排放标准特别排放限值要求</w:t>
                  </w:r>
                  <w:r>
                    <w:rPr>
                      <w:rFonts w:hint="eastAsia"/>
                      <w:color w:val="FF0000"/>
                      <w:sz w:val="18"/>
                      <w:szCs w:val="18"/>
                    </w:rPr>
                    <w:t>；本项目不涉及锅炉；本项目非甲烷总烃</w:t>
                  </w:r>
                  <w:r>
                    <w:rPr>
                      <w:color w:val="FF0000"/>
                      <w:sz w:val="18"/>
                      <w:szCs w:val="18"/>
                    </w:rPr>
                    <w:t>排放满足《工业企业挥发性有机物排 放控制标准》（DB13/2322-2016）及 《挥发性有机物无组织排放控制标 准》（GB37822-2019）相应排放限值要求</w:t>
                  </w:r>
                  <w:r>
                    <w:rPr>
                      <w:rFonts w:hint="eastAsia"/>
                      <w:color w:val="FF0000"/>
                      <w:sz w:val="18"/>
                      <w:szCs w:val="18"/>
                    </w:rPr>
                    <w:t>；本项目不涉及</w:t>
                  </w:r>
                  <w:r>
                    <w:rPr>
                      <w:color w:val="FF0000"/>
                      <w:sz w:val="18"/>
                      <w:szCs w:val="18"/>
                    </w:rPr>
                    <w:t>电镀</w:t>
                  </w:r>
                </w:p>
              </w:tc>
              <w:tc>
                <w:tcPr>
                  <w:tcW w:w="296" w:type="pct"/>
                  <w:vAlign w:val="center"/>
                </w:tcPr>
                <w:p>
                  <w:pPr>
                    <w:pStyle w:val="98"/>
                    <w:spacing w:line="240" w:lineRule="exact"/>
                    <w:ind w:firstLine="0" w:firstLineChars="0"/>
                    <w:jc w:val="center"/>
                    <w:rPr>
                      <w:color w:val="FF0000"/>
                      <w:sz w:val="18"/>
                      <w:szCs w:val="18"/>
                    </w:rPr>
                  </w:pPr>
                  <w:r>
                    <w:rPr>
                      <w:color w:val="FF0000"/>
                      <w:sz w:val="18"/>
                      <w:szCs w:val="18"/>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0" w:type="pct"/>
                  <w:vMerge w:val="continue"/>
                  <w:vAlign w:val="center"/>
                </w:tcPr>
                <w:p>
                  <w:pPr>
                    <w:pStyle w:val="99"/>
                    <w:spacing w:line="240" w:lineRule="exact"/>
                    <w:jc w:val="center"/>
                    <w:rPr>
                      <w:rFonts w:ascii="宋体" w:hAnsi="宋体" w:eastAsia="宋体" w:cs="宋体"/>
                      <w:color w:val="FF0000"/>
                      <w:sz w:val="18"/>
                      <w:szCs w:val="18"/>
                    </w:rPr>
                  </w:pPr>
                </w:p>
              </w:tc>
              <w:tc>
                <w:tcPr>
                  <w:tcW w:w="270" w:type="pct"/>
                  <w:vMerge w:val="continue"/>
                  <w:vAlign w:val="center"/>
                </w:tcPr>
                <w:p>
                  <w:pPr>
                    <w:pStyle w:val="99"/>
                    <w:spacing w:line="240" w:lineRule="exact"/>
                    <w:jc w:val="center"/>
                    <w:rPr>
                      <w:rFonts w:ascii="宋体" w:hAnsi="宋体" w:eastAsia="宋体" w:cs="宋体"/>
                      <w:color w:val="FF0000"/>
                      <w:sz w:val="18"/>
                      <w:szCs w:val="18"/>
                    </w:rPr>
                  </w:pPr>
                </w:p>
              </w:tc>
              <w:tc>
                <w:tcPr>
                  <w:tcW w:w="390" w:type="pct"/>
                  <w:vMerge w:val="continue"/>
                  <w:vAlign w:val="center"/>
                </w:tcPr>
                <w:p>
                  <w:pPr>
                    <w:pStyle w:val="99"/>
                    <w:spacing w:line="240" w:lineRule="exact"/>
                    <w:jc w:val="center"/>
                    <w:rPr>
                      <w:rFonts w:ascii="宋体" w:hAnsi="宋体" w:eastAsia="宋体" w:cs="宋体"/>
                      <w:color w:val="FF0000"/>
                      <w:sz w:val="18"/>
                      <w:szCs w:val="18"/>
                    </w:rPr>
                  </w:pPr>
                </w:p>
              </w:tc>
              <w:tc>
                <w:tcPr>
                  <w:tcW w:w="339" w:type="pct"/>
                  <w:vMerge w:val="continue"/>
                  <w:vAlign w:val="center"/>
                </w:tcPr>
                <w:p>
                  <w:pPr>
                    <w:pStyle w:val="99"/>
                    <w:spacing w:line="240" w:lineRule="exact"/>
                    <w:jc w:val="center"/>
                    <w:rPr>
                      <w:rFonts w:ascii="宋体" w:hAnsi="宋体" w:eastAsia="宋体" w:cs="宋体"/>
                      <w:color w:val="FF0000"/>
                      <w:sz w:val="18"/>
                      <w:szCs w:val="18"/>
                    </w:rPr>
                  </w:pPr>
                </w:p>
              </w:tc>
              <w:tc>
                <w:tcPr>
                  <w:tcW w:w="558" w:type="pct"/>
                  <w:vMerge w:val="continue"/>
                  <w:vAlign w:val="center"/>
                </w:tcPr>
                <w:p>
                  <w:pPr>
                    <w:pStyle w:val="99"/>
                    <w:spacing w:line="240" w:lineRule="exact"/>
                    <w:jc w:val="center"/>
                    <w:rPr>
                      <w:rFonts w:ascii="宋体" w:hAnsi="宋体" w:eastAsia="宋体" w:cs="宋体"/>
                      <w:color w:val="FF0000"/>
                      <w:sz w:val="18"/>
                      <w:szCs w:val="18"/>
                    </w:rPr>
                  </w:pPr>
                </w:p>
              </w:tc>
              <w:tc>
                <w:tcPr>
                  <w:tcW w:w="284" w:type="pct"/>
                  <w:vAlign w:val="center"/>
                </w:tcPr>
                <w:p>
                  <w:pPr>
                    <w:pStyle w:val="99"/>
                    <w:spacing w:line="240" w:lineRule="exact"/>
                    <w:jc w:val="center"/>
                    <w:rPr>
                      <w:rFonts w:ascii="宋体" w:hAnsi="宋体" w:eastAsia="宋体" w:cs="宋体"/>
                      <w:color w:val="FF0000"/>
                      <w:sz w:val="18"/>
                      <w:szCs w:val="18"/>
                    </w:rPr>
                  </w:pPr>
                  <w:r>
                    <w:rPr>
                      <w:rFonts w:hint="eastAsia" w:ascii="宋体" w:hAnsi="宋体" w:eastAsia="宋体" w:cs="宋体"/>
                      <w:color w:val="FF0000"/>
                      <w:sz w:val="18"/>
                      <w:szCs w:val="18"/>
                    </w:rPr>
                    <w:t>环境</w:t>
                  </w:r>
                </w:p>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风险</w:t>
                  </w:r>
                </w:p>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防控</w:t>
                  </w:r>
                </w:p>
              </w:tc>
              <w:tc>
                <w:tcPr>
                  <w:tcW w:w="1236" w:type="pct"/>
                  <w:vAlign w:val="center"/>
                </w:tcPr>
                <w:p>
                  <w:pPr>
                    <w:pStyle w:val="98"/>
                    <w:spacing w:line="240" w:lineRule="exact"/>
                    <w:ind w:firstLine="0" w:firstLineChars="0"/>
                    <w:jc w:val="center"/>
                    <w:rPr>
                      <w:color w:val="FF0000"/>
                      <w:sz w:val="18"/>
                      <w:szCs w:val="18"/>
                    </w:rPr>
                  </w:pPr>
                  <w:r>
                    <w:rPr>
                      <w:color w:val="FF0000"/>
                      <w:sz w:val="18"/>
                      <w:szCs w:val="18"/>
                    </w:rPr>
                    <w:t>开发区应加强管理，严格落实规划环评及企业环评提出的风险防范措施，结合开发区突发环境事件应急预案，进一步指导开发区风险污染防控</w:t>
                  </w:r>
                  <w:r>
                    <w:rPr>
                      <w:rFonts w:hint="eastAsia"/>
                      <w:color w:val="FF0000"/>
                      <w:sz w:val="18"/>
                      <w:szCs w:val="18"/>
                    </w:rPr>
                    <w:t>。</w:t>
                  </w:r>
                </w:p>
              </w:tc>
              <w:tc>
                <w:tcPr>
                  <w:tcW w:w="1236" w:type="pct"/>
                  <w:vAlign w:val="center"/>
                </w:tcPr>
                <w:p>
                  <w:pPr>
                    <w:pStyle w:val="98"/>
                    <w:spacing w:line="240" w:lineRule="exact"/>
                    <w:ind w:firstLine="0" w:firstLineChars="0"/>
                    <w:jc w:val="center"/>
                    <w:rPr>
                      <w:color w:val="FF0000"/>
                      <w:sz w:val="18"/>
                      <w:szCs w:val="18"/>
                    </w:rPr>
                  </w:pPr>
                  <w:r>
                    <w:rPr>
                      <w:rFonts w:hint="eastAsia"/>
                      <w:color w:val="FF0000"/>
                      <w:sz w:val="18"/>
                      <w:szCs w:val="18"/>
                    </w:rPr>
                    <w:t>本项目</w:t>
                  </w:r>
                  <w:r>
                    <w:rPr>
                      <w:color w:val="FF0000"/>
                      <w:sz w:val="18"/>
                      <w:szCs w:val="18"/>
                    </w:rPr>
                    <w:t>严格落实规划环评及</w:t>
                  </w:r>
                  <w:r>
                    <w:rPr>
                      <w:rFonts w:hint="eastAsia"/>
                      <w:color w:val="FF0000"/>
                      <w:sz w:val="18"/>
                      <w:szCs w:val="18"/>
                    </w:rPr>
                    <w:t>本</w:t>
                  </w:r>
                  <w:r>
                    <w:rPr>
                      <w:color w:val="FF0000"/>
                      <w:sz w:val="18"/>
                      <w:szCs w:val="18"/>
                    </w:rPr>
                    <w:t>环评提出的风险防范措施</w:t>
                  </w:r>
                </w:p>
              </w:tc>
              <w:tc>
                <w:tcPr>
                  <w:tcW w:w="296" w:type="pct"/>
                  <w:vAlign w:val="center"/>
                </w:tcPr>
                <w:p>
                  <w:pPr>
                    <w:pStyle w:val="98"/>
                    <w:spacing w:line="240" w:lineRule="exact"/>
                    <w:ind w:firstLine="0" w:firstLineChars="0"/>
                    <w:jc w:val="center"/>
                    <w:rPr>
                      <w:color w:val="FF0000"/>
                      <w:sz w:val="18"/>
                      <w:szCs w:val="18"/>
                    </w:rPr>
                  </w:pPr>
                  <w:r>
                    <w:rPr>
                      <w:color w:val="FF0000"/>
                      <w:sz w:val="18"/>
                      <w:szCs w:val="18"/>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270"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390"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339"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558" w:type="pct"/>
                  <w:vMerge w:val="continue"/>
                  <w:vAlign w:val="center"/>
                </w:tcPr>
                <w:p>
                  <w:pPr>
                    <w:pStyle w:val="98"/>
                    <w:spacing w:line="240" w:lineRule="exact"/>
                    <w:ind w:firstLine="0" w:firstLineChars="0"/>
                    <w:jc w:val="center"/>
                    <w:rPr>
                      <w:rFonts w:ascii="宋体" w:hAnsi="宋体" w:cs="宋体"/>
                      <w:color w:val="FF0000"/>
                      <w:sz w:val="18"/>
                      <w:szCs w:val="18"/>
                    </w:rPr>
                  </w:pPr>
                </w:p>
              </w:tc>
              <w:tc>
                <w:tcPr>
                  <w:tcW w:w="284" w:type="pct"/>
                  <w:vAlign w:val="center"/>
                </w:tcPr>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资源</w:t>
                  </w:r>
                </w:p>
                <w:p>
                  <w:pPr>
                    <w:pStyle w:val="98"/>
                    <w:spacing w:line="240" w:lineRule="exact"/>
                    <w:ind w:firstLine="0" w:firstLineChars="0"/>
                    <w:jc w:val="center"/>
                    <w:rPr>
                      <w:rFonts w:ascii="宋体" w:hAnsi="宋体" w:cs="宋体"/>
                      <w:color w:val="FF0000"/>
                      <w:sz w:val="18"/>
                      <w:szCs w:val="18"/>
                    </w:rPr>
                  </w:pPr>
                  <w:r>
                    <w:rPr>
                      <w:rFonts w:hint="eastAsia" w:ascii="宋体" w:hAnsi="宋体" w:cs="宋体"/>
                      <w:color w:val="FF0000"/>
                      <w:sz w:val="18"/>
                      <w:szCs w:val="18"/>
                    </w:rPr>
                    <w:t>利用效率</w:t>
                  </w:r>
                </w:p>
              </w:tc>
              <w:tc>
                <w:tcPr>
                  <w:tcW w:w="1236" w:type="pct"/>
                  <w:vAlign w:val="center"/>
                </w:tcPr>
                <w:p>
                  <w:pPr>
                    <w:pStyle w:val="98"/>
                    <w:spacing w:line="240" w:lineRule="exact"/>
                    <w:ind w:firstLine="351"/>
                    <w:jc w:val="center"/>
                    <w:rPr>
                      <w:color w:val="FF0000"/>
                      <w:sz w:val="18"/>
                      <w:szCs w:val="18"/>
                    </w:rPr>
                  </w:pPr>
                  <w:r>
                    <w:rPr>
                      <w:color w:val="FF0000"/>
                      <w:sz w:val="18"/>
                      <w:szCs w:val="18"/>
                    </w:rPr>
                    <w:t>禁燃区内严格按照相应的高污染燃料禁燃区的通告要求执行</w:t>
                  </w:r>
                  <w:r>
                    <w:rPr>
                      <w:rFonts w:hint="eastAsia"/>
                      <w:bCs/>
                      <w:color w:val="FF0000"/>
                      <w:sz w:val="18"/>
                      <w:szCs w:val="18"/>
                    </w:rPr>
                    <w:t>。</w:t>
                  </w:r>
                </w:p>
              </w:tc>
              <w:tc>
                <w:tcPr>
                  <w:tcW w:w="1236" w:type="pct"/>
                  <w:vAlign w:val="center"/>
                </w:tcPr>
                <w:p>
                  <w:pPr>
                    <w:pStyle w:val="98"/>
                    <w:spacing w:line="240" w:lineRule="exact"/>
                    <w:ind w:firstLine="0" w:firstLineChars="0"/>
                    <w:jc w:val="center"/>
                    <w:rPr>
                      <w:color w:val="FF0000"/>
                      <w:sz w:val="18"/>
                      <w:szCs w:val="18"/>
                    </w:rPr>
                  </w:pPr>
                  <w:r>
                    <w:rPr>
                      <w:rFonts w:hint="eastAsia"/>
                      <w:color w:val="FF0000"/>
                      <w:sz w:val="18"/>
                      <w:szCs w:val="18"/>
                    </w:rPr>
                    <w:t>本项目不涉及</w:t>
                  </w:r>
                  <w:r>
                    <w:rPr>
                      <w:color w:val="FF0000"/>
                      <w:sz w:val="18"/>
                      <w:szCs w:val="18"/>
                    </w:rPr>
                    <w:t>高污染燃料</w:t>
                  </w:r>
                </w:p>
              </w:tc>
              <w:tc>
                <w:tcPr>
                  <w:tcW w:w="296" w:type="pct"/>
                  <w:vAlign w:val="center"/>
                </w:tcPr>
                <w:p>
                  <w:pPr>
                    <w:pStyle w:val="98"/>
                    <w:spacing w:line="240" w:lineRule="exact"/>
                    <w:ind w:firstLine="0" w:firstLineChars="0"/>
                    <w:jc w:val="center"/>
                    <w:rPr>
                      <w:color w:val="FF0000"/>
                      <w:sz w:val="18"/>
                      <w:szCs w:val="18"/>
                    </w:rPr>
                  </w:pPr>
                  <w:r>
                    <w:rPr>
                      <w:color w:val="FF0000"/>
                      <w:sz w:val="18"/>
                      <w:szCs w:val="18"/>
                    </w:rPr>
                    <w:t>符合</w:t>
                  </w:r>
                </w:p>
              </w:tc>
            </w:tr>
          </w:tbl>
          <w:p>
            <w:pPr>
              <w:adjustRightInd w:val="0"/>
              <w:snapToGrid w:val="0"/>
              <w:spacing w:line="360" w:lineRule="auto"/>
              <w:ind w:firstLine="472" w:firstLineChars="200"/>
              <w:rPr>
                <w:bCs/>
                <w:sz w:val="24"/>
                <w:szCs w:val="24"/>
              </w:rPr>
            </w:pPr>
            <w:r>
              <w:rPr>
                <w:bCs/>
                <w:sz w:val="24"/>
                <w:szCs w:val="24"/>
              </w:rPr>
              <w:t>综上所述，本项目符合</w:t>
            </w:r>
            <w:r>
              <w:rPr>
                <w:rFonts w:hint="eastAsia"/>
                <w:sz w:val="24"/>
                <w:szCs w:val="24"/>
              </w:rPr>
              <w:t>《邯郸市“三线一单”生态环境分区管控准入清单》的</w:t>
            </w:r>
            <w:r>
              <w:rPr>
                <w:bCs/>
                <w:sz w:val="24"/>
                <w:szCs w:val="24"/>
              </w:rPr>
              <w:t>环境管理要求。</w:t>
            </w:r>
          </w:p>
          <w:p>
            <w:pPr>
              <w:pStyle w:val="2"/>
              <w:spacing w:line="480" w:lineRule="exact"/>
              <w:ind w:firstLine="472" w:firstLineChars="200"/>
              <w:rPr>
                <w:bCs/>
                <w:color w:val="auto"/>
                <w:szCs w:val="24"/>
              </w:rPr>
            </w:pPr>
          </w:p>
          <w:p>
            <w:pPr>
              <w:spacing w:line="440" w:lineRule="exact"/>
              <w:rPr>
                <w:rFonts w:eastAsiaTheme="minorEastAsia"/>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bl>
    <w:p>
      <w:pPr>
        <w:ind w:firstLine="185" w:firstLineChars="67"/>
        <w:rPr>
          <w:rFonts w:eastAsia="黑体"/>
          <w:sz w:val="28"/>
        </w:rPr>
        <w:sectPr>
          <w:footerReference r:id="rId4" w:type="default"/>
          <w:pgSz w:w="11906" w:h="16838"/>
          <w:pgMar w:top="1304" w:right="1701" w:bottom="1418" w:left="1701" w:header="851" w:footer="851" w:gutter="0"/>
          <w:pgNumType w:start="1"/>
          <w:cols w:space="720" w:num="1"/>
          <w:docGrid w:type="linesAndChars" w:linePitch="380" w:charSpace="-948"/>
        </w:sectPr>
      </w:pPr>
    </w:p>
    <w:p>
      <w:pPr>
        <w:pStyle w:val="17"/>
        <w:jc w:val="center"/>
        <w:rPr>
          <w:rFonts w:eastAsia="黑体"/>
          <w:b/>
          <w:sz w:val="32"/>
          <w:szCs w:val="32"/>
        </w:rPr>
      </w:pPr>
      <w:r>
        <w:rPr>
          <w:rFonts w:hint="eastAsia" w:eastAsia="黑体"/>
          <w:b/>
          <w:sz w:val="32"/>
          <w:szCs w:val="32"/>
        </w:rPr>
        <w:t>二、</w:t>
      </w:r>
      <w:r>
        <w:rPr>
          <w:rFonts w:eastAsia="黑体"/>
          <w:b/>
          <w:sz w:val="32"/>
          <w:szCs w:val="32"/>
        </w:rPr>
        <w:t>建设项目</w:t>
      </w:r>
      <w:r>
        <w:rPr>
          <w:rFonts w:hint="eastAsia" w:eastAsia="黑体"/>
          <w:b/>
          <w:sz w:val="32"/>
          <w:szCs w:val="32"/>
        </w:rPr>
        <w:t>工程分析</w:t>
      </w:r>
    </w:p>
    <w:tbl>
      <w:tblPr>
        <w:tblStyle w:val="2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52" w:type="dxa"/>
            <w:vAlign w:val="center"/>
          </w:tcPr>
          <w:p>
            <w:pPr>
              <w:pStyle w:val="2"/>
              <w:jc w:val="center"/>
              <w:rPr>
                <w:color w:val="auto"/>
              </w:rPr>
            </w:pPr>
            <w:r>
              <w:rPr>
                <w:rFonts w:hint="eastAsia"/>
                <w:color w:val="auto"/>
              </w:rPr>
              <w:t>建设内容</w:t>
            </w:r>
          </w:p>
        </w:tc>
        <w:tc>
          <w:tcPr>
            <w:tcW w:w="8563" w:type="dxa"/>
            <w:vAlign w:val="center"/>
          </w:tcPr>
          <w:p>
            <w:pPr>
              <w:pStyle w:val="2"/>
              <w:spacing w:line="500" w:lineRule="exact"/>
              <w:ind w:left="517" w:right="116"/>
              <w:jc w:val="both"/>
              <w:rPr>
                <w:rFonts w:hAnsiTheme="minorEastAsia" w:eastAsiaTheme="minorEastAsia"/>
                <w:b/>
                <w:color w:val="FF0000"/>
              </w:rPr>
            </w:pPr>
            <w:r>
              <w:rPr>
                <w:rFonts w:hint="eastAsia" w:eastAsiaTheme="minorEastAsia"/>
                <w:b/>
                <w:color w:val="FF0000"/>
              </w:rPr>
              <w:t>一</w:t>
            </w:r>
            <w:r>
              <w:rPr>
                <w:rFonts w:hAnsiTheme="minorEastAsia" w:eastAsiaTheme="minorEastAsia"/>
                <w:b/>
                <w:color w:val="FF0000"/>
              </w:rPr>
              <w:t>、</w:t>
            </w:r>
            <w:r>
              <w:rPr>
                <w:rFonts w:hint="eastAsia" w:hAnsiTheme="minorEastAsia" w:eastAsiaTheme="minorEastAsia"/>
                <w:b/>
                <w:color w:val="FF0000"/>
              </w:rPr>
              <w:t>项目由来：</w:t>
            </w:r>
          </w:p>
          <w:p>
            <w:pPr>
              <w:spacing w:line="500" w:lineRule="exact"/>
              <w:ind w:firstLine="472" w:firstLineChars="200"/>
              <w:rPr>
                <w:color w:val="FF0000"/>
                <w:kern w:val="1"/>
                <w:sz w:val="24"/>
                <w:szCs w:val="24"/>
              </w:rPr>
            </w:pPr>
            <w:r>
              <w:rPr>
                <w:rFonts w:hint="eastAsia"/>
                <w:color w:val="FF0000"/>
                <w:kern w:val="1"/>
                <w:sz w:val="24"/>
                <w:szCs w:val="24"/>
              </w:rPr>
              <w:t>2020年12月18日魏县华远新型建材有限公司《高层住宅用钢结构装配式构件项目环境影响报告表》通过</w:t>
            </w:r>
            <w:r>
              <w:rPr>
                <w:bCs/>
                <w:color w:val="FF0000"/>
                <w:sz w:val="24"/>
              </w:rPr>
              <w:t>魏县行政审批局</w:t>
            </w:r>
            <w:r>
              <w:rPr>
                <w:rFonts w:hint="eastAsia"/>
                <w:color w:val="FF0000"/>
                <w:kern w:val="1"/>
                <w:sz w:val="24"/>
                <w:szCs w:val="24"/>
              </w:rPr>
              <w:t>批复（见附件8），上述环境影响报告表未开展建设项目竣工环境保护验收。随着市场需求，该公司生产工艺中拟增加喷漆工序，产能不变，根据《污染影响类建设项目重大变动清单（试行）》（环办环评函[2020]688号），项目生产工艺发生变化，新增排放非甲烷总烃污染物种类，导致原环评发生重大变化。因此，需要重新报批。</w:t>
            </w:r>
          </w:p>
          <w:p>
            <w:pPr>
              <w:spacing w:line="360" w:lineRule="auto"/>
              <w:ind w:firstLine="472" w:firstLineChars="200"/>
              <w:rPr>
                <w:rFonts w:hAnsiTheme="minorEastAsia" w:eastAsiaTheme="minorEastAsia"/>
                <w:b/>
                <w:sz w:val="24"/>
              </w:rPr>
            </w:pPr>
            <w:r>
              <w:rPr>
                <w:rFonts w:hint="eastAsia" w:hAnsiTheme="minorEastAsia" w:eastAsiaTheme="minorEastAsia"/>
                <w:b/>
                <w:sz w:val="24"/>
              </w:rPr>
              <w:t>二、项目</w:t>
            </w:r>
            <w:r>
              <w:rPr>
                <w:rFonts w:hAnsiTheme="minorEastAsia" w:eastAsiaTheme="minorEastAsia"/>
                <w:b/>
                <w:sz w:val="24"/>
              </w:rPr>
              <w:t>建设内容</w:t>
            </w:r>
          </w:p>
          <w:p>
            <w:pPr>
              <w:spacing w:line="360" w:lineRule="auto"/>
              <w:ind w:firstLine="472" w:firstLineChars="200"/>
              <w:rPr>
                <w:bCs/>
                <w:sz w:val="24"/>
              </w:rPr>
            </w:pPr>
            <w:r>
              <w:rPr>
                <w:rFonts w:hint="eastAsia" w:hAnsiTheme="minorEastAsia" w:eastAsiaTheme="minorEastAsia"/>
                <w:b/>
                <w:sz w:val="24"/>
              </w:rPr>
              <w:t>1、</w:t>
            </w:r>
            <w:r>
              <w:rPr>
                <w:rFonts w:hAnsiTheme="minorEastAsia" w:eastAsiaTheme="minorEastAsia"/>
                <w:b/>
                <w:sz w:val="24"/>
              </w:rPr>
              <w:t>主要建设内容及规模</w:t>
            </w:r>
            <w:r>
              <w:rPr>
                <w:rFonts w:hAnsiTheme="minorEastAsia" w:eastAsiaTheme="minorEastAsia"/>
                <w:bCs/>
                <w:sz w:val="24"/>
              </w:rPr>
              <w:t>：</w:t>
            </w:r>
            <w:r>
              <w:rPr>
                <w:bCs/>
                <w:sz w:val="24"/>
              </w:rPr>
              <w:t>本项目</w:t>
            </w:r>
          </w:p>
          <w:p>
            <w:pPr>
              <w:spacing w:line="360" w:lineRule="auto"/>
              <w:ind w:firstLine="472" w:firstLineChars="200"/>
              <w:rPr>
                <w:rFonts w:hAnsiTheme="minorEastAsia" w:eastAsiaTheme="minorEastAsia"/>
                <w:bCs/>
                <w:sz w:val="24"/>
                <w:szCs w:val="24"/>
              </w:rPr>
            </w:pPr>
            <w:r>
              <w:rPr>
                <w:rFonts w:hint="eastAsia"/>
                <w:bCs/>
                <w:sz w:val="24"/>
              </w:rPr>
              <w:t>租赁</w:t>
            </w:r>
            <w:r>
              <w:rPr>
                <w:spacing w:val="-2"/>
                <w:sz w:val="24"/>
              </w:rPr>
              <w:t>邯郸无声门业有限公司</w:t>
            </w:r>
            <w:r>
              <w:rPr>
                <w:rFonts w:hint="eastAsia"/>
                <w:spacing w:val="-2"/>
                <w:sz w:val="24"/>
              </w:rPr>
              <w:t>厂区</w:t>
            </w:r>
            <w:r>
              <w:rPr>
                <w:rFonts w:hint="eastAsia" w:hAnsiTheme="minorEastAsia" w:eastAsiaTheme="minorEastAsia"/>
                <w:bCs/>
                <w:sz w:val="24"/>
              </w:rPr>
              <w:t>用地面积</w:t>
            </w:r>
            <w:r>
              <w:rPr>
                <w:rFonts w:hint="eastAsia"/>
                <w:sz w:val="24"/>
                <w:szCs w:val="24"/>
              </w:rPr>
              <w:t>20000m</w:t>
            </w:r>
            <w:r>
              <w:rPr>
                <w:rFonts w:hint="eastAsia"/>
                <w:sz w:val="24"/>
                <w:szCs w:val="24"/>
                <w:vertAlign w:val="superscript"/>
              </w:rPr>
              <w:t>2</w:t>
            </w:r>
            <w:r>
              <w:rPr>
                <w:rFonts w:hint="eastAsia" w:hAnsiTheme="minorEastAsia" w:eastAsiaTheme="minorEastAsia"/>
                <w:bCs/>
                <w:sz w:val="24"/>
                <w:szCs w:val="24"/>
              </w:rPr>
              <w:t>，</w:t>
            </w:r>
            <w:r>
              <w:rPr>
                <w:sz w:val="24"/>
                <w:szCs w:val="24"/>
              </w:rPr>
              <w:t>总建筑面积25265</w:t>
            </w:r>
            <w:r>
              <w:rPr>
                <w:rFonts w:hint="eastAsia"/>
                <w:sz w:val="24"/>
                <w:szCs w:val="24"/>
              </w:rPr>
              <w:t>m</w:t>
            </w:r>
            <w:r>
              <w:rPr>
                <w:rFonts w:hint="eastAsia"/>
                <w:sz w:val="24"/>
                <w:szCs w:val="24"/>
                <w:vertAlign w:val="superscript"/>
              </w:rPr>
              <w:t>2</w:t>
            </w:r>
            <w:r>
              <w:rPr>
                <w:rFonts w:hint="eastAsia"/>
                <w:sz w:val="24"/>
                <w:szCs w:val="24"/>
              </w:rPr>
              <w:t>，</w:t>
            </w:r>
            <w:r>
              <w:rPr>
                <w:bCs/>
                <w:sz w:val="24"/>
                <w:szCs w:val="24"/>
              </w:rPr>
              <w:t>主要建设生产车间、办公综合楼、职工宿舍、门卫室、供配电室；购置切割机、电焊机、抛丸机等设备共18台(套)，年产高层住宅用钢结构装配式构件产品8万吨。</w:t>
            </w:r>
          </w:p>
          <w:p>
            <w:pPr>
              <w:spacing w:line="360" w:lineRule="auto"/>
              <w:ind w:firstLine="480"/>
              <w:rPr>
                <w:rFonts w:eastAsiaTheme="minorEastAsia"/>
                <w:bCs/>
                <w:sz w:val="24"/>
                <w:szCs w:val="24"/>
              </w:rPr>
            </w:pPr>
            <w:r>
              <w:rPr>
                <w:rFonts w:hint="eastAsia" w:hAnsiTheme="minorEastAsia" w:eastAsiaTheme="minorEastAsia"/>
                <w:bCs/>
                <w:color w:val="FF0000"/>
                <w:sz w:val="24"/>
                <w:szCs w:val="24"/>
              </w:rPr>
              <w:t>本</w:t>
            </w:r>
            <w:r>
              <w:rPr>
                <w:rFonts w:hAnsiTheme="minorEastAsia" w:eastAsiaTheme="minorEastAsia"/>
                <w:bCs/>
                <w:color w:val="FF0000"/>
                <w:sz w:val="24"/>
                <w:szCs w:val="24"/>
              </w:rPr>
              <w:t>项目</w:t>
            </w:r>
            <w:r>
              <w:rPr>
                <w:rFonts w:hint="eastAsia" w:hAnsiTheme="minorEastAsia" w:eastAsiaTheme="minorEastAsia"/>
                <w:bCs/>
                <w:color w:val="FF0000"/>
                <w:sz w:val="24"/>
                <w:szCs w:val="24"/>
              </w:rPr>
              <w:t>所</w:t>
            </w:r>
            <w:r>
              <w:rPr>
                <w:rFonts w:hint="eastAsia"/>
                <w:bCs/>
                <w:color w:val="FF0000"/>
                <w:sz w:val="24"/>
              </w:rPr>
              <w:t>租赁厂区现只有2座厂房，拟改造为1座车间，其他建设内容均为新建</w:t>
            </w:r>
            <w:r>
              <w:rPr>
                <w:rFonts w:hint="eastAsia"/>
                <w:bCs/>
                <w:sz w:val="24"/>
              </w:rPr>
              <w:t>。</w:t>
            </w:r>
            <w:r>
              <w:rPr>
                <w:rFonts w:hint="eastAsia" w:hAnsiTheme="minorEastAsia" w:eastAsiaTheme="minorEastAsia"/>
                <w:bCs/>
                <w:sz w:val="24"/>
                <w:szCs w:val="24"/>
              </w:rPr>
              <w:t>本</w:t>
            </w:r>
            <w:r>
              <w:rPr>
                <w:rFonts w:hAnsiTheme="minorEastAsia" w:eastAsiaTheme="minorEastAsia"/>
                <w:bCs/>
                <w:sz w:val="24"/>
                <w:szCs w:val="24"/>
              </w:rPr>
              <w:t>项目主要建设内容见表</w:t>
            </w:r>
            <w:r>
              <w:rPr>
                <w:rFonts w:hint="eastAsia" w:eastAsiaTheme="minorEastAsia"/>
                <w:bCs/>
                <w:sz w:val="24"/>
                <w:szCs w:val="24"/>
              </w:rPr>
              <w:t>2-1，</w:t>
            </w:r>
            <w:r>
              <w:rPr>
                <w:bCs/>
                <w:sz w:val="24"/>
                <w:szCs w:val="24"/>
              </w:rPr>
              <w:t>主要建筑物、构筑物见表</w:t>
            </w:r>
            <w:r>
              <w:rPr>
                <w:rFonts w:hint="eastAsia"/>
                <w:bCs/>
                <w:sz w:val="24"/>
                <w:szCs w:val="24"/>
              </w:rPr>
              <w:t>2-2</w:t>
            </w:r>
            <w:r>
              <w:rPr>
                <w:rFonts w:hint="eastAsia" w:eastAsiaTheme="minorEastAsia"/>
                <w:bCs/>
                <w:sz w:val="24"/>
                <w:szCs w:val="24"/>
              </w:rPr>
              <w:t>。</w:t>
            </w:r>
          </w:p>
          <w:p>
            <w:pPr>
              <w:spacing w:line="360" w:lineRule="auto"/>
              <w:ind w:firstLine="480"/>
              <w:jc w:val="center"/>
              <w:rPr>
                <w:rFonts w:eastAsiaTheme="minorEastAsia"/>
                <w:bCs/>
                <w:sz w:val="24"/>
              </w:rPr>
            </w:pPr>
            <w:r>
              <w:rPr>
                <w:rFonts w:hAnsiTheme="minorEastAsia" w:eastAsiaTheme="minorEastAsia"/>
                <w:b/>
                <w:sz w:val="24"/>
                <w:szCs w:val="24"/>
              </w:rPr>
              <w:t>表</w:t>
            </w:r>
            <w:r>
              <w:rPr>
                <w:rFonts w:hint="eastAsia" w:eastAsiaTheme="minorEastAsia"/>
                <w:b/>
                <w:sz w:val="24"/>
                <w:szCs w:val="24"/>
              </w:rPr>
              <w:t>2-1</w:t>
            </w:r>
            <w:r>
              <w:rPr>
                <w:rFonts w:eastAsiaTheme="minorEastAsia"/>
                <w:b/>
                <w:sz w:val="24"/>
                <w:szCs w:val="24"/>
              </w:rPr>
              <w:t xml:space="preserve">  </w:t>
            </w:r>
            <w:r>
              <w:rPr>
                <w:rFonts w:hAnsiTheme="minorEastAsia" w:eastAsiaTheme="minorEastAsia"/>
                <w:b/>
                <w:sz w:val="24"/>
                <w:szCs w:val="24"/>
              </w:rPr>
              <w:t>主要建设内</w:t>
            </w:r>
            <w:r>
              <w:rPr>
                <w:rFonts w:hAnsiTheme="minorEastAsia" w:eastAsiaTheme="minorEastAsia"/>
                <w:b/>
                <w:sz w:val="24"/>
              </w:rPr>
              <w:t>容一览表</w:t>
            </w:r>
          </w:p>
          <w:tbl>
            <w:tblPr>
              <w:tblStyle w:val="2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771"/>
              <w:gridCol w:w="59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82" w:type="pct"/>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b/>
                      <w:bCs/>
                      <w:szCs w:val="21"/>
                    </w:rPr>
                  </w:pPr>
                  <w:r>
                    <w:rPr>
                      <w:b/>
                      <w:bCs/>
                      <w:szCs w:val="21"/>
                    </w:rPr>
                    <w:t>项目</w:t>
                  </w: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b/>
                      <w:bCs/>
                      <w:szCs w:val="21"/>
                    </w:rPr>
                  </w:pPr>
                  <w:r>
                    <w:rPr>
                      <w:b/>
                      <w:bCs/>
                      <w:szCs w:val="21"/>
                    </w:rPr>
                    <w:t>建设内容</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b/>
                      <w:bCs/>
                      <w:szCs w:val="21"/>
                    </w:rPr>
                  </w:pPr>
                  <w:r>
                    <w:rPr>
                      <w:b/>
                      <w:bCs/>
                      <w:szCs w:val="21"/>
                    </w:rPr>
                    <w:t>项目组成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pct"/>
                  <w:vMerge w:val="restart"/>
                  <w:tcBorders>
                    <w:top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主体工程</w:t>
                  </w:r>
                </w:p>
              </w:tc>
              <w:tc>
                <w:tcPr>
                  <w:tcW w:w="970"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生产</w:t>
                  </w:r>
                  <w:r>
                    <w:rPr>
                      <w:rFonts w:hint="eastAsia"/>
                      <w:szCs w:val="21"/>
                    </w:rPr>
                    <w:t>车间</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1栋，1层，</w:t>
                  </w:r>
                  <w:r>
                    <w:rPr>
                      <w:rFonts w:hint="eastAsia"/>
                      <w:szCs w:val="21"/>
                    </w:rPr>
                    <w:t>高9米，</w:t>
                  </w:r>
                  <w:r>
                    <w:rPr>
                      <w:szCs w:val="21"/>
                    </w:rPr>
                    <w:t>建筑面积</w:t>
                  </w:r>
                  <w:r>
                    <w:rPr>
                      <w:rFonts w:hint="eastAsia"/>
                      <w:szCs w:val="21"/>
                    </w:rPr>
                    <w:t>100</w:t>
                  </w:r>
                  <w:r>
                    <w:rPr>
                      <w:szCs w:val="21"/>
                    </w:rPr>
                    <w:t>00m</w:t>
                  </w:r>
                  <w:r>
                    <w:rPr>
                      <w:szCs w:val="21"/>
                      <w:vertAlign w:val="superscript"/>
                    </w:rPr>
                    <w:t>2</w:t>
                  </w:r>
                  <w:r>
                    <w:rPr>
                      <w:szCs w:val="21"/>
                    </w:rPr>
                    <w:t>，钢结构</w:t>
                  </w:r>
                  <w:r>
                    <w:rPr>
                      <w:rFonts w:hint="eastAsia"/>
                      <w:szCs w:val="21"/>
                    </w:rPr>
                    <w:t>，租赁现有厂房加以改造，用于切割、焊接、拼装、抛丸、喷漆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82" w:type="pct"/>
                  <w:vMerge w:val="restart"/>
                  <w:tcBorders>
                    <w:top w:val="single" w:color="auto" w:sz="4" w:space="0"/>
                    <w:right w:val="single" w:color="auto" w:sz="4" w:space="0"/>
                  </w:tcBorders>
                  <w:tcMar>
                    <w:left w:w="57" w:type="dxa"/>
                    <w:right w:w="57" w:type="dxa"/>
                  </w:tcMar>
                  <w:vAlign w:val="center"/>
                </w:tcPr>
                <w:p>
                  <w:pPr>
                    <w:pStyle w:val="60"/>
                    <w:spacing w:line="240" w:lineRule="atLeast"/>
                    <w:rPr>
                      <w:bCs/>
                      <w:color w:val="auto"/>
                    </w:rPr>
                  </w:pPr>
                  <w:r>
                    <w:rPr>
                      <w:bCs/>
                      <w:color w:val="auto"/>
                    </w:rPr>
                    <w:t>辅助工程</w:t>
                  </w: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textAlignment w:val="center"/>
                    <w:rPr>
                      <w:szCs w:val="21"/>
                    </w:rPr>
                  </w:pPr>
                  <w:r>
                    <w:rPr>
                      <w:kern w:val="0"/>
                      <w:szCs w:val="21"/>
                    </w:rPr>
                    <w:t>办公楼</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1栋，5层，建筑面积6000m</w:t>
                  </w:r>
                  <w:r>
                    <w:rPr>
                      <w:szCs w:val="21"/>
                      <w:vertAlign w:val="superscript"/>
                    </w:rPr>
                    <w:t>2</w:t>
                  </w:r>
                  <w:r>
                    <w:rPr>
                      <w:szCs w:val="21"/>
                    </w:rPr>
                    <w:t>，</w:t>
                  </w:r>
                  <w:r>
                    <w:rPr>
                      <w:rFonts w:hint="eastAsia"/>
                      <w:szCs w:val="21"/>
                    </w:rPr>
                    <w:t>框架结构，</w:t>
                  </w:r>
                  <w:r>
                    <w:rPr>
                      <w:szCs w:val="21"/>
                    </w:rPr>
                    <w:t>用于办公</w:t>
                  </w:r>
                  <w:r>
                    <w:rPr>
                      <w:rFonts w:hint="eastAsia"/>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82" w:type="pct"/>
                  <w:vMerge w:val="continue"/>
                  <w:tcBorders>
                    <w:right w:val="single" w:color="auto" w:sz="4" w:space="0"/>
                  </w:tcBorders>
                  <w:tcMar>
                    <w:left w:w="57" w:type="dxa"/>
                    <w:right w:w="57" w:type="dxa"/>
                  </w:tcMar>
                  <w:vAlign w:val="center"/>
                </w:tcPr>
                <w:p>
                  <w:pPr>
                    <w:spacing w:line="300" w:lineRule="exact"/>
                    <w:jc w:val="center"/>
                    <w:rPr>
                      <w:bCs/>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textAlignment w:val="center"/>
                    <w:rPr>
                      <w:szCs w:val="21"/>
                    </w:rPr>
                  </w:pPr>
                  <w:r>
                    <w:rPr>
                      <w:kern w:val="0"/>
                      <w:szCs w:val="21"/>
                    </w:rPr>
                    <w:t>职工宿舍</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1栋，4层，</w:t>
                  </w:r>
                  <w:r>
                    <w:rPr>
                      <w:rFonts w:hint="eastAsia"/>
                      <w:szCs w:val="21"/>
                    </w:rPr>
                    <w:t>框架结构，</w:t>
                  </w:r>
                  <w:r>
                    <w:rPr>
                      <w:szCs w:val="21"/>
                    </w:rPr>
                    <w:t>建筑面积4800m</w:t>
                  </w:r>
                  <w:r>
                    <w:rPr>
                      <w:szCs w:val="21"/>
                      <w:vertAlign w:val="superscript"/>
                    </w:rPr>
                    <w:t>2</w:t>
                  </w:r>
                  <w:r>
                    <w:rPr>
                      <w:rFonts w:hint="eastAsia"/>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82" w:type="pct"/>
                  <w:vMerge w:val="continue"/>
                  <w:tcBorders>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textAlignment w:val="center"/>
                    <w:rPr>
                      <w:szCs w:val="21"/>
                    </w:rPr>
                  </w:pPr>
                  <w:r>
                    <w:rPr>
                      <w:kern w:val="0"/>
                      <w:szCs w:val="21"/>
                    </w:rPr>
                    <w:t>职工食堂</w:t>
                  </w:r>
                  <w:r>
                    <w:rPr>
                      <w:rFonts w:hint="eastAsia"/>
                      <w:kern w:val="0"/>
                      <w:szCs w:val="21"/>
                    </w:rPr>
                    <w:t>+</w:t>
                  </w:r>
                  <w:r>
                    <w:rPr>
                      <w:kern w:val="0"/>
                      <w:szCs w:val="21"/>
                    </w:rPr>
                    <w:t>活动室</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1栋，3层，</w:t>
                  </w:r>
                  <w:r>
                    <w:rPr>
                      <w:rFonts w:hint="eastAsia"/>
                      <w:szCs w:val="21"/>
                    </w:rPr>
                    <w:t>框架结构，</w:t>
                  </w:r>
                  <w:r>
                    <w:rPr>
                      <w:szCs w:val="21"/>
                    </w:rPr>
                    <w:t>建筑面积2400 m</w:t>
                  </w:r>
                  <w:r>
                    <w:rPr>
                      <w:szCs w:val="21"/>
                      <w:vertAlign w:val="superscript"/>
                    </w:rPr>
                    <w:t>2</w:t>
                  </w:r>
                  <w:r>
                    <w:rPr>
                      <w:rFonts w:hint="eastAsia"/>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82" w:type="pct"/>
                  <w:vMerge w:val="continue"/>
                  <w:tcBorders>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textAlignment w:val="center"/>
                    <w:rPr>
                      <w:szCs w:val="21"/>
                    </w:rPr>
                  </w:pPr>
                  <w:r>
                    <w:rPr>
                      <w:kern w:val="0"/>
                      <w:szCs w:val="21"/>
                    </w:rPr>
                    <w:t>门卫室</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1栋，1层，</w:t>
                  </w:r>
                  <w:r>
                    <w:rPr>
                      <w:rFonts w:hint="eastAsia"/>
                      <w:szCs w:val="21"/>
                    </w:rPr>
                    <w:t>砖混结构，</w:t>
                  </w:r>
                  <w:r>
                    <w:rPr>
                      <w:szCs w:val="21"/>
                    </w:rPr>
                    <w:t>建筑面积65 m</w:t>
                  </w:r>
                  <w:r>
                    <w:rPr>
                      <w:szCs w:val="21"/>
                      <w:vertAlign w:val="superscript"/>
                    </w:rPr>
                    <w:t>2</w:t>
                  </w:r>
                  <w:r>
                    <w:rPr>
                      <w:rFonts w:hint="eastAsia"/>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82" w:type="pct"/>
                  <w:vMerge w:val="restart"/>
                  <w:tcBorders>
                    <w:top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储运工程</w:t>
                  </w:r>
                </w:p>
              </w:tc>
              <w:tc>
                <w:tcPr>
                  <w:tcW w:w="970"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库房</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rFonts w:hint="eastAsia"/>
                      <w:szCs w:val="21"/>
                    </w:rPr>
                    <w:t>1</w:t>
                  </w:r>
                  <w:r>
                    <w:rPr>
                      <w:szCs w:val="21"/>
                    </w:rPr>
                    <w:t>栋，1层，钢结构</w:t>
                  </w:r>
                  <w:r>
                    <w:rPr>
                      <w:rFonts w:hint="eastAsia"/>
                      <w:szCs w:val="21"/>
                    </w:rPr>
                    <w:t>，</w:t>
                  </w:r>
                  <w:r>
                    <w:rPr>
                      <w:szCs w:val="21"/>
                    </w:rPr>
                    <w:t>建筑面积共2000 m</w:t>
                  </w:r>
                  <w:r>
                    <w:rPr>
                      <w:szCs w:val="21"/>
                      <w:vertAlign w:val="superscript"/>
                    </w:rPr>
                    <w:t>2</w:t>
                  </w:r>
                  <w:r>
                    <w:rPr>
                      <w:szCs w:val="21"/>
                    </w:rPr>
                    <w:t>。用于存放原料</w:t>
                  </w:r>
                  <w:r>
                    <w:rPr>
                      <w:rFonts w:hint="eastAsia"/>
                      <w:szCs w:val="21"/>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2" w:type="pct"/>
                  <w:vMerge w:val="continue"/>
                  <w:tcBorders>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成品堆放区</w:t>
                  </w:r>
                </w:p>
              </w:tc>
              <w:tc>
                <w:tcPr>
                  <w:tcW w:w="3248" w:type="pct"/>
                  <w:tcBorders>
                    <w:top w:val="single" w:color="auto" w:sz="4" w:space="0"/>
                    <w:left w:val="single" w:color="auto" w:sz="4" w:space="0"/>
                    <w:bottom w:val="single" w:color="auto" w:sz="4" w:space="0"/>
                  </w:tcBorders>
                  <w:tcMar>
                    <w:left w:w="57" w:type="dxa"/>
                    <w:right w:w="57" w:type="dxa"/>
                  </w:tcMar>
                  <w:vAlign w:val="center"/>
                </w:tcPr>
                <w:p>
                  <w:pPr>
                    <w:pStyle w:val="60"/>
                    <w:spacing w:line="240" w:lineRule="atLeast"/>
                    <w:jc w:val="both"/>
                    <w:rPr>
                      <w:rFonts w:eastAsia="宋体"/>
                      <w:color w:val="auto"/>
                    </w:rPr>
                  </w:pPr>
                  <w:r>
                    <w:rPr>
                      <w:rFonts w:eastAsia="宋体"/>
                      <w:color w:val="auto"/>
                    </w:rPr>
                    <w:t>成品储存区位于厂房北侧。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82" w:type="pct"/>
                  <w:vMerge w:val="restart"/>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公用工程</w:t>
                  </w: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0"/>
                    <w:spacing w:line="240" w:lineRule="atLeast"/>
                    <w:rPr>
                      <w:color w:val="auto"/>
                    </w:rPr>
                  </w:pPr>
                  <w:r>
                    <w:rPr>
                      <w:color w:val="auto"/>
                    </w:rPr>
                    <w:t>供热</w:t>
                  </w:r>
                </w:p>
              </w:tc>
              <w:tc>
                <w:tcPr>
                  <w:tcW w:w="3248" w:type="pct"/>
                  <w:tcBorders>
                    <w:top w:val="single" w:color="auto" w:sz="4" w:space="0"/>
                    <w:left w:val="single" w:color="auto" w:sz="4" w:space="0"/>
                    <w:bottom w:val="single" w:color="auto" w:sz="4" w:space="0"/>
                  </w:tcBorders>
                  <w:tcMar>
                    <w:left w:w="57" w:type="dxa"/>
                    <w:right w:w="57" w:type="dxa"/>
                  </w:tcMar>
                  <w:vAlign w:val="center"/>
                </w:tcPr>
                <w:p>
                  <w:pPr>
                    <w:pStyle w:val="60"/>
                    <w:spacing w:line="240" w:lineRule="atLeast"/>
                    <w:jc w:val="both"/>
                    <w:rPr>
                      <w:rFonts w:eastAsia="宋体"/>
                      <w:color w:val="auto"/>
                    </w:rPr>
                  </w:pPr>
                  <w:r>
                    <w:rPr>
                      <w:rFonts w:eastAsia="宋体"/>
                      <w:color w:val="auto"/>
                    </w:rPr>
                    <w:t>项目生产不用热，职工冬季采暖由空调提供。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2" w:type="pct"/>
                  <w:vMerge w:val="continue"/>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供电</w:t>
                  </w:r>
                </w:p>
              </w:tc>
              <w:tc>
                <w:tcPr>
                  <w:tcW w:w="3248" w:type="pct"/>
                  <w:tcBorders>
                    <w:top w:val="single" w:color="auto" w:sz="4" w:space="0"/>
                    <w:left w:val="single" w:color="auto" w:sz="4" w:space="0"/>
                    <w:bottom w:val="single" w:color="auto" w:sz="4" w:space="0"/>
                  </w:tcBorders>
                  <w:tcMar>
                    <w:left w:w="57" w:type="dxa"/>
                    <w:right w:w="57" w:type="dxa"/>
                  </w:tcMar>
                  <w:vAlign w:val="center"/>
                </w:tcPr>
                <w:p>
                  <w:pPr>
                    <w:pStyle w:val="60"/>
                    <w:spacing w:line="240" w:lineRule="atLeast"/>
                    <w:jc w:val="both"/>
                    <w:rPr>
                      <w:rFonts w:eastAsia="宋体"/>
                      <w:color w:val="auto"/>
                    </w:rPr>
                  </w:pPr>
                  <w:r>
                    <w:rPr>
                      <w:rFonts w:hint="eastAsia" w:eastAsia="宋体"/>
                      <w:color w:val="FF0000"/>
                    </w:rPr>
                    <w:t>依托现有</w:t>
                  </w:r>
                  <w:r>
                    <w:rPr>
                      <w:rFonts w:hint="eastAsia" w:eastAsia="宋体"/>
                      <w:color w:val="auto"/>
                    </w:rPr>
                    <w:t>，</w:t>
                  </w:r>
                  <w:r>
                    <w:rPr>
                      <w:rFonts w:eastAsia="宋体"/>
                      <w:color w:val="auto"/>
                    </w:rPr>
                    <w:t>由园区电网接入。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pct"/>
                  <w:vMerge w:val="continue"/>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供水</w:t>
                  </w:r>
                </w:p>
              </w:tc>
              <w:tc>
                <w:tcPr>
                  <w:tcW w:w="3248" w:type="pct"/>
                  <w:tcBorders>
                    <w:top w:val="single" w:color="auto" w:sz="4" w:space="0"/>
                    <w:left w:val="single" w:color="auto" w:sz="4" w:space="0"/>
                    <w:bottom w:val="single" w:color="auto" w:sz="4" w:space="0"/>
                  </w:tcBorders>
                  <w:tcMar>
                    <w:left w:w="57" w:type="dxa"/>
                    <w:right w:w="57" w:type="dxa"/>
                  </w:tcMar>
                  <w:vAlign w:val="center"/>
                </w:tcPr>
                <w:p>
                  <w:pPr>
                    <w:pStyle w:val="60"/>
                    <w:spacing w:line="240" w:lineRule="atLeast"/>
                    <w:jc w:val="both"/>
                    <w:rPr>
                      <w:rFonts w:eastAsia="宋体"/>
                      <w:color w:val="auto"/>
                    </w:rPr>
                  </w:pPr>
                  <w:r>
                    <w:rPr>
                      <w:rFonts w:hint="eastAsia" w:eastAsia="宋体"/>
                      <w:color w:val="FF0000"/>
                    </w:rPr>
                    <w:t>依托现有</w:t>
                  </w:r>
                  <w:r>
                    <w:rPr>
                      <w:rFonts w:hint="eastAsia" w:eastAsia="宋体"/>
                      <w:color w:val="auto"/>
                    </w:rPr>
                    <w:t>，</w:t>
                  </w:r>
                  <w:r>
                    <w:rPr>
                      <w:rFonts w:eastAsia="宋体"/>
                      <w:color w:val="auto"/>
                    </w:rPr>
                    <w:t>由园区供水管网提供。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pct"/>
                  <w:vMerge w:val="continue"/>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0"/>
                    <w:spacing w:line="240" w:lineRule="atLeast"/>
                    <w:rPr>
                      <w:color w:val="auto"/>
                    </w:rPr>
                  </w:pPr>
                  <w:r>
                    <w:rPr>
                      <w:color w:val="auto"/>
                    </w:rPr>
                    <w:t>排水</w:t>
                  </w:r>
                </w:p>
              </w:tc>
              <w:tc>
                <w:tcPr>
                  <w:tcW w:w="3248" w:type="pct"/>
                  <w:tcBorders>
                    <w:top w:val="single" w:color="auto" w:sz="4" w:space="0"/>
                    <w:left w:val="single" w:color="auto" w:sz="4" w:space="0"/>
                    <w:bottom w:val="single" w:color="auto" w:sz="4" w:space="0"/>
                  </w:tcBorders>
                  <w:tcMar>
                    <w:left w:w="57" w:type="dxa"/>
                    <w:right w:w="57" w:type="dxa"/>
                  </w:tcMar>
                  <w:vAlign w:val="center"/>
                </w:tcPr>
                <w:p>
                  <w:pPr>
                    <w:pStyle w:val="60"/>
                    <w:spacing w:line="240" w:lineRule="atLeast"/>
                    <w:jc w:val="both"/>
                    <w:rPr>
                      <w:rFonts w:eastAsia="宋体"/>
                      <w:color w:val="auto"/>
                    </w:rPr>
                  </w:pPr>
                  <w:r>
                    <w:rPr>
                      <w:rFonts w:eastAsia="宋体"/>
                      <w:color w:val="auto"/>
                    </w:rPr>
                    <w:t>采用雨、污分流，雨水进入雨水管网，</w:t>
                  </w:r>
                  <w:r>
                    <w:rPr>
                      <w:rFonts w:hint="eastAsia" w:eastAsia="宋体"/>
                      <w:color w:val="auto"/>
                    </w:rPr>
                    <w:t>食堂废水经</w:t>
                  </w:r>
                  <w:r>
                    <w:rPr>
                      <w:rFonts w:eastAsia="宋体"/>
                      <w:color w:val="auto"/>
                    </w:rPr>
                    <w:t>隔油池</w:t>
                  </w:r>
                  <w:r>
                    <w:rPr>
                      <w:rFonts w:hint="eastAsia" w:eastAsia="宋体"/>
                      <w:color w:val="auto"/>
                    </w:rPr>
                    <w:t>处理、其他</w:t>
                  </w:r>
                  <w:r>
                    <w:rPr>
                      <w:rFonts w:eastAsia="宋体"/>
                      <w:color w:val="auto"/>
                    </w:rPr>
                    <w:t>生活废水经化粪池处理后，经污水管网进入魏县开发区污水处理厂处理</w:t>
                  </w:r>
                  <w:r>
                    <w:rPr>
                      <w:rFonts w:hint="eastAsia" w:eastAsia="宋体"/>
                      <w:color w:val="auto"/>
                    </w:rPr>
                    <w:t>；漆雾喷淋</w:t>
                  </w:r>
                  <w:r>
                    <w:rPr>
                      <w:rFonts w:eastAsia="宋体"/>
                      <w:color w:val="auto"/>
                    </w:rPr>
                    <w:t>废水</w:t>
                  </w:r>
                  <w:r>
                    <w:rPr>
                      <w:rFonts w:hint="eastAsia" w:eastAsia="宋体"/>
                      <w:color w:val="auto"/>
                    </w:rPr>
                    <w:t>经沉淀后循环使用，不外排。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782" w:type="pct"/>
                  <w:vMerge w:val="restart"/>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环保工程</w:t>
                  </w:r>
                </w:p>
              </w:tc>
              <w:tc>
                <w:tcPr>
                  <w:tcW w:w="970"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废气</w:t>
                  </w:r>
                </w:p>
              </w:tc>
              <w:tc>
                <w:tcPr>
                  <w:tcW w:w="3248" w:type="pct"/>
                  <w:tcBorders>
                    <w:top w:val="single" w:color="auto" w:sz="4" w:space="0"/>
                    <w:left w:val="single" w:color="auto" w:sz="4" w:space="0"/>
                  </w:tcBorders>
                  <w:tcMar>
                    <w:left w:w="57" w:type="dxa"/>
                    <w:right w:w="57" w:type="dxa"/>
                  </w:tcMar>
                  <w:vAlign w:val="center"/>
                </w:tcPr>
                <w:p>
                  <w:pPr>
                    <w:spacing w:line="300" w:lineRule="exact"/>
                    <w:rPr>
                      <w:szCs w:val="21"/>
                    </w:rPr>
                  </w:pPr>
                  <w:r>
                    <w:rPr>
                      <w:szCs w:val="21"/>
                    </w:rPr>
                    <w:t>食堂油烟：高效油烟器净化器处理</w:t>
                  </w:r>
                  <w:r>
                    <w:rPr>
                      <w:rFonts w:hint="eastAsia"/>
                      <w:szCs w:val="21"/>
                    </w:rPr>
                    <w:t>；</w:t>
                  </w:r>
                </w:p>
                <w:p>
                  <w:pPr>
                    <w:pStyle w:val="60"/>
                    <w:spacing w:line="240" w:lineRule="atLeast"/>
                    <w:jc w:val="both"/>
                    <w:rPr>
                      <w:color w:val="auto"/>
                    </w:rPr>
                  </w:pPr>
                  <w:r>
                    <w:rPr>
                      <w:rFonts w:eastAsia="宋体"/>
                      <w:color w:val="auto"/>
                    </w:rPr>
                    <w:t>抛丸废气：布袋除尘器</w:t>
                  </w:r>
                  <w:r>
                    <w:rPr>
                      <w:rFonts w:hint="eastAsia" w:eastAsia="宋体"/>
                      <w:color w:val="auto"/>
                    </w:rPr>
                    <w:t>处理</w:t>
                  </w:r>
                  <w:r>
                    <w:rPr>
                      <w:rFonts w:eastAsia="宋体"/>
                      <w:color w:val="auto"/>
                    </w:rPr>
                    <w:t>＋15m排气筒</w:t>
                  </w:r>
                  <w:r>
                    <w:rPr>
                      <w:rFonts w:hint="eastAsia" w:eastAsia="宋体"/>
                      <w:color w:val="auto"/>
                    </w:rPr>
                    <w:t>；</w:t>
                  </w:r>
                </w:p>
                <w:p>
                  <w:pPr>
                    <w:spacing w:line="300" w:lineRule="exact"/>
                  </w:pPr>
                  <w:r>
                    <w:rPr>
                      <w:szCs w:val="21"/>
                    </w:rPr>
                    <w:t>焊接废气：</w:t>
                  </w:r>
                  <w:r>
                    <w:rPr>
                      <w:rFonts w:hint="eastAsia"/>
                      <w:szCs w:val="21"/>
                    </w:rPr>
                    <w:t>集气罩+</w:t>
                  </w:r>
                  <w:r>
                    <w:t>布袋除尘器</w:t>
                  </w:r>
                  <w:r>
                    <w:rPr>
                      <w:rFonts w:hint="eastAsia"/>
                    </w:rPr>
                    <w:t>处理</w:t>
                  </w:r>
                  <w:r>
                    <w:t>＋15m排气筒</w:t>
                  </w:r>
                  <w:r>
                    <w:rPr>
                      <w:rFonts w:hint="eastAsia"/>
                    </w:rPr>
                    <w:t>；</w:t>
                  </w:r>
                </w:p>
                <w:p>
                  <w:pPr>
                    <w:spacing w:line="300" w:lineRule="exact"/>
                    <w:rPr>
                      <w:szCs w:val="21"/>
                    </w:rPr>
                  </w:pPr>
                  <w:r>
                    <w:rPr>
                      <w:rFonts w:hint="eastAsia"/>
                      <w:szCs w:val="21"/>
                    </w:rPr>
                    <w:t>打磨</w:t>
                  </w:r>
                  <w:r>
                    <w:rPr>
                      <w:szCs w:val="21"/>
                    </w:rPr>
                    <w:t>废气：</w:t>
                  </w:r>
                  <w:r>
                    <w:rPr>
                      <w:rFonts w:hint="eastAsia"/>
                      <w:szCs w:val="21"/>
                    </w:rPr>
                    <w:t>移动式除尘器处理后无组织排放</w:t>
                  </w:r>
                  <w:r>
                    <w:rPr>
                      <w:rFonts w:hint="eastAsia"/>
                    </w:rPr>
                    <w:t>；</w:t>
                  </w:r>
                </w:p>
                <w:p>
                  <w:pPr>
                    <w:spacing w:line="300" w:lineRule="exact"/>
                    <w:rPr>
                      <w:szCs w:val="21"/>
                    </w:rPr>
                  </w:pPr>
                  <w:r>
                    <w:rPr>
                      <w:rFonts w:hint="eastAsia"/>
                    </w:rPr>
                    <w:t>喷漆、</w:t>
                  </w:r>
                  <w:r>
                    <w:rPr>
                      <w:rFonts w:hint="eastAsia"/>
                      <w:szCs w:val="21"/>
                    </w:rPr>
                    <w:t>烘干</w:t>
                  </w:r>
                  <w:r>
                    <w:rPr>
                      <w:rFonts w:hint="eastAsia"/>
                    </w:rPr>
                    <w:t>废气：经“</w:t>
                  </w:r>
                  <w:r>
                    <w:rPr>
                      <w:rFonts w:hint="eastAsia"/>
                      <w:szCs w:val="21"/>
                    </w:rPr>
                    <w:t>水帘+催化燃烧”装置处理+15米高排气筒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2" w:type="pct"/>
                  <w:vMerge w:val="continue"/>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废水</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生活污水经化粪池处理、食堂废水经隔油池处理后经管网进入魏县开发区污水处理厂</w:t>
                  </w:r>
                  <w:r>
                    <w:rPr>
                      <w:rFonts w:hint="eastAsia"/>
                      <w:szCs w:val="21"/>
                    </w:rPr>
                    <w:t>处理；</w:t>
                  </w:r>
                  <w:r>
                    <w:rPr>
                      <w:rFonts w:hint="eastAsia"/>
                    </w:rPr>
                    <w:t>漆雾喷淋</w:t>
                  </w:r>
                  <w:r>
                    <w:t>废水</w:t>
                  </w:r>
                  <w:r>
                    <w:rPr>
                      <w:rFonts w:hint="eastAsia"/>
                    </w:rPr>
                    <w:t>经沉淀后循环使用，不外排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782" w:type="pct"/>
                  <w:vMerge w:val="continue"/>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噪声</w:t>
                  </w:r>
                </w:p>
              </w:tc>
              <w:tc>
                <w:tcPr>
                  <w:tcW w:w="3248"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szCs w:val="21"/>
                    </w:rPr>
                  </w:pPr>
                  <w:r>
                    <w:rPr>
                      <w:szCs w:val="21"/>
                    </w:rPr>
                    <w:t>选用低噪声设备、基础减振、厂房隔声等降噪措施。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782" w:type="pct"/>
                  <w:vMerge w:val="continue"/>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p>
              </w:tc>
              <w:tc>
                <w:tcPr>
                  <w:tcW w:w="97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szCs w:val="21"/>
                    </w:rPr>
                  </w:pPr>
                  <w:r>
                    <w:rPr>
                      <w:szCs w:val="21"/>
                    </w:rPr>
                    <w:t>固废</w:t>
                  </w:r>
                </w:p>
              </w:tc>
              <w:tc>
                <w:tcPr>
                  <w:tcW w:w="3248" w:type="pct"/>
                  <w:tcBorders>
                    <w:top w:val="single" w:color="auto" w:sz="4" w:space="0"/>
                    <w:left w:val="single" w:color="auto" w:sz="4" w:space="0"/>
                    <w:bottom w:val="single" w:color="auto" w:sz="4" w:space="0"/>
                  </w:tcBorders>
                  <w:tcMar>
                    <w:left w:w="57" w:type="dxa"/>
                    <w:right w:w="57" w:type="dxa"/>
                  </w:tcMar>
                  <w:vAlign w:val="center"/>
                </w:tcPr>
                <w:p>
                  <w:pPr>
                    <w:pStyle w:val="2"/>
                    <w:rPr>
                      <w:color w:val="auto"/>
                    </w:rPr>
                  </w:pPr>
                  <w:r>
                    <w:rPr>
                      <w:rFonts w:hint="eastAsia" w:ascii="宋体" w:hAnsi="宋体" w:cs="宋体"/>
                      <w:color w:val="auto"/>
                      <w:sz w:val="21"/>
                      <w:szCs w:val="21"/>
                    </w:rPr>
                    <w:t>切割、机加工过程产生的边角料和金属废料、除尘器收集的除尘灰收集后外售、</w:t>
                  </w:r>
                  <w:r>
                    <w:rPr>
                      <w:rFonts w:hint="eastAsia" w:ascii="宋体" w:hAnsi="宋体" w:cs="宋体"/>
                      <w:color w:val="0070C0"/>
                      <w:sz w:val="21"/>
                      <w:szCs w:val="21"/>
                    </w:rPr>
                    <w:t>废漆渣和废漆桶由厂家回收</w:t>
                  </w:r>
                  <w:r>
                    <w:rPr>
                      <w:rFonts w:hint="eastAsia" w:ascii="宋体" w:hAnsi="宋体" w:cs="宋体"/>
                      <w:color w:val="auto"/>
                      <w:sz w:val="21"/>
                      <w:szCs w:val="21"/>
                    </w:rPr>
                    <w:t>；生活垃圾、含油废抹布经收集后，交环卫部门统一处理；废切削液、废液压油委托资质单位处置。</w:t>
                  </w:r>
                </w:p>
              </w:tc>
            </w:tr>
          </w:tbl>
          <w:p>
            <w:pPr>
              <w:tabs>
                <w:tab w:val="right" w:pos="8312"/>
              </w:tabs>
              <w:spacing w:afterLines="50" w:line="440" w:lineRule="exact"/>
              <w:ind w:firstLine="512" w:firstLineChars="200"/>
              <w:rPr>
                <w:bCs/>
                <w:sz w:val="24"/>
              </w:rPr>
            </w:pPr>
            <w:r>
              <w:rPr>
                <w:bCs/>
                <w:sz w:val="26"/>
                <w:szCs w:val="26"/>
              </w:rPr>
              <w:t>本项目主要建筑物、构筑物见下表：</w:t>
            </w:r>
          </w:p>
          <w:p>
            <w:pPr>
              <w:tabs>
                <w:tab w:val="right" w:pos="8312"/>
              </w:tabs>
              <w:spacing w:afterLines="50" w:line="440" w:lineRule="exact"/>
              <w:ind w:firstLine="472" w:firstLineChars="200"/>
              <w:jc w:val="center"/>
              <w:rPr>
                <w:b/>
                <w:sz w:val="24"/>
              </w:rPr>
            </w:pPr>
            <w:r>
              <w:rPr>
                <w:b/>
                <w:bCs/>
                <w:sz w:val="24"/>
              </w:rPr>
              <w:t>表</w:t>
            </w:r>
            <w:r>
              <w:rPr>
                <w:rFonts w:hint="eastAsia"/>
                <w:b/>
                <w:bCs/>
                <w:sz w:val="24"/>
              </w:rPr>
              <w:t>2-2</w:t>
            </w:r>
            <w:r>
              <w:rPr>
                <w:b/>
                <w:sz w:val="26"/>
                <w:szCs w:val="26"/>
              </w:rPr>
              <w:t>主要建筑物、构筑物一览表</w:t>
            </w:r>
          </w:p>
          <w:tbl>
            <w:tblPr>
              <w:tblStyle w:val="28"/>
              <w:tblW w:w="9128" w:type="dxa"/>
              <w:tblInd w:w="1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autofit"/>
              <w:tblCellMar>
                <w:top w:w="0" w:type="dxa"/>
                <w:left w:w="0" w:type="dxa"/>
                <w:bottom w:w="0" w:type="dxa"/>
                <w:right w:w="0" w:type="dxa"/>
              </w:tblCellMar>
            </w:tblPr>
            <w:tblGrid>
              <w:gridCol w:w="699"/>
              <w:gridCol w:w="2341"/>
              <w:gridCol w:w="1125"/>
              <w:gridCol w:w="2430"/>
              <w:gridCol w:w="2533"/>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b/>
                      <w:bCs/>
                      <w:szCs w:val="21"/>
                    </w:rPr>
                  </w:pPr>
                  <w:r>
                    <w:rPr>
                      <w:b/>
                      <w:bCs/>
                      <w:szCs w:val="21"/>
                    </w:rPr>
                    <w:t>序号</w:t>
                  </w:r>
                </w:p>
              </w:tc>
              <w:tc>
                <w:tcPr>
                  <w:tcW w:w="128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b/>
                      <w:bCs/>
                      <w:szCs w:val="21"/>
                    </w:rPr>
                  </w:pPr>
                  <w:r>
                    <w:rPr>
                      <w:b/>
                      <w:bCs/>
                      <w:kern w:val="0"/>
                      <w:szCs w:val="21"/>
                    </w:rPr>
                    <w:t>名称</w:t>
                  </w:r>
                </w:p>
              </w:tc>
              <w:tc>
                <w:tcPr>
                  <w:tcW w:w="61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b/>
                      <w:bCs/>
                      <w:szCs w:val="21"/>
                    </w:rPr>
                  </w:pPr>
                  <w:r>
                    <w:rPr>
                      <w:b/>
                      <w:bCs/>
                      <w:kern w:val="0"/>
                      <w:szCs w:val="21"/>
                    </w:rPr>
                    <w:t>层数</w:t>
                  </w:r>
                </w:p>
              </w:tc>
              <w:tc>
                <w:tcPr>
                  <w:tcW w:w="133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b/>
                      <w:bCs/>
                      <w:szCs w:val="21"/>
                    </w:rPr>
                  </w:pPr>
                  <w:r>
                    <w:rPr>
                      <w:b/>
                      <w:bCs/>
                      <w:kern w:val="0"/>
                      <w:szCs w:val="21"/>
                    </w:rPr>
                    <w:t>占地面积（m</w:t>
                  </w:r>
                  <w:r>
                    <w:rPr>
                      <w:b/>
                      <w:bCs/>
                      <w:kern w:val="0"/>
                      <w:szCs w:val="21"/>
                      <w:vertAlign w:val="superscript"/>
                    </w:rPr>
                    <w:t>2</w:t>
                  </w:r>
                  <w:r>
                    <w:rPr>
                      <w:b/>
                      <w:bCs/>
                      <w:kern w:val="0"/>
                      <w:szCs w:val="21"/>
                    </w:rPr>
                    <w:t>）</w:t>
                  </w:r>
                </w:p>
              </w:tc>
              <w:tc>
                <w:tcPr>
                  <w:tcW w:w="1387" w:type="pct"/>
                  <w:tcBorders>
                    <w:top w:val="single" w:color="000000" w:sz="8" w:space="0"/>
                    <w:left w:val="nil"/>
                    <w:bottom w:val="single" w:color="000000" w:sz="8" w:space="0"/>
                  </w:tcBorders>
                  <w:tcMar>
                    <w:top w:w="15" w:type="dxa"/>
                    <w:left w:w="15" w:type="dxa"/>
                    <w:right w:w="15" w:type="dxa"/>
                  </w:tcMar>
                  <w:vAlign w:val="center"/>
                </w:tcPr>
                <w:p>
                  <w:pPr>
                    <w:widowControl/>
                    <w:jc w:val="center"/>
                    <w:textAlignment w:val="center"/>
                    <w:rPr>
                      <w:b/>
                      <w:bCs/>
                      <w:szCs w:val="21"/>
                    </w:rPr>
                  </w:pPr>
                  <w:r>
                    <w:rPr>
                      <w:b/>
                      <w:bCs/>
                      <w:kern w:val="0"/>
                      <w:szCs w:val="21"/>
                    </w:rPr>
                    <w:t>建筑面积（m</w:t>
                  </w:r>
                  <w:r>
                    <w:rPr>
                      <w:b/>
                      <w:bCs/>
                      <w:kern w:val="0"/>
                      <w:szCs w:val="21"/>
                      <w:vertAlign w:val="superscript"/>
                    </w:rPr>
                    <w:t>2</w:t>
                  </w:r>
                  <w:r>
                    <w:rPr>
                      <w:b/>
                      <w:bCs/>
                      <w:kern w:val="0"/>
                      <w:szCs w:val="21"/>
                    </w:rPr>
                    <w:t>）</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szCs w:val="21"/>
                    </w:rPr>
                    <w:t>1</w:t>
                  </w:r>
                </w:p>
              </w:tc>
              <w:tc>
                <w:tcPr>
                  <w:tcW w:w="128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rFonts w:hint="eastAsia"/>
                      <w:szCs w:val="21"/>
                    </w:rPr>
                    <w:t>生产车间</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1</w:t>
                  </w: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rFonts w:hint="eastAsia"/>
                      <w:kern w:val="0"/>
                      <w:szCs w:val="21"/>
                    </w:rPr>
                    <w:t>100</w:t>
                  </w:r>
                  <w:r>
                    <w:rPr>
                      <w:kern w:val="0"/>
                      <w:szCs w:val="21"/>
                    </w:rPr>
                    <w:t>00</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rFonts w:hint="eastAsia"/>
                      <w:kern w:val="0"/>
                      <w:szCs w:val="21"/>
                    </w:rPr>
                    <w:t>100</w:t>
                  </w:r>
                  <w:r>
                    <w:rPr>
                      <w:kern w:val="0"/>
                      <w:szCs w:val="21"/>
                    </w:rPr>
                    <w:t>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nil"/>
                    <w:bottom w:val="single" w:color="000000" w:sz="8" w:space="0"/>
                    <w:right w:val="single" w:color="000000" w:sz="8" w:space="0"/>
                  </w:tcBorders>
                  <w:tcMar>
                    <w:top w:w="15" w:type="dxa"/>
                    <w:left w:w="15" w:type="dxa"/>
                    <w:right w:w="15" w:type="dxa"/>
                  </w:tcMar>
                  <w:vAlign w:val="center"/>
                </w:tcPr>
                <w:p>
                  <w:pPr>
                    <w:jc w:val="center"/>
                    <w:rPr>
                      <w:szCs w:val="21"/>
                    </w:rPr>
                  </w:pPr>
                  <w:r>
                    <w:rPr>
                      <w:rFonts w:hint="eastAsia"/>
                      <w:szCs w:val="21"/>
                    </w:rPr>
                    <w:t>2</w:t>
                  </w:r>
                </w:p>
              </w:tc>
              <w:tc>
                <w:tcPr>
                  <w:tcW w:w="128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库房</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1</w:t>
                  </w: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2000</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kern w:val="0"/>
                      <w:szCs w:val="21"/>
                    </w:rPr>
                    <w:t>2000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nil"/>
                    <w:bottom w:val="single" w:color="000000" w:sz="8" w:space="0"/>
                    <w:right w:val="single" w:color="000000" w:sz="8" w:space="0"/>
                  </w:tcBorders>
                  <w:tcMar>
                    <w:top w:w="15" w:type="dxa"/>
                    <w:left w:w="15" w:type="dxa"/>
                    <w:right w:w="15" w:type="dxa"/>
                  </w:tcMar>
                  <w:vAlign w:val="center"/>
                </w:tcPr>
                <w:p>
                  <w:pPr>
                    <w:jc w:val="center"/>
                    <w:rPr>
                      <w:szCs w:val="21"/>
                    </w:rPr>
                  </w:pPr>
                  <w:r>
                    <w:rPr>
                      <w:szCs w:val="21"/>
                    </w:rPr>
                    <w:t>3</w:t>
                  </w:r>
                </w:p>
              </w:tc>
              <w:tc>
                <w:tcPr>
                  <w:tcW w:w="128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办公楼</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5</w:t>
                  </w: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1200</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kern w:val="0"/>
                      <w:szCs w:val="21"/>
                    </w:rPr>
                    <w:t>6000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nil"/>
                    <w:bottom w:val="single" w:color="000000" w:sz="8" w:space="0"/>
                    <w:right w:val="single" w:color="000000" w:sz="8" w:space="0"/>
                  </w:tcBorders>
                  <w:tcMar>
                    <w:top w:w="15" w:type="dxa"/>
                    <w:left w:w="15" w:type="dxa"/>
                    <w:right w:w="15" w:type="dxa"/>
                  </w:tcMar>
                  <w:vAlign w:val="center"/>
                </w:tcPr>
                <w:p>
                  <w:pPr>
                    <w:jc w:val="center"/>
                    <w:rPr>
                      <w:szCs w:val="21"/>
                    </w:rPr>
                  </w:pPr>
                  <w:r>
                    <w:rPr>
                      <w:szCs w:val="21"/>
                    </w:rPr>
                    <w:t>4</w:t>
                  </w:r>
                </w:p>
              </w:tc>
              <w:tc>
                <w:tcPr>
                  <w:tcW w:w="128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职工宿舍</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4</w:t>
                  </w: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1200</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kern w:val="0"/>
                      <w:szCs w:val="21"/>
                    </w:rPr>
                    <w:t>4800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nil"/>
                    <w:bottom w:val="single" w:color="000000" w:sz="8" w:space="0"/>
                    <w:right w:val="single" w:color="000000" w:sz="8" w:space="0"/>
                  </w:tcBorders>
                  <w:tcMar>
                    <w:top w:w="15" w:type="dxa"/>
                    <w:left w:w="15" w:type="dxa"/>
                    <w:right w:w="15" w:type="dxa"/>
                  </w:tcMar>
                  <w:vAlign w:val="center"/>
                </w:tcPr>
                <w:p>
                  <w:pPr>
                    <w:jc w:val="center"/>
                    <w:rPr>
                      <w:szCs w:val="21"/>
                    </w:rPr>
                  </w:pPr>
                  <w:r>
                    <w:rPr>
                      <w:szCs w:val="21"/>
                    </w:rPr>
                    <w:t>5</w:t>
                  </w:r>
                </w:p>
              </w:tc>
              <w:tc>
                <w:tcPr>
                  <w:tcW w:w="128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职工食堂、活动室</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3</w:t>
                  </w: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800</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kern w:val="0"/>
                      <w:szCs w:val="21"/>
                    </w:rPr>
                    <w:t>2400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383" w:type="pct"/>
                  <w:tcBorders>
                    <w:top w:val="nil"/>
                    <w:bottom w:val="single" w:color="000000" w:sz="8" w:space="0"/>
                    <w:right w:val="single" w:color="000000" w:sz="8" w:space="0"/>
                  </w:tcBorders>
                  <w:tcMar>
                    <w:top w:w="15" w:type="dxa"/>
                    <w:left w:w="15" w:type="dxa"/>
                    <w:right w:w="15" w:type="dxa"/>
                  </w:tcMar>
                  <w:vAlign w:val="center"/>
                </w:tcPr>
                <w:p>
                  <w:pPr>
                    <w:jc w:val="center"/>
                    <w:rPr>
                      <w:szCs w:val="21"/>
                    </w:rPr>
                  </w:pPr>
                  <w:r>
                    <w:rPr>
                      <w:szCs w:val="21"/>
                    </w:rPr>
                    <w:t>6</w:t>
                  </w:r>
                </w:p>
              </w:tc>
              <w:tc>
                <w:tcPr>
                  <w:tcW w:w="128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门卫室</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1</w:t>
                  </w: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65</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kern w:val="0"/>
                      <w:szCs w:val="21"/>
                    </w:rPr>
                    <w:t>65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1665" w:type="pct"/>
                  <w:gridSpan w:val="2"/>
                  <w:tcBorders>
                    <w:top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合计</w:t>
                  </w:r>
                </w:p>
              </w:tc>
              <w:tc>
                <w:tcPr>
                  <w:tcW w:w="616" w:type="pct"/>
                  <w:tcBorders>
                    <w:top w:val="nil"/>
                    <w:left w:val="nil"/>
                    <w:bottom w:val="single" w:color="000000" w:sz="8" w:space="0"/>
                    <w:right w:val="single" w:color="000000" w:sz="8" w:space="0"/>
                  </w:tcBorders>
                  <w:tcMar>
                    <w:top w:w="15" w:type="dxa"/>
                    <w:left w:w="15" w:type="dxa"/>
                    <w:right w:w="15" w:type="dxa"/>
                  </w:tcMar>
                  <w:vAlign w:val="center"/>
                </w:tcPr>
                <w:p>
                  <w:pPr>
                    <w:jc w:val="center"/>
                    <w:rPr>
                      <w:szCs w:val="21"/>
                    </w:rPr>
                  </w:pPr>
                </w:p>
              </w:tc>
              <w:tc>
                <w:tcPr>
                  <w:tcW w:w="1331" w:type="pc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szCs w:val="21"/>
                    </w:rPr>
                  </w:pPr>
                  <w:r>
                    <w:rPr>
                      <w:kern w:val="0"/>
                      <w:szCs w:val="21"/>
                    </w:rPr>
                    <w:t>15265</w:t>
                  </w:r>
                </w:p>
              </w:tc>
              <w:tc>
                <w:tcPr>
                  <w:tcW w:w="1387" w:type="pct"/>
                  <w:tcBorders>
                    <w:top w:val="nil"/>
                    <w:left w:val="nil"/>
                    <w:bottom w:val="single" w:color="000000" w:sz="8" w:space="0"/>
                  </w:tcBorders>
                  <w:tcMar>
                    <w:top w:w="15" w:type="dxa"/>
                    <w:left w:w="15" w:type="dxa"/>
                    <w:right w:w="15" w:type="dxa"/>
                  </w:tcMar>
                  <w:vAlign w:val="center"/>
                </w:tcPr>
                <w:p>
                  <w:pPr>
                    <w:widowControl/>
                    <w:jc w:val="center"/>
                    <w:textAlignment w:val="center"/>
                    <w:rPr>
                      <w:szCs w:val="21"/>
                    </w:rPr>
                  </w:pPr>
                  <w:r>
                    <w:rPr>
                      <w:kern w:val="0"/>
                      <w:szCs w:val="21"/>
                    </w:rPr>
                    <w:t>25265</w:t>
                  </w:r>
                </w:p>
              </w:tc>
            </w:tr>
          </w:tbl>
          <w:p>
            <w:pPr>
              <w:spacing w:line="460" w:lineRule="exact"/>
              <w:ind w:firstLine="472" w:firstLineChars="200"/>
              <w:rPr>
                <w:rFonts w:hAnsiTheme="minorEastAsia" w:eastAsiaTheme="minorEastAsia"/>
                <w:b/>
                <w:sz w:val="24"/>
              </w:rPr>
            </w:pPr>
            <w:r>
              <w:rPr>
                <w:rFonts w:hint="eastAsia" w:hAnsiTheme="minorEastAsia" w:eastAsiaTheme="minorEastAsia"/>
                <w:b/>
                <w:sz w:val="24"/>
              </w:rPr>
              <w:t>2、产品方案</w:t>
            </w:r>
          </w:p>
          <w:p>
            <w:pPr>
              <w:spacing w:line="480" w:lineRule="exact"/>
              <w:ind w:firstLine="464" w:firstLineChars="200"/>
              <w:rPr>
                <w:rFonts w:hAnsiTheme="minorEastAsia" w:eastAsiaTheme="minorEastAsia"/>
                <w:sz w:val="24"/>
              </w:rPr>
            </w:pPr>
            <w:r>
              <w:rPr>
                <w:rFonts w:hint="eastAsia" w:hAnsiTheme="minorEastAsia" w:eastAsiaTheme="minorEastAsia"/>
                <w:spacing w:val="-2"/>
                <w:sz w:val="24"/>
                <w:szCs w:val="24"/>
              </w:rPr>
              <w:t>本</w:t>
            </w:r>
            <w:r>
              <w:rPr>
                <w:rFonts w:hAnsiTheme="minorEastAsia" w:eastAsiaTheme="minorEastAsia"/>
                <w:spacing w:val="-2"/>
                <w:sz w:val="24"/>
                <w:szCs w:val="24"/>
              </w:rPr>
              <w:t>项目</w:t>
            </w:r>
            <w:r>
              <w:rPr>
                <w:rFonts w:hint="eastAsia" w:hAnsiTheme="minorEastAsia" w:eastAsiaTheme="minorEastAsia"/>
                <w:spacing w:val="-2"/>
                <w:sz w:val="24"/>
                <w:szCs w:val="24"/>
              </w:rPr>
              <w:t>产品方案</w:t>
            </w:r>
            <w:r>
              <w:rPr>
                <w:rFonts w:hAnsiTheme="minorEastAsia" w:eastAsiaTheme="minorEastAsia"/>
                <w:spacing w:val="-2"/>
                <w:sz w:val="24"/>
                <w:szCs w:val="24"/>
              </w:rPr>
              <w:t>见</w:t>
            </w:r>
            <w:r>
              <w:rPr>
                <w:rFonts w:hint="eastAsia" w:eastAsiaTheme="minorEastAsia"/>
                <w:spacing w:val="-2"/>
                <w:sz w:val="24"/>
                <w:szCs w:val="24"/>
              </w:rPr>
              <w:t>表2-3</w:t>
            </w:r>
            <w:r>
              <w:rPr>
                <w:rFonts w:hAnsiTheme="minorEastAsia" w:eastAsiaTheme="minorEastAsia"/>
                <w:sz w:val="24"/>
              </w:rPr>
              <w:t>。</w:t>
            </w:r>
          </w:p>
          <w:p>
            <w:pPr>
              <w:pStyle w:val="2"/>
              <w:jc w:val="center"/>
              <w:rPr>
                <w:b/>
                <w:bCs/>
              </w:rPr>
            </w:pPr>
            <w:r>
              <w:rPr>
                <w:rFonts w:hint="eastAsia" w:eastAsiaTheme="minorEastAsia"/>
                <w:b/>
                <w:bCs/>
                <w:spacing w:val="-2"/>
                <w:szCs w:val="24"/>
              </w:rPr>
              <w:t>表2-3  本项目</w:t>
            </w:r>
            <w:r>
              <w:rPr>
                <w:rFonts w:hint="eastAsia" w:hAnsiTheme="minorEastAsia" w:eastAsiaTheme="minorEastAsia"/>
                <w:b/>
                <w:bCs/>
                <w:spacing w:val="-2"/>
                <w:szCs w:val="24"/>
              </w:rPr>
              <w:t>产品方案</w:t>
            </w:r>
            <w:r>
              <w:rPr>
                <w:rFonts w:hAnsiTheme="minorEastAsia" w:eastAsiaTheme="minorEastAsia"/>
                <w:b/>
                <w:bCs/>
              </w:rPr>
              <w:t>一览表</w:t>
            </w:r>
          </w:p>
          <w:tbl>
            <w:tblPr>
              <w:tblStyle w:val="2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1132"/>
              <w:gridCol w:w="1134"/>
              <w:gridCol w:w="37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79" w:type="pct"/>
                  <w:vAlign w:val="center"/>
                </w:tcPr>
                <w:p>
                  <w:pPr>
                    <w:pStyle w:val="2"/>
                    <w:jc w:val="center"/>
                    <w:rPr>
                      <w:b/>
                      <w:bCs/>
                      <w:sz w:val="21"/>
                      <w:szCs w:val="21"/>
                    </w:rPr>
                  </w:pPr>
                  <w:r>
                    <w:rPr>
                      <w:rFonts w:hint="eastAsia"/>
                      <w:b/>
                      <w:bCs/>
                      <w:sz w:val="21"/>
                      <w:szCs w:val="21"/>
                    </w:rPr>
                    <w:t>产品名称</w:t>
                  </w:r>
                </w:p>
              </w:tc>
              <w:tc>
                <w:tcPr>
                  <w:tcW w:w="620" w:type="pct"/>
                  <w:vAlign w:val="center"/>
                </w:tcPr>
                <w:p>
                  <w:pPr>
                    <w:pStyle w:val="2"/>
                    <w:jc w:val="center"/>
                    <w:rPr>
                      <w:b/>
                      <w:bCs/>
                      <w:sz w:val="21"/>
                      <w:szCs w:val="21"/>
                    </w:rPr>
                  </w:pPr>
                  <w:r>
                    <w:rPr>
                      <w:rFonts w:hint="eastAsia"/>
                      <w:b/>
                      <w:bCs/>
                      <w:sz w:val="21"/>
                      <w:szCs w:val="21"/>
                    </w:rPr>
                    <w:t>单位</w:t>
                  </w:r>
                </w:p>
              </w:tc>
              <w:tc>
                <w:tcPr>
                  <w:tcW w:w="621" w:type="pct"/>
                  <w:vAlign w:val="center"/>
                </w:tcPr>
                <w:p>
                  <w:pPr>
                    <w:pStyle w:val="2"/>
                    <w:jc w:val="center"/>
                    <w:rPr>
                      <w:b/>
                      <w:bCs/>
                      <w:sz w:val="21"/>
                      <w:szCs w:val="21"/>
                    </w:rPr>
                  </w:pPr>
                  <w:r>
                    <w:rPr>
                      <w:rFonts w:hint="eastAsia"/>
                      <w:b/>
                      <w:bCs/>
                      <w:sz w:val="21"/>
                      <w:szCs w:val="21"/>
                    </w:rPr>
                    <w:t>数量</w:t>
                  </w:r>
                </w:p>
              </w:tc>
              <w:tc>
                <w:tcPr>
                  <w:tcW w:w="2080" w:type="pct"/>
                  <w:vAlign w:val="center"/>
                </w:tcPr>
                <w:p>
                  <w:pPr>
                    <w:pStyle w:val="2"/>
                    <w:jc w:val="center"/>
                    <w:rPr>
                      <w:b/>
                      <w:bCs/>
                      <w:sz w:val="21"/>
                      <w:szCs w:val="21"/>
                    </w:rPr>
                  </w:pPr>
                  <w:r>
                    <w:rPr>
                      <w:rFonts w:hint="eastAsia"/>
                      <w:b/>
                      <w:bCs/>
                      <w:sz w:val="21"/>
                      <w:szCs w:val="21"/>
                    </w:rPr>
                    <w:t>用途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pPr>
                    <w:pStyle w:val="2"/>
                    <w:jc w:val="center"/>
                    <w:rPr>
                      <w:sz w:val="21"/>
                      <w:szCs w:val="21"/>
                    </w:rPr>
                  </w:pPr>
                  <w:r>
                    <w:rPr>
                      <w:color w:val="auto"/>
                      <w:sz w:val="21"/>
                      <w:szCs w:val="21"/>
                    </w:rPr>
                    <w:t>住宅用装配式钢结构构件</w:t>
                  </w:r>
                </w:p>
              </w:tc>
              <w:tc>
                <w:tcPr>
                  <w:tcW w:w="620" w:type="pct"/>
                  <w:vAlign w:val="center"/>
                </w:tcPr>
                <w:p>
                  <w:pPr>
                    <w:pStyle w:val="2"/>
                    <w:jc w:val="center"/>
                    <w:rPr>
                      <w:rFonts w:eastAsiaTheme="minorEastAsia"/>
                      <w:sz w:val="21"/>
                      <w:szCs w:val="21"/>
                    </w:rPr>
                  </w:pPr>
                  <w:r>
                    <w:rPr>
                      <w:rFonts w:hint="eastAsia"/>
                      <w:bCs/>
                      <w:color w:val="auto"/>
                    </w:rPr>
                    <w:t>t/a</w:t>
                  </w:r>
                </w:p>
              </w:tc>
              <w:tc>
                <w:tcPr>
                  <w:tcW w:w="621" w:type="pct"/>
                  <w:vAlign w:val="center"/>
                </w:tcPr>
                <w:p>
                  <w:pPr>
                    <w:pStyle w:val="2"/>
                    <w:jc w:val="center"/>
                    <w:rPr>
                      <w:sz w:val="21"/>
                      <w:szCs w:val="21"/>
                    </w:rPr>
                  </w:pPr>
                  <w:r>
                    <w:rPr>
                      <w:rFonts w:hint="eastAsia"/>
                      <w:sz w:val="21"/>
                      <w:szCs w:val="21"/>
                    </w:rPr>
                    <w:t>80000</w:t>
                  </w:r>
                </w:p>
              </w:tc>
              <w:tc>
                <w:tcPr>
                  <w:tcW w:w="2080" w:type="pct"/>
                  <w:vAlign w:val="center"/>
                </w:tcPr>
                <w:p>
                  <w:pPr>
                    <w:pStyle w:val="2"/>
                    <w:jc w:val="center"/>
                    <w:rPr>
                      <w:color w:val="FF0000"/>
                      <w:sz w:val="21"/>
                      <w:szCs w:val="21"/>
                    </w:rPr>
                  </w:pPr>
                  <w:r>
                    <w:rPr>
                      <w:rFonts w:hint="eastAsia"/>
                      <w:color w:val="FF0000"/>
                      <w:sz w:val="21"/>
                      <w:szCs w:val="21"/>
                    </w:rPr>
                    <w:t>主体结构梁、柱、桁架、网架、门式刚架及主体结构的连接和支撑配套产品</w:t>
                  </w:r>
                </w:p>
              </w:tc>
            </w:tr>
          </w:tbl>
          <w:p>
            <w:pPr>
              <w:spacing w:line="460" w:lineRule="exact"/>
              <w:ind w:firstLine="472" w:firstLineChars="200"/>
              <w:rPr>
                <w:rFonts w:hAnsiTheme="minorEastAsia" w:eastAsiaTheme="minorEastAsia"/>
                <w:color w:val="FF0000"/>
                <w:sz w:val="24"/>
              </w:rPr>
            </w:pPr>
            <w:r>
              <w:rPr>
                <w:rFonts w:hint="eastAsia" w:hAnsiTheme="minorEastAsia" w:eastAsiaTheme="minorEastAsia"/>
                <w:color w:val="FF0000"/>
                <w:sz w:val="24"/>
              </w:rPr>
              <w:t>注：产品满足设计图设计要求以及《钢结构质量验收规范GB50205-2001》、</w:t>
            </w:r>
            <w:r>
              <w:rPr>
                <w:rFonts w:hAnsiTheme="minorEastAsia" w:eastAsiaTheme="minorEastAsia"/>
                <w:bCs/>
                <w:color w:val="FF0000"/>
                <w:sz w:val="24"/>
              </w:rPr>
              <w:t>《装配式钢结构住宅建筑技术标准》</w:t>
            </w:r>
            <w:r>
              <w:rPr>
                <w:rFonts w:hint="eastAsia" w:hAnsiTheme="minorEastAsia" w:eastAsiaTheme="minorEastAsia"/>
                <w:bCs/>
                <w:color w:val="FF0000"/>
                <w:sz w:val="24"/>
              </w:rPr>
              <w:t>（</w:t>
            </w:r>
            <w:r>
              <w:rPr>
                <w:rFonts w:hAnsiTheme="minorEastAsia" w:eastAsiaTheme="minorEastAsia"/>
                <w:bCs/>
                <w:color w:val="FF0000"/>
                <w:sz w:val="24"/>
              </w:rPr>
              <w:t>JGJ/T469-2019</w:t>
            </w:r>
            <w:r>
              <w:rPr>
                <w:rFonts w:hint="eastAsia" w:hAnsiTheme="minorEastAsia" w:eastAsiaTheme="minorEastAsia"/>
                <w:bCs/>
                <w:color w:val="FF0000"/>
                <w:sz w:val="24"/>
              </w:rPr>
              <w:t>）。</w:t>
            </w:r>
          </w:p>
          <w:p>
            <w:pPr>
              <w:spacing w:line="460" w:lineRule="exact"/>
              <w:ind w:firstLine="472" w:firstLineChars="200"/>
              <w:rPr>
                <w:rFonts w:hAnsiTheme="minorEastAsia" w:eastAsiaTheme="minorEastAsia"/>
                <w:spacing w:val="-2"/>
                <w:sz w:val="24"/>
                <w:szCs w:val="24"/>
              </w:rPr>
            </w:pPr>
            <w:r>
              <w:rPr>
                <w:rFonts w:hint="eastAsia" w:hAnsiTheme="minorEastAsia" w:eastAsiaTheme="minorEastAsia"/>
                <w:b/>
                <w:sz w:val="24"/>
              </w:rPr>
              <w:t>3、</w:t>
            </w:r>
            <w:r>
              <w:rPr>
                <w:rFonts w:hAnsiTheme="minorEastAsia" w:eastAsiaTheme="minorEastAsia"/>
                <w:b/>
                <w:sz w:val="24"/>
              </w:rPr>
              <w:t>生产设备</w:t>
            </w:r>
          </w:p>
          <w:p>
            <w:pPr>
              <w:spacing w:line="480" w:lineRule="exact"/>
              <w:ind w:firstLine="464" w:firstLineChars="200"/>
              <w:rPr>
                <w:rFonts w:hAnsiTheme="minorEastAsia" w:eastAsiaTheme="minorEastAsia"/>
                <w:b/>
                <w:bCs/>
                <w:sz w:val="24"/>
              </w:rPr>
            </w:pPr>
            <w:r>
              <w:rPr>
                <w:rFonts w:hint="eastAsia" w:hAnsiTheme="minorEastAsia" w:eastAsiaTheme="minorEastAsia"/>
                <w:spacing w:val="-2"/>
                <w:sz w:val="24"/>
                <w:szCs w:val="24"/>
              </w:rPr>
              <w:t>本</w:t>
            </w:r>
            <w:r>
              <w:rPr>
                <w:rFonts w:hAnsiTheme="minorEastAsia" w:eastAsiaTheme="minorEastAsia"/>
                <w:spacing w:val="-2"/>
                <w:sz w:val="24"/>
                <w:szCs w:val="24"/>
              </w:rPr>
              <w:t>项目主要设备见</w:t>
            </w:r>
            <w:r>
              <w:rPr>
                <w:rFonts w:hint="eastAsia" w:eastAsiaTheme="minorEastAsia"/>
                <w:spacing w:val="-2"/>
                <w:sz w:val="24"/>
                <w:szCs w:val="24"/>
              </w:rPr>
              <w:t>表2-4</w:t>
            </w:r>
            <w:r>
              <w:rPr>
                <w:rFonts w:hAnsiTheme="minorEastAsia" w:eastAsiaTheme="minorEastAsia"/>
                <w:sz w:val="24"/>
              </w:rPr>
              <w:t>。</w:t>
            </w:r>
          </w:p>
          <w:p>
            <w:pPr>
              <w:spacing w:line="480" w:lineRule="exact"/>
              <w:jc w:val="center"/>
              <w:rPr>
                <w:rFonts w:hAnsiTheme="minorEastAsia" w:eastAsiaTheme="minorEastAsia"/>
                <w:b/>
                <w:bCs/>
                <w:sz w:val="24"/>
              </w:rPr>
            </w:pPr>
          </w:p>
          <w:p>
            <w:pPr>
              <w:spacing w:line="480" w:lineRule="exact"/>
              <w:jc w:val="center"/>
              <w:rPr>
                <w:rFonts w:hAnsiTheme="minorEastAsia" w:eastAsiaTheme="minorEastAsia"/>
                <w:b/>
                <w:bCs/>
                <w:sz w:val="24"/>
              </w:rPr>
            </w:pPr>
          </w:p>
          <w:p>
            <w:pPr>
              <w:spacing w:line="480" w:lineRule="exact"/>
              <w:jc w:val="center"/>
              <w:rPr>
                <w:rFonts w:hAnsiTheme="minorEastAsia" w:eastAsiaTheme="minorEastAsia"/>
                <w:sz w:val="24"/>
              </w:rPr>
            </w:pPr>
            <w:r>
              <w:rPr>
                <w:rFonts w:hAnsiTheme="minorEastAsia" w:eastAsiaTheme="minorEastAsia"/>
                <w:b/>
                <w:bCs/>
                <w:sz w:val="24"/>
              </w:rPr>
              <w:t>表</w:t>
            </w:r>
            <w:r>
              <w:rPr>
                <w:rFonts w:hint="eastAsia" w:eastAsiaTheme="minorEastAsia"/>
                <w:b/>
                <w:bCs/>
                <w:sz w:val="24"/>
              </w:rPr>
              <w:t>2-4 本项目</w:t>
            </w:r>
            <w:r>
              <w:rPr>
                <w:rFonts w:hAnsiTheme="minorEastAsia" w:eastAsiaTheme="minorEastAsia"/>
                <w:b/>
                <w:bCs/>
                <w:sz w:val="24"/>
              </w:rPr>
              <w:t>主要生产设备一览表</w:t>
            </w:r>
          </w:p>
          <w:tbl>
            <w:tblPr>
              <w:tblStyle w:val="28"/>
              <w:tblW w:w="9107" w:type="dxa"/>
              <w:tblInd w:w="1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14"/>
              <w:gridCol w:w="3458"/>
              <w:gridCol w:w="2423"/>
              <w:gridCol w:w="251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392" w:type="pct"/>
                  <w:noWrap/>
                  <w:vAlign w:val="center"/>
                </w:tcPr>
                <w:p>
                  <w:pPr>
                    <w:widowControl/>
                    <w:jc w:val="center"/>
                    <w:rPr>
                      <w:b/>
                      <w:bCs/>
                      <w:kern w:val="0"/>
                      <w:szCs w:val="21"/>
                    </w:rPr>
                  </w:pPr>
                  <w:r>
                    <w:rPr>
                      <w:b/>
                      <w:bCs/>
                      <w:kern w:val="0"/>
                      <w:szCs w:val="21"/>
                    </w:rPr>
                    <w:t>序号</w:t>
                  </w:r>
                </w:p>
              </w:tc>
              <w:tc>
                <w:tcPr>
                  <w:tcW w:w="1897" w:type="pct"/>
                  <w:noWrap/>
                  <w:vAlign w:val="center"/>
                </w:tcPr>
                <w:p>
                  <w:pPr>
                    <w:widowControl/>
                    <w:jc w:val="center"/>
                    <w:rPr>
                      <w:b/>
                      <w:bCs/>
                      <w:kern w:val="0"/>
                      <w:szCs w:val="21"/>
                    </w:rPr>
                  </w:pPr>
                  <w:r>
                    <w:rPr>
                      <w:b/>
                      <w:bCs/>
                      <w:kern w:val="0"/>
                      <w:szCs w:val="21"/>
                    </w:rPr>
                    <w:t>设备名称</w:t>
                  </w:r>
                </w:p>
              </w:tc>
              <w:tc>
                <w:tcPr>
                  <w:tcW w:w="1330" w:type="pct"/>
                  <w:noWrap/>
                  <w:vAlign w:val="center"/>
                </w:tcPr>
                <w:p>
                  <w:pPr>
                    <w:widowControl/>
                    <w:jc w:val="center"/>
                    <w:rPr>
                      <w:b/>
                      <w:bCs/>
                      <w:kern w:val="0"/>
                      <w:szCs w:val="21"/>
                    </w:rPr>
                  </w:pPr>
                  <w:r>
                    <w:rPr>
                      <w:rFonts w:hint="eastAsia"/>
                      <w:b/>
                      <w:bCs/>
                      <w:kern w:val="0"/>
                      <w:szCs w:val="21"/>
                    </w:rPr>
                    <w:t>型号</w:t>
                  </w:r>
                </w:p>
              </w:tc>
              <w:tc>
                <w:tcPr>
                  <w:tcW w:w="1379" w:type="pct"/>
                  <w:noWrap/>
                  <w:vAlign w:val="center"/>
                </w:tcPr>
                <w:p>
                  <w:pPr>
                    <w:widowControl/>
                    <w:jc w:val="center"/>
                    <w:rPr>
                      <w:b/>
                      <w:bCs/>
                      <w:kern w:val="0"/>
                      <w:szCs w:val="21"/>
                    </w:rPr>
                  </w:pPr>
                  <w:r>
                    <w:rPr>
                      <w:b/>
                      <w:bCs/>
                      <w:kern w:val="0"/>
                      <w:szCs w:val="21"/>
                    </w:rPr>
                    <w:t>数量</w:t>
                  </w:r>
                  <w:r>
                    <w:rPr>
                      <w:rFonts w:hint="eastAsia"/>
                      <w:b/>
                      <w:bCs/>
                      <w:kern w:val="0"/>
                      <w:szCs w:val="21"/>
                    </w:rPr>
                    <w:t>（台/套）</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w:t>
                  </w:r>
                </w:p>
              </w:tc>
              <w:tc>
                <w:tcPr>
                  <w:tcW w:w="1897" w:type="pct"/>
                  <w:noWrap/>
                  <w:vAlign w:val="center"/>
                </w:tcPr>
                <w:p>
                  <w:pPr>
                    <w:widowControl/>
                    <w:jc w:val="center"/>
                    <w:rPr>
                      <w:kern w:val="0"/>
                      <w:szCs w:val="21"/>
                    </w:rPr>
                  </w:pPr>
                  <w:r>
                    <w:rPr>
                      <w:kern w:val="0"/>
                      <w:szCs w:val="21"/>
                    </w:rPr>
                    <w:t>全自动</w:t>
                  </w:r>
                  <w:r>
                    <w:rPr>
                      <w:rFonts w:hint="eastAsia"/>
                      <w:kern w:val="0"/>
                      <w:szCs w:val="21"/>
                    </w:rPr>
                    <w:t>火焰</w:t>
                  </w:r>
                  <w:r>
                    <w:rPr>
                      <w:kern w:val="0"/>
                      <w:szCs w:val="21"/>
                    </w:rPr>
                    <w:t>切割机</w:t>
                  </w:r>
                </w:p>
              </w:tc>
              <w:tc>
                <w:tcPr>
                  <w:tcW w:w="1330" w:type="pct"/>
                  <w:noWrap/>
                  <w:vAlign w:val="center"/>
                </w:tcPr>
                <w:p>
                  <w:pPr>
                    <w:widowControl/>
                    <w:jc w:val="center"/>
                    <w:rPr>
                      <w:kern w:val="0"/>
                      <w:szCs w:val="21"/>
                    </w:rPr>
                  </w:pPr>
                  <w:r>
                    <w:rPr>
                      <w:rFonts w:hint="eastAsia"/>
                      <w:kern w:val="0"/>
                      <w:szCs w:val="21"/>
                    </w:rPr>
                    <w:t>CNG-5000</w:t>
                  </w:r>
                </w:p>
              </w:tc>
              <w:tc>
                <w:tcPr>
                  <w:tcW w:w="1379" w:type="pct"/>
                  <w:noWrap/>
                  <w:vAlign w:val="center"/>
                </w:tcPr>
                <w:p>
                  <w:pPr>
                    <w:widowControl/>
                    <w:jc w:val="center"/>
                    <w:rPr>
                      <w:kern w:val="0"/>
                      <w:szCs w:val="21"/>
                    </w:rPr>
                  </w:pPr>
                  <w:r>
                    <w:rPr>
                      <w:kern w:val="0"/>
                      <w:szCs w:val="21"/>
                    </w:rPr>
                    <w:t>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2</w:t>
                  </w:r>
                </w:p>
              </w:tc>
              <w:tc>
                <w:tcPr>
                  <w:tcW w:w="1897" w:type="pct"/>
                  <w:noWrap/>
                  <w:vAlign w:val="center"/>
                </w:tcPr>
                <w:p>
                  <w:pPr>
                    <w:widowControl/>
                    <w:jc w:val="center"/>
                    <w:rPr>
                      <w:kern w:val="0"/>
                      <w:szCs w:val="21"/>
                    </w:rPr>
                  </w:pPr>
                  <w:r>
                    <w:rPr>
                      <w:kern w:val="0"/>
                      <w:szCs w:val="21"/>
                    </w:rPr>
                    <w:t>相贯线切割机</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3</w:t>
                  </w:r>
                </w:p>
              </w:tc>
              <w:tc>
                <w:tcPr>
                  <w:tcW w:w="1897" w:type="pct"/>
                  <w:noWrap/>
                  <w:vAlign w:val="center"/>
                </w:tcPr>
                <w:p>
                  <w:pPr>
                    <w:widowControl/>
                    <w:jc w:val="center"/>
                    <w:rPr>
                      <w:kern w:val="0"/>
                      <w:szCs w:val="21"/>
                    </w:rPr>
                  </w:pPr>
                  <w:r>
                    <w:rPr>
                      <w:rFonts w:hint="eastAsia"/>
                      <w:kern w:val="0"/>
                      <w:szCs w:val="21"/>
                    </w:rPr>
                    <w:t>坡</w:t>
                  </w:r>
                  <w:r>
                    <w:rPr>
                      <w:kern w:val="0"/>
                      <w:szCs w:val="21"/>
                    </w:rPr>
                    <w:t>口机</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4</w:t>
                  </w:r>
                </w:p>
              </w:tc>
              <w:tc>
                <w:tcPr>
                  <w:tcW w:w="1897" w:type="pct"/>
                  <w:noWrap/>
                  <w:vAlign w:val="center"/>
                </w:tcPr>
                <w:p>
                  <w:pPr>
                    <w:widowControl/>
                    <w:jc w:val="center"/>
                    <w:rPr>
                      <w:kern w:val="0"/>
                      <w:szCs w:val="21"/>
                    </w:rPr>
                  </w:pPr>
                  <w:r>
                    <w:rPr>
                      <w:rFonts w:hint="eastAsia"/>
                      <w:kern w:val="0"/>
                      <w:szCs w:val="21"/>
                    </w:rPr>
                    <w:t>二保</w:t>
                  </w:r>
                  <w:r>
                    <w:rPr>
                      <w:kern w:val="0"/>
                      <w:szCs w:val="21"/>
                    </w:rPr>
                    <w:t>电焊机</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20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5</w:t>
                  </w:r>
                </w:p>
              </w:tc>
              <w:tc>
                <w:tcPr>
                  <w:tcW w:w="1897" w:type="pct"/>
                  <w:noWrap/>
                  <w:vAlign w:val="center"/>
                </w:tcPr>
                <w:p>
                  <w:pPr>
                    <w:widowControl/>
                    <w:jc w:val="center"/>
                    <w:rPr>
                      <w:kern w:val="0"/>
                      <w:szCs w:val="21"/>
                    </w:rPr>
                  </w:pPr>
                  <w:r>
                    <w:rPr>
                      <w:kern w:val="0"/>
                      <w:szCs w:val="21"/>
                    </w:rPr>
                    <w:t>自动</w:t>
                  </w:r>
                  <w:r>
                    <w:rPr>
                      <w:rFonts w:hint="eastAsia"/>
                      <w:kern w:val="0"/>
                      <w:szCs w:val="21"/>
                    </w:rPr>
                    <w:t>埋弧</w:t>
                  </w:r>
                  <w:r>
                    <w:rPr>
                      <w:kern w:val="0"/>
                      <w:szCs w:val="21"/>
                    </w:rPr>
                    <w:t>焊接机</w:t>
                  </w:r>
                </w:p>
              </w:tc>
              <w:tc>
                <w:tcPr>
                  <w:tcW w:w="1330" w:type="pct"/>
                  <w:noWrap/>
                  <w:vAlign w:val="center"/>
                </w:tcPr>
                <w:p>
                  <w:pPr>
                    <w:widowControl/>
                    <w:jc w:val="center"/>
                    <w:rPr>
                      <w:kern w:val="0"/>
                      <w:szCs w:val="21"/>
                    </w:rPr>
                  </w:pPr>
                  <w:r>
                    <w:rPr>
                      <w:rFonts w:hint="eastAsia"/>
                      <w:kern w:val="0"/>
                      <w:szCs w:val="21"/>
                    </w:rPr>
                    <w:t>MZG50</w:t>
                  </w:r>
                </w:p>
              </w:tc>
              <w:tc>
                <w:tcPr>
                  <w:tcW w:w="1379" w:type="pct"/>
                  <w:noWrap/>
                  <w:vAlign w:val="center"/>
                </w:tcPr>
                <w:p>
                  <w:pPr>
                    <w:widowControl/>
                    <w:jc w:val="center"/>
                    <w:rPr>
                      <w:kern w:val="0"/>
                      <w:szCs w:val="21"/>
                    </w:rPr>
                  </w:pPr>
                  <w:r>
                    <w:rPr>
                      <w:kern w:val="0"/>
                      <w:szCs w:val="21"/>
                    </w:rPr>
                    <w:t>20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6</w:t>
                  </w:r>
                </w:p>
              </w:tc>
              <w:tc>
                <w:tcPr>
                  <w:tcW w:w="1897" w:type="pct"/>
                  <w:noWrap/>
                  <w:vAlign w:val="center"/>
                </w:tcPr>
                <w:p>
                  <w:pPr>
                    <w:widowControl/>
                    <w:jc w:val="center"/>
                    <w:rPr>
                      <w:kern w:val="0"/>
                      <w:szCs w:val="21"/>
                    </w:rPr>
                  </w:pPr>
                  <w:r>
                    <w:rPr>
                      <w:rFonts w:hint="eastAsia"/>
                      <w:kern w:val="0"/>
                      <w:szCs w:val="21"/>
                    </w:rPr>
                    <w:t>钢结构</w:t>
                  </w:r>
                  <w:r>
                    <w:rPr>
                      <w:kern w:val="0"/>
                      <w:szCs w:val="21"/>
                    </w:rPr>
                    <w:t>抛丸机</w:t>
                  </w:r>
                </w:p>
              </w:tc>
              <w:tc>
                <w:tcPr>
                  <w:tcW w:w="1330" w:type="pct"/>
                  <w:noWrap/>
                  <w:vAlign w:val="center"/>
                </w:tcPr>
                <w:p>
                  <w:pPr>
                    <w:widowControl/>
                    <w:jc w:val="center"/>
                    <w:rPr>
                      <w:kern w:val="0"/>
                      <w:szCs w:val="21"/>
                    </w:rPr>
                  </w:pPr>
                  <w:r>
                    <w:rPr>
                      <w:rFonts w:hint="eastAsia"/>
                      <w:kern w:val="0"/>
                      <w:szCs w:val="21"/>
                    </w:rPr>
                    <w:t>QH69</w:t>
                  </w:r>
                </w:p>
              </w:tc>
              <w:tc>
                <w:tcPr>
                  <w:tcW w:w="1379" w:type="pct"/>
                  <w:noWrap/>
                  <w:vAlign w:val="center"/>
                </w:tcPr>
                <w:p>
                  <w:pPr>
                    <w:widowControl/>
                    <w:jc w:val="center"/>
                    <w:rPr>
                      <w:kern w:val="0"/>
                      <w:szCs w:val="21"/>
                    </w:rPr>
                  </w:pPr>
                  <w:r>
                    <w:rPr>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7</w:t>
                  </w:r>
                </w:p>
              </w:tc>
              <w:tc>
                <w:tcPr>
                  <w:tcW w:w="1897" w:type="pct"/>
                  <w:noWrap/>
                  <w:vAlign w:val="center"/>
                </w:tcPr>
                <w:p>
                  <w:pPr>
                    <w:widowControl/>
                    <w:jc w:val="center"/>
                    <w:rPr>
                      <w:kern w:val="0"/>
                      <w:szCs w:val="21"/>
                    </w:rPr>
                  </w:pPr>
                  <w:r>
                    <w:rPr>
                      <w:kern w:val="0"/>
                      <w:szCs w:val="21"/>
                    </w:rPr>
                    <w:t>电动单梁桥式起重机</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8</w:t>
                  </w:r>
                </w:p>
              </w:tc>
              <w:tc>
                <w:tcPr>
                  <w:tcW w:w="1897" w:type="pct"/>
                  <w:noWrap/>
                  <w:vAlign w:val="center"/>
                </w:tcPr>
                <w:p>
                  <w:pPr>
                    <w:widowControl/>
                    <w:jc w:val="center"/>
                    <w:rPr>
                      <w:kern w:val="0"/>
                      <w:szCs w:val="21"/>
                    </w:rPr>
                  </w:pPr>
                  <w:r>
                    <w:rPr>
                      <w:kern w:val="0"/>
                      <w:szCs w:val="21"/>
                    </w:rPr>
                    <w:t>悬臂焊接机</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9</w:t>
                  </w:r>
                </w:p>
              </w:tc>
              <w:tc>
                <w:tcPr>
                  <w:tcW w:w="1897" w:type="pct"/>
                  <w:noWrap/>
                  <w:vAlign w:val="center"/>
                </w:tcPr>
                <w:p>
                  <w:pPr>
                    <w:widowControl/>
                    <w:jc w:val="center"/>
                    <w:rPr>
                      <w:kern w:val="0"/>
                      <w:szCs w:val="21"/>
                    </w:rPr>
                  </w:pPr>
                  <w:r>
                    <w:rPr>
                      <w:kern w:val="0"/>
                      <w:szCs w:val="21"/>
                    </w:rPr>
                    <w:t>数控型钢校直机</w:t>
                  </w:r>
                </w:p>
              </w:tc>
              <w:tc>
                <w:tcPr>
                  <w:tcW w:w="1330" w:type="pct"/>
                  <w:noWrap/>
                  <w:vAlign w:val="center"/>
                </w:tcPr>
                <w:p>
                  <w:pPr>
                    <w:widowControl/>
                    <w:jc w:val="center"/>
                    <w:rPr>
                      <w:kern w:val="0"/>
                      <w:szCs w:val="21"/>
                    </w:rPr>
                  </w:pPr>
                  <w:r>
                    <w:rPr>
                      <w:rFonts w:hint="eastAsia"/>
                      <w:kern w:val="0"/>
                      <w:szCs w:val="21"/>
                    </w:rPr>
                    <w:t>XGJZ100</w:t>
                  </w:r>
                </w:p>
              </w:tc>
              <w:tc>
                <w:tcPr>
                  <w:tcW w:w="1379" w:type="pct"/>
                  <w:noWrap/>
                  <w:vAlign w:val="center"/>
                </w:tcPr>
                <w:p>
                  <w:pPr>
                    <w:widowControl/>
                    <w:jc w:val="center"/>
                    <w:rPr>
                      <w:kern w:val="0"/>
                      <w:szCs w:val="21"/>
                    </w:rPr>
                  </w:pPr>
                  <w:r>
                    <w:rPr>
                      <w:kern w:val="0"/>
                      <w:szCs w:val="21"/>
                    </w:rPr>
                    <w:t>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10</w:t>
                  </w:r>
                </w:p>
              </w:tc>
              <w:tc>
                <w:tcPr>
                  <w:tcW w:w="1897" w:type="pct"/>
                  <w:noWrap/>
                  <w:vAlign w:val="center"/>
                </w:tcPr>
                <w:p>
                  <w:pPr>
                    <w:widowControl/>
                    <w:jc w:val="center"/>
                    <w:rPr>
                      <w:kern w:val="0"/>
                      <w:szCs w:val="21"/>
                    </w:rPr>
                  </w:pPr>
                  <w:r>
                    <w:rPr>
                      <w:kern w:val="0"/>
                      <w:szCs w:val="21"/>
                    </w:rPr>
                    <w:t>辊压机组</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11</w:t>
                  </w:r>
                </w:p>
              </w:tc>
              <w:tc>
                <w:tcPr>
                  <w:tcW w:w="1897" w:type="pct"/>
                  <w:noWrap/>
                  <w:vAlign w:val="center"/>
                </w:tcPr>
                <w:p>
                  <w:pPr>
                    <w:widowControl/>
                    <w:jc w:val="center"/>
                    <w:rPr>
                      <w:kern w:val="0"/>
                      <w:szCs w:val="21"/>
                    </w:rPr>
                  </w:pPr>
                  <w:r>
                    <w:rPr>
                      <w:kern w:val="0"/>
                      <w:szCs w:val="21"/>
                    </w:rPr>
                    <w:t>角磨机</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12</w:t>
                  </w:r>
                </w:p>
              </w:tc>
              <w:tc>
                <w:tcPr>
                  <w:tcW w:w="1897" w:type="pct"/>
                  <w:noWrap/>
                  <w:vAlign w:val="center"/>
                </w:tcPr>
                <w:p>
                  <w:pPr>
                    <w:widowControl/>
                    <w:jc w:val="center"/>
                    <w:rPr>
                      <w:kern w:val="0"/>
                      <w:szCs w:val="21"/>
                    </w:rPr>
                  </w:pPr>
                  <w:r>
                    <w:rPr>
                      <w:kern w:val="0"/>
                      <w:szCs w:val="21"/>
                    </w:rPr>
                    <w:t>车床</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13</w:t>
                  </w:r>
                </w:p>
              </w:tc>
              <w:tc>
                <w:tcPr>
                  <w:tcW w:w="1897" w:type="pct"/>
                  <w:noWrap/>
                  <w:vAlign w:val="center"/>
                </w:tcPr>
                <w:p>
                  <w:pPr>
                    <w:widowControl/>
                    <w:jc w:val="center"/>
                    <w:rPr>
                      <w:kern w:val="0"/>
                      <w:szCs w:val="21"/>
                    </w:rPr>
                  </w:pPr>
                  <w:r>
                    <w:rPr>
                      <w:kern w:val="0"/>
                      <w:szCs w:val="21"/>
                    </w:rPr>
                    <w:t>钻床</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w:t>
                  </w:r>
                  <w:r>
                    <w:rPr>
                      <w:rFonts w:hint="eastAsia"/>
                      <w:kern w:val="0"/>
                      <w:szCs w:val="21"/>
                    </w:rPr>
                    <w:t>4</w:t>
                  </w:r>
                </w:p>
              </w:tc>
              <w:tc>
                <w:tcPr>
                  <w:tcW w:w="1897" w:type="pct"/>
                  <w:noWrap/>
                  <w:vAlign w:val="center"/>
                </w:tcPr>
                <w:p>
                  <w:pPr>
                    <w:widowControl/>
                    <w:jc w:val="center"/>
                    <w:rPr>
                      <w:kern w:val="0"/>
                      <w:szCs w:val="21"/>
                    </w:rPr>
                  </w:pPr>
                  <w:r>
                    <w:rPr>
                      <w:rFonts w:hint="eastAsia" w:ascii="宋体" w:hAnsi="宋体" w:cs="宋体"/>
                      <w:kern w:val="0"/>
                      <w:szCs w:val="21"/>
                    </w:rPr>
                    <w:t>磨床</w:t>
                  </w:r>
                </w:p>
              </w:tc>
              <w:tc>
                <w:tcPr>
                  <w:tcW w:w="1330" w:type="pct"/>
                  <w:noWrap/>
                  <w:vAlign w:val="center"/>
                </w:tcPr>
                <w:p>
                  <w:pPr>
                    <w:widowControl/>
                    <w:jc w:val="center"/>
                    <w:rPr>
                      <w:kern w:val="0"/>
                      <w:szCs w:val="21"/>
                    </w:rPr>
                  </w:pPr>
                  <w:r>
                    <w:rPr>
                      <w:rFonts w:hint="eastAsia" w:ascii="宋体" w:hAnsi="宋体" w:cs="宋体"/>
                      <w:kern w:val="0"/>
                      <w:szCs w:val="21"/>
                    </w:rPr>
                    <w:t>/</w:t>
                  </w:r>
                </w:p>
              </w:tc>
              <w:tc>
                <w:tcPr>
                  <w:tcW w:w="1379" w:type="pct"/>
                  <w:noWrap/>
                </w:tcPr>
                <w:p>
                  <w:pPr>
                    <w:widowControl/>
                    <w:jc w:val="center"/>
                    <w:rPr>
                      <w:kern w:val="0"/>
                      <w:szCs w:val="21"/>
                    </w:rPr>
                  </w:pPr>
                  <w:r>
                    <w:rPr>
                      <w:rFonts w:hint="eastAsia" w:ascii="宋体" w:hAnsi="宋体" w:cs="宋体"/>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w:t>
                  </w:r>
                  <w:r>
                    <w:rPr>
                      <w:rFonts w:hint="eastAsia"/>
                      <w:kern w:val="0"/>
                      <w:szCs w:val="21"/>
                    </w:rPr>
                    <w:t>5</w:t>
                  </w:r>
                </w:p>
              </w:tc>
              <w:tc>
                <w:tcPr>
                  <w:tcW w:w="1897" w:type="pct"/>
                  <w:noWrap/>
                  <w:vAlign w:val="center"/>
                </w:tcPr>
                <w:p>
                  <w:pPr>
                    <w:widowControl/>
                    <w:jc w:val="center"/>
                    <w:rPr>
                      <w:kern w:val="0"/>
                      <w:szCs w:val="21"/>
                    </w:rPr>
                  </w:pPr>
                  <w:r>
                    <w:rPr>
                      <w:rFonts w:hint="eastAsia"/>
                      <w:kern w:val="0"/>
                      <w:szCs w:val="21"/>
                    </w:rPr>
                    <w:t>喷漆房</w:t>
                  </w:r>
                </w:p>
              </w:tc>
              <w:tc>
                <w:tcPr>
                  <w:tcW w:w="1330" w:type="pct"/>
                  <w:noWrap/>
                  <w:vAlign w:val="center"/>
                </w:tcPr>
                <w:p>
                  <w:pPr>
                    <w:widowControl/>
                    <w:jc w:val="center"/>
                    <w:rPr>
                      <w:kern w:val="0"/>
                      <w:szCs w:val="21"/>
                    </w:rPr>
                  </w:pPr>
                  <w:r>
                    <w:rPr>
                      <w:rFonts w:hint="eastAsia"/>
                      <w:kern w:val="0"/>
                      <w:szCs w:val="21"/>
                    </w:rPr>
                    <w:t>长20m*宽</w:t>
                  </w:r>
                  <w:r>
                    <w:rPr>
                      <w:rFonts w:hint="eastAsia"/>
                      <w:kern w:val="0"/>
                      <w:szCs w:val="21"/>
                      <w:lang w:val="en-US" w:eastAsia="zh-CN"/>
                    </w:rPr>
                    <w:t>1</w:t>
                  </w:r>
                  <w:r>
                    <w:rPr>
                      <w:rFonts w:hint="eastAsia"/>
                      <w:kern w:val="0"/>
                      <w:szCs w:val="21"/>
                    </w:rPr>
                    <w:t>0m*高5m</w:t>
                  </w:r>
                </w:p>
              </w:tc>
              <w:tc>
                <w:tcPr>
                  <w:tcW w:w="1379" w:type="pct"/>
                  <w:noWrap/>
                  <w:vAlign w:val="center"/>
                </w:tcPr>
                <w:p>
                  <w:pPr>
                    <w:widowControl/>
                    <w:jc w:val="center"/>
                    <w:rPr>
                      <w:kern w:val="0"/>
                      <w:szCs w:val="21"/>
                    </w:rPr>
                  </w:pPr>
                  <w:r>
                    <w:rPr>
                      <w:rFonts w:hint="eastAsia"/>
                      <w:kern w:val="0"/>
                      <w:szCs w:val="21"/>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kern w:val="0"/>
                      <w:szCs w:val="21"/>
                    </w:rPr>
                    <w:t>1</w:t>
                  </w:r>
                  <w:r>
                    <w:rPr>
                      <w:rFonts w:hint="eastAsia"/>
                      <w:kern w:val="0"/>
                      <w:szCs w:val="21"/>
                    </w:rPr>
                    <w:t>6</w:t>
                  </w:r>
                </w:p>
              </w:tc>
              <w:tc>
                <w:tcPr>
                  <w:tcW w:w="1897" w:type="pct"/>
                  <w:noWrap/>
                  <w:vAlign w:val="center"/>
                </w:tcPr>
                <w:p>
                  <w:pPr>
                    <w:widowControl/>
                    <w:jc w:val="center"/>
                    <w:rPr>
                      <w:kern w:val="0"/>
                      <w:szCs w:val="21"/>
                    </w:rPr>
                  </w:pPr>
                  <w:r>
                    <w:rPr>
                      <w:kern w:val="0"/>
                      <w:szCs w:val="21"/>
                    </w:rPr>
                    <w:t>检测设备</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rFonts w:hint="eastAsia"/>
                      <w:kern w:val="0"/>
                      <w:szCs w:val="21"/>
                    </w:rPr>
                    <w:t>17</w:t>
                  </w:r>
                </w:p>
              </w:tc>
              <w:tc>
                <w:tcPr>
                  <w:tcW w:w="1897" w:type="pct"/>
                  <w:noWrap/>
                  <w:vAlign w:val="center"/>
                </w:tcPr>
                <w:p>
                  <w:pPr>
                    <w:widowControl/>
                    <w:jc w:val="center"/>
                    <w:rPr>
                      <w:kern w:val="0"/>
                      <w:szCs w:val="21"/>
                    </w:rPr>
                  </w:pPr>
                  <w:r>
                    <w:rPr>
                      <w:kern w:val="0"/>
                      <w:szCs w:val="21"/>
                    </w:rPr>
                    <w:t>环保设备</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92" w:type="pct"/>
                  <w:noWrap/>
                  <w:vAlign w:val="center"/>
                </w:tcPr>
                <w:p>
                  <w:pPr>
                    <w:widowControl/>
                    <w:jc w:val="center"/>
                    <w:rPr>
                      <w:kern w:val="0"/>
                      <w:szCs w:val="21"/>
                    </w:rPr>
                  </w:pPr>
                  <w:r>
                    <w:rPr>
                      <w:rFonts w:hint="eastAsia"/>
                      <w:kern w:val="0"/>
                      <w:szCs w:val="21"/>
                    </w:rPr>
                    <w:t>18</w:t>
                  </w:r>
                </w:p>
              </w:tc>
              <w:tc>
                <w:tcPr>
                  <w:tcW w:w="1897" w:type="pct"/>
                  <w:noWrap/>
                  <w:vAlign w:val="center"/>
                </w:tcPr>
                <w:p>
                  <w:pPr>
                    <w:widowControl/>
                    <w:jc w:val="center"/>
                    <w:rPr>
                      <w:kern w:val="0"/>
                      <w:szCs w:val="21"/>
                    </w:rPr>
                  </w:pPr>
                  <w:r>
                    <w:rPr>
                      <w:kern w:val="0"/>
                      <w:szCs w:val="21"/>
                    </w:rPr>
                    <w:t>其他配套设备</w:t>
                  </w:r>
                </w:p>
              </w:tc>
              <w:tc>
                <w:tcPr>
                  <w:tcW w:w="1330" w:type="pct"/>
                  <w:noWrap/>
                  <w:vAlign w:val="center"/>
                </w:tcPr>
                <w:p>
                  <w:pPr>
                    <w:widowControl/>
                    <w:jc w:val="center"/>
                    <w:rPr>
                      <w:kern w:val="0"/>
                      <w:szCs w:val="21"/>
                    </w:rPr>
                  </w:pPr>
                  <w:r>
                    <w:rPr>
                      <w:rFonts w:hint="eastAsia"/>
                      <w:kern w:val="0"/>
                      <w:szCs w:val="21"/>
                    </w:rPr>
                    <w:t>/</w:t>
                  </w:r>
                </w:p>
              </w:tc>
              <w:tc>
                <w:tcPr>
                  <w:tcW w:w="1379" w:type="pct"/>
                  <w:noWrap/>
                  <w:vAlign w:val="center"/>
                </w:tcPr>
                <w:p>
                  <w:pPr>
                    <w:widowControl/>
                    <w:jc w:val="center"/>
                    <w:rPr>
                      <w:kern w:val="0"/>
                      <w:szCs w:val="21"/>
                    </w:rPr>
                  </w:pPr>
                  <w:r>
                    <w:rPr>
                      <w:kern w:val="0"/>
                      <w:szCs w:val="21"/>
                    </w:rPr>
                    <w:t>10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2290" w:type="pct"/>
                  <w:gridSpan w:val="2"/>
                  <w:noWrap/>
                  <w:vAlign w:val="center"/>
                </w:tcPr>
                <w:p>
                  <w:pPr>
                    <w:widowControl/>
                    <w:jc w:val="center"/>
                    <w:rPr>
                      <w:kern w:val="0"/>
                      <w:szCs w:val="21"/>
                    </w:rPr>
                  </w:pPr>
                  <w:r>
                    <w:rPr>
                      <w:kern w:val="0"/>
                      <w:szCs w:val="21"/>
                    </w:rPr>
                    <w:t>合计</w:t>
                  </w:r>
                </w:p>
              </w:tc>
              <w:tc>
                <w:tcPr>
                  <w:tcW w:w="1330" w:type="pct"/>
                  <w:noWrap/>
                  <w:vAlign w:val="center"/>
                </w:tcPr>
                <w:p>
                  <w:pPr>
                    <w:widowControl/>
                    <w:jc w:val="center"/>
                    <w:rPr>
                      <w:kern w:val="0"/>
                      <w:szCs w:val="21"/>
                    </w:rPr>
                  </w:pPr>
                </w:p>
              </w:tc>
              <w:tc>
                <w:tcPr>
                  <w:tcW w:w="1379" w:type="pct"/>
                  <w:noWrap/>
                  <w:vAlign w:val="center"/>
                </w:tcPr>
                <w:p>
                  <w:pPr>
                    <w:widowControl/>
                    <w:jc w:val="center"/>
                    <w:rPr>
                      <w:kern w:val="0"/>
                      <w:szCs w:val="21"/>
                    </w:rPr>
                  </w:pPr>
                  <w:r>
                    <w:rPr>
                      <w:kern w:val="0"/>
                      <w:szCs w:val="21"/>
                    </w:rPr>
                    <w:t>163</w:t>
                  </w:r>
                </w:p>
              </w:tc>
            </w:tr>
          </w:tbl>
          <w:p>
            <w:pPr>
              <w:spacing w:line="460" w:lineRule="exact"/>
              <w:ind w:firstLine="472" w:firstLineChars="200"/>
              <w:rPr>
                <w:rFonts w:hAnsiTheme="minorEastAsia" w:eastAsiaTheme="minorEastAsia"/>
                <w:spacing w:val="-2"/>
                <w:sz w:val="24"/>
                <w:szCs w:val="24"/>
              </w:rPr>
            </w:pPr>
            <w:r>
              <w:rPr>
                <w:rFonts w:hint="eastAsia" w:eastAsiaTheme="minorEastAsia"/>
                <w:b/>
                <w:sz w:val="24"/>
              </w:rPr>
              <w:t>4</w:t>
            </w:r>
            <w:r>
              <w:rPr>
                <w:rFonts w:hAnsiTheme="minorEastAsia" w:eastAsiaTheme="minorEastAsia"/>
                <w:b/>
                <w:sz w:val="24"/>
              </w:rPr>
              <w:t>、</w:t>
            </w:r>
            <w:r>
              <w:rPr>
                <w:rFonts w:hint="eastAsia" w:hAnsiTheme="minorEastAsia" w:eastAsiaTheme="minorEastAsia"/>
                <w:b/>
                <w:sz w:val="24"/>
              </w:rPr>
              <w:t>原辅材料</w:t>
            </w:r>
          </w:p>
          <w:p>
            <w:pPr>
              <w:spacing w:line="460" w:lineRule="exact"/>
              <w:ind w:firstLine="464" w:firstLineChars="200"/>
              <w:rPr>
                <w:rFonts w:eastAsiaTheme="minorEastAsia"/>
                <w:sz w:val="24"/>
              </w:rPr>
            </w:pPr>
            <w:r>
              <w:rPr>
                <w:rFonts w:hint="eastAsia" w:hAnsiTheme="minorEastAsia" w:eastAsiaTheme="minorEastAsia"/>
                <w:spacing w:val="-2"/>
                <w:sz w:val="24"/>
                <w:szCs w:val="24"/>
              </w:rPr>
              <w:t>本</w:t>
            </w:r>
            <w:r>
              <w:rPr>
                <w:rFonts w:hAnsiTheme="minorEastAsia" w:eastAsiaTheme="minorEastAsia"/>
                <w:spacing w:val="-2"/>
                <w:sz w:val="24"/>
                <w:szCs w:val="24"/>
              </w:rPr>
              <w:t>项目主要</w:t>
            </w:r>
            <w:r>
              <w:rPr>
                <w:rFonts w:hint="eastAsia" w:hAnsiTheme="minorEastAsia" w:eastAsiaTheme="minorEastAsia"/>
                <w:spacing w:val="-2"/>
                <w:sz w:val="24"/>
                <w:szCs w:val="24"/>
              </w:rPr>
              <w:t>原辅材料用量</w:t>
            </w:r>
            <w:r>
              <w:rPr>
                <w:rFonts w:hAnsiTheme="minorEastAsia" w:eastAsiaTheme="minorEastAsia"/>
                <w:spacing w:val="-2"/>
                <w:sz w:val="24"/>
                <w:szCs w:val="24"/>
              </w:rPr>
              <w:t>见</w:t>
            </w:r>
            <w:r>
              <w:rPr>
                <w:rFonts w:hint="eastAsia" w:eastAsiaTheme="minorEastAsia"/>
                <w:spacing w:val="-2"/>
                <w:sz w:val="24"/>
                <w:szCs w:val="24"/>
              </w:rPr>
              <w:t>表2-5</w:t>
            </w:r>
            <w:r>
              <w:rPr>
                <w:rFonts w:hAnsiTheme="minorEastAsia" w:eastAsiaTheme="minorEastAsia"/>
                <w:sz w:val="24"/>
              </w:rPr>
              <w:t>。</w:t>
            </w:r>
          </w:p>
          <w:p>
            <w:pPr>
              <w:spacing w:line="480" w:lineRule="exact"/>
              <w:jc w:val="center"/>
              <w:rPr>
                <w:rFonts w:eastAsiaTheme="minorEastAsia"/>
                <w:b/>
                <w:sz w:val="24"/>
              </w:rPr>
            </w:pPr>
            <w:r>
              <w:rPr>
                <w:rFonts w:hAnsiTheme="minorEastAsia" w:eastAsiaTheme="minorEastAsia"/>
                <w:b/>
                <w:bCs/>
                <w:sz w:val="24"/>
              </w:rPr>
              <w:t>表</w:t>
            </w:r>
            <w:r>
              <w:rPr>
                <w:rFonts w:hint="eastAsia" w:eastAsiaTheme="minorEastAsia"/>
                <w:b/>
                <w:bCs/>
                <w:sz w:val="24"/>
              </w:rPr>
              <w:t>2-5</w:t>
            </w:r>
            <w:r>
              <w:rPr>
                <w:rFonts w:eastAsiaTheme="minorEastAsia"/>
                <w:b/>
                <w:bCs/>
                <w:sz w:val="24"/>
              </w:rPr>
              <w:t xml:space="preserve"> </w:t>
            </w:r>
            <w:r>
              <w:rPr>
                <w:rFonts w:hint="eastAsia" w:eastAsiaTheme="minorEastAsia"/>
                <w:b/>
                <w:bCs/>
                <w:sz w:val="24"/>
              </w:rPr>
              <w:t xml:space="preserve">  </w:t>
            </w:r>
            <w:r>
              <w:rPr>
                <w:rFonts w:hAnsiTheme="minorEastAsia" w:eastAsiaTheme="minorEastAsia"/>
                <w:b/>
                <w:bCs/>
                <w:sz w:val="24"/>
              </w:rPr>
              <w:t>主要</w:t>
            </w:r>
            <w:r>
              <w:rPr>
                <w:rFonts w:hint="eastAsia" w:hAnsiTheme="minorEastAsia" w:eastAsiaTheme="minorEastAsia"/>
                <w:b/>
                <w:bCs/>
                <w:sz w:val="24"/>
              </w:rPr>
              <w:t>原辅材料用量情</w:t>
            </w:r>
            <w:r>
              <w:rPr>
                <w:rFonts w:hAnsiTheme="minorEastAsia" w:eastAsiaTheme="minorEastAsia"/>
                <w:b/>
                <w:bCs/>
                <w:sz w:val="24"/>
              </w:rPr>
              <w:t>一览表</w:t>
            </w:r>
          </w:p>
          <w:tbl>
            <w:tblPr>
              <w:tblStyle w:val="28"/>
              <w:tblW w:w="498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579"/>
              <w:gridCol w:w="1011"/>
              <w:gridCol w:w="1136"/>
              <w:gridCol w:w="46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adjustRightInd w:val="0"/>
                    <w:snapToGrid w:val="0"/>
                    <w:spacing w:line="300" w:lineRule="exact"/>
                    <w:jc w:val="center"/>
                    <w:rPr>
                      <w:snapToGrid w:val="0"/>
                      <w:kern w:val="0"/>
                      <w:szCs w:val="21"/>
                    </w:rPr>
                  </w:pPr>
                  <w:r>
                    <w:rPr>
                      <w:snapToGrid w:val="0"/>
                      <w:kern w:val="0"/>
                      <w:szCs w:val="21"/>
                    </w:rPr>
                    <w:t>序号</w:t>
                  </w:r>
                </w:p>
              </w:tc>
              <w:tc>
                <w:tcPr>
                  <w:tcW w:w="867" w:type="pct"/>
                  <w:vAlign w:val="center"/>
                </w:tcPr>
                <w:p>
                  <w:pPr>
                    <w:adjustRightInd w:val="0"/>
                    <w:snapToGrid w:val="0"/>
                    <w:spacing w:line="300" w:lineRule="exact"/>
                    <w:jc w:val="center"/>
                    <w:rPr>
                      <w:snapToGrid w:val="0"/>
                      <w:kern w:val="0"/>
                      <w:szCs w:val="21"/>
                    </w:rPr>
                  </w:pPr>
                  <w:r>
                    <w:rPr>
                      <w:snapToGrid w:val="0"/>
                      <w:kern w:val="0"/>
                      <w:szCs w:val="21"/>
                    </w:rPr>
                    <w:t>名称</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单位</w:t>
                  </w:r>
                </w:p>
              </w:tc>
              <w:tc>
                <w:tcPr>
                  <w:tcW w:w="624" w:type="pct"/>
                  <w:vAlign w:val="center"/>
                </w:tcPr>
                <w:p>
                  <w:pPr>
                    <w:adjustRightInd w:val="0"/>
                    <w:snapToGrid w:val="0"/>
                    <w:spacing w:line="300" w:lineRule="exact"/>
                    <w:jc w:val="center"/>
                    <w:rPr>
                      <w:snapToGrid w:val="0"/>
                      <w:kern w:val="0"/>
                      <w:szCs w:val="21"/>
                    </w:rPr>
                  </w:pPr>
                  <w:r>
                    <w:rPr>
                      <w:snapToGrid w:val="0"/>
                      <w:kern w:val="0"/>
                      <w:szCs w:val="21"/>
                    </w:rPr>
                    <w:t>数量</w:t>
                  </w:r>
                </w:p>
              </w:tc>
              <w:tc>
                <w:tcPr>
                  <w:tcW w:w="2540" w:type="pct"/>
                  <w:vAlign w:val="center"/>
                </w:tcPr>
                <w:p>
                  <w:pPr>
                    <w:adjustRightInd w:val="0"/>
                    <w:snapToGrid w:val="0"/>
                    <w:spacing w:line="300" w:lineRule="exact"/>
                    <w:jc w:val="center"/>
                    <w:rPr>
                      <w:snapToGrid w:val="0"/>
                      <w:kern w:val="0"/>
                      <w:szCs w:val="21"/>
                    </w:rPr>
                  </w:pPr>
                  <w:r>
                    <w:rPr>
                      <w:snapToGrid w:val="0"/>
                      <w:kern w:val="0"/>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3"/>
                    <w:spacing w:line="300" w:lineRule="exact"/>
                    <w:rPr>
                      <w:rFonts w:ascii="Times New Roman"/>
                      <w:szCs w:val="21"/>
                    </w:rPr>
                  </w:pPr>
                  <w:r>
                    <w:rPr>
                      <w:rFonts w:ascii="Times New Roman"/>
                      <w:szCs w:val="21"/>
                    </w:rPr>
                    <w:t>1</w:t>
                  </w:r>
                </w:p>
              </w:tc>
              <w:tc>
                <w:tcPr>
                  <w:tcW w:w="867" w:type="pct"/>
                  <w:vAlign w:val="center"/>
                </w:tcPr>
                <w:p>
                  <w:pPr>
                    <w:pStyle w:val="93"/>
                    <w:spacing w:line="300" w:lineRule="exact"/>
                    <w:rPr>
                      <w:rFonts w:ascii="Times New Roman"/>
                      <w:kern w:val="0"/>
                      <w:szCs w:val="21"/>
                    </w:rPr>
                  </w:pPr>
                  <w:r>
                    <w:rPr>
                      <w:rFonts w:ascii="Times New Roman"/>
                      <w:kern w:val="0"/>
                      <w:szCs w:val="21"/>
                    </w:rPr>
                    <w:t>钢板</w:t>
                  </w:r>
                </w:p>
              </w:tc>
              <w:tc>
                <w:tcPr>
                  <w:tcW w:w="555" w:type="pct"/>
                  <w:vAlign w:val="center"/>
                </w:tcPr>
                <w:p>
                  <w:pPr>
                    <w:spacing w:line="300" w:lineRule="exact"/>
                    <w:jc w:val="center"/>
                    <w:rPr>
                      <w:snapToGrid w:val="0"/>
                      <w:kern w:val="0"/>
                      <w:szCs w:val="21"/>
                    </w:rPr>
                  </w:pPr>
                  <w:r>
                    <w:rPr>
                      <w:snapToGrid w:val="0"/>
                      <w:kern w:val="0"/>
                      <w:szCs w:val="21"/>
                    </w:rPr>
                    <w:t>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128</w:t>
                  </w:r>
                  <w:r>
                    <w:rPr>
                      <w:snapToGrid w:val="0"/>
                      <w:kern w:val="0"/>
                      <w:szCs w:val="21"/>
                    </w:rPr>
                    <w:t>00</w:t>
                  </w:r>
                </w:p>
              </w:tc>
              <w:tc>
                <w:tcPr>
                  <w:tcW w:w="2540" w:type="pct"/>
                </w:tcPr>
                <w:p>
                  <w:pPr>
                    <w:spacing w:line="300" w:lineRule="exact"/>
                    <w:jc w:val="center"/>
                    <w:rPr>
                      <w:szCs w:val="21"/>
                    </w:rPr>
                  </w:pPr>
                  <w:r>
                    <w:rPr>
                      <w:snapToGrid w:val="0"/>
                      <w:kern w:val="0"/>
                      <w:szCs w:val="21"/>
                    </w:rPr>
                    <w:t>外购，</w:t>
                  </w:r>
                  <w:r>
                    <w:rPr>
                      <w:rFonts w:hint="eastAsia"/>
                      <w:snapToGrid w:val="0"/>
                      <w:kern w:val="0"/>
                      <w:szCs w:val="21"/>
                    </w:rPr>
                    <w:t>汽车运输至厂内，</w:t>
                  </w:r>
                  <w:r>
                    <w:rPr>
                      <w:snapToGrid w:val="0"/>
                      <w:kern w:val="0"/>
                      <w:szCs w:val="21"/>
                    </w:rPr>
                    <w:t>贮存于原料</w:t>
                  </w:r>
                  <w:r>
                    <w:rPr>
                      <w:rFonts w:hint="eastAsia"/>
                      <w:snapToGrid w:val="0"/>
                      <w:kern w:val="0"/>
                      <w:szCs w:val="21"/>
                    </w:rPr>
                    <w:t>仓</w:t>
                  </w:r>
                  <w:r>
                    <w:rPr>
                      <w:snapToGrid w:val="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eastAsia="宋体"/>
                      <w:sz w:val="21"/>
                      <w:szCs w:val="21"/>
                    </w:rPr>
                    <w:t>2</w:t>
                  </w:r>
                </w:p>
              </w:tc>
              <w:tc>
                <w:tcPr>
                  <w:tcW w:w="867" w:type="pct"/>
                  <w:vAlign w:val="center"/>
                </w:tcPr>
                <w:p>
                  <w:pPr>
                    <w:pStyle w:val="94"/>
                    <w:spacing w:after="0" w:line="300" w:lineRule="exact"/>
                    <w:ind w:left="0"/>
                    <w:jc w:val="center"/>
                    <w:outlineLvl w:val="9"/>
                    <w:rPr>
                      <w:rFonts w:eastAsia="宋体"/>
                      <w:sz w:val="21"/>
                      <w:szCs w:val="21"/>
                    </w:rPr>
                  </w:pPr>
                  <w:r>
                    <w:rPr>
                      <w:rFonts w:eastAsia="宋体"/>
                      <w:sz w:val="21"/>
                      <w:szCs w:val="21"/>
                    </w:rPr>
                    <w:t>卷板</w:t>
                  </w:r>
                </w:p>
              </w:tc>
              <w:tc>
                <w:tcPr>
                  <w:tcW w:w="555" w:type="pct"/>
                  <w:vAlign w:val="center"/>
                </w:tcPr>
                <w:p>
                  <w:pPr>
                    <w:spacing w:line="300" w:lineRule="exact"/>
                    <w:jc w:val="center"/>
                    <w:rPr>
                      <w:snapToGrid w:val="0"/>
                      <w:kern w:val="0"/>
                      <w:szCs w:val="21"/>
                    </w:rPr>
                  </w:pPr>
                  <w:r>
                    <w:rPr>
                      <w:snapToGrid w:val="0"/>
                      <w:kern w:val="0"/>
                      <w:szCs w:val="21"/>
                    </w:rPr>
                    <w:t>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32</w:t>
                  </w:r>
                  <w:r>
                    <w:rPr>
                      <w:snapToGrid w:val="0"/>
                      <w:kern w:val="0"/>
                      <w:szCs w:val="21"/>
                    </w:rPr>
                    <w:t>00</w:t>
                  </w:r>
                </w:p>
              </w:tc>
              <w:tc>
                <w:tcPr>
                  <w:tcW w:w="2540" w:type="pct"/>
                </w:tcPr>
                <w:p>
                  <w:pPr>
                    <w:spacing w:line="300" w:lineRule="exact"/>
                    <w:jc w:val="center"/>
                    <w:rPr>
                      <w:szCs w:val="21"/>
                    </w:rPr>
                  </w:pPr>
                  <w:r>
                    <w:rPr>
                      <w:snapToGrid w:val="0"/>
                      <w:kern w:val="0"/>
                      <w:szCs w:val="21"/>
                    </w:rPr>
                    <w:t>外购</w:t>
                  </w:r>
                  <w:r>
                    <w:rPr>
                      <w:rFonts w:hint="eastAsia"/>
                      <w:snapToGrid w:val="0"/>
                      <w:kern w:val="0"/>
                      <w:szCs w:val="21"/>
                    </w:rPr>
                    <w:t>，汽车运输至厂内，</w:t>
                  </w:r>
                  <w:r>
                    <w:rPr>
                      <w:snapToGrid w:val="0"/>
                      <w:kern w:val="0"/>
                      <w:szCs w:val="21"/>
                    </w:rPr>
                    <w:t>贮存于原料</w:t>
                  </w:r>
                  <w:r>
                    <w:rPr>
                      <w:rFonts w:hint="eastAsia"/>
                      <w:snapToGrid w:val="0"/>
                      <w:kern w:val="0"/>
                      <w:szCs w:val="21"/>
                    </w:rPr>
                    <w:t>仓</w:t>
                  </w:r>
                  <w:r>
                    <w:rPr>
                      <w:snapToGrid w:val="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eastAsia="宋体"/>
                      <w:sz w:val="21"/>
                      <w:szCs w:val="21"/>
                    </w:rPr>
                    <w:t>3</w:t>
                  </w:r>
                </w:p>
              </w:tc>
              <w:tc>
                <w:tcPr>
                  <w:tcW w:w="867" w:type="pct"/>
                  <w:vAlign w:val="center"/>
                </w:tcPr>
                <w:p>
                  <w:pPr>
                    <w:pStyle w:val="94"/>
                    <w:spacing w:after="0" w:line="300" w:lineRule="exact"/>
                    <w:ind w:left="0"/>
                    <w:jc w:val="center"/>
                    <w:outlineLvl w:val="9"/>
                    <w:rPr>
                      <w:rFonts w:eastAsia="宋体"/>
                      <w:sz w:val="21"/>
                      <w:szCs w:val="21"/>
                    </w:rPr>
                  </w:pPr>
                  <w:r>
                    <w:rPr>
                      <w:rFonts w:eastAsia="宋体"/>
                      <w:sz w:val="21"/>
                      <w:szCs w:val="21"/>
                    </w:rPr>
                    <w:t>型钢</w:t>
                  </w:r>
                </w:p>
              </w:tc>
              <w:tc>
                <w:tcPr>
                  <w:tcW w:w="555" w:type="pct"/>
                  <w:vAlign w:val="center"/>
                </w:tcPr>
                <w:p>
                  <w:pPr>
                    <w:spacing w:line="300" w:lineRule="exact"/>
                    <w:jc w:val="center"/>
                    <w:rPr>
                      <w:snapToGrid w:val="0"/>
                      <w:kern w:val="0"/>
                      <w:szCs w:val="21"/>
                    </w:rPr>
                  </w:pPr>
                  <w:r>
                    <w:rPr>
                      <w:snapToGrid w:val="0"/>
                      <w:kern w:val="0"/>
                      <w:szCs w:val="21"/>
                    </w:rPr>
                    <w:t>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344</w:t>
                  </w:r>
                  <w:r>
                    <w:rPr>
                      <w:snapToGrid w:val="0"/>
                      <w:kern w:val="0"/>
                      <w:szCs w:val="21"/>
                    </w:rPr>
                    <w:t>00</w:t>
                  </w:r>
                </w:p>
              </w:tc>
              <w:tc>
                <w:tcPr>
                  <w:tcW w:w="2540" w:type="pct"/>
                </w:tcPr>
                <w:p>
                  <w:pPr>
                    <w:spacing w:line="300" w:lineRule="exact"/>
                    <w:jc w:val="center"/>
                    <w:rPr>
                      <w:szCs w:val="21"/>
                    </w:rPr>
                  </w:pPr>
                  <w:r>
                    <w:rPr>
                      <w:snapToGrid w:val="0"/>
                      <w:kern w:val="0"/>
                      <w:szCs w:val="21"/>
                    </w:rPr>
                    <w:t>外购，材质Q235B</w:t>
                  </w:r>
                  <w:r>
                    <w:rPr>
                      <w:rFonts w:hint="eastAsia"/>
                      <w:snapToGrid w:val="0"/>
                      <w:kern w:val="0"/>
                      <w:szCs w:val="21"/>
                    </w:rPr>
                    <w:t>，主要为热轧型钢，汽车运输至厂内，</w:t>
                  </w:r>
                  <w:r>
                    <w:rPr>
                      <w:snapToGrid w:val="0"/>
                      <w:kern w:val="0"/>
                      <w:szCs w:val="21"/>
                    </w:rPr>
                    <w:t>贮存于原料</w:t>
                  </w:r>
                  <w:r>
                    <w:rPr>
                      <w:rFonts w:hint="eastAsia"/>
                      <w:snapToGrid w:val="0"/>
                      <w:kern w:val="0"/>
                      <w:szCs w:val="21"/>
                    </w:rPr>
                    <w:t>仓</w:t>
                  </w:r>
                  <w:r>
                    <w:rPr>
                      <w:snapToGrid w:val="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eastAsia="宋体"/>
                      <w:sz w:val="21"/>
                      <w:szCs w:val="21"/>
                    </w:rPr>
                    <w:t>4</w:t>
                  </w:r>
                </w:p>
              </w:tc>
              <w:tc>
                <w:tcPr>
                  <w:tcW w:w="867" w:type="pct"/>
                  <w:vAlign w:val="center"/>
                </w:tcPr>
                <w:p>
                  <w:pPr>
                    <w:pStyle w:val="94"/>
                    <w:spacing w:after="0" w:line="300" w:lineRule="exact"/>
                    <w:ind w:left="0"/>
                    <w:jc w:val="center"/>
                    <w:outlineLvl w:val="9"/>
                    <w:rPr>
                      <w:rFonts w:eastAsia="宋体"/>
                      <w:sz w:val="21"/>
                      <w:szCs w:val="21"/>
                    </w:rPr>
                  </w:pPr>
                  <w:r>
                    <w:rPr>
                      <w:rFonts w:eastAsia="宋体"/>
                      <w:sz w:val="21"/>
                      <w:szCs w:val="21"/>
                    </w:rPr>
                    <w:t>高频焊钢型材</w:t>
                  </w:r>
                </w:p>
              </w:tc>
              <w:tc>
                <w:tcPr>
                  <w:tcW w:w="555" w:type="pct"/>
                  <w:vAlign w:val="center"/>
                </w:tcPr>
                <w:p>
                  <w:pPr>
                    <w:spacing w:line="300" w:lineRule="exact"/>
                    <w:jc w:val="center"/>
                    <w:rPr>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320</w:t>
                  </w:r>
                  <w:r>
                    <w:rPr>
                      <w:snapToGrid w:val="0"/>
                      <w:kern w:val="0"/>
                      <w:szCs w:val="21"/>
                    </w:rPr>
                    <w:t>00</w:t>
                  </w:r>
                </w:p>
              </w:tc>
              <w:tc>
                <w:tcPr>
                  <w:tcW w:w="2540" w:type="pct"/>
                </w:tcPr>
                <w:p>
                  <w:pPr>
                    <w:spacing w:line="300" w:lineRule="exact"/>
                    <w:jc w:val="center"/>
                    <w:rPr>
                      <w:szCs w:val="21"/>
                    </w:rPr>
                  </w:pPr>
                  <w:r>
                    <w:rPr>
                      <w:snapToGrid w:val="0"/>
                      <w:kern w:val="0"/>
                      <w:szCs w:val="21"/>
                    </w:rPr>
                    <w:t>外购，材质Q235B</w:t>
                  </w:r>
                  <w:r>
                    <w:rPr>
                      <w:rFonts w:hint="eastAsia"/>
                      <w:snapToGrid w:val="0"/>
                      <w:kern w:val="0"/>
                      <w:szCs w:val="21"/>
                    </w:rPr>
                    <w:t>、</w:t>
                  </w:r>
                  <w:r>
                    <w:rPr>
                      <w:snapToGrid w:val="0"/>
                      <w:kern w:val="0"/>
                      <w:szCs w:val="21"/>
                    </w:rPr>
                    <w:t>Q</w:t>
                  </w:r>
                  <w:r>
                    <w:rPr>
                      <w:rFonts w:hint="eastAsia"/>
                      <w:snapToGrid w:val="0"/>
                      <w:kern w:val="0"/>
                      <w:szCs w:val="21"/>
                    </w:rPr>
                    <w:t>34</w:t>
                  </w:r>
                  <w:r>
                    <w:rPr>
                      <w:snapToGrid w:val="0"/>
                      <w:kern w:val="0"/>
                      <w:szCs w:val="21"/>
                    </w:rPr>
                    <w:t>5B</w:t>
                  </w:r>
                  <w:r>
                    <w:rPr>
                      <w:rFonts w:hint="eastAsia"/>
                      <w:snapToGrid w:val="0"/>
                      <w:kern w:val="0"/>
                      <w:szCs w:val="21"/>
                    </w:rPr>
                    <w:t>，主要有U型和H型，汽车运输至厂内，</w:t>
                  </w:r>
                  <w:r>
                    <w:rPr>
                      <w:snapToGrid w:val="0"/>
                      <w:kern w:val="0"/>
                      <w:szCs w:val="21"/>
                    </w:rPr>
                    <w:t>贮存于原料</w:t>
                  </w:r>
                  <w:r>
                    <w:rPr>
                      <w:rFonts w:hint="eastAsia"/>
                      <w:snapToGrid w:val="0"/>
                      <w:kern w:val="0"/>
                      <w:szCs w:val="21"/>
                    </w:rPr>
                    <w:t>仓</w:t>
                  </w:r>
                  <w:r>
                    <w:rPr>
                      <w:snapToGrid w:val="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eastAsia="宋体"/>
                      <w:sz w:val="21"/>
                      <w:szCs w:val="21"/>
                    </w:rPr>
                    <w:t>5</w:t>
                  </w:r>
                </w:p>
              </w:tc>
              <w:tc>
                <w:tcPr>
                  <w:tcW w:w="867" w:type="pct"/>
                  <w:vAlign w:val="center"/>
                </w:tcPr>
                <w:p>
                  <w:pPr>
                    <w:pStyle w:val="94"/>
                    <w:spacing w:after="0" w:line="300" w:lineRule="exact"/>
                    <w:ind w:left="0"/>
                    <w:jc w:val="center"/>
                    <w:outlineLvl w:val="9"/>
                    <w:rPr>
                      <w:rFonts w:eastAsia="宋体"/>
                      <w:color w:val="000000" w:themeColor="text1"/>
                      <w:sz w:val="21"/>
                      <w:szCs w:val="21"/>
                    </w:rPr>
                  </w:pPr>
                  <w:r>
                    <w:rPr>
                      <w:rFonts w:hint="eastAsia" w:eastAsia="宋体"/>
                      <w:color w:val="000000" w:themeColor="text1"/>
                      <w:sz w:val="21"/>
                      <w:szCs w:val="21"/>
                    </w:rPr>
                    <w:t>水性漆</w:t>
                  </w:r>
                </w:p>
              </w:tc>
              <w:tc>
                <w:tcPr>
                  <w:tcW w:w="555" w:type="pct"/>
                  <w:vAlign w:val="center"/>
                </w:tcPr>
                <w:p>
                  <w:pPr>
                    <w:spacing w:line="300" w:lineRule="exact"/>
                    <w:jc w:val="center"/>
                    <w:rPr>
                      <w:snapToGrid w:val="0"/>
                      <w:color w:val="000000" w:themeColor="text1"/>
                      <w:kern w:val="0"/>
                      <w:szCs w:val="21"/>
                    </w:rPr>
                  </w:pPr>
                  <w:r>
                    <w:rPr>
                      <w:snapToGrid w:val="0"/>
                      <w:color w:val="000000" w:themeColor="text1"/>
                      <w:kern w:val="0"/>
                      <w:szCs w:val="21"/>
                    </w:rPr>
                    <w:t>t</w:t>
                  </w:r>
                  <w:r>
                    <w:rPr>
                      <w:color w:val="000000" w:themeColor="text1"/>
                      <w:szCs w:val="21"/>
                    </w:rPr>
                    <w:t>/a</w:t>
                  </w:r>
                </w:p>
              </w:tc>
              <w:tc>
                <w:tcPr>
                  <w:tcW w:w="624" w:type="pct"/>
                  <w:vAlign w:val="center"/>
                </w:tcPr>
                <w:p>
                  <w:pPr>
                    <w:adjustRightInd w:val="0"/>
                    <w:snapToGrid w:val="0"/>
                    <w:spacing w:line="300" w:lineRule="exact"/>
                    <w:jc w:val="center"/>
                    <w:rPr>
                      <w:snapToGrid w:val="0"/>
                      <w:color w:val="000000" w:themeColor="text1"/>
                      <w:kern w:val="0"/>
                      <w:szCs w:val="21"/>
                    </w:rPr>
                  </w:pPr>
                  <w:r>
                    <w:rPr>
                      <w:rFonts w:hint="eastAsia"/>
                      <w:snapToGrid w:val="0"/>
                      <w:color w:val="000000" w:themeColor="text1"/>
                      <w:kern w:val="0"/>
                      <w:szCs w:val="21"/>
                    </w:rPr>
                    <w:t>97.61</w:t>
                  </w:r>
                </w:p>
              </w:tc>
              <w:tc>
                <w:tcPr>
                  <w:tcW w:w="2540" w:type="pct"/>
                </w:tcPr>
                <w:p>
                  <w:pPr>
                    <w:spacing w:line="300" w:lineRule="exact"/>
                    <w:jc w:val="center"/>
                    <w:rPr>
                      <w:snapToGrid w:val="0"/>
                      <w:color w:val="000000" w:themeColor="text1"/>
                      <w:kern w:val="0"/>
                      <w:szCs w:val="21"/>
                    </w:rPr>
                  </w:pPr>
                  <w:r>
                    <w:rPr>
                      <w:rFonts w:hint="eastAsia"/>
                      <w:snapToGrid w:val="0"/>
                      <w:color w:val="000000" w:themeColor="text1"/>
                      <w:kern w:val="0"/>
                      <w:szCs w:val="21"/>
                    </w:rPr>
                    <w:t>外购，桶装，20kg/桶，用于</w:t>
                  </w:r>
                  <w:r>
                    <w:rPr>
                      <w:color w:val="000000" w:themeColor="text1"/>
                      <w:szCs w:val="21"/>
                    </w:rPr>
                    <w:t>型钢</w:t>
                  </w:r>
                  <w:r>
                    <w:rPr>
                      <w:rFonts w:hint="eastAsia"/>
                      <w:snapToGrid w:val="0"/>
                      <w:color w:val="000000" w:themeColor="text1"/>
                      <w:kern w:val="0"/>
                      <w:szCs w:val="21"/>
                    </w:rPr>
                    <w:t>喷涂，</w:t>
                  </w:r>
                  <w:r>
                    <w:rPr>
                      <w:snapToGrid w:val="0"/>
                      <w:color w:val="FF0000"/>
                      <w:kern w:val="0"/>
                      <w:szCs w:val="21"/>
                    </w:rPr>
                    <w:t>贮存于原料</w:t>
                  </w:r>
                  <w:r>
                    <w:rPr>
                      <w:rFonts w:hint="eastAsia"/>
                      <w:snapToGrid w:val="0"/>
                      <w:color w:val="FF0000"/>
                      <w:kern w:val="0"/>
                      <w:szCs w:val="21"/>
                    </w:rPr>
                    <w:t>仓</w:t>
                  </w:r>
                  <w:r>
                    <w:rPr>
                      <w:snapToGrid w:val="0"/>
                      <w:color w:val="FF000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6</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无铅</w:t>
                  </w:r>
                  <w:r>
                    <w:rPr>
                      <w:rFonts w:eastAsia="宋体"/>
                      <w:sz w:val="21"/>
                      <w:szCs w:val="21"/>
                    </w:rPr>
                    <w:t>焊</w:t>
                  </w:r>
                  <w:r>
                    <w:rPr>
                      <w:rFonts w:hint="eastAsia" w:eastAsia="宋体"/>
                      <w:sz w:val="21"/>
                      <w:szCs w:val="21"/>
                    </w:rPr>
                    <w:t>条</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10</w:t>
                  </w:r>
                </w:p>
              </w:tc>
              <w:tc>
                <w:tcPr>
                  <w:tcW w:w="2540" w:type="pct"/>
                  <w:vAlign w:val="center"/>
                </w:tcPr>
                <w:p>
                  <w:pPr>
                    <w:adjustRightInd w:val="0"/>
                    <w:snapToGrid w:val="0"/>
                    <w:spacing w:line="300" w:lineRule="exact"/>
                    <w:jc w:val="center"/>
                    <w:rPr>
                      <w:snapToGrid w:val="0"/>
                      <w:kern w:val="0"/>
                      <w:szCs w:val="21"/>
                    </w:rPr>
                  </w:pPr>
                  <w:r>
                    <w:rPr>
                      <w:rFonts w:hint="eastAsia"/>
                      <w:snapToGrid w:val="0"/>
                      <w:kern w:val="0"/>
                      <w:szCs w:val="21"/>
                    </w:rPr>
                    <w:t>用于板材焊接，</w:t>
                  </w:r>
                  <w:r>
                    <w:rPr>
                      <w:snapToGrid w:val="0"/>
                      <w:color w:val="FF0000"/>
                      <w:kern w:val="0"/>
                      <w:szCs w:val="21"/>
                    </w:rPr>
                    <w:t>贮存于原料</w:t>
                  </w:r>
                  <w:r>
                    <w:rPr>
                      <w:rFonts w:hint="eastAsia"/>
                      <w:snapToGrid w:val="0"/>
                      <w:color w:val="FF0000"/>
                      <w:kern w:val="0"/>
                      <w:szCs w:val="21"/>
                    </w:rPr>
                    <w:t>仓</w:t>
                  </w:r>
                  <w:r>
                    <w:rPr>
                      <w:snapToGrid w:val="0"/>
                      <w:color w:val="FF000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7</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二氧化碳</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20</w:t>
                  </w:r>
                </w:p>
              </w:tc>
              <w:tc>
                <w:tcPr>
                  <w:tcW w:w="2540" w:type="pct"/>
                  <w:vAlign w:val="center"/>
                </w:tcPr>
                <w:p>
                  <w:pPr>
                    <w:adjustRightInd w:val="0"/>
                    <w:snapToGrid w:val="0"/>
                    <w:spacing w:line="300" w:lineRule="exact"/>
                    <w:rPr>
                      <w:snapToGrid w:val="0"/>
                      <w:kern w:val="0"/>
                      <w:szCs w:val="21"/>
                    </w:rPr>
                  </w:pPr>
                  <w:r>
                    <w:rPr>
                      <w:rFonts w:hint="eastAsia"/>
                      <w:snapToGrid w:val="0"/>
                      <w:color w:val="000000" w:themeColor="text1"/>
                      <w:kern w:val="0"/>
                      <w:szCs w:val="21"/>
                    </w:rPr>
                    <w:t>外购，</w:t>
                  </w:r>
                  <w:r>
                    <w:rPr>
                      <w:rFonts w:hint="eastAsia"/>
                      <w:snapToGrid w:val="0"/>
                      <w:kern w:val="0"/>
                      <w:szCs w:val="21"/>
                    </w:rPr>
                    <w:t>25kg/瓶，用于板材焊接保护气，</w:t>
                  </w:r>
                  <w:r>
                    <w:rPr>
                      <w:rFonts w:hint="eastAsia"/>
                      <w:snapToGrid w:val="0"/>
                      <w:color w:val="FF0000"/>
                      <w:kern w:val="0"/>
                      <w:szCs w:val="21"/>
                    </w:rPr>
                    <w:t>位于车间内，仅够当天用量，不在厂内大量储存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8</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丙烷</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4.8</w:t>
                  </w:r>
                </w:p>
              </w:tc>
              <w:tc>
                <w:tcPr>
                  <w:tcW w:w="2540" w:type="pct"/>
                  <w:vAlign w:val="center"/>
                </w:tcPr>
                <w:p>
                  <w:pPr>
                    <w:adjustRightInd w:val="0"/>
                    <w:snapToGrid w:val="0"/>
                    <w:spacing w:line="300" w:lineRule="exact"/>
                    <w:rPr>
                      <w:snapToGrid w:val="0"/>
                      <w:kern w:val="0"/>
                      <w:szCs w:val="21"/>
                    </w:rPr>
                  </w:pPr>
                  <w:r>
                    <w:rPr>
                      <w:rFonts w:hint="eastAsia"/>
                      <w:snapToGrid w:val="0"/>
                      <w:color w:val="000000" w:themeColor="text1"/>
                      <w:kern w:val="0"/>
                      <w:szCs w:val="21"/>
                    </w:rPr>
                    <w:t>外购，</w:t>
                  </w:r>
                  <w:r>
                    <w:rPr>
                      <w:rFonts w:hint="eastAsia"/>
                      <w:snapToGrid w:val="0"/>
                      <w:kern w:val="0"/>
                      <w:szCs w:val="21"/>
                    </w:rPr>
                    <w:t>25kg/瓶，东、西侧切割区各1个瓶，用于板材、型材切割，</w:t>
                  </w:r>
                  <w:r>
                    <w:rPr>
                      <w:rFonts w:hint="eastAsia"/>
                      <w:snapToGrid w:val="0"/>
                      <w:color w:val="FF0000"/>
                      <w:kern w:val="0"/>
                      <w:szCs w:val="21"/>
                    </w:rPr>
                    <w:t>位于车间内，仅够当天用量，不在厂内大量储存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9</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氧气</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80</w:t>
                  </w:r>
                </w:p>
              </w:tc>
              <w:tc>
                <w:tcPr>
                  <w:tcW w:w="2540" w:type="pct"/>
                  <w:vAlign w:val="center"/>
                </w:tcPr>
                <w:p>
                  <w:pPr>
                    <w:adjustRightInd w:val="0"/>
                    <w:snapToGrid w:val="0"/>
                    <w:spacing w:line="300" w:lineRule="exact"/>
                    <w:rPr>
                      <w:snapToGrid w:val="0"/>
                      <w:kern w:val="0"/>
                      <w:szCs w:val="21"/>
                    </w:rPr>
                  </w:pPr>
                  <w:r>
                    <w:rPr>
                      <w:rFonts w:hint="eastAsia"/>
                      <w:snapToGrid w:val="0"/>
                      <w:color w:val="000000" w:themeColor="text1"/>
                      <w:kern w:val="0"/>
                      <w:szCs w:val="21"/>
                    </w:rPr>
                    <w:t>外购，</w:t>
                  </w:r>
                  <w:r>
                    <w:rPr>
                      <w:rFonts w:hint="eastAsia"/>
                      <w:snapToGrid w:val="0"/>
                      <w:kern w:val="0"/>
                      <w:szCs w:val="21"/>
                    </w:rPr>
                    <w:t>25kg/瓶，用于板材、型材切割，</w:t>
                  </w:r>
                  <w:r>
                    <w:rPr>
                      <w:rFonts w:hint="eastAsia"/>
                      <w:snapToGrid w:val="0"/>
                      <w:color w:val="FF0000"/>
                      <w:kern w:val="0"/>
                      <w:szCs w:val="21"/>
                    </w:rPr>
                    <w:t>位于车间内，仅够当天用量，不在厂内大量储存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10</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钢丸</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160</w:t>
                  </w:r>
                </w:p>
              </w:tc>
              <w:tc>
                <w:tcPr>
                  <w:tcW w:w="2540" w:type="pct"/>
                  <w:vAlign w:val="center"/>
                </w:tcPr>
                <w:p>
                  <w:pPr>
                    <w:adjustRightInd w:val="0"/>
                    <w:snapToGrid w:val="0"/>
                    <w:spacing w:line="300" w:lineRule="exact"/>
                    <w:jc w:val="center"/>
                    <w:rPr>
                      <w:snapToGrid w:val="0"/>
                      <w:kern w:val="0"/>
                      <w:szCs w:val="21"/>
                    </w:rPr>
                  </w:pPr>
                  <w:r>
                    <w:rPr>
                      <w:rFonts w:hint="eastAsia"/>
                      <w:snapToGrid w:val="0"/>
                      <w:kern w:val="0"/>
                      <w:szCs w:val="21"/>
                    </w:rPr>
                    <w:t>袋装，用于抛丸，</w:t>
                  </w:r>
                  <w:r>
                    <w:rPr>
                      <w:snapToGrid w:val="0"/>
                      <w:color w:val="FF0000"/>
                      <w:kern w:val="0"/>
                      <w:szCs w:val="21"/>
                    </w:rPr>
                    <w:t>贮存于原料</w:t>
                  </w:r>
                  <w:r>
                    <w:rPr>
                      <w:rFonts w:hint="eastAsia"/>
                      <w:snapToGrid w:val="0"/>
                      <w:color w:val="FF0000"/>
                      <w:kern w:val="0"/>
                      <w:szCs w:val="21"/>
                    </w:rPr>
                    <w:t>仓</w:t>
                  </w:r>
                  <w:r>
                    <w:rPr>
                      <w:snapToGrid w:val="0"/>
                      <w:color w:val="FF000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11</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液压油</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0.05</w:t>
                  </w:r>
                </w:p>
              </w:tc>
              <w:tc>
                <w:tcPr>
                  <w:tcW w:w="2540" w:type="pct"/>
                  <w:vAlign w:val="center"/>
                </w:tcPr>
                <w:p>
                  <w:pPr>
                    <w:adjustRightInd w:val="0"/>
                    <w:snapToGrid w:val="0"/>
                    <w:spacing w:line="300" w:lineRule="exact"/>
                    <w:jc w:val="center"/>
                    <w:rPr>
                      <w:snapToGrid w:val="0"/>
                      <w:kern w:val="0"/>
                      <w:szCs w:val="21"/>
                    </w:rPr>
                  </w:pPr>
                  <w:r>
                    <w:rPr>
                      <w:szCs w:val="21"/>
                    </w:rPr>
                    <w:t>外购</w:t>
                  </w:r>
                  <w:r>
                    <w:rPr>
                      <w:rFonts w:hint="eastAsia"/>
                      <w:szCs w:val="21"/>
                    </w:rPr>
                    <w:t>，桶装（25kg/桶），桶周转使用，</w:t>
                  </w:r>
                  <w:r>
                    <w:rPr>
                      <w:rFonts w:hint="eastAsia"/>
                      <w:snapToGrid w:val="0"/>
                      <w:kern w:val="0"/>
                      <w:szCs w:val="21"/>
                    </w:rPr>
                    <w:t>用于</w:t>
                  </w:r>
                  <w:r>
                    <w:rPr>
                      <w:kern w:val="0"/>
                      <w:szCs w:val="21"/>
                    </w:rPr>
                    <w:t>校直机</w:t>
                  </w:r>
                  <w:r>
                    <w:rPr>
                      <w:rFonts w:hint="eastAsia"/>
                      <w:kern w:val="0"/>
                      <w:szCs w:val="21"/>
                    </w:rPr>
                    <w:t>、</w:t>
                  </w:r>
                  <w:r>
                    <w:rPr>
                      <w:kern w:val="0"/>
                      <w:szCs w:val="21"/>
                    </w:rPr>
                    <w:t>辊压机</w:t>
                  </w:r>
                  <w:r>
                    <w:rPr>
                      <w:rFonts w:hint="eastAsia"/>
                      <w:kern w:val="0"/>
                      <w:szCs w:val="21"/>
                    </w:rPr>
                    <w:t>等</w:t>
                  </w:r>
                  <w:r>
                    <w:rPr>
                      <w:rFonts w:hint="eastAsia"/>
                      <w:snapToGrid w:val="0"/>
                      <w:kern w:val="0"/>
                      <w:szCs w:val="21"/>
                    </w:rPr>
                    <w:t>液压设备，</w:t>
                  </w:r>
                  <w:r>
                    <w:rPr>
                      <w:snapToGrid w:val="0"/>
                      <w:color w:val="FF0000"/>
                      <w:kern w:val="0"/>
                      <w:szCs w:val="21"/>
                    </w:rPr>
                    <w:t>贮存于原料</w:t>
                  </w:r>
                  <w:r>
                    <w:rPr>
                      <w:rFonts w:hint="eastAsia"/>
                      <w:snapToGrid w:val="0"/>
                      <w:color w:val="FF0000"/>
                      <w:kern w:val="0"/>
                      <w:szCs w:val="21"/>
                    </w:rPr>
                    <w:t>仓</w:t>
                  </w:r>
                  <w:r>
                    <w:rPr>
                      <w:snapToGrid w:val="0"/>
                      <w:color w:val="FF0000"/>
                      <w:kern w:val="0"/>
                      <w:szCs w:val="21"/>
                    </w:rPr>
                    <w:t>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1"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12</w:t>
                  </w:r>
                </w:p>
              </w:tc>
              <w:tc>
                <w:tcPr>
                  <w:tcW w:w="867" w:type="pct"/>
                  <w:vAlign w:val="center"/>
                </w:tcPr>
                <w:p>
                  <w:pPr>
                    <w:pStyle w:val="94"/>
                    <w:spacing w:after="0" w:line="300" w:lineRule="exact"/>
                    <w:ind w:left="0"/>
                    <w:jc w:val="center"/>
                    <w:outlineLvl w:val="9"/>
                    <w:rPr>
                      <w:rFonts w:eastAsia="宋体"/>
                      <w:sz w:val="21"/>
                      <w:szCs w:val="21"/>
                    </w:rPr>
                  </w:pPr>
                  <w:r>
                    <w:rPr>
                      <w:rFonts w:hint="eastAsia" w:eastAsia="宋体"/>
                      <w:sz w:val="21"/>
                      <w:szCs w:val="21"/>
                    </w:rPr>
                    <w:t>切削液</w:t>
                  </w:r>
                </w:p>
              </w:tc>
              <w:tc>
                <w:tcPr>
                  <w:tcW w:w="555" w:type="pct"/>
                  <w:vAlign w:val="center"/>
                </w:tcPr>
                <w:p>
                  <w:pPr>
                    <w:adjustRightInd w:val="0"/>
                    <w:snapToGrid w:val="0"/>
                    <w:spacing w:line="300" w:lineRule="exact"/>
                    <w:jc w:val="center"/>
                    <w:rPr>
                      <w:snapToGrid w:val="0"/>
                      <w:kern w:val="0"/>
                      <w:szCs w:val="21"/>
                    </w:rPr>
                  </w:pPr>
                  <w:r>
                    <w:rPr>
                      <w:snapToGrid w:val="0"/>
                      <w:kern w:val="0"/>
                      <w:szCs w:val="21"/>
                    </w:rPr>
                    <w:t>t</w:t>
                  </w:r>
                  <w:r>
                    <w:rPr>
                      <w:szCs w:val="21"/>
                    </w:rPr>
                    <w:t>/a</w:t>
                  </w:r>
                </w:p>
              </w:tc>
              <w:tc>
                <w:tcPr>
                  <w:tcW w:w="624" w:type="pct"/>
                  <w:vAlign w:val="center"/>
                </w:tcPr>
                <w:p>
                  <w:pPr>
                    <w:adjustRightInd w:val="0"/>
                    <w:snapToGrid w:val="0"/>
                    <w:spacing w:line="300" w:lineRule="exact"/>
                    <w:jc w:val="center"/>
                    <w:rPr>
                      <w:snapToGrid w:val="0"/>
                      <w:kern w:val="0"/>
                      <w:szCs w:val="21"/>
                    </w:rPr>
                  </w:pPr>
                  <w:r>
                    <w:rPr>
                      <w:rFonts w:hint="eastAsia"/>
                      <w:snapToGrid w:val="0"/>
                      <w:kern w:val="0"/>
                      <w:szCs w:val="21"/>
                    </w:rPr>
                    <w:t>0.025</w:t>
                  </w:r>
                </w:p>
              </w:tc>
              <w:tc>
                <w:tcPr>
                  <w:tcW w:w="2540" w:type="pct"/>
                  <w:vAlign w:val="center"/>
                </w:tcPr>
                <w:p>
                  <w:pPr>
                    <w:adjustRightInd w:val="0"/>
                    <w:snapToGrid w:val="0"/>
                    <w:spacing w:line="300" w:lineRule="exact"/>
                    <w:jc w:val="center"/>
                    <w:rPr>
                      <w:snapToGrid w:val="0"/>
                      <w:kern w:val="0"/>
                      <w:szCs w:val="21"/>
                    </w:rPr>
                  </w:pPr>
                  <w:r>
                    <w:rPr>
                      <w:szCs w:val="21"/>
                    </w:rPr>
                    <w:t>外购</w:t>
                  </w:r>
                  <w:r>
                    <w:rPr>
                      <w:rFonts w:hint="eastAsia"/>
                      <w:szCs w:val="21"/>
                    </w:rPr>
                    <w:t>，桶装（25kg/桶），桶周转使用，</w:t>
                  </w:r>
                  <w:r>
                    <w:rPr>
                      <w:rFonts w:hint="eastAsia"/>
                      <w:snapToGrid w:val="0"/>
                      <w:kern w:val="0"/>
                      <w:szCs w:val="21"/>
                    </w:rPr>
                    <w:t>用于</w:t>
                  </w:r>
                  <w:r>
                    <w:rPr>
                      <w:kern w:val="0"/>
                      <w:szCs w:val="21"/>
                    </w:rPr>
                    <w:t>钻床</w:t>
                  </w:r>
                  <w:r>
                    <w:rPr>
                      <w:rFonts w:hint="eastAsia"/>
                      <w:kern w:val="0"/>
                      <w:szCs w:val="21"/>
                    </w:rPr>
                    <w:t>钻孔润滑、降温，</w:t>
                  </w:r>
                  <w:r>
                    <w:rPr>
                      <w:snapToGrid w:val="0"/>
                      <w:color w:val="FF0000"/>
                      <w:kern w:val="0"/>
                      <w:szCs w:val="21"/>
                    </w:rPr>
                    <w:t>贮存于原料</w:t>
                  </w:r>
                  <w:r>
                    <w:rPr>
                      <w:rFonts w:hint="eastAsia"/>
                      <w:snapToGrid w:val="0"/>
                      <w:color w:val="FF0000"/>
                      <w:kern w:val="0"/>
                      <w:szCs w:val="21"/>
                    </w:rPr>
                    <w:t>仓</w:t>
                  </w:r>
                  <w:r>
                    <w:rPr>
                      <w:snapToGrid w:val="0"/>
                      <w:color w:val="FF0000"/>
                      <w:kern w:val="0"/>
                      <w:szCs w:val="21"/>
                    </w:rPr>
                    <w:t>库</w:t>
                  </w:r>
                </w:p>
              </w:tc>
            </w:tr>
          </w:tbl>
          <w:p>
            <w:pPr>
              <w:spacing w:line="360" w:lineRule="auto"/>
              <w:ind w:left="412" w:leftChars="200"/>
              <w:rPr>
                <w:sz w:val="24"/>
              </w:rPr>
            </w:pPr>
            <w:r>
              <w:rPr>
                <w:rFonts w:hint="eastAsia"/>
                <w:sz w:val="24"/>
              </w:rPr>
              <w:t>主要</w:t>
            </w:r>
            <w:r>
              <w:rPr>
                <w:sz w:val="24"/>
              </w:rPr>
              <w:t>原辅材料的理化性质：</w:t>
            </w:r>
          </w:p>
          <w:p>
            <w:pPr>
              <w:pStyle w:val="9"/>
              <w:spacing w:line="360" w:lineRule="auto"/>
              <w:rPr>
                <w:rFonts w:ascii="Times New Roman" w:hAnsi="Times New Roman"/>
              </w:rPr>
            </w:pPr>
            <w:r>
              <w:rPr>
                <w:rFonts w:ascii="Times New Roman" w:hAnsi="Times New Roman"/>
              </w:rPr>
              <w:t>(1)丙烷：化学式为C</w:t>
            </w:r>
            <w:r>
              <w:rPr>
                <w:rFonts w:ascii="Times New Roman" w:hAnsi="Times New Roman"/>
                <w:vertAlign w:val="subscript"/>
              </w:rPr>
              <w:t>3</w:t>
            </w:r>
            <w:r>
              <w:rPr>
                <w:rFonts w:ascii="Times New Roman" w:hAnsi="Times New Roman"/>
              </w:rPr>
              <w:t>H</w:t>
            </w:r>
            <w:r>
              <w:rPr>
                <w:rFonts w:ascii="Times New Roman" w:hAnsi="Times New Roman"/>
                <w:vertAlign w:val="subscript"/>
              </w:rPr>
              <w:t>8</w:t>
            </w:r>
            <w:r>
              <w:rPr>
                <w:rFonts w:ascii="Times New Roman" w:hAnsi="Times New Roman"/>
              </w:rPr>
              <w:t>，结构简式为CH</w:t>
            </w:r>
            <w:r>
              <w:rPr>
                <w:rFonts w:ascii="Times New Roman" w:hAnsi="Times New Roman"/>
                <w:vertAlign w:val="subscript"/>
              </w:rPr>
              <w:t>3</w:t>
            </w:r>
            <w:r>
              <w:rPr>
                <w:rFonts w:ascii="Times New Roman" w:hAnsi="Times New Roman"/>
              </w:rPr>
              <w:t>CH</w:t>
            </w:r>
            <w:r>
              <w:rPr>
                <w:rFonts w:ascii="Times New Roman" w:hAnsi="Times New Roman"/>
                <w:vertAlign w:val="subscript"/>
              </w:rPr>
              <w:t>2</w:t>
            </w:r>
            <w:r>
              <w:rPr>
                <w:rFonts w:ascii="Times New Roman" w:hAnsi="Times New Roman"/>
              </w:rPr>
              <w:t>CH</w:t>
            </w:r>
            <w:r>
              <w:rPr>
                <w:rFonts w:ascii="Times New Roman" w:hAnsi="Times New Roman"/>
                <w:vertAlign w:val="subscript"/>
              </w:rPr>
              <w:t>3</w:t>
            </w:r>
            <w:r>
              <w:rPr>
                <w:rFonts w:ascii="Times New Roman" w:hAnsi="Times New Roman"/>
              </w:rPr>
              <w:t>。通常为气态,但一般经过压缩成液态后运输。外观与性状：无色气体纯品无臭。熔点(℃)：-187.6，沸点(℃)：-42.1，相对密度(水=1)：0.58(44.5℃)，着火点(℃)：450，易燃，相对蒸气密度(空气=1)1.56，饱和蒸气压(kPa)：53.32(-55.6℃)，燃烧热(KJ/mol)：2217.8，临界温度(℃)：96.8，临界压力(MPa)：4.25，闪点(℃)：-104，引燃温度(℃)：450，爆炸上限(VV)：9.5，爆炸下限%(VV)：2.1，溶解性：微溶于水,，溶于乙醇、乙醚。在低温下容易与水生成固态水合物。健康危害：本品有单纯性窒息及麻醉作用。人短暂接触1%丙烷，不引起症状；10%以下的浓度，只引起轻度头晕，接触高浓度时可岀现麻醉状态、意识丧失；极髙浓度时可致窒息。燃爆危险：本品易燃。危险特性：易燃气体。与空气混合能形成爆炸性混合物，遇热源和明火有燃烧爆炸的危险。与氧化剂接触猛烈反应。</w:t>
            </w:r>
          </w:p>
          <w:p>
            <w:pPr>
              <w:pStyle w:val="9"/>
              <w:spacing w:line="360" w:lineRule="auto"/>
              <w:rPr>
                <w:rFonts w:ascii="Times New Roman" w:hAnsi="Times New Roman"/>
              </w:rPr>
            </w:pPr>
            <w:r>
              <w:rPr>
                <w:rFonts w:ascii="Times New Roman" w:hAnsi="Times New Roman"/>
              </w:rPr>
              <w:t xml:space="preserve">（2）切削液：是一种用在金属切削、打磨加工过程中，用来冷却和润滑刀具和加工件的工业用液体，切削液成分组成为：矿物80%，脂肪酸0~30%，乳化剂15~25%，防锈剂0~5%，防腐剂&lt;2%，消泡剂&lt;1%。主要用于切、铣等工序。 </w:t>
            </w:r>
          </w:p>
          <w:p>
            <w:pPr>
              <w:pStyle w:val="9"/>
              <w:spacing w:line="360" w:lineRule="auto"/>
              <w:rPr>
                <w:rFonts w:ascii="Times New Roman" w:hAnsi="Times New Roman"/>
              </w:rPr>
            </w:pPr>
            <w:r>
              <w:rPr>
                <w:rFonts w:ascii="Times New Roman" w:hAnsi="Times New Roman"/>
              </w:rPr>
              <w:t>（3）液压油：就是利用液体压力能的液压系统使用的液压介质，在液压系统中起着能量传递、抗磨、系统润滑、防腐、防锈、冷却等作用。</w:t>
            </w:r>
          </w:p>
          <w:p>
            <w:pPr>
              <w:pStyle w:val="9"/>
              <w:spacing w:line="360" w:lineRule="auto"/>
              <w:ind w:firstLine="472" w:firstLineChars="200"/>
              <w:rPr>
                <w:rFonts w:ascii="Times New Roman" w:hAnsi="Times New Roman"/>
              </w:rPr>
            </w:pPr>
            <w:r>
              <w:rPr>
                <w:rFonts w:ascii="Times New Roman" w:hAnsi="Times New Roman"/>
              </w:rPr>
              <w:t>（4）水性漆：</w:t>
            </w:r>
          </w:p>
          <w:p>
            <w:pPr>
              <w:pStyle w:val="9"/>
              <w:spacing w:line="360" w:lineRule="auto"/>
              <w:ind w:firstLine="472" w:firstLineChars="200"/>
              <w:rPr>
                <w:rFonts w:ascii="Times New Roman" w:hAnsi="Times New Roman"/>
              </w:rPr>
            </w:pPr>
            <w:r>
              <w:rPr>
                <w:rFonts w:ascii="Times New Roman" w:hAnsi="Times New Roman"/>
              </w:rPr>
              <w:t>a.水性漆用量情况</w:t>
            </w:r>
          </w:p>
          <w:p>
            <w:pPr>
              <w:spacing w:line="360" w:lineRule="auto"/>
              <w:ind w:left="412" w:leftChars="200"/>
              <w:rPr>
                <w:sz w:val="24"/>
              </w:rPr>
            </w:pPr>
            <w:r>
              <w:rPr>
                <w:sz w:val="24"/>
              </w:rPr>
              <w:t>本项目所用水性漆</w:t>
            </w:r>
            <w:r>
              <w:rPr>
                <w:rFonts w:hint="eastAsia"/>
                <w:sz w:val="24"/>
              </w:rPr>
              <w:t>（</w:t>
            </w:r>
            <w:r>
              <w:rPr>
                <w:sz w:val="24"/>
              </w:rPr>
              <w:t>晨阳水漆</w:t>
            </w:r>
            <w:r>
              <w:rPr>
                <w:rFonts w:hint="eastAsia"/>
                <w:sz w:val="24"/>
              </w:rPr>
              <w:t>）</w:t>
            </w:r>
            <w:r>
              <w:rPr>
                <w:sz w:val="24"/>
              </w:rPr>
              <w:t>用量计算参数见表</w:t>
            </w:r>
            <w:r>
              <w:rPr>
                <w:rFonts w:hint="eastAsia"/>
                <w:sz w:val="24"/>
              </w:rPr>
              <w:t>2-6</w:t>
            </w:r>
            <w:r>
              <w:rPr>
                <w:sz w:val="24"/>
              </w:rPr>
              <w:t>：</w:t>
            </w:r>
          </w:p>
          <w:p>
            <w:pPr>
              <w:spacing w:line="360" w:lineRule="auto"/>
              <w:jc w:val="center"/>
              <w:rPr>
                <w:rFonts w:eastAsiaTheme="minorEastAsia"/>
                <w:b/>
                <w:sz w:val="24"/>
              </w:rPr>
            </w:pPr>
            <w:r>
              <w:rPr>
                <w:rFonts w:eastAsiaTheme="minorEastAsia"/>
                <w:b/>
                <w:bCs/>
                <w:sz w:val="24"/>
              </w:rPr>
              <w:t>表</w:t>
            </w:r>
            <w:r>
              <w:rPr>
                <w:rFonts w:hint="eastAsia" w:eastAsiaTheme="minorEastAsia"/>
                <w:b/>
                <w:bCs/>
                <w:sz w:val="24"/>
              </w:rPr>
              <w:t>2-6</w:t>
            </w:r>
            <w:r>
              <w:rPr>
                <w:rFonts w:eastAsiaTheme="minorEastAsia"/>
                <w:b/>
                <w:bCs/>
                <w:sz w:val="24"/>
              </w:rPr>
              <w:t xml:space="preserve">   </w:t>
            </w:r>
            <w:r>
              <w:rPr>
                <w:rFonts w:hint="eastAsia" w:eastAsiaTheme="minorEastAsia"/>
                <w:b/>
                <w:bCs/>
                <w:sz w:val="24"/>
              </w:rPr>
              <w:t>水性漆用量计算参数</w:t>
            </w:r>
            <w:r>
              <w:rPr>
                <w:rFonts w:hAnsiTheme="minorEastAsia" w:eastAsiaTheme="minorEastAsia"/>
                <w:b/>
                <w:bCs/>
                <w:sz w:val="24"/>
              </w:rPr>
              <w:t>一览表</w:t>
            </w:r>
          </w:p>
          <w:tbl>
            <w:tblPr>
              <w:tblStyle w:val="28"/>
              <w:tblW w:w="498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124"/>
              <w:gridCol w:w="861"/>
              <w:gridCol w:w="893"/>
              <w:gridCol w:w="687"/>
              <w:gridCol w:w="1241"/>
              <w:gridCol w:w="1224"/>
              <w:gridCol w:w="1035"/>
              <w:gridCol w:w="11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pct"/>
                  <w:vAlign w:val="center"/>
                </w:tcPr>
                <w:p>
                  <w:pPr>
                    <w:adjustRightInd w:val="0"/>
                    <w:snapToGrid w:val="0"/>
                    <w:spacing w:line="300" w:lineRule="exact"/>
                    <w:jc w:val="center"/>
                    <w:rPr>
                      <w:snapToGrid w:val="0"/>
                      <w:kern w:val="0"/>
                      <w:szCs w:val="21"/>
                    </w:rPr>
                  </w:pPr>
                  <w:r>
                    <w:rPr>
                      <w:rFonts w:hint="eastAsia"/>
                      <w:snapToGrid w:val="0"/>
                      <w:kern w:val="0"/>
                      <w:szCs w:val="21"/>
                    </w:rPr>
                    <w:t>类型</w:t>
                  </w:r>
                </w:p>
              </w:tc>
              <w:tc>
                <w:tcPr>
                  <w:tcW w:w="589" w:type="pct"/>
                  <w:vAlign w:val="center"/>
                </w:tcPr>
                <w:p>
                  <w:pPr>
                    <w:adjustRightInd w:val="0"/>
                    <w:snapToGrid w:val="0"/>
                    <w:spacing w:line="300" w:lineRule="exact"/>
                    <w:jc w:val="center"/>
                    <w:rPr>
                      <w:snapToGrid w:val="0"/>
                      <w:kern w:val="0"/>
                      <w:szCs w:val="21"/>
                    </w:rPr>
                  </w:pPr>
                  <w:r>
                    <w:rPr>
                      <w:rFonts w:hint="eastAsia"/>
                      <w:snapToGrid w:val="0"/>
                      <w:kern w:val="0"/>
                      <w:szCs w:val="21"/>
                    </w:rPr>
                    <w:t>密度（g/cm</w:t>
                  </w:r>
                  <w:r>
                    <w:rPr>
                      <w:rFonts w:hint="eastAsia"/>
                      <w:snapToGrid w:val="0"/>
                      <w:kern w:val="0"/>
                      <w:szCs w:val="21"/>
                      <w:vertAlign w:val="superscript"/>
                    </w:rPr>
                    <w:t>3</w:t>
                  </w:r>
                  <w:r>
                    <w:rPr>
                      <w:rFonts w:hint="eastAsia"/>
                      <w:snapToGrid w:val="0"/>
                      <w:kern w:val="0"/>
                      <w:szCs w:val="21"/>
                    </w:rPr>
                    <w:t>）</w:t>
                  </w:r>
                </w:p>
              </w:tc>
              <w:tc>
                <w:tcPr>
                  <w:tcW w:w="477" w:type="pct"/>
                  <w:vAlign w:val="center"/>
                </w:tcPr>
                <w:p>
                  <w:pPr>
                    <w:adjustRightInd w:val="0"/>
                    <w:snapToGrid w:val="0"/>
                    <w:spacing w:line="300" w:lineRule="exact"/>
                    <w:jc w:val="center"/>
                    <w:rPr>
                      <w:snapToGrid w:val="0"/>
                      <w:kern w:val="0"/>
                      <w:szCs w:val="21"/>
                    </w:rPr>
                  </w:pPr>
                  <w:r>
                    <w:rPr>
                      <w:rFonts w:hint="eastAsia"/>
                      <w:snapToGrid w:val="0"/>
                      <w:kern w:val="0"/>
                      <w:szCs w:val="21"/>
                    </w:rPr>
                    <w:t>干膜厚度</w:t>
                  </w:r>
                  <w:r>
                    <w:rPr>
                      <w:snapToGrid w:val="0"/>
                      <w:color w:val="000000" w:themeColor="text1"/>
                      <w:kern w:val="0"/>
                      <w:szCs w:val="21"/>
                    </w:rPr>
                    <w:t>(</w:t>
                  </w:r>
                  <w:r>
                    <w:rPr>
                      <w:rStyle w:val="33"/>
                      <w:i w:val="0"/>
                      <w:color w:val="000000" w:themeColor="text1"/>
                      <w:sz w:val="19"/>
                      <w:szCs w:val="19"/>
                      <w:shd w:val="clear" w:color="auto" w:fill="FFFFFF"/>
                    </w:rPr>
                    <w:t>μ</w:t>
                  </w:r>
                  <w:r>
                    <w:rPr>
                      <w:rStyle w:val="33"/>
                      <w:rFonts w:hint="eastAsia"/>
                      <w:i w:val="0"/>
                      <w:color w:val="000000" w:themeColor="text1"/>
                      <w:sz w:val="19"/>
                      <w:szCs w:val="19"/>
                      <w:shd w:val="clear" w:color="auto" w:fill="FFFFFF"/>
                    </w:rPr>
                    <w:t>m</w:t>
                  </w:r>
                  <w:r>
                    <w:rPr>
                      <w:snapToGrid w:val="0"/>
                      <w:color w:val="000000" w:themeColor="text1"/>
                      <w:kern w:val="0"/>
                      <w:szCs w:val="21"/>
                    </w:rPr>
                    <w:t>)</w:t>
                  </w:r>
                </w:p>
              </w:tc>
              <w:tc>
                <w:tcPr>
                  <w:tcW w:w="494" w:type="pct"/>
                  <w:vAlign w:val="center"/>
                </w:tcPr>
                <w:p>
                  <w:pPr>
                    <w:adjustRightInd w:val="0"/>
                    <w:snapToGrid w:val="0"/>
                    <w:spacing w:line="300" w:lineRule="exact"/>
                    <w:jc w:val="center"/>
                    <w:rPr>
                      <w:snapToGrid w:val="0"/>
                      <w:kern w:val="0"/>
                      <w:szCs w:val="21"/>
                    </w:rPr>
                  </w:pPr>
                  <w:r>
                    <w:rPr>
                      <w:rFonts w:hint="eastAsia"/>
                      <w:snapToGrid w:val="0"/>
                      <w:kern w:val="0"/>
                      <w:szCs w:val="21"/>
                    </w:rPr>
                    <w:t>固份体积比</w:t>
                  </w:r>
                </w:p>
              </w:tc>
              <w:tc>
                <w:tcPr>
                  <w:tcW w:w="381" w:type="pct"/>
                  <w:vAlign w:val="center"/>
                </w:tcPr>
                <w:p>
                  <w:pPr>
                    <w:adjustRightInd w:val="0"/>
                    <w:snapToGrid w:val="0"/>
                    <w:spacing w:line="300" w:lineRule="exact"/>
                    <w:jc w:val="center"/>
                    <w:rPr>
                      <w:snapToGrid w:val="0"/>
                      <w:kern w:val="0"/>
                      <w:szCs w:val="21"/>
                    </w:rPr>
                  </w:pPr>
                  <w:r>
                    <w:rPr>
                      <w:rFonts w:hint="eastAsia"/>
                      <w:snapToGrid w:val="0"/>
                      <w:kern w:val="0"/>
                      <w:szCs w:val="21"/>
                    </w:rPr>
                    <w:t>上漆率</w:t>
                  </w:r>
                </w:p>
              </w:tc>
              <w:tc>
                <w:tcPr>
                  <w:tcW w:w="685" w:type="pct"/>
                  <w:vAlign w:val="center"/>
                </w:tcPr>
                <w:p>
                  <w:pPr>
                    <w:adjustRightInd w:val="0"/>
                    <w:snapToGrid w:val="0"/>
                    <w:spacing w:line="300" w:lineRule="exact"/>
                    <w:jc w:val="center"/>
                    <w:rPr>
                      <w:snapToGrid w:val="0"/>
                      <w:kern w:val="0"/>
                      <w:szCs w:val="21"/>
                    </w:rPr>
                  </w:pPr>
                  <w:r>
                    <w:rPr>
                      <w:rFonts w:hint="eastAsia"/>
                      <w:snapToGrid w:val="0"/>
                      <w:kern w:val="0"/>
                      <w:szCs w:val="21"/>
                    </w:rPr>
                    <w:t>单位产品平均喷涂表面积（m</w:t>
                  </w:r>
                  <w:r>
                    <w:rPr>
                      <w:rFonts w:hint="eastAsia"/>
                      <w:snapToGrid w:val="0"/>
                      <w:kern w:val="0"/>
                      <w:szCs w:val="21"/>
                      <w:vertAlign w:val="superscript"/>
                    </w:rPr>
                    <w:t>2</w:t>
                  </w:r>
                  <w:r>
                    <w:rPr>
                      <w:rFonts w:hint="eastAsia"/>
                      <w:snapToGrid w:val="0"/>
                      <w:kern w:val="0"/>
                      <w:szCs w:val="21"/>
                    </w:rPr>
                    <w:t>/t）</w:t>
                  </w:r>
                </w:p>
              </w:tc>
              <w:tc>
                <w:tcPr>
                  <w:tcW w:w="676" w:type="pct"/>
                  <w:vAlign w:val="center"/>
                </w:tcPr>
                <w:p>
                  <w:pPr>
                    <w:adjustRightInd w:val="0"/>
                    <w:snapToGrid w:val="0"/>
                    <w:spacing w:line="300" w:lineRule="exact"/>
                    <w:jc w:val="center"/>
                    <w:rPr>
                      <w:snapToGrid w:val="0"/>
                      <w:kern w:val="0"/>
                      <w:szCs w:val="21"/>
                    </w:rPr>
                  </w:pPr>
                  <w:r>
                    <w:rPr>
                      <w:rFonts w:hint="eastAsia"/>
                      <w:snapToGrid w:val="0"/>
                      <w:kern w:val="0"/>
                      <w:szCs w:val="21"/>
                    </w:rPr>
                    <w:t>单位产品平均耗</w:t>
                  </w:r>
                  <w:r>
                    <w:rPr>
                      <w:szCs w:val="21"/>
                    </w:rPr>
                    <w:t>漆</w:t>
                  </w:r>
                  <w:r>
                    <w:rPr>
                      <w:rFonts w:hint="eastAsia"/>
                      <w:snapToGrid w:val="0"/>
                      <w:kern w:val="0"/>
                      <w:szCs w:val="21"/>
                    </w:rPr>
                    <w:t>量（t/t）</w:t>
                  </w:r>
                </w:p>
              </w:tc>
              <w:tc>
                <w:tcPr>
                  <w:tcW w:w="572" w:type="pct"/>
                  <w:vAlign w:val="center"/>
                </w:tcPr>
                <w:p>
                  <w:pPr>
                    <w:adjustRightInd w:val="0"/>
                    <w:snapToGrid w:val="0"/>
                    <w:spacing w:line="300" w:lineRule="exact"/>
                    <w:jc w:val="center"/>
                    <w:rPr>
                      <w:snapToGrid w:val="0"/>
                      <w:kern w:val="0"/>
                      <w:szCs w:val="21"/>
                    </w:rPr>
                  </w:pPr>
                  <w:r>
                    <w:rPr>
                      <w:rFonts w:hint="eastAsia"/>
                      <w:snapToGrid w:val="0"/>
                      <w:kern w:val="0"/>
                      <w:szCs w:val="21"/>
                    </w:rPr>
                    <w:t>本项目需喷涂量（t/a）</w:t>
                  </w:r>
                </w:p>
              </w:tc>
              <w:tc>
                <w:tcPr>
                  <w:tcW w:w="606" w:type="pct"/>
                  <w:vAlign w:val="center"/>
                </w:tcPr>
                <w:p>
                  <w:pPr>
                    <w:adjustRightInd w:val="0"/>
                    <w:snapToGrid w:val="0"/>
                    <w:spacing w:line="300" w:lineRule="exact"/>
                    <w:jc w:val="center"/>
                    <w:rPr>
                      <w:snapToGrid w:val="0"/>
                      <w:kern w:val="0"/>
                      <w:szCs w:val="21"/>
                    </w:rPr>
                  </w:pPr>
                  <w:r>
                    <w:rPr>
                      <w:rFonts w:hint="eastAsia"/>
                      <w:snapToGrid w:val="0"/>
                      <w:kern w:val="0"/>
                      <w:szCs w:val="21"/>
                    </w:rPr>
                    <w:t>本项目耗</w:t>
                  </w:r>
                  <w:r>
                    <w:rPr>
                      <w:szCs w:val="21"/>
                    </w:rPr>
                    <w:t>漆</w:t>
                  </w:r>
                  <w:r>
                    <w:rPr>
                      <w:rFonts w:hint="eastAsia"/>
                      <w:snapToGrid w:val="0"/>
                      <w:kern w:val="0"/>
                      <w:szCs w:val="21"/>
                    </w:rPr>
                    <w:t>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pct"/>
                  <w:vAlign w:val="center"/>
                </w:tcPr>
                <w:p>
                  <w:pPr>
                    <w:pStyle w:val="93"/>
                    <w:spacing w:line="300" w:lineRule="exact"/>
                    <w:rPr>
                      <w:rFonts w:ascii="Times New Roman"/>
                      <w:szCs w:val="21"/>
                    </w:rPr>
                  </w:pPr>
                  <w:r>
                    <w:rPr>
                      <w:rFonts w:ascii="Times New Roman"/>
                      <w:szCs w:val="21"/>
                    </w:rPr>
                    <w:t>水性醇酸漆</w:t>
                  </w:r>
                </w:p>
              </w:tc>
              <w:tc>
                <w:tcPr>
                  <w:tcW w:w="589" w:type="pct"/>
                  <w:vAlign w:val="center"/>
                </w:tcPr>
                <w:p>
                  <w:pPr>
                    <w:pStyle w:val="93"/>
                    <w:spacing w:line="300" w:lineRule="exact"/>
                    <w:rPr>
                      <w:rFonts w:ascii="Times New Roman"/>
                      <w:kern w:val="0"/>
                      <w:szCs w:val="21"/>
                    </w:rPr>
                  </w:pPr>
                  <w:r>
                    <w:rPr>
                      <w:rFonts w:hint="eastAsia" w:ascii="Times New Roman"/>
                      <w:kern w:val="0"/>
                      <w:szCs w:val="21"/>
                    </w:rPr>
                    <w:t>1.2</w:t>
                  </w:r>
                </w:p>
              </w:tc>
              <w:tc>
                <w:tcPr>
                  <w:tcW w:w="477" w:type="pct"/>
                  <w:vAlign w:val="center"/>
                </w:tcPr>
                <w:p>
                  <w:pPr>
                    <w:spacing w:line="300" w:lineRule="exact"/>
                    <w:jc w:val="center"/>
                    <w:rPr>
                      <w:snapToGrid w:val="0"/>
                      <w:kern w:val="0"/>
                      <w:szCs w:val="21"/>
                    </w:rPr>
                  </w:pPr>
                  <w:r>
                    <w:rPr>
                      <w:rFonts w:hint="eastAsia"/>
                      <w:snapToGrid w:val="0"/>
                      <w:kern w:val="0"/>
                      <w:szCs w:val="21"/>
                    </w:rPr>
                    <w:t>40</w:t>
                  </w:r>
                </w:p>
              </w:tc>
              <w:tc>
                <w:tcPr>
                  <w:tcW w:w="494" w:type="pct"/>
                  <w:vAlign w:val="center"/>
                </w:tcPr>
                <w:p>
                  <w:pPr>
                    <w:adjustRightInd w:val="0"/>
                    <w:snapToGrid w:val="0"/>
                    <w:spacing w:line="300" w:lineRule="exact"/>
                    <w:jc w:val="center"/>
                    <w:rPr>
                      <w:snapToGrid w:val="0"/>
                      <w:kern w:val="0"/>
                      <w:szCs w:val="21"/>
                    </w:rPr>
                  </w:pPr>
                  <w:r>
                    <w:rPr>
                      <w:rFonts w:hint="eastAsia"/>
                      <w:snapToGrid w:val="0"/>
                      <w:kern w:val="0"/>
                      <w:szCs w:val="21"/>
                    </w:rPr>
                    <w:t>70%</w:t>
                  </w:r>
                </w:p>
              </w:tc>
              <w:tc>
                <w:tcPr>
                  <w:tcW w:w="381" w:type="pct"/>
                  <w:vAlign w:val="center"/>
                </w:tcPr>
                <w:p>
                  <w:pPr>
                    <w:spacing w:line="300" w:lineRule="exact"/>
                    <w:jc w:val="center"/>
                    <w:rPr>
                      <w:szCs w:val="21"/>
                    </w:rPr>
                  </w:pPr>
                  <w:r>
                    <w:rPr>
                      <w:rFonts w:hint="eastAsia"/>
                      <w:snapToGrid w:val="0"/>
                      <w:kern w:val="0"/>
                      <w:szCs w:val="21"/>
                    </w:rPr>
                    <w:t>70%</w:t>
                  </w:r>
                </w:p>
              </w:tc>
              <w:tc>
                <w:tcPr>
                  <w:tcW w:w="685" w:type="pct"/>
                  <w:vAlign w:val="center"/>
                </w:tcPr>
                <w:p>
                  <w:pPr>
                    <w:spacing w:line="300" w:lineRule="exact"/>
                    <w:jc w:val="center"/>
                    <w:rPr>
                      <w:snapToGrid w:val="0"/>
                      <w:kern w:val="0"/>
                      <w:szCs w:val="21"/>
                    </w:rPr>
                  </w:pPr>
                  <w:r>
                    <w:rPr>
                      <w:rFonts w:hint="eastAsia"/>
                      <w:snapToGrid w:val="0"/>
                      <w:kern w:val="0"/>
                      <w:szCs w:val="21"/>
                    </w:rPr>
                    <w:t>15</w:t>
                  </w:r>
                </w:p>
              </w:tc>
              <w:tc>
                <w:tcPr>
                  <w:tcW w:w="676" w:type="pct"/>
                  <w:vAlign w:val="center"/>
                </w:tcPr>
                <w:p>
                  <w:pPr>
                    <w:spacing w:line="300" w:lineRule="exact"/>
                    <w:jc w:val="center"/>
                    <w:rPr>
                      <w:snapToGrid w:val="0"/>
                      <w:kern w:val="0"/>
                      <w:szCs w:val="21"/>
                    </w:rPr>
                  </w:pPr>
                  <w:r>
                    <w:rPr>
                      <w:rFonts w:hint="eastAsia"/>
                      <w:snapToGrid w:val="0"/>
                      <w:kern w:val="0"/>
                      <w:szCs w:val="21"/>
                    </w:rPr>
                    <w:t>1.47</w:t>
                  </w:r>
                  <w:r>
                    <w:rPr>
                      <w:rFonts w:ascii="Arial" w:hAnsi="Arial" w:cs="Arial"/>
                      <w:snapToGrid w:val="0"/>
                      <w:kern w:val="0"/>
                      <w:szCs w:val="21"/>
                    </w:rPr>
                    <w:t>×</w:t>
                  </w:r>
                  <w:r>
                    <w:rPr>
                      <w:rFonts w:hint="eastAsia"/>
                      <w:snapToGrid w:val="0"/>
                      <w:kern w:val="0"/>
                      <w:szCs w:val="21"/>
                    </w:rPr>
                    <w:t>10</w:t>
                  </w:r>
                  <w:r>
                    <w:rPr>
                      <w:rFonts w:hint="eastAsia"/>
                      <w:snapToGrid w:val="0"/>
                      <w:kern w:val="0"/>
                      <w:szCs w:val="21"/>
                      <w:vertAlign w:val="superscript"/>
                    </w:rPr>
                    <w:t>-3</w:t>
                  </w:r>
                </w:p>
              </w:tc>
              <w:tc>
                <w:tcPr>
                  <w:tcW w:w="572" w:type="pct"/>
                  <w:vAlign w:val="center"/>
                </w:tcPr>
                <w:p>
                  <w:pPr>
                    <w:spacing w:line="300" w:lineRule="exact"/>
                    <w:jc w:val="center"/>
                    <w:rPr>
                      <w:snapToGrid w:val="0"/>
                      <w:kern w:val="0"/>
                      <w:szCs w:val="21"/>
                    </w:rPr>
                  </w:pPr>
                  <w:r>
                    <w:rPr>
                      <w:rFonts w:hint="eastAsia"/>
                      <w:snapToGrid w:val="0"/>
                      <w:kern w:val="0"/>
                      <w:szCs w:val="21"/>
                    </w:rPr>
                    <w:t>66400</w:t>
                  </w:r>
                </w:p>
              </w:tc>
              <w:tc>
                <w:tcPr>
                  <w:tcW w:w="606" w:type="pct"/>
                  <w:vAlign w:val="center"/>
                </w:tcPr>
                <w:p>
                  <w:pPr>
                    <w:spacing w:line="300" w:lineRule="exact"/>
                    <w:jc w:val="center"/>
                    <w:rPr>
                      <w:snapToGrid w:val="0"/>
                      <w:kern w:val="0"/>
                      <w:szCs w:val="21"/>
                    </w:rPr>
                  </w:pPr>
                  <w:r>
                    <w:rPr>
                      <w:rFonts w:hint="eastAsia"/>
                      <w:snapToGrid w:val="0"/>
                      <w:kern w:val="0"/>
                      <w:szCs w:val="21"/>
                    </w:rPr>
                    <w:t>97.61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vAlign w:val="center"/>
                </w:tcPr>
                <w:p>
                  <w:pPr>
                    <w:spacing w:line="300" w:lineRule="exact"/>
                    <w:rPr>
                      <w:snapToGrid w:val="0"/>
                      <w:kern w:val="0"/>
                      <w:szCs w:val="21"/>
                    </w:rPr>
                  </w:pPr>
                  <w:r>
                    <w:rPr>
                      <w:rFonts w:hint="eastAsia"/>
                      <w:snapToGrid w:val="0"/>
                      <w:kern w:val="0"/>
                      <w:szCs w:val="21"/>
                    </w:rPr>
                    <w:t>注:耗</w:t>
                  </w:r>
                  <w:r>
                    <w:rPr>
                      <w:szCs w:val="21"/>
                    </w:rPr>
                    <w:t>漆</w:t>
                  </w:r>
                  <w:r>
                    <w:rPr>
                      <w:rFonts w:hint="eastAsia"/>
                      <w:snapToGrid w:val="0"/>
                      <w:kern w:val="0"/>
                      <w:szCs w:val="21"/>
                    </w:rPr>
                    <w:t>量（t/a）=干膜厚度</w:t>
                  </w:r>
                  <w:r>
                    <w:rPr>
                      <w:snapToGrid w:val="0"/>
                      <w:color w:val="000000" w:themeColor="text1"/>
                      <w:kern w:val="0"/>
                      <w:szCs w:val="21"/>
                    </w:rPr>
                    <w:t>(</w:t>
                  </w:r>
                  <w:r>
                    <w:rPr>
                      <w:rStyle w:val="33"/>
                      <w:i w:val="0"/>
                      <w:color w:val="000000" w:themeColor="text1"/>
                      <w:sz w:val="19"/>
                      <w:szCs w:val="19"/>
                      <w:shd w:val="clear" w:color="auto" w:fill="FFFFFF"/>
                    </w:rPr>
                    <w:t>μ</w:t>
                  </w:r>
                  <w:r>
                    <w:rPr>
                      <w:rStyle w:val="33"/>
                      <w:rFonts w:hint="eastAsia"/>
                      <w:i w:val="0"/>
                      <w:color w:val="000000" w:themeColor="text1"/>
                      <w:sz w:val="19"/>
                      <w:szCs w:val="19"/>
                      <w:shd w:val="clear" w:color="auto" w:fill="FFFFFF"/>
                    </w:rPr>
                    <w:t>m</w:t>
                  </w:r>
                  <w:r>
                    <w:rPr>
                      <w:snapToGrid w:val="0"/>
                      <w:color w:val="000000" w:themeColor="text1"/>
                      <w:kern w:val="0"/>
                      <w:szCs w:val="21"/>
                    </w:rPr>
                    <w:t>)</w:t>
                  </w:r>
                  <w:r>
                    <w:rPr>
                      <w:rFonts w:ascii="Arial" w:hAnsi="Arial" w:cs="Arial"/>
                      <w:snapToGrid w:val="0"/>
                      <w:color w:val="000000" w:themeColor="text1"/>
                      <w:kern w:val="0"/>
                      <w:szCs w:val="21"/>
                    </w:rPr>
                    <w:t>×</w:t>
                  </w:r>
                  <w:r>
                    <w:rPr>
                      <w:rFonts w:hint="eastAsia"/>
                      <w:snapToGrid w:val="0"/>
                      <w:kern w:val="0"/>
                      <w:szCs w:val="21"/>
                    </w:rPr>
                    <w:t>喷涂表面积（m</w:t>
                  </w:r>
                  <w:r>
                    <w:rPr>
                      <w:rFonts w:hint="eastAsia"/>
                      <w:snapToGrid w:val="0"/>
                      <w:kern w:val="0"/>
                      <w:szCs w:val="21"/>
                      <w:vertAlign w:val="superscript"/>
                    </w:rPr>
                    <w:t>2</w:t>
                  </w:r>
                  <w:r>
                    <w:rPr>
                      <w:rFonts w:hint="eastAsia"/>
                      <w:snapToGrid w:val="0"/>
                      <w:kern w:val="0"/>
                      <w:szCs w:val="21"/>
                    </w:rPr>
                    <w:t>/t）</w:t>
                  </w:r>
                  <w:r>
                    <w:rPr>
                      <w:rFonts w:ascii="Arial" w:hAnsi="Arial" w:cs="Arial"/>
                      <w:snapToGrid w:val="0"/>
                      <w:color w:val="000000" w:themeColor="text1"/>
                      <w:kern w:val="0"/>
                      <w:szCs w:val="21"/>
                    </w:rPr>
                    <w:t>×</w:t>
                  </w:r>
                  <w:r>
                    <w:rPr>
                      <w:rFonts w:hint="eastAsia"/>
                      <w:snapToGrid w:val="0"/>
                      <w:kern w:val="0"/>
                      <w:szCs w:val="21"/>
                    </w:rPr>
                    <w:t>密度（g/cm</w:t>
                  </w:r>
                  <w:r>
                    <w:rPr>
                      <w:rFonts w:hint="eastAsia"/>
                      <w:snapToGrid w:val="0"/>
                      <w:kern w:val="0"/>
                      <w:szCs w:val="21"/>
                      <w:vertAlign w:val="superscript"/>
                    </w:rPr>
                    <w:t>3</w:t>
                  </w:r>
                  <w:r>
                    <w:rPr>
                      <w:rFonts w:hint="eastAsia"/>
                      <w:snapToGrid w:val="0"/>
                      <w:kern w:val="0"/>
                      <w:szCs w:val="21"/>
                    </w:rPr>
                    <w:t>）</w:t>
                  </w:r>
                  <w:r>
                    <w:rPr>
                      <w:rFonts w:ascii="Arial" w:hAnsi="Arial" w:cs="Arial"/>
                      <w:snapToGrid w:val="0"/>
                      <w:color w:val="000000" w:themeColor="text1"/>
                      <w:kern w:val="0"/>
                      <w:szCs w:val="21"/>
                    </w:rPr>
                    <w:t>×</w:t>
                  </w:r>
                  <w:r>
                    <w:rPr>
                      <w:rFonts w:hint="eastAsia" w:ascii="Arial" w:hAnsi="Arial" w:cs="Arial"/>
                      <w:snapToGrid w:val="0"/>
                      <w:color w:val="000000" w:themeColor="text1"/>
                      <w:kern w:val="0"/>
                      <w:szCs w:val="21"/>
                    </w:rPr>
                    <w:t>10</w:t>
                  </w:r>
                  <w:r>
                    <w:rPr>
                      <w:rFonts w:hint="eastAsia" w:ascii="Arial" w:hAnsi="Arial" w:cs="Arial"/>
                      <w:snapToGrid w:val="0"/>
                      <w:color w:val="000000" w:themeColor="text1"/>
                      <w:kern w:val="0"/>
                      <w:szCs w:val="21"/>
                      <w:vertAlign w:val="superscript"/>
                    </w:rPr>
                    <w:t>-6</w:t>
                  </w:r>
                  <w:r>
                    <w:rPr>
                      <w:rFonts w:ascii="Arial" w:hAnsi="Arial" w:cs="Arial"/>
                      <w:snapToGrid w:val="0"/>
                      <w:color w:val="000000" w:themeColor="text1"/>
                      <w:kern w:val="0"/>
                      <w:szCs w:val="21"/>
                    </w:rPr>
                    <w:t>÷</w:t>
                  </w:r>
                  <w:r>
                    <w:rPr>
                      <w:rFonts w:hint="eastAsia" w:ascii="Arial" w:hAnsi="Arial" w:cs="Arial"/>
                      <w:snapToGrid w:val="0"/>
                      <w:color w:val="000000" w:themeColor="text1"/>
                      <w:kern w:val="0"/>
                      <w:szCs w:val="21"/>
                    </w:rPr>
                    <w:t>（</w:t>
                  </w:r>
                  <w:r>
                    <w:rPr>
                      <w:rFonts w:hint="eastAsia"/>
                      <w:snapToGrid w:val="0"/>
                      <w:kern w:val="0"/>
                      <w:szCs w:val="21"/>
                    </w:rPr>
                    <w:t>固份比</w:t>
                  </w:r>
                  <w:r>
                    <w:rPr>
                      <w:rFonts w:ascii="Arial" w:hAnsi="Arial" w:cs="Arial"/>
                      <w:snapToGrid w:val="0"/>
                      <w:color w:val="000000" w:themeColor="text1"/>
                      <w:kern w:val="0"/>
                      <w:szCs w:val="21"/>
                    </w:rPr>
                    <w:t>×</w:t>
                  </w:r>
                  <w:r>
                    <w:rPr>
                      <w:rFonts w:hint="eastAsia"/>
                      <w:snapToGrid w:val="0"/>
                      <w:kern w:val="0"/>
                      <w:szCs w:val="21"/>
                    </w:rPr>
                    <w:t>上漆率</w:t>
                  </w:r>
                  <w:r>
                    <w:rPr>
                      <w:rFonts w:hint="eastAsia" w:ascii="Arial" w:hAnsi="Arial" w:cs="Arial"/>
                      <w:snapToGrid w:val="0"/>
                      <w:color w:val="000000" w:themeColor="text1"/>
                      <w:kern w:val="0"/>
                      <w:szCs w:val="21"/>
                    </w:rPr>
                    <w:t>）</w:t>
                  </w:r>
                </w:p>
              </w:tc>
            </w:tr>
          </w:tbl>
          <w:p>
            <w:pPr>
              <w:pStyle w:val="9"/>
              <w:spacing w:line="360" w:lineRule="auto"/>
              <w:ind w:firstLine="472" w:firstLineChars="200"/>
              <w:rPr>
                <w:rFonts w:ascii="Times New Roman" w:hAnsi="Times New Roman"/>
              </w:rPr>
            </w:pPr>
            <w:r>
              <w:rPr>
                <w:rFonts w:ascii="Times New Roman" w:hAnsi="Times New Roman"/>
              </w:rPr>
              <w:t>b.晨阳水漆主要理化性质</w:t>
            </w:r>
          </w:p>
          <w:p>
            <w:pPr>
              <w:pStyle w:val="9"/>
              <w:spacing w:line="360" w:lineRule="auto"/>
              <w:rPr>
                <w:rFonts w:ascii="Times New Roman" w:hAnsi="Times New Roman"/>
              </w:rPr>
            </w:pPr>
            <w:r>
              <w:rPr>
                <w:rFonts w:ascii="Times New Roman" w:hAnsi="Times New Roman"/>
              </w:rPr>
              <w:t>主要组份</w:t>
            </w:r>
            <w:r>
              <w:rPr>
                <w:rFonts w:ascii="Times New Roman" w:hAnsi="Times New Roman"/>
                <w:snapToGrid w:val="0"/>
                <w:color w:val="000000" w:themeColor="text1"/>
                <w:kern w:val="0"/>
                <w:szCs w:val="21"/>
              </w:rPr>
              <w:t>醇酸树脂35%、颜料15%、</w:t>
            </w:r>
            <w:r>
              <w:rPr>
                <w:rFonts w:ascii="Times New Roman" w:hAnsi="Times New Roman"/>
              </w:rPr>
              <w:t>填料</w:t>
            </w:r>
            <w:r>
              <w:rPr>
                <w:rFonts w:ascii="Times New Roman" w:hAnsi="Times New Roman"/>
                <w:snapToGrid w:val="0"/>
                <w:color w:val="000000" w:themeColor="text1"/>
                <w:kern w:val="0"/>
                <w:szCs w:val="21"/>
              </w:rPr>
              <w:t>20%（硫酸钡10%、滑石粉10%）、去离子水20%、助剂10%。</w:t>
            </w:r>
          </w:p>
          <w:p>
            <w:pPr>
              <w:pStyle w:val="9"/>
              <w:spacing w:line="360" w:lineRule="auto"/>
              <w:rPr>
                <w:rFonts w:ascii="Times New Roman" w:hAnsi="Times New Roman"/>
              </w:rPr>
            </w:pPr>
            <w:r>
              <w:rPr>
                <w:rFonts w:ascii="Times New Roman" w:hAnsi="Times New Roman"/>
              </w:rPr>
              <w:t xml:space="preserve"> 水性醇酸树脂：与传统的溶剂型涂料相比，水性涂料具有价格低、使用安全节省资源和能源，减少环境污染和公害等优点，因而已成为当前发展涂料工业的主要方向。水性醇酸树脂凃料是水性涂料中发展最快、品种最多的无污染型涂料。</w:t>
            </w:r>
          </w:p>
          <w:p>
            <w:pPr>
              <w:pStyle w:val="9"/>
              <w:spacing w:line="360" w:lineRule="auto"/>
              <w:ind w:firstLine="472" w:firstLineChars="200"/>
              <w:rPr>
                <w:rFonts w:ascii="Times New Roman" w:hAnsi="Times New Roman"/>
              </w:rPr>
            </w:pPr>
            <w:r>
              <w:rPr>
                <w:rFonts w:ascii="Times New Roman" w:hAnsi="Times New Roman"/>
              </w:rPr>
              <w:t>颜料：是一种有色的细颗粒粉状物质，一般不溶于水，能分散于各种油、溶剂和树脂等介质中。它具有遮盖力、着色力，对光相对稳定，常用于配置涂料、油墨以及着色塑料和橡胶，因此又可称是着色剂。</w:t>
            </w:r>
          </w:p>
          <w:p>
            <w:pPr>
              <w:pStyle w:val="9"/>
              <w:spacing w:line="360" w:lineRule="auto"/>
              <w:ind w:firstLine="472" w:firstLineChars="200"/>
              <w:rPr>
                <w:rFonts w:ascii="Times New Roman" w:hAnsi="Times New Roman"/>
              </w:rPr>
            </w:pPr>
            <w:r>
              <w:rPr>
                <w:rFonts w:ascii="Times New Roman" w:hAnsi="Times New Roman"/>
              </w:rPr>
              <w:t>填料：作为添加剂，主要是通过它占据体积发挥作用</w:t>
            </w:r>
            <w:r>
              <w:rPr>
                <w:rFonts w:hint="eastAsia" w:ascii="Times New Roman" w:hAnsi="Times New Roman"/>
              </w:rPr>
              <w:t>，</w:t>
            </w:r>
            <w:r>
              <w:rPr>
                <w:rFonts w:ascii="Times New Roman" w:hAnsi="Times New Roman"/>
              </w:rPr>
              <w:t>由于填料的存在，基体材料的分子链就不能再占据原来的全部空间，使得相连的链段在某种程度上被固定化，并可能引起基体聚合物的取向。由于填料的尺寸稳定性，在填充的聚合物中，聚合物界面区域内的分子链运动受到限制，而使玻璃化温度上升，热变形温度提高，收缩率降低，弹性模量、硬度、刚度、冲击强度提高。</w:t>
            </w:r>
          </w:p>
          <w:p>
            <w:pPr>
              <w:pStyle w:val="9"/>
              <w:spacing w:line="360" w:lineRule="auto"/>
              <w:ind w:firstLine="472" w:firstLineChars="200"/>
            </w:pPr>
            <w:r>
              <w:rPr>
                <w:rFonts w:ascii="Times New Roman" w:hAnsi="Times New Roman"/>
              </w:rPr>
              <w:t>助剂：是涂料不可缺少的组分，以改进生产工艺，保持贮存稳定，改善施工条件，提髙产品质量，赋予特殊功能。合理正确选用助剂可降低成本，提髙经济效益。助剂多为有机物，具有挥发性。项目使用的晨阳水漆(水性醇酸钢结构漆)中挥发性有机化合物(VOC)含量为</w:t>
            </w:r>
            <w:r>
              <w:rPr>
                <w:rFonts w:hint="eastAsia" w:ascii="Times New Roman" w:hAnsi="Times New Roman"/>
              </w:rPr>
              <w:t>10%。</w:t>
            </w:r>
          </w:p>
          <w:p>
            <w:pPr>
              <w:spacing w:line="360" w:lineRule="auto"/>
              <w:ind w:firstLine="472" w:firstLineChars="200"/>
              <w:rPr>
                <w:rFonts w:eastAsiaTheme="minorEastAsia"/>
                <w:snapToGrid w:val="0"/>
                <w:kern w:val="0"/>
                <w:sz w:val="24"/>
                <w:szCs w:val="24"/>
              </w:rPr>
            </w:pPr>
            <w:r>
              <w:rPr>
                <w:rFonts w:hint="eastAsia" w:eastAsiaTheme="minorEastAsia"/>
                <w:b/>
                <w:sz w:val="24"/>
              </w:rPr>
              <w:t>5</w:t>
            </w:r>
            <w:r>
              <w:rPr>
                <w:rFonts w:hAnsiTheme="minorEastAsia" w:eastAsiaTheme="minorEastAsia"/>
                <w:b/>
                <w:sz w:val="24"/>
              </w:rPr>
              <w:t>、公用工程</w:t>
            </w:r>
          </w:p>
          <w:p>
            <w:pPr>
              <w:spacing w:line="360" w:lineRule="auto"/>
              <w:ind w:firstLine="505" w:firstLineChars="214"/>
              <w:rPr>
                <w:rFonts w:eastAsiaTheme="minorEastAsia"/>
                <w:snapToGrid w:val="0"/>
                <w:kern w:val="0"/>
                <w:sz w:val="24"/>
                <w:szCs w:val="24"/>
              </w:rPr>
            </w:pPr>
            <w:r>
              <w:rPr>
                <w:rFonts w:eastAsiaTheme="minorEastAsia"/>
                <w:snapToGrid w:val="0"/>
                <w:kern w:val="0"/>
                <w:sz w:val="24"/>
                <w:szCs w:val="24"/>
              </w:rPr>
              <w:t>(</w:t>
            </w:r>
            <w:r>
              <w:rPr>
                <w:rFonts w:hint="eastAsia" w:eastAsiaTheme="minorEastAsia"/>
                <w:snapToGrid w:val="0"/>
                <w:kern w:val="0"/>
                <w:sz w:val="24"/>
                <w:szCs w:val="24"/>
              </w:rPr>
              <w:t>1</w:t>
            </w:r>
            <w:r>
              <w:rPr>
                <w:rFonts w:eastAsiaTheme="minorEastAsia"/>
                <w:snapToGrid w:val="0"/>
                <w:kern w:val="0"/>
                <w:sz w:val="24"/>
                <w:szCs w:val="24"/>
              </w:rPr>
              <w:t>)</w:t>
            </w:r>
            <w:r>
              <w:rPr>
                <w:rFonts w:hAnsiTheme="minorEastAsia" w:eastAsiaTheme="minorEastAsia"/>
                <w:snapToGrid w:val="0"/>
                <w:kern w:val="0"/>
                <w:sz w:val="24"/>
                <w:szCs w:val="24"/>
              </w:rPr>
              <w:t>给排水</w:t>
            </w:r>
          </w:p>
          <w:p>
            <w:pPr>
              <w:spacing w:line="360" w:lineRule="auto"/>
              <w:ind w:firstLine="451" w:firstLineChars="191"/>
              <w:rPr>
                <w:snapToGrid w:val="0"/>
                <w:kern w:val="0"/>
                <w:sz w:val="24"/>
              </w:rPr>
            </w:pPr>
            <w:r>
              <w:rPr>
                <w:rFonts w:asciiTheme="minorEastAsia" w:hAnsiTheme="minorEastAsia" w:eastAsiaTheme="minorEastAsia"/>
                <w:snapToGrid w:val="0"/>
                <w:kern w:val="0"/>
                <w:sz w:val="24"/>
              </w:rPr>
              <w:t>①</w:t>
            </w:r>
            <w:r>
              <w:rPr>
                <w:snapToGrid w:val="0"/>
                <w:kern w:val="0"/>
                <w:sz w:val="24"/>
              </w:rPr>
              <w:t>给水</w:t>
            </w:r>
          </w:p>
          <w:p>
            <w:pPr>
              <w:spacing w:line="360" w:lineRule="auto"/>
              <w:ind w:firstLine="465" w:firstLineChars="197"/>
              <w:rPr>
                <w:sz w:val="24"/>
              </w:rPr>
            </w:pPr>
            <w:r>
              <w:rPr>
                <w:rFonts w:hint="eastAsia"/>
                <w:sz w:val="24"/>
              </w:rPr>
              <w:t>本</w:t>
            </w:r>
            <w:r>
              <w:rPr>
                <w:sz w:val="24"/>
              </w:rPr>
              <w:t>项目用水主要是职工生活用水</w:t>
            </w:r>
            <w:r>
              <w:rPr>
                <w:rFonts w:hint="eastAsia"/>
                <w:sz w:val="24"/>
              </w:rPr>
              <w:t>、水性漆稀释用水、漆雾水帘喷淋</w:t>
            </w:r>
            <w:r>
              <w:rPr>
                <w:rFonts w:hint="eastAsia"/>
                <w:sz w:val="24"/>
                <w:szCs w:val="24"/>
              </w:rPr>
              <w:t>用水</w:t>
            </w:r>
            <w:r>
              <w:rPr>
                <w:bCs/>
                <w:sz w:val="24"/>
                <w:szCs w:val="24"/>
              </w:rPr>
              <w:t>，</w:t>
            </w:r>
            <w:r>
              <w:rPr>
                <w:bCs/>
                <w:sz w:val="24"/>
              </w:rPr>
              <w:t>新鲜</w:t>
            </w:r>
            <w:r>
              <w:rPr>
                <w:sz w:val="24"/>
              </w:rPr>
              <w:t>用水量为31.</w:t>
            </w:r>
            <w:r>
              <w:rPr>
                <w:rFonts w:hint="eastAsia"/>
                <w:sz w:val="24"/>
              </w:rPr>
              <w:t>765</w:t>
            </w:r>
            <w:r>
              <w:rPr>
                <w:sz w:val="24"/>
              </w:rPr>
              <w:t>m</w:t>
            </w:r>
            <w:r>
              <w:rPr>
                <w:sz w:val="24"/>
                <w:vertAlign w:val="superscript"/>
              </w:rPr>
              <w:t>3</w:t>
            </w:r>
            <w:r>
              <w:rPr>
                <w:sz w:val="24"/>
              </w:rPr>
              <w:t>/d（9</w:t>
            </w:r>
            <w:r>
              <w:rPr>
                <w:rFonts w:hint="eastAsia"/>
                <w:sz w:val="24"/>
              </w:rPr>
              <w:t>529.5</w:t>
            </w:r>
            <w:r>
              <w:rPr>
                <w:sz w:val="24"/>
              </w:rPr>
              <w:t>m</w:t>
            </w:r>
            <w:r>
              <w:rPr>
                <w:sz w:val="24"/>
                <w:vertAlign w:val="superscript"/>
              </w:rPr>
              <w:t>3</w:t>
            </w:r>
            <w:r>
              <w:rPr>
                <w:sz w:val="24"/>
              </w:rPr>
              <w:t>/a）</w:t>
            </w:r>
            <w:r>
              <w:rPr>
                <w:sz w:val="24"/>
                <w:szCs w:val="24"/>
              </w:rPr>
              <w:t>由园区供水管网提供。</w:t>
            </w:r>
          </w:p>
          <w:p>
            <w:pPr>
              <w:spacing w:line="360" w:lineRule="auto"/>
              <w:ind w:firstLine="465" w:firstLineChars="197"/>
              <w:rPr>
                <w:sz w:val="24"/>
              </w:rPr>
            </w:pPr>
            <w:r>
              <w:rPr>
                <w:sz w:val="24"/>
              </w:rPr>
              <w:t>项目劳动定员260人，厂区设食宿，</w:t>
            </w:r>
            <w:r>
              <w:rPr>
                <w:spacing w:val="-6"/>
                <w:sz w:val="24"/>
              </w:rPr>
              <w:t>参照河北省地方标准《用水定额3部分：生活用水》（DB13/T1161</w:t>
            </w:r>
            <w:r>
              <w:rPr>
                <w:bCs/>
                <w:sz w:val="24"/>
              </w:rPr>
              <w:t>·</w:t>
            </w:r>
            <w:r>
              <w:rPr>
                <w:spacing w:val="-6"/>
                <w:sz w:val="24"/>
              </w:rPr>
              <w:t>3-2016）</w:t>
            </w:r>
            <w:r>
              <w:rPr>
                <w:sz w:val="24"/>
              </w:rPr>
              <w:t>，职工生活用水量</w:t>
            </w:r>
            <w:r>
              <w:rPr>
                <w:bCs/>
                <w:sz w:val="24"/>
              </w:rPr>
              <w:t>按120L/（人·日）计，则新鲜</w:t>
            </w:r>
            <w:r>
              <w:rPr>
                <w:sz w:val="24"/>
              </w:rPr>
              <w:t>用水量为31.2m</w:t>
            </w:r>
            <w:r>
              <w:rPr>
                <w:sz w:val="24"/>
                <w:vertAlign w:val="superscript"/>
              </w:rPr>
              <w:t>3</w:t>
            </w:r>
            <w:r>
              <w:rPr>
                <w:sz w:val="24"/>
              </w:rPr>
              <w:t>/d（9360m</w:t>
            </w:r>
            <w:r>
              <w:rPr>
                <w:sz w:val="24"/>
                <w:vertAlign w:val="superscript"/>
              </w:rPr>
              <w:t>3</w:t>
            </w:r>
            <w:r>
              <w:rPr>
                <w:sz w:val="24"/>
              </w:rPr>
              <w:t>/a）。</w:t>
            </w:r>
          </w:p>
          <w:p>
            <w:pPr>
              <w:spacing w:line="360" w:lineRule="auto"/>
              <w:ind w:firstLine="472" w:firstLineChars="200"/>
              <w:rPr>
                <w:color w:val="000000" w:themeColor="text1"/>
                <w:sz w:val="24"/>
              </w:rPr>
            </w:pPr>
            <w:r>
              <w:rPr>
                <w:rFonts w:hint="eastAsia"/>
                <w:color w:val="000000" w:themeColor="text1"/>
                <w:sz w:val="24"/>
              </w:rPr>
              <w:t>项目涂装前应先将漆搅拌均匀，若原漆粘度偏高，可适当加入少量清水，加水量不宜超过20%。本项目水性漆用量为97.61t/a，则水性漆稀释用水量为19.5</w:t>
            </w:r>
            <w:r>
              <w:rPr>
                <w:color w:val="000000" w:themeColor="text1"/>
                <w:sz w:val="24"/>
              </w:rPr>
              <w:t>m</w:t>
            </w:r>
            <w:r>
              <w:rPr>
                <w:color w:val="000000" w:themeColor="text1"/>
                <w:sz w:val="24"/>
                <w:vertAlign w:val="superscript"/>
              </w:rPr>
              <w:t>3</w:t>
            </w:r>
            <w:r>
              <w:rPr>
                <w:color w:val="000000" w:themeColor="text1"/>
                <w:sz w:val="24"/>
              </w:rPr>
              <w:t>/a</w:t>
            </w:r>
            <w:r>
              <w:rPr>
                <w:rFonts w:hint="eastAsia"/>
                <w:color w:val="000000" w:themeColor="text1"/>
                <w:sz w:val="24"/>
              </w:rPr>
              <w:t>（0.065</w:t>
            </w:r>
            <w:r>
              <w:rPr>
                <w:color w:val="000000" w:themeColor="text1"/>
                <w:sz w:val="24"/>
              </w:rPr>
              <w:t>m</w:t>
            </w:r>
            <w:r>
              <w:rPr>
                <w:color w:val="000000" w:themeColor="text1"/>
                <w:sz w:val="24"/>
                <w:vertAlign w:val="superscript"/>
              </w:rPr>
              <w:t>3</w:t>
            </w:r>
            <w:r>
              <w:rPr>
                <w:color w:val="000000" w:themeColor="text1"/>
                <w:sz w:val="24"/>
              </w:rPr>
              <w:t>/d</w:t>
            </w:r>
            <w:r>
              <w:rPr>
                <w:rFonts w:hint="eastAsia"/>
                <w:color w:val="000000" w:themeColor="text1"/>
                <w:sz w:val="24"/>
              </w:rPr>
              <w:t>）。</w:t>
            </w:r>
          </w:p>
          <w:p>
            <w:pPr>
              <w:pStyle w:val="9"/>
              <w:spacing w:line="360" w:lineRule="auto"/>
              <w:rPr>
                <w:rFonts w:ascii="Times New Roman" w:hAnsi="Times New Roman"/>
              </w:rPr>
            </w:pPr>
            <w:r>
              <w:rPr>
                <w:rFonts w:hint="eastAsia"/>
              </w:rPr>
              <w:t>漆雾水帘喷淋用水沉淀后循环使用，定期补充，循环</w:t>
            </w:r>
            <w:r>
              <w:rPr>
                <w:rFonts w:ascii="Times New Roman" w:hAnsi="Times New Roman"/>
              </w:rPr>
              <w:t>水量为</w:t>
            </w:r>
            <w:r>
              <w:rPr>
                <w:rFonts w:hint="eastAsia" w:ascii="Times New Roman" w:hAnsi="Times New Roman"/>
              </w:rPr>
              <w:t>5</w:t>
            </w:r>
            <w:r>
              <w:rPr>
                <w:rFonts w:ascii="Times New Roman" w:hAnsi="Times New Roman"/>
              </w:rPr>
              <w:t>m</w:t>
            </w:r>
            <w:r>
              <w:rPr>
                <w:rFonts w:ascii="Times New Roman" w:hAnsi="Times New Roman"/>
                <w:vertAlign w:val="superscript"/>
              </w:rPr>
              <w:t>3</w:t>
            </w:r>
            <w:r>
              <w:rPr>
                <w:rFonts w:ascii="Times New Roman" w:hAnsi="Times New Roman"/>
              </w:rPr>
              <w:t>/d，补水量为0.5m</w:t>
            </w:r>
            <w:r>
              <w:rPr>
                <w:rFonts w:ascii="Times New Roman" w:hAnsi="Times New Roman"/>
                <w:vertAlign w:val="superscript"/>
              </w:rPr>
              <w:t>3</w:t>
            </w:r>
            <w:r>
              <w:rPr>
                <w:rFonts w:ascii="Times New Roman" w:hAnsi="Times New Roman"/>
              </w:rPr>
              <w:t>/d（</w:t>
            </w:r>
            <w:r>
              <w:rPr>
                <w:rFonts w:hint="eastAsia" w:ascii="Times New Roman" w:hAnsi="Times New Roman"/>
              </w:rPr>
              <w:t>150</w:t>
            </w:r>
            <w:r>
              <w:rPr>
                <w:rFonts w:ascii="Times New Roman" w:hAnsi="Times New Roman"/>
              </w:rPr>
              <w:t>m</w:t>
            </w:r>
            <w:r>
              <w:rPr>
                <w:rFonts w:ascii="Times New Roman" w:hAnsi="Times New Roman"/>
                <w:vertAlign w:val="superscript"/>
              </w:rPr>
              <w:t>3</w:t>
            </w:r>
            <w:r>
              <w:rPr>
                <w:rFonts w:ascii="Times New Roman" w:hAnsi="Times New Roman"/>
              </w:rPr>
              <w:t>/a）</w:t>
            </w:r>
            <w:r>
              <w:rPr>
                <w:rFonts w:hint="eastAsia" w:ascii="Times New Roman" w:hAnsi="Times New Roman"/>
              </w:rPr>
              <w:t>。</w:t>
            </w:r>
          </w:p>
          <w:p>
            <w:pPr>
              <w:spacing w:line="360" w:lineRule="auto"/>
              <w:ind w:firstLine="472" w:firstLineChars="200"/>
              <w:rPr>
                <w:snapToGrid w:val="0"/>
                <w:kern w:val="0"/>
                <w:sz w:val="24"/>
              </w:rPr>
            </w:pPr>
            <w:r>
              <w:rPr>
                <w:rFonts w:asciiTheme="minorEastAsia" w:hAnsiTheme="minorEastAsia" w:eastAsiaTheme="minorEastAsia"/>
                <w:snapToGrid w:val="0"/>
                <w:kern w:val="0"/>
                <w:sz w:val="24"/>
              </w:rPr>
              <w:t>②</w:t>
            </w:r>
            <w:r>
              <w:rPr>
                <w:snapToGrid w:val="0"/>
                <w:kern w:val="0"/>
                <w:sz w:val="24"/>
              </w:rPr>
              <w:t>排水</w:t>
            </w:r>
          </w:p>
          <w:p>
            <w:pPr>
              <w:snapToGrid w:val="0"/>
              <w:spacing w:line="360" w:lineRule="auto"/>
              <w:ind w:firstLine="472" w:firstLineChars="200"/>
              <w:rPr>
                <w:snapToGrid w:val="0"/>
                <w:kern w:val="0"/>
                <w:sz w:val="24"/>
              </w:rPr>
            </w:pPr>
            <w:r>
              <w:rPr>
                <w:sz w:val="24"/>
              </w:rPr>
              <w:t>项目</w:t>
            </w:r>
            <w:r>
              <w:rPr>
                <w:rFonts w:hint="eastAsia"/>
                <w:sz w:val="24"/>
              </w:rPr>
              <w:t>漆雾水帘喷淋用水沉淀去除漆渣后循环使用，不外排。项目</w:t>
            </w:r>
            <w:r>
              <w:rPr>
                <w:snapToGrid w:val="0"/>
                <w:kern w:val="0"/>
                <w:sz w:val="24"/>
              </w:rPr>
              <w:t>废水主要为生活废水。</w:t>
            </w:r>
          </w:p>
          <w:p>
            <w:pPr>
              <w:spacing w:line="360" w:lineRule="auto"/>
              <w:ind w:firstLine="383" w:firstLineChars="197"/>
            </w:pPr>
            <w:r>
              <w:rPr>
                <w:spacing w:val="-6"/>
              </w:rPr>
              <mc:AlternateContent>
                <mc:Choice Requires="wps">
                  <w:drawing>
                    <wp:anchor distT="0" distB="0" distL="114300" distR="114300" simplePos="0" relativeHeight="251666432" behindDoc="0" locked="0" layoutInCell="1" allowOverlap="1">
                      <wp:simplePos x="0" y="0"/>
                      <wp:positionH relativeFrom="column">
                        <wp:posOffset>1511935</wp:posOffset>
                      </wp:positionH>
                      <wp:positionV relativeFrom="paragraph">
                        <wp:posOffset>1010920</wp:posOffset>
                      </wp:positionV>
                      <wp:extent cx="715010" cy="276225"/>
                      <wp:effectExtent l="0" t="0" r="0" b="0"/>
                      <wp:wrapNone/>
                      <wp:docPr id="7" name="文本框 13"/>
                      <wp:cNvGraphicFramePr/>
                      <a:graphic xmlns:a="http://schemas.openxmlformats.org/drawingml/2006/main">
                        <a:graphicData uri="http://schemas.microsoft.com/office/word/2010/wordprocessingShape">
                          <wps:wsp>
                            <wps:cNvSpPr txBox="true"/>
                            <wps:spPr>
                              <a:xfrm>
                                <a:off x="0" y="0"/>
                                <a:ext cx="715010" cy="276225"/>
                              </a:xfrm>
                              <a:prstGeom prst="rect">
                                <a:avLst/>
                              </a:prstGeom>
                              <a:noFill/>
                              <a:ln>
                                <a:noFill/>
                              </a:ln>
                              <a:effectLst/>
                            </wps:spPr>
                            <wps:txbx>
                              <w:txbxContent>
                                <w:p>
                                  <w:pPr>
                                    <w:rPr>
                                      <w:szCs w:val="21"/>
                                    </w:rPr>
                                  </w:pPr>
                                  <w:r>
                                    <w:rPr>
                                      <w:rFonts w:hint="eastAsia"/>
                                      <w:szCs w:val="21"/>
                                    </w:rPr>
                                    <w:t>6.24</w:t>
                                  </w:r>
                                </w:p>
                              </w:txbxContent>
                            </wps:txbx>
                            <wps:bodyPr upright="true"/>
                          </wps:wsp>
                        </a:graphicData>
                      </a:graphic>
                    </wp:anchor>
                  </w:drawing>
                </mc:Choice>
                <mc:Fallback>
                  <w:pict>
                    <v:shape id="文本框 13" o:spid="_x0000_s1026" o:spt="202" type="#_x0000_t202" style="position:absolute;left:0pt;margin-left:119.05pt;margin-top:79.6pt;height:21.75pt;width:56.3pt;z-index:251666432;mso-width-relative:page;mso-height-relative:page;" filled="f" stroked="f" coordsize="21600,21600" o:gfxdata="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ANy1aLY&#10;AAAACwEAAA8AAAAAAAAAAQAgAAAAOAAAAGRycy9kb3ducmV2LnhtbFBLAQIUABQAAAAIAIdO4kAc&#10;JEX9mAEAABQDAAAOAAAAAAAAAAEAIAAAAD0BAABkcnMvZTJvRG9jLnhtbFBLBQYAAAAABgAGAFkB&#10;AABHBQAAAAA=&#10;">
                      <v:fill on="f" focussize="0,0"/>
                      <v:stroke on="f"/>
                      <v:imagedata o:title=""/>
                      <o:lock v:ext="edit" aspectratio="f"/>
                      <v:textbox>
                        <w:txbxContent>
                          <w:p>
                            <w:pPr>
                              <w:rPr>
                                <w:szCs w:val="21"/>
                              </w:rPr>
                            </w:pPr>
                            <w:r>
                              <w:rPr>
                                <w:rFonts w:hint="eastAsia"/>
                                <w:szCs w:val="21"/>
                              </w:rPr>
                              <w:t>6.24</w:t>
                            </w:r>
                          </w:p>
                        </w:txbxContent>
                      </v:textbox>
                    </v:shape>
                  </w:pict>
                </mc:Fallback>
              </mc:AlternateContent>
            </w:r>
            <w:r>
              <w:rPr>
                <w:sz w:val="24"/>
              </w:rPr>
              <w:t>生活废水</w:t>
            </w:r>
            <w:r>
              <w:rPr>
                <w:bCs/>
                <w:sz w:val="24"/>
              </w:rPr>
              <w:t>产生量</w:t>
            </w:r>
            <w:r>
              <w:rPr>
                <w:sz w:val="24"/>
              </w:rPr>
              <w:t>按用水量的80%计，则生活废水产生量为24.96m</w:t>
            </w:r>
            <w:r>
              <w:rPr>
                <w:sz w:val="24"/>
                <w:vertAlign w:val="superscript"/>
              </w:rPr>
              <w:t>3</w:t>
            </w:r>
            <w:r>
              <w:rPr>
                <w:sz w:val="24"/>
              </w:rPr>
              <w:t>/d（7488m</w:t>
            </w:r>
            <w:r>
              <w:rPr>
                <w:sz w:val="24"/>
                <w:vertAlign w:val="superscript"/>
              </w:rPr>
              <w:t>3</w:t>
            </w:r>
            <w:r>
              <w:rPr>
                <w:sz w:val="24"/>
              </w:rPr>
              <w:t>/a），</w:t>
            </w:r>
            <w:r>
              <w:rPr>
                <w:rFonts w:hint="eastAsia"/>
                <w:sz w:val="24"/>
              </w:rPr>
              <w:t>食堂废水</w:t>
            </w:r>
            <w:r>
              <w:rPr>
                <w:sz w:val="24"/>
              </w:rPr>
              <w:t>经隔油池</w:t>
            </w:r>
            <w:r>
              <w:rPr>
                <w:rFonts w:hint="eastAsia"/>
                <w:sz w:val="24"/>
              </w:rPr>
              <w:t>处理、</w:t>
            </w:r>
            <w:r>
              <w:rPr>
                <w:sz w:val="24"/>
              </w:rPr>
              <w:t>生活废水</w:t>
            </w:r>
            <w:r>
              <w:rPr>
                <w:rFonts w:hint="eastAsia"/>
                <w:sz w:val="24"/>
              </w:rPr>
              <w:t>经</w:t>
            </w:r>
            <w:r>
              <w:rPr>
                <w:sz w:val="24"/>
              </w:rPr>
              <w:t>化粪池处理后经管网进入魏县开发区污水处理厂进一步处理。</w:t>
            </w:r>
            <w:r>
              <w:rPr>
                <w:bCs/>
                <w:sz w:val="24"/>
              </w:rPr>
              <w:t>本项目用水平衡见图1。</w:t>
            </w:r>
          </w:p>
          <w:p>
            <w:pPr>
              <w:pStyle w:val="2"/>
              <w:rPr>
                <w:color w:val="auto"/>
                <w:spacing w:val="-6"/>
              </w:rPr>
            </w:pPr>
            <w:r>
              <w:rPr>
                <w:color w:val="auto"/>
              </w:rPr>
              <mc:AlternateContent>
                <mc:Choice Requires="wps">
                  <w:drawing>
                    <wp:anchor distT="0" distB="0" distL="114300" distR="114300" simplePos="0" relativeHeight="251671552" behindDoc="0" locked="0" layoutInCell="1" allowOverlap="1">
                      <wp:simplePos x="0" y="0"/>
                      <wp:positionH relativeFrom="column">
                        <wp:posOffset>4008755</wp:posOffset>
                      </wp:positionH>
                      <wp:positionV relativeFrom="paragraph">
                        <wp:posOffset>180975</wp:posOffset>
                      </wp:positionV>
                      <wp:extent cx="539750" cy="316865"/>
                      <wp:effectExtent l="0" t="0" r="0" b="0"/>
                      <wp:wrapNone/>
                      <wp:docPr id="12" name="文本框 8"/>
                      <wp:cNvGraphicFramePr/>
                      <a:graphic xmlns:a="http://schemas.openxmlformats.org/drawingml/2006/main">
                        <a:graphicData uri="http://schemas.microsoft.com/office/word/2010/wordprocessingShape">
                          <wps:wsp>
                            <wps:cNvSpPr txBox="true"/>
                            <wps:spPr>
                              <a:xfrm>
                                <a:off x="0" y="0"/>
                                <a:ext cx="539750" cy="316865"/>
                              </a:xfrm>
                              <a:prstGeom prst="rect">
                                <a:avLst/>
                              </a:prstGeom>
                              <a:noFill/>
                              <a:ln w="15875">
                                <a:noFill/>
                              </a:ln>
                              <a:effectLst/>
                            </wps:spPr>
                            <wps:txbx>
                              <w:txbxContent>
                                <w:p>
                                  <w:pPr>
                                    <w:rPr>
                                      <w:szCs w:val="21"/>
                                    </w:rPr>
                                  </w:pPr>
                                  <w:r>
                                    <w:rPr>
                                      <w:rFonts w:hint="eastAsia"/>
                                      <w:szCs w:val="21"/>
                                    </w:rPr>
                                    <w:t>24.96</w:t>
                                  </w:r>
                                </w:p>
                              </w:txbxContent>
                            </wps:txbx>
                            <wps:bodyPr upright="true"/>
                          </wps:wsp>
                        </a:graphicData>
                      </a:graphic>
                    </wp:anchor>
                  </w:drawing>
                </mc:Choice>
                <mc:Fallback>
                  <w:pict>
                    <v:shape id="文本框 8" o:spid="_x0000_s1026" o:spt="202" type="#_x0000_t202" style="position:absolute;left:0pt;margin-left:315.65pt;margin-top:14.25pt;height:24.95pt;width:42.5pt;z-index:251671552;mso-width-relative:page;mso-height-relative:page;" filled="f" stroked="f" coordsize="21600,21600" o:gfxdata="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cOeZW2wAAAAkBAAAPAAAAAAAAAAEAIAAAADgAAABkcnMvZG93bnJldi54bWxQSwEC&#10;FAAUAAAACACHTuJAxtDE3aIBAAAeAwAADgAAAAAAAAABACAAAABAAQAAZHJzL2Uyb0RvYy54bWxQ&#10;SwUGAAAAAAYABgBZAQAAVAUAAAAA&#10;">
                      <v:fill on="f" focussize="0,0"/>
                      <v:stroke on="f" weight="1.25pt"/>
                      <v:imagedata o:title=""/>
                      <o:lock v:ext="edit" aspectratio="f"/>
                      <v:textbox>
                        <w:txbxContent>
                          <w:p>
                            <w:pPr>
                              <w:rPr>
                                <w:szCs w:val="21"/>
                              </w:rPr>
                            </w:pPr>
                            <w:r>
                              <w:rPr>
                                <w:rFonts w:hint="eastAsia"/>
                                <w:szCs w:val="21"/>
                              </w:rPr>
                              <w:t>24.96</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4462780</wp:posOffset>
                      </wp:positionH>
                      <wp:positionV relativeFrom="paragraph">
                        <wp:posOffset>151130</wp:posOffset>
                      </wp:positionV>
                      <wp:extent cx="873125" cy="748665"/>
                      <wp:effectExtent l="0" t="0" r="0" b="0"/>
                      <wp:wrapNone/>
                      <wp:docPr id="17" name="文本框 13"/>
                      <wp:cNvGraphicFramePr/>
                      <a:graphic xmlns:a="http://schemas.openxmlformats.org/drawingml/2006/main">
                        <a:graphicData uri="http://schemas.microsoft.com/office/word/2010/wordprocessingShape">
                          <wps:wsp>
                            <wps:cNvSpPr txBox="true"/>
                            <wps:spPr>
                              <a:xfrm>
                                <a:off x="0" y="0"/>
                                <a:ext cx="873125" cy="748665"/>
                              </a:xfrm>
                              <a:prstGeom prst="rect">
                                <a:avLst/>
                              </a:prstGeom>
                              <a:noFill/>
                              <a:ln w="6350">
                                <a:noFill/>
                              </a:ln>
                              <a:effectLst/>
                            </wps:spPr>
                            <wps:txbx>
                              <w:txbxContent>
                                <w:p>
                                  <w:pPr>
                                    <w:spacing w:line="300" w:lineRule="exact"/>
                                    <w:rPr>
                                      <w:sz w:val="18"/>
                                      <w:szCs w:val="18"/>
                                    </w:rPr>
                                  </w:pPr>
                                  <w:r>
                                    <w:rPr>
                                      <w:rFonts w:hint="eastAsia" w:ascii="宋体" w:hAnsi="宋体"/>
                                      <w:sz w:val="18"/>
                                      <w:szCs w:val="18"/>
                                    </w:rPr>
                                    <w:t>魏县经济开发区污水处理厂</w:t>
                                  </w:r>
                                </w:p>
                              </w:txbxContent>
                            </wps:txbx>
                            <wps:bodyPr upright="true"/>
                          </wps:wsp>
                        </a:graphicData>
                      </a:graphic>
                    </wp:anchor>
                  </w:drawing>
                </mc:Choice>
                <mc:Fallback>
                  <w:pict>
                    <v:shape id="文本框 13" o:spid="_x0000_s1026" o:spt="202" type="#_x0000_t202" style="position:absolute;left:0pt;margin-left:351.4pt;margin-top:11.9pt;height:58.95pt;width:68.75pt;z-index:251676672;mso-width-relative:page;mso-height-relative:page;" filled="f" stroked="f" coordsize="21600,21600" o:gfxdata="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MRLKMtsAAAAKAQAADwAAAAAAAAABACAAAAA4AAAAZHJzL2Rvd25yZXYueG1sUEsB&#10;AhQAFAAAAAgAh07iQAx+zsqjAQAAHgMAAA4AAAAAAAAAAQAgAAAAQAEAAGRycy9lMm9Eb2MueG1s&#10;UEsFBgAAAAAGAAYAWQEAAFUFAAAAAA==&#10;">
                      <v:fill on="f" focussize="0,0"/>
                      <v:stroke on="f" weight="0.5pt"/>
                      <v:imagedata o:title=""/>
                      <o:lock v:ext="edit" aspectratio="f"/>
                      <v:textbox>
                        <w:txbxContent>
                          <w:p>
                            <w:pPr>
                              <w:spacing w:line="300" w:lineRule="exact"/>
                              <w:rPr>
                                <w:sz w:val="18"/>
                                <w:szCs w:val="18"/>
                              </w:rPr>
                            </w:pPr>
                            <w:r>
                              <w:rPr>
                                <w:rFonts w:hint="eastAsia" w:ascii="宋体" w:hAnsi="宋体"/>
                                <w:sz w:val="18"/>
                                <w:szCs w:val="18"/>
                              </w:rPr>
                              <w:t>魏县经济开发区污水处理厂</w:t>
                            </w:r>
                          </w:p>
                        </w:txbxContent>
                      </v:textbox>
                    </v:shape>
                  </w:pict>
                </mc:Fallback>
              </mc:AlternateContent>
            </w:r>
            <w:r>
              <w:rPr>
                <w:color w:val="auto"/>
                <w:spacing w:val="-6"/>
              </w:rPr>
              <mc:AlternateContent>
                <mc:Choice Requires="wps">
                  <w:drawing>
                    <wp:anchor distT="0" distB="0" distL="114300" distR="114300" simplePos="0" relativeHeight="251681792" behindDoc="0" locked="0" layoutInCell="1" allowOverlap="1">
                      <wp:simplePos x="0" y="0"/>
                      <wp:positionH relativeFrom="column">
                        <wp:posOffset>607060</wp:posOffset>
                      </wp:positionH>
                      <wp:positionV relativeFrom="paragraph">
                        <wp:posOffset>217170</wp:posOffset>
                      </wp:positionV>
                      <wp:extent cx="438785" cy="276225"/>
                      <wp:effectExtent l="0" t="0" r="0" b="0"/>
                      <wp:wrapNone/>
                      <wp:docPr id="22" name="文本框 23"/>
                      <wp:cNvGraphicFramePr/>
                      <a:graphic xmlns:a="http://schemas.openxmlformats.org/drawingml/2006/main">
                        <a:graphicData uri="http://schemas.microsoft.com/office/word/2010/wordprocessingShape">
                          <wps:wsp>
                            <wps:cNvSpPr txBox="true"/>
                            <wps:spPr>
                              <a:xfrm>
                                <a:off x="0" y="0"/>
                                <a:ext cx="438785" cy="276225"/>
                              </a:xfrm>
                              <a:prstGeom prst="rect">
                                <a:avLst/>
                              </a:prstGeom>
                              <a:noFill/>
                              <a:ln>
                                <a:noFill/>
                              </a:ln>
                              <a:effectLst/>
                            </wps:spPr>
                            <wps:txbx>
                              <w:txbxContent>
                                <w:p>
                                  <w:pPr>
                                    <w:rPr>
                                      <w:szCs w:val="21"/>
                                    </w:rPr>
                                  </w:pPr>
                                  <w:r>
                                    <w:rPr>
                                      <w:rFonts w:hint="eastAsia"/>
                                      <w:szCs w:val="21"/>
                                    </w:rPr>
                                    <w:t>31.2</w:t>
                                  </w:r>
                                </w:p>
                              </w:txbxContent>
                            </wps:txbx>
                            <wps:bodyPr upright="true"/>
                          </wps:wsp>
                        </a:graphicData>
                      </a:graphic>
                    </wp:anchor>
                  </w:drawing>
                </mc:Choice>
                <mc:Fallback>
                  <w:pict>
                    <v:shape id="文本框 23" o:spid="_x0000_s1026" o:spt="202" type="#_x0000_t202" style="position:absolute;left:0pt;margin-left:47.8pt;margin-top:17.1pt;height:21.75pt;width:34.55pt;z-index:251681792;mso-width-relative:page;mso-height-relative:page;" filled="f" stroked="f" coordsize="21600,21600" o:gfxdata="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HJ5SUvW&#10;AAAACAEAAA8AAAAAAAAAAQAgAAAAOAAAAGRycy9kb3ducmV2LnhtbFBLAQIUABQAAAAIAIdO4kCE&#10;oeacmgEAABUDAAAOAAAAAAAAAAEAIAAAADsBAABkcnMvZTJvRG9jLnhtbFBLBQYAAAAABgAGAFkB&#10;AABHBQAAAAA=&#10;">
                      <v:fill on="f" focussize="0,0"/>
                      <v:stroke on="f"/>
                      <v:imagedata o:title=""/>
                      <o:lock v:ext="edit" aspectratio="f"/>
                      <v:textbox>
                        <w:txbxContent>
                          <w:p>
                            <w:pPr>
                              <w:rPr>
                                <w:szCs w:val="21"/>
                              </w:rPr>
                            </w:pPr>
                            <w:r>
                              <w:rPr>
                                <w:rFonts w:hint="eastAsia"/>
                                <w:szCs w:val="21"/>
                              </w:rPr>
                              <w:t>31.2</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1324610</wp:posOffset>
                      </wp:positionH>
                      <wp:positionV relativeFrom="paragraph">
                        <wp:posOffset>164465</wp:posOffset>
                      </wp:positionV>
                      <wp:extent cx="271780" cy="183515"/>
                      <wp:effectExtent l="4445" t="0" r="13335" b="14605"/>
                      <wp:wrapNone/>
                      <wp:docPr id="8" name="自选图形 16"/>
                      <wp:cNvGraphicFramePr/>
                      <a:graphic xmlns:a="http://schemas.openxmlformats.org/drawingml/2006/main">
                        <a:graphicData uri="http://schemas.microsoft.com/office/word/2010/wordprocessingShape">
                          <wps:wsp>
                            <wps:cNvCnPr/>
                            <wps:spPr>
                              <a:xfrm flipV="true">
                                <a:off x="0" y="0"/>
                                <a:ext cx="271780" cy="183515"/>
                              </a:xfrm>
                              <a:prstGeom prst="straightConnector1">
                                <a:avLst/>
                              </a:prstGeom>
                              <a:ln w="15875" cap="flat" cmpd="sng">
                                <a:solidFill>
                                  <a:srgbClr val="000000"/>
                                </a:solidFill>
                                <a:prstDash val="sysDot"/>
                                <a:headEnd type="none" w="med" len="med"/>
                                <a:tailEnd type="triangle" w="med" len="med"/>
                              </a:ln>
                              <a:effectLst/>
                            </wps:spPr>
                            <wps:bodyPr/>
                          </wps:wsp>
                        </a:graphicData>
                      </a:graphic>
                    </wp:anchor>
                  </w:drawing>
                </mc:Choice>
                <mc:Fallback>
                  <w:pict>
                    <v:shape id="自选图形 16" o:spid="_x0000_s1026" o:spt="32" type="#_x0000_t32" style="position:absolute;left:0pt;flip:y;margin-left:104.3pt;margin-top:12.95pt;height:14.45pt;width:21.4pt;z-index:251667456;mso-width-relative:page;mso-height-relative:page;" filled="f" stroked="t" coordsize="21600,21600" o:gfxdata="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KE0WzaAAAACQEAAA8AAAAAAAAAAQAg&#10;AAAAOAAAAGRycy9kb3ducmV2LnhtbFBLAQIUABQAAAAIAIdO4kCTLp849gEAALsDAAAOAAAAAAAA&#10;AAEAIAAAAD8BAABkcnMvZTJvRG9jLnhtbFBLBQYAAAAABgAGAFkBAACnBQAAAAA=&#10;">
                      <v:fill on="f" focussize="0,0"/>
                      <v:stroke weight="1.25pt" color="#000000" joinstyle="round" dashstyle="1 1" endarrow="block"/>
                      <v:imagedata o:title=""/>
                      <o:lock v:ext="edit" aspectratio="f"/>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1731645</wp:posOffset>
                      </wp:positionH>
                      <wp:positionV relativeFrom="paragraph">
                        <wp:posOffset>167005</wp:posOffset>
                      </wp:positionV>
                      <wp:extent cx="635635" cy="264160"/>
                      <wp:effectExtent l="0" t="0" r="0" b="0"/>
                      <wp:wrapNone/>
                      <wp:docPr id="11" name="文本框 7"/>
                      <wp:cNvGraphicFramePr/>
                      <a:graphic xmlns:a="http://schemas.openxmlformats.org/drawingml/2006/main">
                        <a:graphicData uri="http://schemas.microsoft.com/office/word/2010/wordprocessingShape">
                          <wps:wsp>
                            <wps:cNvSpPr txBox="true"/>
                            <wps:spPr>
                              <a:xfrm>
                                <a:off x="0" y="0"/>
                                <a:ext cx="635635" cy="264160"/>
                              </a:xfrm>
                              <a:prstGeom prst="rect">
                                <a:avLst/>
                              </a:prstGeom>
                              <a:noFill/>
                              <a:ln w="15875">
                                <a:noFill/>
                              </a:ln>
                              <a:effectLst/>
                            </wps:spPr>
                            <wps:txbx>
                              <w:txbxContent>
                                <w:p>
                                  <w:pPr>
                                    <w:jc w:val="center"/>
                                    <w:rPr>
                                      <w:szCs w:val="21"/>
                                    </w:rPr>
                                  </w:pPr>
                                  <w:r>
                                    <w:rPr>
                                      <w:rFonts w:hint="eastAsia"/>
                                      <w:szCs w:val="21"/>
                                    </w:rPr>
                                    <w:t>24.96</w:t>
                                  </w:r>
                                </w:p>
                              </w:txbxContent>
                            </wps:txbx>
                            <wps:bodyPr upright="true"/>
                          </wps:wsp>
                        </a:graphicData>
                      </a:graphic>
                    </wp:anchor>
                  </w:drawing>
                </mc:Choice>
                <mc:Fallback>
                  <w:pict>
                    <v:shape id="文本框 7" o:spid="_x0000_s1026" o:spt="202" type="#_x0000_t202" style="position:absolute;left:0pt;margin-left:136.35pt;margin-top:13.15pt;height:20.8pt;width:50.05pt;z-index:251670528;mso-width-relative:page;mso-height-relative:page;" filled="f" stroked="f" coordsize="21600,21600" o:gfxdata="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3/Gm+dwAAAAJAQAADwAAAAAAAAABACAAAAA4AAAAZHJzL2Rvd25yZXYueG1sUEsB&#10;AhQAFAAAAAgAh07iQLQr1SuiAQAAHgMAAA4AAAAAAAAAAQAgAAAAQQEAAGRycy9lMm9Eb2MueG1s&#10;UEsFBgAAAAAGAAYAWQEAAFUFAAAAAA==&#10;">
                      <v:fill on="f" focussize="0,0"/>
                      <v:stroke on="f" weight="1.25pt"/>
                      <v:imagedata o:title=""/>
                      <o:lock v:ext="edit" aspectratio="f"/>
                      <v:textbox>
                        <w:txbxContent>
                          <w:p>
                            <w:pPr>
                              <w:jc w:val="center"/>
                              <w:rPr>
                                <w:szCs w:val="21"/>
                              </w:rPr>
                            </w:pPr>
                            <w:r>
                              <w:rPr>
                                <w:rFonts w:hint="eastAsia"/>
                                <w:szCs w:val="21"/>
                              </w:rPr>
                              <w:t>24.96</w:t>
                            </w:r>
                          </w:p>
                        </w:txbxContent>
                      </v:textbox>
                    </v:shape>
                  </w:pict>
                </mc:Fallback>
              </mc:AlternateContent>
            </w:r>
          </w:p>
          <w:p>
            <w:pPr>
              <w:pStyle w:val="2"/>
              <w:rPr>
                <w:color w:val="auto"/>
                <w:sz w:val="21"/>
              </w:rPr>
            </w:pPr>
            <w:r>
              <w:rPr>
                <w:color w:val="auto"/>
              </w:rPr>
              <mc:AlternateContent>
                <mc:Choice Requires="wps">
                  <w:drawing>
                    <wp:anchor distT="0" distB="0" distL="114300" distR="114300" simplePos="0" relativeHeight="251665408" behindDoc="0" locked="0" layoutInCell="1" allowOverlap="1">
                      <wp:simplePos x="0" y="0"/>
                      <wp:positionH relativeFrom="column">
                        <wp:posOffset>3284220</wp:posOffset>
                      </wp:positionH>
                      <wp:positionV relativeFrom="paragraph">
                        <wp:posOffset>90170</wp:posOffset>
                      </wp:positionV>
                      <wp:extent cx="711200" cy="304800"/>
                      <wp:effectExtent l="4445" t="4445" r="15875" b="10795"/>
                      <wp:wrapNone/>
                      <wp:docPr id="6" name="文本框 11"/>
                      <wp:cNvGraphicFramePr/>
                      <a:graphic xmlns:a="http://schemas.openxmlformats.org/drawingml/2006/main">
                        <a:graphicData uri="http://schemas.microsoft.com/office/word/2010/wordprocessingShape">
                          <wps:wsp>
                            <wps:cNvSpPr txBox="true"/>
                            <wps:spPr>
                              <a:xfrm>
                                <a:off x="0" y="0"/>
                                <a:ext cx="711200" cy="304800"/>
                              </a:xfrm>
                              <a:prstGeom prst="rect">
                                <a:avLst/>
                              </a:prstGeom>
                              <a:no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化粪池</w:t>
                                  </w:r>
                                </w:p>
                              </w:txbxContent>
                            </wps:txbx>
                            <wps:bodyPr upright="true"/>
                          </wps:wsp>
                        </a:graphicData>
                      </a:graphic>
                    </wp:anchor>
                  </w:drawing>
                </mc:Choice>
                <mc:Fallback>
                  <w:pict>
                    <v:shape id="文本框 11" o:spid="_x0000_s1026" o:spt="202" type="#_x0000_t202" style="position:absolute;left:0pt;margin-left:258.6pt;margin-top:7.1pt;height:24pt;width:56pt;z-index:251665408;mso-width-relative:page;mso-height-relative:page;" filled="f" stroked="t" coordsize="21600,21600" o:gfxdata="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UfIUtQAAAAJAQAADwAAAAAAAAABACAAAAA4AAAAZHJz&#10;L2Rvd25yZXYueG1sUEsBAhQAFAAAAAgAh07iQN99A3/yAQAA0wMAAA4AAAAAAAAAAQAgAAAAOQEA&#10;AGRycy9lMm9Eb2MueG1sUEsFBgAAAAAGAAYAWQEAAJ0FAAAAAA==&#10;">
                      <v:fill on="f" focussize="0,0"/>
                      <v:stroke color="#000000" joinstyle="miter"/>
                      <v:imagedata o:title=""/>
                      <o:lock v:ext="edit" aspectratio="f"/>
                      <v:textbox>
                        <w:txbxContent>
                          <w:p>
                            <w:pPr>
                              <w:rPr>
                                <w:szCs w:val="21"/>
                              </w:rPr>
                            </w:pPr>
                            <w:r>
                              <w:rPr>
                                <w:rFonts w:hint="eastAsia"/>
                                <w:szCs w:val="21"/>
                              </w:rPr>
                              <w:t>化粪池</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2277110</wp:posOffset>
                      </wp:positionH>
                      <wp:positionV relativeFrom="paragraph">
                        <wp:posOffset>95885</wp:posOffset>
                      </wp:positionV>
                      <wp:extent cx="699135" cy="309245"/>
                      <wp:effectExtent l="4445" t="4445" r="12700" b="6350"/>
                      <wp:wrapNone/>
                      <wp:docPr id="13" name="文本框 14"/>
                      <wp:cNvGraphicFramePr/>
                      <a:graphic xmlns:a="http://schemas.openxmlformats.org/drawingml/2006/main">
                        <a:graphicData uri="http://schemas.microsoft.com/office/word/2010/wordprocessingShape">
                          <wps:wsp>
                            <wps:cNvSpPr txBox="true"/>
                            <wps:spPr>
                              <a:xfrm>
                                <a:off x="0" y="0"/>
                                <a:ext cx="699135" cy="309245"/>
                              </a:xfrm>
                              <a:prstGeom prst="rect">
                                <a:avLst/>
                              </a:prstGeom>
                              <a:noFill/>
                              <a:ln w="6350" cap="flat" cmpd="sng">
                                <a:solidFill>
                                  <a:srgbClr val="000000"/>
                                </a:solidFill>
                                <a:prstDash val="solid"/>
                                <a:miter/>
                                <a:headEnd type="none" w="med" len="med"/>
                                <a:tailEnd type="none" w="med" len="med"/>
                              </a:ln>
                              <a:effectLst/>
                            </wps:spPr>
                            <wps:txbx>
                              <w:txbxContent>
                                <w:p>
                                  <w:pPr>
                                    <w:rPr>
                                      <w:szCs w:val="21"/>
                                    </w:rPr>
                                  </w:pPr>
                                  <w:r>
                                    <w:rPr>
                                      <w:rFonts w:hint="eastAsia"/>
                                      <w:szCs w:val="21"/>
                                    </w:rPr>
                                    <w:t>隔油池</w:t>
                                  </w:r>
                                </w:p>
                              </w:txbxContent>
                            </wps:txbx>
                            <wps:bodyPr upright="true"/>
                          </wps:wsp>
                        </a:graphicData>
                      </a:graphic>
                    </wp:anchor>
                  </w:drawing>
                </mc:Choice>
                <mc:Fallback>
                  <w:pict>
                    <v:shape id="文本框 14" o:spid="_x0000_s1026" o:spt="202" type="#_x0000_t202" style="position:absolute;left:0pt;margin-left:179.3pt;margin-top:7.55pt;height:24.35pt;width:55.05pt;z-index:251672576;mso-width-relative:page;mso-height-relative:page;" filled="f" stroked="t" coordsize="21600,21600" o:gfxdata="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yc3h2QAAAAkBAAAPAAAAAAAAAAEAIAAAADgA&#10;AABkcnMvZG93bnJldi54bWxQSwECFAAUAAAACACHTuJAqiUWP/IBAADUAwAADgAAAAAAAAABACAA&#10;AAA+AQAAZHJzL2Uyb0RvYy54bWxQSwUGAAAAAAYABgBZAQAAogUAAAAA&#10;">
                      <v:fill on="f" focussize="0,0"/>
                      <v:stroke weight="0.5pt" color="#000000" joinstyle="miter"/>
                      <v:imagedata o:title=""/>
                      <o:lock v:ext="edit" aspectratio="f"/>
                      <v:textbox>
                        <w:txbxContent>
                          <w:p>
                            <w:pPr>
                              <w:rPr>
                                <w:szCs w:val="21"/>
                              </w:rPr>
                            </w:pPr>
                            <w:r>
                              <w:rPr>
                                <w:rFonts w:hint="eastAsia"/>
                                <w:szCs w:val="21"/>
                              </w:rPr>
                              <w:t>隔油池</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979170</wp:posOffset>
                      </wp:positionH>
                      <wp:positionV relativeFrom="paragraph">
                        <wp:posOffset>102235</wp:posOffset>
                      </wp:positionV>
                      <wp:extent cx="824230" cy="311785"/>
                      <wp:effectExtent l="4445" t="5080" r="9525" b="18415"/>
                      <wp:wrapNone/>
                      <wp:docPr id="9" name="文本框 292"/>
                      <wp:cNvGraphicFramePr/>
                      <a:graphic xmlns:a="http://schemas.openxmlformats.org/drawingml/2006/main">
                        <a:graphicData uri="http://schemas.microsoft.com/office/word/2010/wordprocessingShape">
                          <wps:wsp>
                            <wps:cNvSpPr txBox="true"/>
                            <wps:spPr>
                              <a:xfrm>
                                <a:off x="0" y="0"/>
                                <a:ext cx="824230" cy="3117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Cs w:val="21"/>
                                    </w:rPr>
                                  </w:pPr>
                                  <w:r>
                                    <w:rPr>
                                      <w:rFonts w:hint="eastAsia"/>
                                      <w:szCs w:val="21"/>
                                    </w:rPr>
                                    <w:t>生活用水</w:t>
                                  </w:r>
                                </w:p>
                              </w:txbxContent>
                            </wps:txbx>
                            <wps:bodyPr upright="true"/>
                          </wps:wsp>
                        </a:graphicData>
                      </a:graphic>
                    </wp:anchor>
                  </w:drawing>
                </mc:Choice>
                <mc:Fallback>
                  <w:pict>
                    <v:shape id="文本框 292" o:spid="_x0000_s1026" o:spt="202" type="#_x0000_t202" style="position:absolute;left:0pt;margin-left:77.1pt;margin-top:8.05pt;height:24.55pt;width:64.9pt;z-index:251668480;mso-width-relative:page;mso-height-relative:page;" fillcolor="#FFFFFF" filled="t" stroked="t" coordsize="21600,21600" o:gfxdata="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4yI6J1QAAAAkBAAAPAAAAAAAAAAEAIAAA&#10;ADgAAABkcnMvZG93bnJldi54bWxQSwECFAAUAAAACACHTuJATObBzPkBAAD9AwAADgAAAAAAAAAB&#10;ACAAAAA6AQAAZHJzL2Uyb0RvYy54bWxQSwUGAAAAAAYABgBZAQAApQUAAAAA&#10;">
                      <v:fill on="t" focussize="0,0"/>
                      <v:stroke weight="0.5pt" color="#000000" joinstyle="miter"/>
                      <v:imagedata o:title=""/>
                      <o:lock v:ext="edit" aspectratio="f"/>
                      <v:textbox>
                        <w:txbxContent>
                          <w:p>
                            <w:pPr>
                              <w:rPr>
                                <w:szCs w:val="21"/>
                              </w:rPr>
                            </w:pPr>
                            <w:r>
                              <w:rPr>
                                <w:rFonts w:hint="eastAsia"/>
                                <w:szCs w:val="21"/>
                              </w:rPr>
                              <w:t>生活用水</w:t>
                            </w:r>
                          </w:p>
                        </w:txbxContent>
                      </v:textbox>
                    </v:shape>
                  </w:pict>
                </mc:Fallback>
              </mc:AlternateContent>
            </w:r>
          </w:p>
          <w:p>
            <w:pPr>
              <w:pStyle w:val="2"/>
              <w:jc w:val="center"/>
              <w:rPr>
                <w:color w:val="auto"/>
                <w:spacing w:val="-6"/>
              </w:rPr>
            </w:pPr>
            <w:r>
              <mc:AlternateContent>
                <mc:Choice Requires="wps">
                  <w:drawing>
                    <wp:anchor distT="0" distB="0" distL="114300" distR="114300" simplePos="0" relativeHeight="251680768" behindDoc="0" locked="0" layoutInCell="1" allowOverlap="1">
                      <wp:simplePos x="0" y="0"/>
                      <wp:positionH relativeFrom="column">
                        <wp:posOffset>624840</wp:posOffset>
                      </wp:positionH>
                      <wp:positionV relativeFrom="paragraph">
                        <wp:posOffset>15240</wp:posOffset>
                      </wp:positionV>
                      <wp:extent cx="635" cy="1179830"/>
                      <wp:effectExtent l="0" t="0" r="0" b="0"/>
                      <wp:wrapNone/>
                      <wp:docPr id="21" name="直线 22"/>
                      <wp:cNvGraphicFramePr/>
                      <a:graphic xmlns:a="http://schemas.openxmlformats.org/drawingml/2006/main">
                        <a:graphicData uri="http://schemas.microsoft.com/office/word/2010/wordprocessingShape">
                          <wps:wsp>
                            <wps:cNvCnPr/>
                            <wps:spPr>
                              <a:xfrm flipH="true">
                                <a:off x="0" y="0"/>
                                <a:ext cx="635" cy="117983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22" o:spid="_x0000_s1026" o:spt="20" style="position:absolute;left:0pt;flip:x;margin-left:49.2pt;margin-top:1.2pt;height:92.9pt;width:0.05pt;z-index:251680768;mso-width-relative:page;mso-height-relative:page;" filled="f" stroked="t" coordsize="21600,21600" o:gfxdata="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h508HVAAAABwEAAA8AAAAAAAAAAQAgAAAAOAAAAGRycy9kb3ducmV2LnhtbFBL&#10;AQIUABQAAAAIAIdO4kCvftNV4wEAAK8DAAAOAAAAAAAAAAEAIAAAADoBAABkcnMvZTJvRG9jLnht&#10;bFBLBQYAAAAABgAGAFkBAACP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4007485</wp:posOffset>
                      </wp:positionH>
                      <wp:positionV relativeFrom="paragraph">
                        <wp:posOffset>1270</wp:posOffset>
                      </wp:positionV>
                      <wp:extent cx="541020" cy="0"/>
                      <wp:effectExtent l="0" t="38100" r="7620" b="38100"/>
                      <wp:wrapNone/>
                      <wp:docPr id="16" name="自选图形 16"/>
                      <wp:cNvGraphicFramePr/>
                      <a:graphic xmlns:a="http://schemas.openxmlformats.org/drawingml/2006/main">
                        <a:graphicData uri="http://schemas.microsoft.com/office/word/2010/wordprocessingShape">
                          <wps:wsp>
                            <wps:cNvCnPr/>
                            <wps:spPr>
                              <a:xfrm>
                                <a:off x="0" y="0"/>
                                <a:ext cx="54102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 o:spid="_x0000_s1026" o:spt="32" type="#_x0000_t32" style="position:absolute;left:0pt;margin-left:315.55pt;margin-top:0.1pt;height:0pt;width:42.6pt;z-index:251675648;mso-width-relative:page;mso-height-relative:page;" filled="f" stroked="t" coordsize="21600,21600" o:gfxdata="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aaoI/VAAAABQEAAA8AAAAAAAAAAQAgAAAAOAAAAGRycy9kb3ducmV2Lnht&#10;bFBLAQIUABQAAAAIAIdO4kADJkf+5gEAAKgDAAAOAAAAAAAAAAEAIAAAADoBAABkcnMvZTJvRG9j&#10;LnhtbFBLBQYAAAAABgAGAFkBAACS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2985770</wp:posOffset>
                      </wp:positionH>
                      <wp:positionV relativeFrom="paragraph">
                        <wp:posOffset>19050</wp:posOffset>
                      </wp:positionV>
                      <wp:extent cx="299720" cy="3175"/>
                      <wp:effectExtent l="0" t="37465" r="5080" b="35560"/>
                      <wp:wrapNone/>
                      <wp:docPr id="15" name="自选图形 17"/>
                      <wp:cNvGraphicFramePr/>
                      <a:graphic xmlns:a="http://schemas.openxmlformats.org/drawingml/2006/main">
                        <a:graphicData uri="http://schemas.microsoft.com/office/word/2010/wordprocessingShape">
                          <wps:wsp>
                            <wps:cNvCnPr/>
                            <wps:spPr>
                              <a:xfrm flipV="true">
                                <a:off x="0" y="0"/>
                                <a:ext cx="299720" cy="31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7" o:spid="_x0000_s1026" o:spt="32" type="#_x0000_t32" style="position:absolute;left:0pt;flip:y;margin-left:235.1pt;margin-top:1.5pt;height:0.25pt;width:23.6pt;z-index:251674624;mso-width-relative:page;mso-height-relative:page;" filled="f" stroked="t" coordsize="21600,21600" o:gfxdata="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ExctdcAAAAHAQAADwAAAAAAAAABACAAAAA4AAAA&#10;ZHJzL2Rvd25yZXYueG1sUEsBAhQAFAAAAAgAh07iQMMsyTryAQAAuAMAAA4AAAAAAAAAAQAgAAAA&#10;PA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1813560</wp:posOffset>
                      </wp:positionH>
                      <wp:positionV relativeFrom="paragraph">
                        <wp:posOffset>12065</wp:posOffset>
                      </wp:positionV>
                      <wp:extent cx="463550" cy="635"/>
                      <wp:effectExtent l="0" t="37465" r="8890" b="38100"/>
                      <wp:wrapNone/>
                      <wp:docPr id="10" name="直线 18"/>
                      <wp:cNvGraphicFramePr/>
                      <a:graphic xmlns:a="http://schemas.openxmlformats.org/drawingml/2006/main">
                        <a:graphicData uri="http://schemas.microsoft.com/office/word/2010/wordprocessingShape">
                          <wps:wsp>
                            <wps:cNvCnPr/>
                            <wps:spPr>
                              <a:xfrm>
                                <a:off x="0" y="0"/>
                                <a:ext cx="463550" cy="635"/>
                              </a:xfrm>
                              <a:prstGeom prst="line">
                                <a:avLst/>
                              </a:prstGeom>
                              <a:ln w="6350" cap="flat" cmpd="sng">
                                <a:solidFill>
                                  <a:srgbClr val="000000"/>
                                </a:solidFill>
                                <a:prstDash val="solid"/>
                                <a:headEnd type="none" w="med" len="med"/>
                                <a:tailEnd type="triangle" w="med" len="med"/>
                              </a:ln>
                              <a:effectLst/>
                            </wps:spPr>
                            <wps:bodyPr upright="true"/>
                          </wps:wsp>
                        </a:graphicData>
                      </a:graphic>
                    </wp:anchor>
                  </w:drawing>
                </mc:Choice>
                <mc:Fallback>
                  <w:pict>
                    <v:line id="直线 18" o:spid="_x0000_s1026" o:spt="20" style="position:absolute;left:0pt;margin-left:142.8pt;margin-top:0.95pt;height:0.05pt;width:36.5pt;z-index:251669504;mso-width-relative:page;mso-height-relative:page;" filled="f" stroked="t" coordsize="21600,21600" o:gfxdata="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kFOa4&#10;1AAAAAcBAAAPAAAAAAAAAAEAIAAAADgAAABkcnMvZG93bnJldi54bWxQSwECFAAUAAAACACHTuJA&#10;ros/JdYBAAClAwAADgAAAAAAAAABACAAAAA5AQAAZHJzL2Uyb0RvYy54bWxQSwUGAAAAAAYABgBZ&#10;AQAAgQUAAAAA&#10;">
                      <v:fill on="f" focussize="0,0"/>
                      <v:stroke weight="0.5pt"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632460</wp:posOffset>
                      </wp:positionH>
                      <wp:positionV relativeFrom="paragraph">
                        <wp:posOffset>21590</wp:posOffset>
                      </wp:positionV>
                      <wp:extent cx="358775" cy="635"/>
                      <wp:effectExtent l="0" t="37465" r="6985" b="38100"/>
                      <wp:wrapNone/>
                      <wp:docPr id="19" name="直线 20"/>
                      <wp:cNvGraphicFramePr/>
                      <a:graphic xmlns:a="http://schemas.openxmlformats.org/drawingml/2006/main">
                        <a:graphicData uri="http://schemas.microsoft.com/office/word/2010/wordprocessingShape">
                          <wps:wsp>
                            <wps:cNvCnPr/>
                            <wps:spPr>
                              <a:xfrm>
                                <a:off x="0" y="0"/>
                                <a:ext cx="358775" cy="635"/>
                              </a:xfrm>
                              <a:prstGeom prst="line">
                                <a:avLst/>
                              </a:prstGeom>
                              <a:ln w="6350" cap="flat" cmpd="sng">
                                <a:solidFill>
                                  <a:srgbClr val="000000"/>
                                </a:solidFill>
                                <a:prstDash val="solid"/>
                                <a:headEnd type="none" w="med" len="med"/>
                                <a:tailEnd type="triangle" w="med" len="med"/>
                              </a:ln>
                              <a:effectLst/>
                            </wps:spPr>
                            <wps:bodyPr upright="true"/>
                          </wps:wsp>
                        </a:graphicData>
                      </a:graphic>
                    </wp:anchor>
                  </w:drawing>
                </mc:Choice>
                <mc:Fallback>
                  <w:pict>
                    <v:line id="直线 20" o:spid="_x0000_s1026" o:spt="20" style="position:absolute;left:0pt;margin-left:49.8pt;margin-top:1.7pt;height:0.05pt;width:28.25pt;z-index:251678720;mso-width-relative:page;mso-height-relative:page;" filled="f" stroked="t" coordsize="21600,21600" o:gfxdata="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Qr/MNUAAAAGAQAADwAAAAAAAAABACAAAAA4AAAAZHJzL2Rvd25yZXYueG1sUEsBAhQAFAAAAAgA&#10;h07iQKDKXujZAQAApQMAAA4AAAAAAAAAAQAgAAAAOgEAAGRycy9lMm9Eb2MueG1sUEsFBgAAAAAG&#10;AAYAWQEAAIUFAAAAAA==&#10;">
                      <v:fill on="f" focussize="0,0"/>
                      <v:stroke weight="0.5pt" color="#000000" joinstyle="round" endarrow="block"/>
                      <v:imagedata o:title=""/>
                      <o:lock v:ext="edit" aspectratio="f"/>
                    </v:line>
                  </w:pict>
                </mc:Fallback>
              </mc:AlternateContent>
            </w:r>
          </w:p>
          <w:p>
            <w:pPr>
              <w:pStyle w:val="2"/>
              <w:jc w:val="center"/>
              <w:rPr>
                <w:color w:val="auto"/>
                <w:spacing w:val="-6"/>
              </w:rPr>
            </w:pPr>
            <w:r>
              <w:rPr>
                <w:color w:val="auto"/>
                <w:spacing w:val="-6"/>
              </w:rPr>
              <mc:AlternateContent>
                <mc:Choice Requires="wps">
                  <w:drawing>
                    <wp:anchor distT="0" distB="0" distL="114300" distR="114300" simplePos="0" relativeHeight="251723776" behindDoc="0" locked="0" layoutInCell="1" allowOverlap="1">
                      <wp:simplePos x="0" y="0"/>
                      <wp:positionH relativeFrom="column">
                        <wp:posOffset>2286635</wp:posOffset>
                      </wp:positionH>
                      <wp:positionV relativeFrom="paragraph">
                        <wp:posOffset>24130</wp:posOffset>
                      </wp:positionV>
                      <wp:extent cx="391795" cy="276225"/>
                      <wp:effectExtent l="0" t="0" r="0" b="0"/>
                      <wp:wrapNone/>
                      <wp:docPr id="76" name="文本框 440"/>
                      <wp:cNvGraphicFramePr/>
                      <a:graphic xmlns:a="http://schemas.openxmlformats.org/drawingml/2006/main">
                        <a:graphicData uri="http://schemas.microsoft.com/office/word/2010/wordprocessingShape">
                          <wps:wsp>
                            <wps:cNvSpPr txBox="true"/>
                            <wps:spPr>
                              <a:xfrm>
                                <a:off x="0" y="0"/>
                                <a:ext cx="391795" cy="276225"/>
                              </a:xfrm>
                              <a:prstGeom prst="rect">
                                <a:avLst/>
                              </a:prstGeom>
                              <a:noFill/>
                              <a:ln>
                                <a:noFill/>
                              </a:ln>
                              <a:effectLst/>
                            </wps:spPr>
                            <wps:txbx>
                              <w:txbxContent>
                                <w:p>
                                  <w:pPr>
                                    <w:rPr>
                                      <w:szCs w:val="21"/>
                                    </w:rPr>
                                  </w:pPr>
                                  <w:r>
                                    <w:rPr>
                                      <w:rFonts w:hint="eastAsia"/>
                                      <w:szCs w:val="21"/>
                                    </w:rPr>
                                    <w:t>5</w:t>
                                  </w:r>
                                </w:p>
                              </w:txbxContent>
                            </wps:txbx>
                            <wps:bodyPr vert="horz" anchor="t" anchorCtr="false" upright="true"/>
                          </wps:wsp>
                        </a:graphicData>
                      </a:graphic>
                    </wp:anchor>
                  </w:drawing>
                </mc:Choice>
                <mc:Fallback>
                  <w:pict>
                    <v:shape id="文本框 440" o:spid="_x0000_s1026" o:spt="202" type="#_x0000_t202" style="position:absolute;left:0pt;margin-left:180.05pt;margin-top:1.9pt;height:21.75pt;width:30.85pt;z-index:251723776;mso-width-relative:page;mso-height-relative:page;" filled="f" stroked="f" coordsize="21600,21600" o:gfxdata="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cxhAPUAAAACAEAAA8AAAAAAAAAAQAgAAAAOAAAAGRycy9kb3ducmV2&#10;LnhtbFBLAQIUABQAAAAIAIdO4kCQNiDcsQEAAD8DAAAOAAAAAAAAAAEAIAAAADkBAABkcnMvZTJv&#10;RG9jLnhtbFBLBQYAAAAABgAGAFkBAABcBQAAAAA=&#10;">
                      <v:fill on="f" focussize="0,0"/>
                      <v:stroke on="f"/>
                      <v:imagedata o:title=""/>
                      <o:lock v:ext="edit" aspectratio="f"/>
                      <v:textbox>
                        <w:txbxContent>
                          <w:p>
                            <w:pPr>
                              <w:rPr>
                                <w:szCs w:val="21"/>
                              </w:rPr>
                            </w:pPr>
                            <w:r>
                              <w:rPr>
                                <w:rFonts w:hint="eastAsia"/>
                                <w:szCs w:val="21"/>
                              </w:rPr>
                              <w:t>5</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1889125</wp:posOffset>
                      </wp:positionH>
                      <wp:positionV relativeFrom="paragraph">
                        <wp:posOffset>57785</wp:posOffset>
                      </wp:positionV>
                      <wp:extent cx="156210" cy="658495"/>
                      <wp:effectExtent l="5080" t="243205" r="250825" b="42545"/>
                      <wp:wrapNone/>
                      <wp:docPr id="77" name="自选图形 441"/>
                      <wp:cNvGraphicFramePr/>
                      <a:graphic xmlns:a="http://schemas.openxmlformats.org/drawingml/2006/main">
                        <a:graphicData uri="http://schemas.microsoft.com/office/word/2010/wordprocessingShape">
                          <wps:wsp>
                            <wps:cNvCnPr/>
                            <wps:spPr>
                              <a:xfrm rot="16200000" flipH="true">
                                <a:off x="2997835" y="4272915"/>
                                <a:ext cx="156210" cy="658495"/>
                              </a:xfrm>
                              <a:prstGeom prst="bentConnector4">
                                <a:avLst>
                                  <a:gd name="adj1" fmla="val -152642"/>
                                  <a:gd name="adj2" fmla="val 136114"/>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自选图形 441" o:spid="_x0000_s1026" o:spt="35" type="#_x0000_t35" style="position:absolute;left:0pt;flip:x;margin-left:148.75pt;margin-top:4.55pt;height:51.85pt;width:12.3pt;rotation:5898240f;z-index:251724800;mso-width-relative:page;mso-height-relative:page;" filled="f" stroked="t" coordsize="21600,21600" o:gfxdata="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WRzLS2gAAAAkBAAAP&#10;AAAAAAAAAAEAIAAAADgAAABkcnMvZG93bnJldi54bWxQSwECFAAUAAAACACHTuJAETxFVTkCAAAw&#10;BAAADgAAAAAAAAABACAAAAA/AQAAZHJzL2Uyb0RvYy54bWxQSwUGAAAAAAYABgBZAQAA6gUAAAAA&#10;" adj="0,29401">
                      <v:fill on="f" focussize="0,0"/>
                      <v:stroke color="#000000" joinstyle="miter" endarrow="block"/>
                      <v:imagedata o:title=""/>
                      <o:lock v:ext="edit" aspectratio="f"/>
                    </v:shape>
                  </w:pict>
                </mc:Fallback>
              </mc:AlternateContent>
            </w:r>
            <w:r>
              <w:rPr>
                <w:bCs/>
                <w:color w:val="auto"/>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205105</wp:posOffset>
                      </wp:positionV>
                      <wp:extent cx="775970" cy="518160"/>
                      <wp:effectExtent l="0" t="0" r="0" b="0"/>
                      <wp:wrapNone/>
                      <wp:docPr id="5" name="文本框 10"/>
                      <wp:cNvGraphicFramePr/>
                      <a:graphic xmlns:a="http://schemas.openxmlformats.org/drawingml/2006/main">
                        <a:graphicData uri="http://schemas.microsoft.com/office/word/2010/wordprocessingShape">
                          <wps:wsp>
                            <wps:cNvSpPr txBox="true"/>
                            <wps:spPr>
                              <a:xfrm>
                                <a:off x="0" y="0"/>
                                <a:ext cx="775970" cy="518160"/>
                              </a:xfrm>
                              <a:prstGeom prst="rect">
                                <a:avLst/>
                              </a:prstGeom>
                              <a:noFill/>
                              <a:ln>
                                <a:noFill/>
                              </a:ln>
                              <a:effectLst/>
                            </wps:spPr>
                            <wps:txbx>
                              <w:txbxContent>
                                <w:p>
                                  <w:pPr>
                                    <w:rPr>
                                      <w:szCs w:val="21"/>
                                    </w:rPr>
                                  </w:pPr>
                                  <w:r>
                                    <w:rPr>
                                      <w:rFonts w:hint="eastAsia"/>
                                      <w:szCs w:val="21"/>
                                    </w:rPr>
                                    <w:t>31.765</w:t>
                                  </w:r>
                                </w:p>
                                <w:p>
                                  <w:pPr>
                                    <w:rPr>
                                      <w:szCs w:val="21"/>
                                    </w:rPr>
                                  </w:pPr>
                                  <w:r>
                                    <w:rPr>
                                      <w:rFonts w:hint="eastAsia"/>
                                      <w:szCs w:val="21"/>
                                    </w:rPr>
                                    <w:t>新鲜水</w:t>
                                  </w:r>
                                </w:p>
                              </w:txbxContent>
                            </wps:txbx>
                            <wps:bodyPr upright="true"/>
                          </wps:wsp>
                        </a:graphicData>
                      </a:graphic>
                    </wp:anchor>
                  </w:drawing>
                </mc:Choice>
                <mc:Fallback>
                  <w:pict>
                    <v:shape id="文本框 10" o:spid="_x0000_s1026" o:spt="202" type="#_x0000_t202" style="position:absolute;left:0pt;margin-left:0.6pt;margin-top:16.15pt;height:40.8pt;width:61.1pt;z-index:251664384;mso-width-relative:page;mso-height-relative:page;" filled="f" stroked="f" coordsize="21600,21600" o:gfxdata="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FPmgPLVAAAA&#10;CAEAAA8AAAAAAAAAAQAgAAAAOAAAAGRycy9kb3ducmV2LnhtbFBLAQIUABQAAAAIAIdO4kD2aAm3&#10;mAEAABQDAAAOAAAAAAAAAAEAIAAAADoBAABkcnMvZTJvRG9jLnhtbFBLBQYAAAAABgAGAFkBAABE&#10;BQAAAAA=&#10;">
                      <v:fill on="f" focussize="0,0"/>
                      <v:stroke on="f"/>
                      <v:imagedata o:title=""/>
                      <o:lock v:ext="edit" aspectratio="f"/>
                      <v:textbox>
                        <w:txbxContent>
                          <w:p>
                            <w:pPr>
                              <w:rPr>
                                <w:szCs w:val="21"/>
                              </w:rPr>
                            </w:pPr>
                            <w:r>
                              <w:rPr>
                                <w:rFonts w:hint="eastAsia"/>
                                <w:szCs w:val="21"/>
                              </w:rPr>
                              <w:t>31.765</w:t>
                            </w:r>
                          </w:p>
                          <w:p>
                            <w:pPr>
                              <w:rPr>
                                <w:szCs w:val="21"/>
                              </w:rPr>
                            </w:pPr>
                            <w:r>
                              <w:rPr>
                                <w:rFonts w:hint="eastAsia"/>
                                <w:szCs w:val="21"/>
                              </w:rPr>
                              <w:t>新鲜水</w:t>
                            </w:r>
                          </w:p>
                        </w:txbxContent>
                      </v:textbox>
                    </v:shape>
                  </w:pict>
                </mc:Fallback>
              </mc:AlternateContent>
            </w:r>
            <w:r>
              <w:rPr>
                <w:color w:val="auto"/>
                <w:spacing w:val="-6"/>
              </w:rPr>
              <mc:AlternateContent>
                <mc:Choice Requires="wps">
                  <w:drawing>
                    <wp:anchor distT="0" distB="0" distL="114300" distR="114300" simplePos="0" relativeHeight="251682816" behindDoc="0" locked="0" layoutInCell="1" allowOverlap="1">
                      <wp:simplePos x="0" y="0"/>
                      <wp:positionH relativeFrom="column">
                        <wp:posOffset>588010</wp:posOffset>
                      </wp:positionH>
                      <wp:positionV relativeFrom="paragraph">
                        <wp:posOffset>210820</wp:posOffset>
                      </wp:positionV>
                      <wp:extent cx="496570" cy="276225"/>
                      <wp:effectExtent l="0" t="0" r="0" b="0"/>
                      <wp:wrapNone/>
                      <wp:docPr id="23" name="文本框 24"/>
                      <wp:cNvGraphicFramePr/>
                      <a:graphic xmlns:a="http://schemas.openxmlformats.org/drawingml/2006/main">
                        <a:graphicData uri="http://schemas.microsoft.com/office/word/2010/wordprocessingShape">
                          <wps:wsp>
                            <wps:cNvSpPr txBox="true"/>
                            <wps:spPr>
                              <a:xfrm>
                                <a:off x="0" y="0"/>
                                <a:ext cx="496570" cy="276225"/>
                              </a:xfrm>
                              <a:prstGeom prst="rect">
                                <a:avLst/>
                              </a:prstGeom>
                              <a:noFill/>
                              <a:ln>
                                <a:noFill/>
                              </a:ln>
                              <a:effectLst/>
                            </wps:spPr>
                            <wps:txbx>
                              <w:txbxContent>
                                <w:p>
                                  <w:pPr>
                                    <w:rPr>
                                      <w:szCs w:val="21"/>
                                    </w:rPr>
                                  </w:pPr>
                                  <w:r>
                                    <w:rPr>
                                      <w:rFonts w:hint="eastAsia"/>
                                      <w:szCs w:val="21"/>
                                    </w:rPr>
                                    <w:t>0.5</w:t>
                                  </w:r>
                                </w:p>
                              </w:txbxContent>
                            </wps:txbx>
                            <wps:bodyPr upright="true"/>
                          </wps:wsp>
                        </a:graphicData>
                      </a:graphic>
                    </wp:anchor>
                  </w:drawing>
                </mc:Choice>
                <mc:Fallback>
                  <w:pict>
                    <v:shape id="文本框 24" o:spid="_x0000_s1026" o:spt="202" type="#_x0000_t202" style="position:absolute;left:0pt;margin-left:46.3pt;margin-top:16.6pt;height:21.75pt;width:39.1pt;z-index:251682816;mso-width-relative:page;mso-height-relative:page;" filled="f" stroked="f" coordsize="21600,21600" o:gfxdata="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NFDm7PW&#10;AAAACAEAAA8AAAAAAAAAAQAgAAAAOAAAAGRycy9kb3ducmV2LnhtbFBLAQIUABQAAAAIAIdO4kD3&#10;kdbmmgEAABUDAAAOAAAAAAAAAAEAIAAAADsBAABkcnMvZTJvRG9jLnhtbFBLBQYAAAAABgAGAFkB&#10;AABHBQAAAAA=&#10;">
                      <v:fill on="f" focussize="0,0"/>
                      <v:stroke on="f"/>
                      <v:imagedata o:title=""/>
                      <o:lock v:ext="edit" aspectratio="f"/>
                      <v:textbox>
                        <w:txbxContent>
                          <w:p>
                            <w:pPr>
                              <w:rPr>
                                <w:szCs w:val="21"/>
                              </w:rPr>
                            </w:pPr>
                            <w:r>
                              <w:rPr>
                                <w:rFonts w:hint="eastAsia"/>
                                <w:szCs w:val="21"/>
                              </w:rPr>
                              <w:t>0.5</w:t>
                            </w:r>
                          </w:p>
                        </w:txbxContent>
                      </v:textbox>
                    </v:shape>
                  </w:pict>
                </mc:Fallback>
              </mc:AlternateContent>
            </w:r>
          </w:p>
          <w:p>
            <w:pPr>
              <w:spacing w:line="440" w:lineRule="exact"/>
              <w:rPr>
                <w:b/>
                <w:sz w:val="24"/>
              </w:rPr>
            </w:pPr>
            <w:r>
              <mc:AlternateContent>
                <mc:Choice Requires="wps">
                  <w:drawing>
                    <wp:anchor distT="0" distB="0" distL="114300" distR="114300" simplePos="0" relativeHeight="251673600" behindDoc="0" locked="0" layoutInCell="1" allowOverlap="1">
                      <wp:simplePos x="0" y="0"/>
                      <wp:positionH relativeFrom="column">
                        <wp:posOffset>17145</wp:posOffset>
                      </wp:positionH>
                      <wp:positionV relativeFrom="paragraph">
                        <wp:posOffset>237490</wp:posOffset>
                      </wp:positionV>
                      <wp:extent cx="601345" cy="3175"/>
                      <wp:effectExtent l="0" t="35560" r="8255" b="37465"/>
                      <wp:wrapNone/>
                      <wp:docPr id="14" name="自选图形 15"/>
                      <wp:cNvGraphicFramePr/>
                      <a:graphic xmlns:a="http://schemas.openxmlformats.org/drawingml/2006/main">
                        <a:graphicData uri="http://schemas.microsoft.com/office/word/2010/wordprocessingShape">
                          <wps:wsp>
                            <wps:cNvCnPr/>
                            <wps:spPr>
                              <a:xfrm>
                                <a:off x="0" y="0"/>
                                <a:ext cx="601345" cy="31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5" o:spid="_x0000_s1026" o:spt="32" type="#_x0000_t32" style="position:absolute;left:0pt;margin-left:1.35pt;margin-top:18.7pt;height:0.25pt;width:47.35pt;z-index:251673600;mso-width-relative:page;mso-height-relative:page;" filled="f" stroked="t" coordsize="21600,21600" o:gfxdata="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EKK2NYAAAAGAQAADwAAAAAAAAABACAAAAA4AAAAZHJzL2Rvd25y&#10;ZXYueG1sUEsBAhQAFAAAAAgAh07iQDQ0ZbbqAQAAqwMAAA4AAAAAAAAAAQAgAAAAOw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622935</wp:posOffset>
                      </wp:positionH>
                      <wp:positionV relativeFrom="paragraph">
                        <wp:posOffset>234315</wp:posOffset>
                      </wp:positionV>
                      <wp:extent cx="358775" cy="635"/>
                      <wp:effectExtent l="0" t="37465" r="6985" b="38100"/>
                      <wp:wrapNone/>
                      <wp:docPr id="20" name="直线 21"/>
                      <wp:cNvGraphicFramePr/>
                      <a:graphic xmlns:a="http://schemas.openxmlformats.org/drawingml/2006/main">
                        <a:graphicData uri="http://schemas.microsoft.com/office/word/2010/wordprocessingShape">
                          <wps:wsp>
                            <wps:cNvCnPr/>
                            <wps:spPr>
                              <a:xfrm>
                                <a:off x="0" y="0"/>
                                <a:ext cx="358775" cy="635"/>
                              </a:xfrm>
                              <a:prstGeom prst="line">
                                <a:avLst/>
                              </a:prstGeom>
                              <a:ln w="6350" cap="flat" cmpd="sng">
                                <a:solidFill>
                                  <a:srgbClr val="000000"/>
                                </a:solidFill>
                                <a:prstDash val="solid"/>
                                <a:headEnd type="none" w="med" len="med"/>
                                <a:tailEnd type="triangle" w="med" len="med"/>
                              </a:ln>
                              <a:effectLst/>
                            </wps:spPr>
                            <wps:bodyPr upright="true"/>
                          </wps:wsp>
                        </a:graphicData>
                      </a:graphic>
                    </wp:anchor>
                  </w:drawing>
                </mc:Choice>
                <mc:Fallback>
                  <w:pict>
                    <v:line id="直线 21" o:spid="_x0000_s1026" o:spt="20" style="position:absolute;left:0pt;margin-left:49.05pt;margin-top:18.45pt;height:0.05pt;width:28.25pt;z-index:251679744;mso-width-relative:page;mso-height-relative:page;" filled="f" stroked="t" coordsize="21600,21600" o:gfxdata="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508x+1wAAAAgBAAAPAAAAAAAAAAEAIAAAADgAAABkcnMvZG93bnJldi54bWxQSwECFAAUAAAA&#10;CACHTuJAWs5qU9kBAAClAwAADgAAAAAAAAABACAAAAA8AQAAZHJzL2Uyb0RvYy54bWxQSwUGAAAA&#10;AAYABgBZAQAAh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979170</wp:posOffset>
                      </wp:positionH>
                      <wp:positionV relativeFrom="paragraph">
                        <wp:posOffset>67310</wp:posOffset>
                      </wp:positionV>
                      <wp:extent cx="1316990" cy="311785"/>
                      <wp:effectExtent l="4445" t="5080" r="19685" b="18415"/>
                      <wp:wrapNone/>
                      <wp:docPr id="18" name="文本框 19"/>
                      <wp:cNvGraphicFramePr/>
                      <a:graphic xmlns:a="http://schemas.openxmlformats.org/drawingml/2006/main">
                        <a:graphicData uri="http://schemas.microsoft.com/office/word/2010/wordprocessingShape">
                          <wps:wsp>
                            <wps:cNvSpPr txBox="true"/>
                            <wps:spPr>
                              <a:xfrm>
                                <a:off x="0" y="0"/>
                                <a:ext cx="1316990" cy="3117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Cs w:val="21"/>
                                    </w:rPr>
                                  </w:pPr>
                                  <w:r>
                                    <w:rPr>
                                      <w:rFonts w:hint="eastAsia"/>
                                      <w:szCs w:val="21"/>
                                    </w:rPr>
                                    <w:t>水帘喷淋用水-0.5</w:t>
                                  </w:r>
                                </w:p>
                              </w:txbxContent>
                            </wps:txbx>
                            <wps:bodyPr upright="true"/>
                          </wps:wsp>
                        </a:graphicData>
                      </a:graphic>
                    </wp:anchor>
                  </w:drawing>
                </mc:Choice>
                <mc:Fallback>
                  <w:pict>
                    <v:shape id="文本框 19" o:spid="_x0000_s1026" o:spt="202" type="#_x0000_t202" style="position:absolute;left:0pt;margin-left:77.1pt;margin-top:5.3pt;height:24.55pt;width:103.7pt;z-index:251677696;mso-width-relative:page;mso-height-relative:page;" fillcolor="#FFFFFF" filled="t" stroked="t" coordsize="21600,21600" o:gfxdata="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4FuE/VAAAACQEAAA8AAAAAAAAAAQAgAAAA&#10;OAAAAGRycy9kb3ducmV2LnhtbFBLAQIUABQAAAAIAIdO4kBwsmWH+AEAAP4DAAAOAAAAAAAAAAEA&#10;IAAAADoBAABkcnMvZTJvRG9jLnhtbFBLBQYAAAAABgAGAFkBAACkBQAAAAA=&#10;">
                      <v:fill on="t" focussize="0,0"/>
                      <v:stroke weight="0.5pt" color="#000000" joinstyle="miter"/>
                      <v:imagedata o:title=""/>
                      <o:lock v:ext="edit" aspectratio="f"/>
                      <v:textbox>
                        <w:txbxContent>
                          <w:p>
                            <w:pPr>
                              <w:rPr>
                                <w:szCs w:val="21"/>
                              </w:rPr>
                            </w:pPr>
                            <w:r>
                              <w:rPr>
                                <w:rFonts w:hint="eastAsia"/>
                                <w:szCs w:val="21"/>
                              </w:rPr>
                              <w:t>水帘喷淋用水-0.5</w:t>
                            </w:r>
                          </w:p>
                        </w:txbxContent>
                      </v:textbox>
                    </v:shape>
                  </w:pict>
                </mc:Fallback>
              </mc:AlternateContent>
            </w:r>
          </w:p>
          <w:p>
            <w:pPr>
              <w:spacing w:line="440" w:lineRule="exact"/>
              <w:jc w:val="center"/>
              <w:rPr>
                <w:b/>
                <w:sz w:val="24"/>
              </w:rPr>
            </w:pPr>
            <w:r>
              <mc:AlternateContent>
                <mc:Choice Requires="wps">
                  <w:drawing>
                    <wp:anchor distT="0" distB="0" distL="114300" distR="114300" simplePos="0" relativeHeight="251720704" behindDoc="0" locked="0" layoutInCell="1" allowOverlap="1">
                      <wp:simplePos x="0" y="0"/>
                      <wp:positionH relativeFrom="column">
                        <wp:posOffset>1026795</wp:posOffset>
                      </wp:positionH>
                      <wp:positionV relativeFrom="paragraph">
                        <wp:posOffset>276860</wp:posOffset>
                      </wp:positionV>
                      <wp:extent cx="1841500" cy="311785"/>
                      <wp:effectExtent l="4445" t="5080" r="13335" b="18415"/>
                      <wp:wrapNone/>
                      <wp:docPr id="73" name="文本框 437"/>
                      <wp:cNvGraphicFramePr/>
                      <a:graphic xmlns:a="http://schemas.openxmlformats.org/drawingml/2006/main">
                        <a:graphicData uri="http://schemas.microsoft.com/office/word/2010/wordprocessingShape">
                          <wps:wsp>
                            <wps:cNvSpPr txBox="true"/>
                            <wps:spPr>
                              <a:xfrm>
                                <a:off x="0" y="0"/>
                                <a:ext cx="1841500" cy="31178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Cs w:val="21"/>
                                    </w:rPr>
                                  </w:pPr>
                                  <w:r>
                                    <w:rPr>
                                      <w:rFonts w:hint="eastAsia"/>
                                      <w:color w:val="000000" w:themeColor="text1"/>
                                      <w:szCs w:val="21"/>
                                    </w:rPr>
                                    <w:t>水性漆稀释用水补充</w:t>
                                  </w:r>
                                  <w:r>
                                    <w:rPr>
                                      <w:rFonts w:hint="eastAsia"/>
                                      <w:szCs w:val="21"/>
                                    </w:rPr>
                                    <w:t>-0.065</w:t>
                                  </w:r>
                                </w:p>
                              </w:txbxContent>
                            </wps:txbx>
                            <wps:bodyPr vert="horz" anchor="t" anchorCtr="false" upright="true"/>
                          </wps:wsp>
                        </a:graphicData>
                      </a:graphic>
                    </wp:anchor>
                  </w:drawing>
                </mc:Choice>
                <mc:Fallback>
                  <w:pict>
                    <v:shape id="文本框 437" o:spid="_x0000_s1026" o:spt="202" type="#_x0000_t202" style="position:absolute;left:0pt;margin-left:80.85pt;margin-top:21.8pt;height:24.55pt;width:145pt;z-index:251720704;mso-width-relative:page;mso-height-relative:page;" fillcolor="#FFFFFF" filled="t" stroked="t" coordsize="21600,21600" o:gfxdata="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3&#10;g7H61QAAAAkBAAAPAAAAAAAAAAEAIAAAADgAAABkcnMvZG93bnJldi54bWxQSwECFAAUAAAACACH&#10;TuJAaAbBIxECAAAoBAAADgAAAAAAAAABACAAAAA6AQAAZHJzL2Uyb0RvYy54bWxQSwUGAAAAAAYA&#10;BgBZAQAAvQUAAAAA&#10;">
                      <v:fill on="t" focussize="0,0"/>
                      <v:stroke weight="0.5pt" color="#000000" joinstyle="miter"/>
                      <v:imagedata o:title=""/>
                      <o:lock v:ext="edit" aspectratio="f"/>
                      <v:textbox>
                        <w:txbxContent>
                          <w:p>
                            <w:pPr>
                              <w:rPr>
                                <w:szCs w:val="21"/>
                              </w:rPr>
                            </w:pPr>
                            <w:r>
                              <w:rPr>
                                <w:rFonts w:hint="eastAsia"/>
                                <w:color w:val="000000" w:themeColor="text1"/>
                                <w:szCs w:val="21"/>
                              </w:rPr>
                              <w:t>水性漆稀释用水补充</w:t>
                            </w:r>
                            <w:r>
                              <w:rPr>
                                <w:rFonts w:hint="eastAsia"/>
                                <w:szCs w:val="21"/>
                              </w:rPr>
                              <w:t>-0.065</w:t>
                            </w:r>
                          </w:p>
                        </w:txbxContent>
                      </v:textbox>
                    </v:shape>
                  </w:pict>
                </mc:Fallback>
              </mc:AlternateContent>
            </w:r>
            <w:r>
              <w:rPr>
                <w:spacing w:val="-6"/>
              </w:rPr>
              <mc:AlternateContent>
                <mc:Choice Requires="wps">
                  <w:drawing>
                    <wp:anchor distT="0" distB="0" distL="114300" distR="114300" simplePos="0" relativeHeight="251721728" behindDoc="0" locked="0" layoutInCell="1" allowOverlap="1">
                      <wp:simplePos x="0" y="0"/>
                      <wp:positionH relativeFrom="column">
                        <wp:posOffset>540385</wp:posOffset>
                      </wp:positionH>
                      <wp:positionV relativeFrom="paragraph">
                        <wp:posOffset>147320</wp:posOffset>
                      </wp:positionV>
                      <wp:extent cx="668020" cy="276225"/>
                      <wp:effectExtent l="0" t="0" r="0" b="0"/>
                      <wp:wrapNone/>
                      <wp:docPr id="74" name="文本框 438"/>
                      <wp:cNvGraphicFramePr/>
                      <a:graphic xmlns:a="http://schemas.openxmlformats.org/drawingml/2006/main">
                        <a:graphicData uri="http://schemas.microsoft.com/office/word/2010/wordprocessingShape">
                          <wps:wsp>
                            <wps:cNvSpPr txBox="true"/>
                            <wps:spPr>
                              <a:xfrm>
                                <a:off x="0" y="0"/>
                                <a:ext cx="668020" cy="276225"/>
                              </a:xfrm>
                              <a:prstGeom prst="rect">
                                <a:avLst/>
                              </a:prstGeom>
                              <a:noFill/>
                              <a:ln>
                                <a:noFill/>
                              </a:ln>
                              <a:effectLst/>
                            </wps:spPr>
                            <wps:txbx>
                              <w:txbxContent>
                                <w:p>
                                  <w:pPr>
                                    <w:rPr>
                                      <w:szCs w:val="21"/>
                                    </w:rPr>
                                  </w:pPr>
                                  <w:r>
                                    <w:rPr>
                                      <w:rFonts w:hint="eastAsia"/>
                                      <w:szCs w:val="21"/>
                                    </w:rPr>
                                    <w:t>0.065</w:t>
                                  </w:r>
                                </w:p>
                              </w:txbxContent>
                            </wps:txbx>
                            <wps:bodyPr upright="true"/>
                          </wps:wsp>
                        </a:graphicData>
                      </a:graphic>
                    </wp:anchor>
                  </w:drawing>
                </mc:Choice>
                <mc:Fallback>
                  <w:pict>
                    <v:shape id="文本框 438" o:spid="_x0000_s1026" o:spt="202" type="#_x0000_t202" style="position:absolute;left:0pt;margin-left:42.55pt;margin-top:11.6pt;height:21.75pt;width:52.6pt;z-index:251721728;mso-width-relative:page;mso-height-relative:page;" filled="f" stroked="f" coordsize="21600,21600" o:gfxdata="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AQ0c5rW&#10;AAAACAEAAA8AAAAAAAAAAQAgAAAAOAAAAGRycy9kb3ducmV2LnhtbFBLAQIUABQAAAAIAIdO4kDS&#10;0GBhmgEAABYDAAAOAAAAAAAAAAEAIAAAADsBAABkcnMvZTJvRG9jLnhtbFBLBQYAAAAABgAGAFkB&#10;AABHBQAAAAA=&#10;">
                      <v:fill on="f" focussize="0,0"/>
                      <v:stroke on="f"/>
                      <v:imagedata o:title=""/>
                      <o:lock v:ext="edit" aspectratio="f"/>
                      <v:textbox>
                        <w:txbxContent>
                          <w:p>
                            <w:pPr>
                              <w:rPr>
                                <w:szCs w:val="21"/>
                              </w:rPr>
                            </w:pPr>
                            <w:r>
                              <w:rPr>
                                <w:rFonts w:hint="eastAsia"/>
                                <w:szCs w:val="21"/>
                              </w:rPr>
                              <w:t>0.065</w:t>
                            </w:r>
                          </w:p>
                        </w:txbxContent>
                      </v:textbox>
                    </v:shape>
                  </w:pict>
                </mc:Fallback>
              </mc:AlternateContent>
            </w:r>
          </w:p>
          <w:p>
            <w:pPr>
              <w:pStyle w:val="9"/>
            </w:pPr>
            <w:r>
              <w:rPr>
                <w:rFonts w:ascii="Times New Roman" w:hAnsi="Times New Roman"/>
              </w:rPr>
              <mc:AlternateContent>
                <mc:Choice Requires="wps">
                  <w:drawing>
                    <wp:anchor distT="0" distB="0" distL="114300" distR="114300" simplePos="0" relativeHeight="251722752" behindDoc="0" locked="0" layoutInCell="1" allowOverlap="1">
                      <wp:simplePos x="0" y="0"/>
                      <wp:positionH relativeFrom="column">
                        <wp:posOffset>632460</wp:posOffset>
                      </wp:positionH>
                      <wp:positionV relativeFrom="paragraph">
                        <wp:posOffset>142875</wp:posOffset>
                      </wp:positionV>
                      <wp:extent cx="396240" cy="8890"/>
                      <wp:effectExtent l="0" t="36195" r="0" b="31115"/>
                      <wp:wrapNone/>
                      <wp:docPr id="75" name="直线 439"/>
                      <wp:cNvGraphicFramePr/>
                      <a:graphic xmlns:a="http://schemas.openxmlformats.org/drawingml/2006/main">
                        <a:graphicData uri="http://schemas.microsoft.com/office/word/2010/wordprocessingShape">
                          <wps:wsp>
                            <wps:cNvCnPr/>
                            <wps:spPr>
                              <a:xfrm flipV="true">
                                <a:off x="0" y="0"/>
                                <a:ext cx="396240" cy="8890"/>
                              </a:xfrm>
                              <a:prstGeom prst="line">
                                <a:avLst/>
                              </a:prstGeom>
                              <a:ln w="6350" cap="flat" cmpd="sng">
                                <a:solidFill>
                                  <a:srgbClr val="000000"/>
                                </a:solidFill>
                                <a:prstDash val="solid"/>
                                <a:headEnd type="none" w="med" len="med"/>
                                <a:tailEnd type="triangle" w="med" len="med"/>
                              </a:ln>
                              <a:effectLst/>
                            </wps:spPr>
                            <wps:bodyPr upright="true"/>
                          </wps:wsp>
                        </a:graphicData>
                      </a:graphic>
                    </wp:anchor>
                  </w:drawing>
                </mc:Choice>
                <mc:Fallback>
                  <w:pict>
                    <v:line id="直线 439" o:spid="_x0000_s1026" o:spt="20" style="position:absolute;left:0pt;flip:y;margin-left:49.8pt;margin-top:11.25pt;height:0.7pt;width:31.2pt;z-index:251722752;mso-width-relative:page;mso-height-relative:page;" filled="f" stroked="t" coordsize="21600,21600" o:gfxdata="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eatp3YAAAACAEAAA8AAAAAAAAAAQAgAAAAOAAAAGRycy9kb3du&#10;cmV2LnhtbFBLAQIUABQAAAAIAIdO4kD/dXGc6QEAALQDAAAOAAAAAAAAAAEAIAAAAD0BAABkcnMv&#10;ZTJvRG9jLnhtbFBLBQYAAAAABgAGAFkBAACYBQAAAAA=&#10;">
                      <v:fill on="f" focussize="0,0"/>
                      <v:stroke weight="0.5pt" color="#000000" joinstyle="round" endarrow="block"/>
                      <v:imagedata o:title=""/>
                      <o:lock v:ext="edit" aspectratio="f"/>
                    </v:line>
                  </w:pict>
                </mc:Fallback>
              </mc:AlternateContent>
            </w:r>
          </w:p>
          <w:p>
            <w:pPr>
              <w:spacing w:line="440" w:lineRule="exact"/>
              <w:jc w:val="center"/>
              <w:rPr>
                <w:b/>
                <w:sz w:val="24"/>
              </w:rPr>
            </w:pPr>
          </w:p>
          <w:p>
            <w:pPr>
              <w:spacing w:line="440" w:lineRule="exact"/>
              <w:jc w:val="center"/>
              <w:rPr>
                <w:b/>
                <w:sz w:val="24"/>
              </w:rPr>
            </w:pPr>
            <w:r>
              <w:rPr>
                <w:b/>
                <w:sz w:val="24"/>
              </w:rPr>
              <w:t>图1   项目用水水量平衡图    m</w:t>
            </w:r>
            <w:r>
              <w:rPr>
                <w:b/>
                <w:sz w:val="24"/>
                <w:vertAlign w:val="superscript"/>
              </w:rPr>
              <w:t>3</w:t>
            </w:r>
            <w:r>
              <w:rPr>
                <w:b/>
                <w:sz w:val="24"/>
              </w:rPr>
              <w:t>/d</w:t>
            </w:r>
          </w:p>
          <w:p>
            <w:pPr>
              <w:spacing w:line="360" w:lineRule="auto"/>
              <w:ind w:firstLine="464" w:firstLineChars="200"/>
              <w:rPr>
                <w:bCs/>
                <w:spacing w:val="-2"/>
                <w:sz w:val="24"/>
                <w:szCs w:val="24"/>
              </w:rPr>
            </w:pPr>
            <w:r>
              <w:rPr>
                <w:rFonts w:hint="eastAsia"/>
                <w:bCs/>
                <w:spacing w:val="-2"/>
                <w:sz w:val="24"/>
                <w:szCs w:val="24"/>
              </w:rPr>
              <w:t>（2）</w:t>
            </w:r>
            <w:r>
              <w:rPr>
                <w:bCs/>
                <w:spacing w:val="-2"/>
                <w:sz w:val="24"/>
                <w:szCs w:val="24"/>
              </w:rPr>
              <w:t>供电</w:t>
            </w:r>
          </w:p>
          <w:p>
            <w:pPr>
              <w:snapToGrid w:val="0"/>
              <w:spacing w:line="360" w:lineRule="auto"/>
              <w:ind w:firstLine="472" w:firstLineChars="200"/>
              <w:rPr>
                <w:sz w:val="24"/>
              </w:rPr>
            </w:pPr>
            <w:r>
              <w:rPr>
                <w:sz w:val="24"/>
                <w:szCs w:val="24"/>
              </w:rPr>
              <w:t>项目用电由</w:t>
            </w:r>
            <w:r>
              <w:rPr>
                <w:szCs w:val="21"/>
              </w:rPr>
              <w:t>园区</w:t>
            </w:r>
            <w:r>
              <w:rPr>
                <w:sz w:val="24"/>
                <w:szCs w:val="24"/>
              </w:rPr>
              <w:t>电网接入，</w:t>
            </w:r>
            <w:r>
              <w:rPr>
                <w:sz w:val="24"/>
              </w:rPr>
              <w:t>总用电量约为283.7万 kWh/a，可满足项目生产、生活用电需求。</w:t>
            </w:r>
          </w:p>
          <w:p>
            <w:pPr>
              <w:snapToGrid w:val="0"/>
              <w:spacing w:line="360" w:lineRule="auto"/>
              <w:ind w:firstLine="472" w:firstLineChars="200"/>
              <w:rPr>
                <w:rFonts w:eastAsiaTheme="minorEastAsia"/>
                <w:sz w:val="24"/>
              </w:rPr>
            </w:pPr>
            <w:r>
              <w:rPr>
                <w:rFonts w:hint="eastAsia"/>
                <w:sz w:val="24"/>
              </w:rPr>
              <w:t>（3）</w:t>
            </w:r>
            <w:r>
              <w:rPr>
                <w:rFonts w:hAnsiTheme="minorEastAsia" w:eastAsiaTheme="minorEastAsia"/>
                <w:sz w:val="24"/>
              </w:rPr>
              <w:t>供暖：项目</w:t>
            </w:r>
            <w:r>
              <w:rPr>
                <w:rFonts w:hint="eastAsia" w:hAnsiTheme="minorEastAsia" w:eastAsiaTheme="minorEastAsia"/>
                <w:sz w:val="24"/>
              </w:rPr>
              <w:t>办公</w:t>
            </w:r>
            <w:r>
              <w:rPr>
                <w:rFonts w:hAnsiTheme="minorEastAsia" w:eastAsiaTheme="minorEastAsia"/>
                <w:sz w:val="24"/>
              </w:rPr>
              <w:t>冬季采暖</w:t>
            </w:r>
            <w:r>
              <w:rPr>
                <w:rFonts w:hint="eastAsia" w:hAnsiTheme="minorEastAsia" w:eastAsiaTheme="minorEastAsia"/>
                <w:sz w:val="24"/>
              </w:rPr>
              <w:t>由空调提供</w:t>
            </w:r>
            <w:r>
              <w:rPr>
                <w:rFonts w:hAnsiTheme="minorEastAsia" w:eastAsiaTheme="minorEastAsia"/>
                <w:sz w:val="24"/>
              </w:rPr>
              <w:t>。</w:t>
            </w:r>
          </w:p>
          <w:p>
            <w:pPr>
              <w:spacing w:line="360" w:lineRule="auto"/>
              <w:ind w:firstLine="472" w:firstLineChars="200"/>
              <w:rPr>
                <w:rFonts w:eastAsiaTheme="minorEastAsia"/>
                <w:b/>
                <w:sz w:val="24"/>
              </w:rPr>
            </w:pPr>
            <w:r>
              <w:rPr>
                <w:rFonts w:hint="eastAsia" w:eastAsiaTheme="minorEastAsia"/>
                <w:b/>
                <w:sz w:val="24"/>
              </w:rPr>
              <w:t>6</w:t>
            </w:r>
            <w:r>
              <w:rPr>
                <w:rFonts w:hAnsiTheme="minorEastAsia" w:eastAsiaTheme="minorEastAsia"/>
                <w:b/>
                <w:sz w:val="24"/>
              </w:rPr>
              <w:t>、劳动定员及工作制度</w:t>
            </w:r>
          </w:p>
          <w:p>
            <w:pPr>
              <w:spacing w:line="360" w:lineRule="auto"/>
              <w:ind w:firstLine="464" w:firstLineChars="200"/>
              <w:rPr>
                <w:bCs/>
                <w:spacing w:val="-2"/>
                <w:sz w:val="24"/>
                <w:szCs w:val="24"/>
              </w:rPr>
            </w:pPr>
            <w:r>
              <w:rPr>
                <w:rFonts w:hint="eastAsia"/>
                <w:bCs/>
                <w:spacing w:val="-2"/>
                <w:sz w:val="24"/>
                <w:szCs w:val="24"/>
              </w:rPr>
              <w:t>本</w:t>
            </w:r>
            <w:r>
              <w:rPr>
                <w:bCs/>
                <w:spacing w:val="-2"/>
                <w:sz w:val="24"/>
                <w:szCs w:val="24"/>
              </w:rPr>
              <w:t>项目劳动定员260人，生产工人实行一班工作制，每班8小时，年工作日300天。</w:t>
            </w:r>
          </w:p>
          <w:p>
            <w:pPr>
              <w:spacing w:line="360" w:lineRule="auto"/>
              <w:ind w:firstLine="472" w:firstLineChars="200"/>
              <w:rPr>
                <w:rFonts w:eastAsiaTheme="minorEastAsia"/>
                <w:b/>
                <w:sz w:val="24"/>
              </w:rPr>
            </w:pPr>
            <w:r>
              <w:rPr>
                <w:rFonts w:hint="eastAsia" w:eastAsiaTheme="minorEastAsia"/>
                <w:b/>
                <w:sz w:val="24"/>
              </w:rPr>
              <w:t>7</w:t>
            </w:r>
            <w:r>
              <w:rPr>
                <w:rFonts w:hAnsiTheme="minorEastAsia" w:eastAsiaTheme="minorEastAsia"/>
                <w:b/>
                <w:sz w:val="24"/>
              </w:rPr>
              <w:t>、平面布置：</w:t>
            </w:r>
          </w:p>
          <w:p>
            <w:pPr>
              <w:spacing w:line="360" w:lineRule="auto"/>
              <w:ind w:firstLine="472" w:firstLineChars="200"/>
            </w:pPr>
            <w:r>
              <w:rPr>
                <w:rFonts w:ascii="宋体" w:hAnsi="宋体"/>
                <w:snapToGrid w:val="0"/>
                <w:kern w:val="0"/>
                <w:sz w:val="24"/>
              </w:rPr>
              <w:t>项目在满足生产工艺流程的前提下，考虑运输、安全等各方面要求，按各种设施不同功能进行分区和组合，项目</w:t>
            </w:r>
            <w:r>
              <w:rPr>
                <w:rFonts w:hint="eastAsia" w:ascii="宋体" w:hAnsi="宋体"/>
                <w:snapToGrid w:val="0"/>
                <w:kern w:val="0"/>
                <w:sz w:val="24"/>
              </w:rPr>
              <w:t>所有分区均在车间内，</w:t>
            </w:r>
            <w:r>
              <w:rPr>
                <w:rFonts w:ascii="宋体" w:hAnsi="宋体"/>
                <w:snapToGrid w:val="0"/>
                <w:kern w:val="0"/>
                <w:sz w:val="24"/>
              </w:rPr>
              <w:t>大门位于</w:t>
            </w:r>
            <w:r>
              <w:rPr>
                <w:rFonts w:hint="eastAsia" w:ascii="宋体" w:hAnsi="宋体"/>
                <w:snapToGrid w:val="0"/>
                <w:kern w:val="0"/>
                <w:sz w:val="24"/>
              </w:rPr>
              <w:t>车间东侧</w:t>
            </w:r>
            <w:r>
              <w:rPr>
                <w:rFonts w:ascii="宋体" w:hAnsi="宋体"/>
                <w:snapToGrid w:val="0"/>
                <w:kern w:val="0"/>
                <w:sz w:val="24"/>
              </w:rPr>
              <w:t>，紧邻</w:t>
            </w:r>
            <w:r>
              <w:rPr>
                <w:rFonts w:hint="eastAsia" w:ascii="宋体" w:hAnsi="宋体"/>
                <w:snapToGrid w:val="0"/>
                <w:kern w:val="0"/>
                <w:sz w:val="24"/>
              </w:rPr>
              <w:t>厂区道路，生产区位于车间中部；原料区、成品区分别位于车间两侧</w:t>
            </w:r>
            <w:r>
              <w:rPr>
                <w:rFonts w:ascii="宋体" w:hAnsi="宋体"/>
                <w:snapToGrid w:val="0"/>
                <w:kern w:val="0"/>
                <w:sz w:val="24"/>
              </w:rPr>
              <w:t>。</w:t>
            </w:r>
            <w:r>
              <w:rPr>
                <w:rFonts w:hint="eastAsia" w:ascii="宋体" w:hAnsi="宋体"/>
                <w:snapToGrid w:val="0"/>
                <w:kern w:val="0"/>
                <w:sz w:val="24"/>
              </w:rPr>
              <w:t xml:space="preserve">  </w:t>
            </w:r>
            <w:r>
              <w:rPr>
                <w:rFonts w:ascii="宋体" w:hAnsi="宋体"/>
                <w:sz w:val="24"/>
              </w:rPr>
              <w:t>项目平面布置图见</w:t>
            </w:r>
            <w:r>
              <w:rPr>
                <w:rFonts w:ascii="宋体" w:hAnsi="宋体"/>
                <w:snapToGrid w:val="0"/>
                <w:kern w:val="0"/>
                <w:sz w:val="24"/>
              </w:rPr>
              <w:t>附图</w:t>
            </w:r>
            <w:r>
              <w:rPr>
                <w:snapToGrid w:val="0"/>
                <w:kern w:val="0"/>
                <w:sz w:val="24"/>
              </w:rPr>
              <w:t>3</w:t>
            </w:r>
            <w:r>
              <w:rPr>
                <w:rFonts w:ascii="宋体" w:hAnsi="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2" w:type="dxa"/>
            <w:vAlign w:val="center"/>
          </w:tcPr>
          <w:p>
            <w:pPr>
              <w:pStyle w:val="2"/>
              <w:jc w:val="center"/>
              <w:rPr>
                <w:color w:val="auto"/>
              </w:rPr>
            </w:pPr>
            <w:r>
              <w:rPr>
                <w:rFonts w:hint="eastAsia"/>
                <w:color w:val="auto"/>
              </w:rPr>
              <w:t>工艺流程和产排污环节</w:t>
            </w:r>
          </w:p>
        </w:tc>
        <w:tc>
          <w:tcPr>
            <w:tcW w:w="8563" w:type="dxa"/>
            <w:vAlign w:val="center"/>
          </w:tcPr>
          <w:p>
            <w:pPr>
              <w:tabs>
                <w:tab w:val="left" w:pos="9585"/>
              </w:tabs>
              <w:spacing w:beforeLines="50" w:line="360" w:lineRule="auto"/>
              <w:rPr>
                <w:rFonts w:hAnsiTheme="minorEastAsia" w:eastAsiaTheme="minorEastAsia"/>
                <w:b/>
                <w:bCs/>
                <w:sz w:val="24"/>
                <w:szCs w:val="24"/>
              </w:rPr>
            </w:pPr>
            <w:r>
              <w:rPr>
                <w:rFonts w:hAnsiTheme="minorEastAsia" w:eastAsiaTheme="minorEastAsia"/>
                <w:b/>
                <w:bCs/>
                <w:sz w:val="24"/>
                <w:szCs w:val="24"/>
              </w:rPr>
              <w:t>工艺流程</w:t>
            </w:r>
            <w:r>
              <w:rPr>
                <w:rFonts w:eastAsiaTheme="minorEastAsia"/>
                <w:b/>
                <w:bCs/>
                <w:sz w:val="24"/>
                <w:szCs w:val="24"/>
              </w:rPr>
              <w:t>(</w:t>
            </w:r>
            <w:r>
              <w:rPr>
                <w:rFonts w:hAnsiTheme="minorEastAsia" w:eastAsiaTheme="minorEastAsia"/>
                <w:b/>
                <w:bCs/>
                <w:sz w:val="24"/>
                <w:szCs w:val="24"/>
              </w:rPr>
              <w:t>图示</w:t>
            </w:r>
            <w:r>
              <w:rPr>
                <w:rFonts w:eastAsiaTheme="minorEastAsia"/>
                <w:b/>
                <w:bCs/>
                <w:sz w:val="24"/>
                <w:szCs w:val="24"/>
              </w:rPr>
              <w:t>)</w:t>
            </w:r>
            <w:r>
              <w:rPr>
                <w:rFonts w:hAnsiTheme="minorEastAsia" w:eastAsiaTheme="minorEastAsia"/>
                <w:b/>
                <w:bCs/>
                <w:sz w:val="24"/>
                <w:szCs w:val="24"/>
              </w:rPr>
              <w:t>：</w:t>
            </w:r>
          </w:p>
          <w:p>
            <w:pPr>
              <w:numPr>
                <w:ilvl w:val="0"/>
                <w:numId w:val="1"/>
              </w:numPr>
              <w:spacing w:line="360" w:lineRule="auto"/>
              <w:rPr>
                <w:rFonts w:ascii="宋体" w:hAnsi="宋体"/>
                <w:sz w:val="24"/>
              </w:rPr>
            </w:pPr>
            <w:r>
              <w:rPr>
                <w:rFonts w:hint="eastAsia" w:ascii="宋体" w:hAnsi="宋体"/>
                <w:sz w:val="24"/>
              </w:rPr>
              <w:t>施工期</w:t>
            </w:r>
          </w:p>
          <w:p>
            <w:pPr>
              <w:pStyle w:val="9"/>
              <w:ind w:firstLine="0"/>
            </w:pPr>
            <w:r>
              <w:drawing>
                <wp:inline distT="0" distB="0" distL="0" distR="0">
                  <wp:extent cx="5000625" cy="1295400"/>
                  <wp:effectExtent l="19050" t="0" r="9525" b="0"/>
                  <wp:docPr id="1" name="图片 1" descr="C:\Users\ADMINI~1\AppData\Local\Temp\1634520265(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4520265(1).png"/>
                          <pic:cNvPicPr>
                            <a:picLocks noChangeAspect="true" noChangeArrowheads="true"/>
                          </pic:cNvPicPr>
                        </pic:nvPicPr>
                        <pic:blipFill>
                          <a:blip r:embed="rId7" cstate="print"/>
                          <a:srcRect/>
                          <a:stretch>
                            <a:fillRect/>
                          </a:stretch>
                        </pic:blipFill>
                        <pic:spPr>
                          <a:xfrm>
                            <a:off x="0" y="0"/>
                            <a:ext cx="5000625" cy="1295400"/>
                          </a:xfrm>
                          <a:prstGeom prst="rect">
                            <a:avLst/>
                          </a:prstGeom>
                          <a:noFill/>
                          <a:ln w="9525">
                            <a:noFill/>
                            <a:miter lim="800000"/>
                            <a:headEnd/>
                            <a:tailEnd/>
                          </a:ln>
                        </pic:spPr>
                      </pic:pic>
                    </a:graphicData>
                  </a:graphic>
                </wp:inline>
              </w:drawing>
            </w:r>
          </w:p>
          <w:p>
            <w:pPr>
              <w:tabs>
                <w:tab w:val="left" w:pos="3225"/>
              </w:tabs>
              <w:spacing w:line="360" w:lineRule="auto"/>
              <w:jc w:val="center"/>
              <w:rPr>
                <w:rFonts w:ascii="宋体" w:hAnsi="宋体"/>
                <w:b/>
                <w:spacing w:val="12"/>
                <w:sz w:val="24"/>
              </w:rPr>
            </w:pPr>
            <w:r>
              <w:rPr>
                <w:rFonts w:ascii="宋体" w:hAnsi="宋体"/>
                <w:b/>
                <w:sz w:val="24"/>
              </w:rPr>
              <w:t>图</w:t>
            </w:r>
            <w:r>
              <w:rPr>
                <w:rFonts w:hint="eastAsia" w:ascii="宋体" w:hAnsi="宋体"/>
                <w:b/>
                <w:sz w:val="24"/>
              </w:rPr>
              <w:t>2</w:t>
            </w:r>
            <w:r>
              <w:rPr>
                <w:rFonts w:ascii="宋体" w:hAnsi="宋体"/>
                <w:b/>
                <w:sz w:val="24"/>
              </w:rPr>
              <w:t xml:space="preserve">  施工期工艺</w:t>
            </w:r>
            <w:r>
              <w:rPr>
                <w:rFonts w:ascii="宋体" w:hAnsi="宋体"/>
                <w:b/>
                <w:spacing w:val="12"/>
                <w:sz w:val="24"/>
              </w:rPr>
              <w:t>流程及产污环节图</w:t>
            </w:r>
          </w:p>
          <w:p>
            <w:pPr>
              <w:spacing w:line="360" w:lineRule="auto"/>
              <w:jc w:val="left"/>
              <w:rPr>
                <w:b/>
                <w:bCs/>
                <w:sz w:val="24"/>
                <w:szCs w:val="24"/>
              </w:rPr>
            </w:pPr>
            <w:r>
              <w:rPr>
                <w:rFonts w:hint="eastAsia"/>
                <w:bCs/>
                <w:sz w:val="24"/>
                <w:szCs w:val="24"/>
              </w:rPr>
              <w:t>二、营运期</w:t>
            </w:r>
          </w:p>
          <w:p>
            <w:pPr>
              <w:pStyle w:val="2"/>
              <w:spacing w:line="360" w:lineRule="auto"/>
              <w:ind w:firstLine="472" w:firstLineChars="200"/>
              <w:rPr>
                <w:rFonts w:hAnsi="宋体"/>
                <w:color w:val="auto"/>
              </w:rPr>
            </w:pPr>
            <w:r>
              <w:rPr>
                <w:rFonts w:hint="eastAsia" w:hAnsi="宋体"/>
                <w:color w:val="auto"/>
              </w:rPr>
              <w:t>本项目钢结</w:t>
            </w:r>
            <w:r>
              <w:rPr>
                <w:rFonts w:hAnsi="宋体"/>
                <w:color w:val="auto"/>
              </w:rPr>
              <w:t>构构件生产工艺流程</w:t>
            </w:r>
            <w:r>
              <w:rPr>
                <w:rFonts w:hint="eastAsia" w:hAnsi="宋体"/>
                <w:color w:val="auto"/>
              </w:rPr>
              <w:t>及排污节点</w:t>
            </w:r>
            <w:r>
              <w:rPr>
                <w:rFonts w:hAnsi="宋体"/>
                <w:color w:val="auto"/>
              </w:rPr>
              <w:t>：</w:t>
            </w:r>
          </w:p>
          <w:p>
            <w:pPr>
              <w:pStyle w:val="2"/>
              <w:spacing w:line="500" w:lineRule="exact"/>
              <w:ind w:firstLine="472" w:firstLineChars="200"/>
              <w:rPr>
                <w:rFonts w:hAnsi="宋体"/>
                <w:color w:val="auto"/>
              </w:rPr>
            </w:pPr>
            <w:r>
              <w:rPr>
                <w:b/>
                <w:szCs w:val="24"/>
              </w:rPr>
              <mc:AlternateContent>
                <mc:Choice Requires="wps">
                  <w:drawing>
                    <wp:anchor distT="0" distB="0" distL="114300" distR="114300" simplePos="0" relativeHeight="251706368" behindDoc="0" locked="0" layoutInCell="1" allowOverlap="1">
                      <wp:simplePos x="0" y="0"/>
                      <wp:positionH relativeFrom="column">
                        <wp:posOffset>1697990</wp:posOffset>
                      </wp:positionH>
                      <wp:positionV relativeFrom="paragraph">
                        <wp:posOffset>130810</wp:posOffset>
                      </wp:positionV>
                      <wp:extent cx="594360" cy="237490"/>
                      <wp:effectExtent l="0" t="0" r="0" b="0"/>
                      <wp:wrapNone/>
                      <wp:docPr id="59" name="矩形 46"/>
                      <wp:cNvGraphicFramePr/>
                      <a:graphic xmlns:a="http://schemas.openxmlformats.org/drawingml/2006/main">
                        <a:graphicData uri="http://schemas.microsoft.com/office/word/2010/wordprocessingShape">
                          <wps:wsp>
                            <wps:cNvSpPr/>
                            <wps:spPr>
                              <a:xfrm>
                                <a:off x="0" y="0"/>
                                <a:ext cx="594360" cy="237490"/>
                              </a:xfrm>
                              <a:prstGeom prst="rect">
                                <a:avLst/>
                              </a:prstGeom>
                              <a:noFill/>
                              <a:ln>
                                <a:noFill/>
                              </a:ln>
                              <a:effectLst/>
                            </wps:spPr>
                            <wps:txbx>
                              <w:txbxContent>
                                <w:p>
                                  <w:pPr>
                                    <w:jc w:val="center"/>
                                  </w:pPr>
                                  <w:r>
                                    <w:rPr>
                                      <w:rFonts w:hint="eastAsia"/>
                                    </w:rPr>
                                    <w:t>S  N</w:t>
                                  </w:r>
                                </w:p>
                              </w:txbxContent>
                            </wps:txbx>
                            <wps:bodyPr lIns="0" tIns="18000" rIns="0" bIns="18000" upright="true"/>
                          </wps:wsp>
                        </a:graphicData>
                      </a:graphic>
                    </wp:anchor>
                  </w:drawing>
                </mc:Choice>
                <mc:Fallback>
                  <w:pict>
                    <v:rect id="矩形 46" o:spid="_x0000_s1026" o:spt="1" style="position:absolute;left:0pt;margin-left:133.7pt;margin-top:10.3pt;height:18.7pt;width:46.8pt;z-index:251706368;mso-width-relative:page;mso-height-relative:page;" filled="f" stroked="f" coordsize="21600,21600" o:gfxdata="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N3H/YvZAAAACQEAAA8AAAAAAAAAAQAgAAAAOAAAAGRycy9kb3ducmV2LnhtbFBLAQIU&#10;ABQAAAAIAIdO4kCnULPyowEAADEDAAAOAAAAAAAAAAEAIAAAAD4BAABkcnMvZTJvRG9jLnhtbFBL&#10;BQYAAAAABgAGAFkBAABTBQAAAAA=&#10;">
                      <v:fill on="f" focussize="0,0"/>
                      <v:stroke on="f"/>
                      <v:imagedata o:title=""/>
                      <o:lock v:ext="edit" aspectratio="f"/>
                      <v:textbox inset="0mm,0.5mm,0mm,0.5mm">
                        <w:txbxContent>
                          <w:p>
                            <w:pPr>
                              <w:jc w:val="center"/>
                            </w:pPr>
                            <w:r>
                              <w:rPr>
                                <w:rFonts w:hint="eastAsia"/>
                              </w:rPr>
                              <w:t>S  N</w:t>
                            </w:r>
                          </w:p>
                        </w:txbxContent>
                      </v:textbox>
                    </v:rect>
                  </w:pict>
                </mc:Fallback>
              </mc:AlternateContent>
            </w:r>
            <w:r>
              <w:rPr>
                <w:b/>
                <w:szCs w:val="24"/>
              </w:rPr>
              <mc:AlternateContent>
                <mc:Choice Requires="wps">
                  <w:drawing>
                    <wp:anchor distT="0" distB="0" distL="114300" distR="114300" simplePos="0" relativeHeight="251707392" behindDoc="0" locked="0" layoutInCell="1" allowOverlap="1">
                      <wp:simplePos x="0" y="0"/>
                      <wp:positionH relativeFrom="column">
                        <wp:posOffset>2955290</wp:posOffset>
                      </wp:positionH>
                      <wp:positionV relativeFrom="paragraph">
                        <wp:posOffset>102235</wp:posOffset>
                      </wp:positionV>
                      <wp:extent cx="594360" cy="237490"/>
                      <wp:effectExtent l="0" t="0" r="0" b="0"/>
                      <wp:wrapNone/>
                      <wp:docPr id="60" name="矩形 44"/>
                      <wp:cNvGraphicFramePr/>
                      <a:graphic xmlns:a="http://schemas.openxmlformats.org/drawingml/2006/main">
                        <a:graphicData uri="http://schemas.microsoft.com/office/word/2010/wordprocessingShape">
                          <wps:wsp>
                            <wps:cNvSpPr/>
                            <wps:spPr>
                              <a:xfrm>
                                <a:off x="0" y="0"/>
                                <a:ext cx="594360" cy="237490"/>
                              </a:xfrm>
                              <a:prstGeom prst="rect">
                                <a:avLst/>
                              </a:prstGeom>
                              <a:noFill/>
                              <a:ln>
                                <a:noFill/>
                              </a:ln>
                              <a:effectLst/>
                            </wps:spPr>
                            <wps:txbx>
                              <w:txbxContent>
                                <w:p>
                                  <w:pPr>
                                    <w:jc w:val="center"/>
                                  </w:pPr>
                                  <w:r>
                                    <w:rPr>
                                      <w:rFonts w:hint="eastAsia"/>
                                    </w:rPr>
                                    <w:t>G S N</w:t>
                                  </w:r>
                                </w:p>
                              </w:txbxContent>
                            </wps:txbx>
                            <wps:bodyPr lIns="0" tIns="18000" rIns="0" bIns="18000" upright="true"/>
                          </wps:wsp>
                        </a:graphicData>
                      </a:graphic>
                    </wp:anchor>
                  </w:drawing>
                </mc:Choice>
                <mc:Fallback>
                  <w:pict>
                    <v:rect id="矩形 44" o:spid="_x0000_s1026" o:spt="1" style="position:absolute;left:0pt;margin-left:232.7pt;margin-top:8.05pt;height:18.7pt;width:46.8pt;z-index:251707392;mso-width-relative:page;mso-height-relative:page;" filled="f" stroked="f" coordsize="21600,21600" o:gfxdata="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KMuQDPYAAAACQEAAA8AAAAAAAAAAQAgAAAAOAAAAGRycy9kb3ducmV2LnhtbFBLAQIUABQA&#10;AAAIAIdO4kCZK2e8oQEAADEDAAAOAAAAAAAAAAEAIAAAAD0BAABkcnMvZTJvRG9jLnhtbFBLBQYA&#10;AAAABgAGAFkBAABQBQAAAAA=&#10;">
                      <v:fill on="f" focussize="0,0"/>
                      <v:stroke on="f"/>
                      <v:imagedata o:title=""/>
                      <o:lock v:ext="edit" aspectratio="f"/>
                      <v:textbox inset="0mm,0.5mm,0mm,0.5mm">
                        <w:txbxContent>
                          <w:p>
                            <w:pPr>
                              <w:jc w:val="center"/>
                            </w:pPr>
                            <w:r>
                              <w:rPr>
                                <w:rFonts w:hint="eastAsia"/>
                              </w:rPr>
                              <w:t>G S N</w:t>
                            </w:r>
                          </w:p>
                        </w:txbxContent>
                      </v:textbox>
                    </v:rect>
                  </w:pict>
                </mc:Fallback>
              </mc:AlternateContent>
            </w:r>
            <w:r>
              <w:rPr>
                <w:b/>
                <w:szCs w:val="24"/>
              </w:rPr>
              <mc:AlternateContent>
                <mc:Choice Requires="wps">
                  <w:drawing>
                    <wp:anchor distT="0" distB="0" distL="114300" distR="114300" simplePos="0" relativeHeight="251691008" behindDoc="0" locked="0" layoutInCell="1" allowOverlap="1">
                      <wp:simplePos x="0" y="0"/>
                      <wp:positionH relativeFrom="column">
                        <wp:posOffset>4784090</wp:posOffset>
                      </wp:positionH>
                      <wp:positionV relativeFrom="paragraph">
                        <wp:posOffset>120650</wp:posOffset>
                      </wp:positionV>
                      <wp:extent cx="594360" cy="237490"/>
                      <wp:effectExtent l="0" t="0" r="0" b="0"/>
                      <wp:wrapNone/>
                      <wp:docPr id="44" name="矩形 2209"/>
                      <wp:cNvGraphicFramePr/>
                      <a:graphic xmlns:a="http://schemas.openxmlformats.org/drawingml/2006/main">
                        <a:graphicData uri="http://schemas.microsoft.com/office/word/2010/wordprocessingShape">
                          <wps:wsp>
                            <wps:cNvSpPr/>
                            <wps:spPr>
                              <a:xfrm>
                                <a:off x="0" y="0"/>
                                <a:ext cx="594360" cy="237490"/>
                              </a:xfrm>
                              <a:prstGeom prst="rect">
                                <a:avLst/>
                              </a:prstGeom>
                              <a:noFill/>
                              <a:ln>
                                <a:noFill/>
                              </a:ln>
                              <a:effectLst/>
                            </wps:spPr>
                            <wps:txbx>
                              <w:txbxContent>
                                <w:p>
                                  <w:pPr>
                                    <w:jc w:val="center"/>
                                  </w:pPr>
                                  <w:r>
                                    <w:rPr>
                                      <w:rFonts w:hint="eastAsia"/>
                                    </w:rPr>
                                    <w:t>G S N</w:t>
                                  </w:r>
                                </w:p>
                              </w:txbxContent>
                            </wps:txbx>
                            <wps:bodyPr lIns="0" tIns="18000" rIns="0" bIns="18000" upright="true"/>
                          </wps:wsp>
                        </a:graphicData>
                      </a:graphic>
                    </wp:anchor>
                  </w:drawing>
                </mc:Choice>
                <mc:Fallback>
                  <w:pict>
                    <v:rect id="矩形 2209" o:spid="_x0000_s1026" o:spt="1" style="position:absolute;left:0pt;margin-left:376.7pt;margin-top:9.5pt;height:18.7pt;width:46.8pt;z-index:251691008;mso-width-relative:page;mso-height-relative:page;" filled="f" stroked="f" coordsize="21600,21600" o:gfxdata="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LbApo2QAAAAkBAAAPAAAAAAAAAAEAIAAAADgAAABkcnMvZG93bnJldi54bWxQSwEC&#10;FAAUAAAACACHTuJAdoWWRaQBAAAzAwAADgAAAAAAAAABACAAAAA+AQAAZHJzL2Uyb0RvYy54bWxQ&#10;SwUGAAAAAAYABgBZAQAAVAUAAAAA&#10;">
                      <v:fill on="f" focussize="0,0"/>
                      <v:stroke on="f"/>
                      <v:imagedata o:title=""/>
                      <o:lock v:ext="edit" aspectratio="f"/>
                      <v:textbox inset="0mm,0.5mm,0mm,0.5mm">
                        <w:txbxContent>
                          <w:p>
                            <w:pPr>
                              <w:jc w:val="center"/>
                            </w:pPr>
                            <w:r>
                              <w:rPr>
                                <w:rFonts w:hint="eastAsia"/>
                              </w:rPr>
                              <w:t>G S N</w:t>
                            </w:r>
                          </w:p>
                        </w:txbxContent>
                      </v:textbox>
                    </v:rect>
                  </w:pict>
                </mc:Fallback>
              </mc:AlternateContent>
            </w:r>
          </w:p>
          <w:p>
            <w:pPr>
              <w:spacing w:afterLines="50" w:line="520" w:lineRule="exact"/>
              <w:ind w:firstLine="472" w:firstLineChars="200"/>
              <w:rPr>
                <w:color w:val="FF0000"/>
                <w:sz w:val="26"/>
                <w:szCs w:val="26"/>
              </w:rPr>
            </w:pPr>
            <w:r>
              <w:rPr>
                <w:b/>
                <w:sz w:val="24"/>
                <w:szCs w:val="24"/>
              </w:rPr>
              <mc:AlternateContent>
                <mc:Choice Requires="wps">
                  <w:drawing>
                    <wp:anchor distT="0" distB="0" distL="114300" distR="114300" simplePos="0" relativeHeight="251714560" behindDoc="0" locked="0" layoutInCell="1" allowOverlap="1">
                      <wp:simplePos x="0" y="0"/>
                      <wp:positionH relativeFrom="column">
                        <wp:posOffset>1972310</wp:posOffset>
                      </wp:positionH>
                      <wp:positionV relativeFrom="paragraph">
                        <wp:posOffset>26670</wp:posOffset>
                      </wp:positionV>
                      <wp:extent cx="5715" cy="238760"/>
                      <wp:effectExtent l="36195" t="0" r="34290" b="5080"/>
                      <wp:wrapNone/>
                      <wp:docPr id="67" name="直线 71"/>
                      <wp:cNvGraphicFramePr/>
                      <a:graphic xmlns:a="http://schemas.openxmlformats.org/drawingml/2006/main">
                        <a:graphicData uri="http://schemas.microsoft.com/office/word/2010/wordprocessingShape">
                          <wps:wsp>
                            <wps:cNvCnPr/>
                            <wps:spPr>
                              <a:xfrm flipH="true" flipV="true">
                                <a:off x="0" y="0"/>
                                <a:ext cx="5715" cy="23876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1" o:spid="_x0000_s1026" o:spt="20" style="position:absolute;left:0pt;flip:x y;margin-left:155.3pt;margin-top:2.1pt;height:18.8pt;width:0.45pt;z-index:251714560;mso-width-relative:page;mso-height-relative:page;" filled="f" stroked="t" coordsize="21600,21600" o:gfxdata="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oMVr3WAAAACAEAAA8AAAAAAAAAAQAgAAAAOAAAAGRycy9k&#10;b3ducmV2LnhtbFBLAQIUABQAAAAIAIdO4kCxuLuK7gEAAL8DAAAOAAAAAAAAAAEAIAAAADsBAABk&#10;cnMvZTJvRG9jLnhtbFBLBQYAAAAABgAGAFkBAACbBQ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697152" behindDoc="0" locked="0" layoutInCell="1" allowOverlap="1">
                      <wp:simplePos x="0" y="0"/>
                      <wp:positionH relativeFrom="column">
                        <wp:posOffset>1764665</wp:posOffset>
                      </wp:positionH>
                      <wp:positionV relativeFrom="paragraph">
                        <wp:posOffset>247015</wp:posOffset>
                      </wp:positionV>
                      <wp:extent cx="410210" cy="267970"/>
                      <wp:effectExtent l="4445" t="4445" r="12065" b="17145"/>
                      <wp:wrapNone/>
                      <wp:docPr id="50" name="矩形 51"/>
                      <wp:cNvGraphicFramePr/>
                      <a:graphic xmlns:a="http://schemas.openxmlformats.org/drawingml/2006/main">
                        <a:graphicData uri="http://schemas.microsoft.com/office/word/2010/wordprocessingShape">
                          <wps:wsp>
                            <wps:cNvSpPr/>
                            <wps:spPr>
                              <a:xfrm>
                                <a:off x="0" y="0"/>
                                <a:ext cx="410210" cy="267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切割</w:t>
                                  </w:r>
                                </w:p>
                              </w:txbxContent>
                            </wps:txbx>
                            <wps:bodyPr lIns="36000" tIns="18000" rIns="36000" bIns="18000" upright="true"/>
                          </wps:wsp>
                        </a:graphicData>
                      </a:graphic>
                    </wp:anchor>
                  </w:drawing>
                </mc:Choice>
                <mc:Fallback>
                  <w:pict>
                    <v:rect id="矩形 51" o:spid="_x0000_s1026" o:spt="1" style="position:absolute;left:0pt;margin-left:138.95pt;margin-top:19.45pt;height:21.1pt;width:32.3pt;z-index:251697152;mso-width-relative:page;mso-height-relative:page;" fillcolor="#FFFFFF" filled="t" stroked="t" coordsize="21600,21600" o:gfxdata="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kvAb/aAAAA&#10;CQEAAA8AAAAAAAAAAQAgAAAAOAAAAGRycy9kb3ducmV2LnhtbFBLAQIUABQAAAAIAIdO4kAGH2hs&#10;BQIAACEEAAAOAAAAAAAAAAEAIAAAAD8BAABkcnMvZTJvRG9jLnhtbFBLBQYAAAAABgAGAFkBAAC2&#10;BQAAAAA=&#10;">
                      <v:fill on="t" focussize="0,0"/>
                      <v:stroke color="#000000" joinstyle="miter"/>
                      <v:imagedata o:title=""/>
                      <o:lock v:ext="edit" aspectratio="f"/>
                      <v:textbox inset="1mm,0.5mm,1mm,0.5mm">
                        <w:txbxContent>
                          <w:p>
                            <w:r>
                              <w:rPr>
                                <w:rFonts w:hint="eastAsia"/>
                              </w:rPr>
                              <w:t>切割</w:t>
                            </w:r>
                          </w:p>
                        </w:txbxContent>
                      </v:textbox>
                    </v:rect>
                  </w:pict>
                </mc:Fallback>
              </mc:AlternateContent>
            </w:r>
            <w:r>
              <w:rPr>
                <w:b/>
                <w:sz w:val="24"/>
                <w:szCs w:val="24"/>
              </w:rPr>
              <mc:AlternateContent>
                <mc:Choice Requires="wps">
                  <w:drawing>
                    <wp:anchor distT="0" distB="0" distL="114300" distR="114300" simplePos="0" relativeHeight="251715584" behindDoc="0" locked="0" layoutInCell="1" allowOverlap="1">
                      <wp:simplePos x="0" y="0"/>
                      <wp:positionH relativeFrom="column">
                        <wp:posOffset>5083175</wp:posOffset>
                      </wp:positionH>
                      <wp:positionV relativeFrom="paragraph">
                        <wp:posOffset>26670</wp:posOffset>
                      </wp:positionV>
                      <wp:extent cx="4445" cy="219710"/>
                      <wp:effectExtent l="34925" t="0" r="36830" b="8890"/>
                      <wp:wrapNone/>
                      <wp:docPr id="68" name="直线 72"/>
                      <wp:cNvGraphicFramePr/>
                      <a:graphic xmlns:a="http://schemas.openxmlformats.org/drawingml/2006/main">
                        <a:graphicData uri="http://schemas.microsoft.com/office/word/2010/wordprocessingShape">
                          <wps:wsp>
                            <wps:cNvCnPr/>
                            <wps:spPr>
                              <a:xfrm flipV="true">
                                <a:off x="0" y="0"/>
                                <a:ext cx="4445" cy="2197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2" o:spid="_x0000_s1026" o:spt="20" style="position:absolute;left:0pt;flip:y;margin-left:400.25pt;margin-top:2.1pt;height:17.3pt;width:0.35pt;z-index:251715584;mso-width-relative:page;mso-height-relative:page;" filled="f" stroked="t" coordsize="21600,21600" o:gfxdata="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rqxgtUAAAAIAQAADwAAAAAAAAABACAAAAA4AAAAZHJzL2Rvd25yZXYu&#10;eG1sUEsBAhQAFAAAAAgAh07iQEiNu7DoAQAAsgMAAA4AAAAAAAAAAQAgAAAAOgEAAGRycy9lMm9E&#10;b2MueG1sUEsFBgAAAAAGAAYAWQEAAJQFA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713536" behindDoc="0" locked="0" layoutInCell="1" allowOverlap="1">
                      <wp:simplePos x="0" y="0"/>
                      <wp:positionH relativeFrom="column">
                        <wp:posOffset>3187700</wp:posOffset>
                      </wp:positionH>
                      <wp:positionV relativeFrom="paragraph">
                        <wp:posOffset>17145</wp:posOffset>
                      </wp:positionV>
                      <wp:extent cx="4445" cy="219710"/>
                      <wp:effectExtent l="34925" t="0" r="36830" b="8890"/>
                      <wp:wrapNone/>
                      <wp:docPr id="66" name="直线 70"/>
                      <wp:cNvGraphicFramePr/>
                      <a:graphic xmlns:a="http://schemas.openxmlformats.org/drawingml/2006/main">
                        <a:graphicData uri="http://schemas.microsoft.com/office/word/2010/wordprocessingShape">
                          <wps:wsp>
                            <wps:cNvCnPr/>
                            <wps:spPr>
                              <a:xfrm flipV="true">
                                <a:off x="0" y="0"/>
                                <a:ext cx="4445" cy="2197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0" o:spid="_x0000_s1026" o:spt="20" style="position:absolute;left:0pt;flip:y;margin-left:251pt;margin-top:1.35pt;height:17.3pt;width:0.35pt;z-index:251713536;mso-width-relative:page;mso-height-relative:page;" filled="f" stroked="t" coordsize="21600,21600" o:gfxdata="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Hd8HLVAAAACAEAAA8AAAAAAAAAAQAgAAAAOAAAAGRycy9kb3ducmV2Lnht&#10;bFBLAQIUABQAAAAIAIdO4kDzTtsU5gEAALIDAAAOAAAAAAAAAAEAIAAAADoBAABkcnMvZTJvRG9j&#10;LnhtbFBLBQYAAAAABgAGAFkBAACSBQ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699200" behindDoc="0" locked="0" layoutInCell="1" allowOverlap="1">
                      <wp:simplePos x="0" y="0"/>
                      <wp:positionH relativeFrom="column">
                        <wp:posOffset>4869815</wp:posOffset>
                      </wp:positionH>
                      <wp:positionV relativeFrom="paragraph">
                        <wp:posOffset>247015</wp:posOffset>
                      </wp:positionV>
                      <wp:extent cx="410845" cy="287020"/>
                      <wp:effectExtent l="5080" t="4445" r="10795" b="13335"/>
                      <wp:wrapNone/>
                      <wp:docPr id="52" name="矩形 40"/>
                      <wp:cNvGraphicFramePr/>
                      <a:graphic xmlns:a="http://schemas.openxmlformats.org/drawingml/2006/main">
                        <a:graphicData uri="http://schemas.microsoft.com/office/word/2010/wordprocessingShape">
                          <wps:wsp>
                            <wps:cNvSpPr/>
                            <wps:spPr>
                              <a:xfrm>
                                <a:off x="0" y="0"/>
                                <a:ext cx="410845"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门焊</w:t>
                                  </w:r>
                                </w:p>
                              </w:txbxContent>
                            </wps:txbx>
                            <wps:bodyPr lIns="36000" tIns="18000" rIns="36000" bIns="18000" upright="true"/>
                          </wps:wsp>
                        </a:graphicData>
                      </a:graphic>
                    </wp:anchor>
                  </w:drawing>
                </mc:Choice>
                <mc:Fallback>
                  <w:pict>
                    <v:rect id="矩形 40" o:spid="_x0000_s1026" o:spt="1" style="position:absolute;left:0pt;margin-left:383.45pt;margin-top:19.45pt;height:22.6pt;width:32.35pt;z-index:251699200;mso-width-relative:page;mso-height-relative:page;" fillcolor="#FFFFFF" filled="t" stroked="t" coordsize="21600,21600" o:gfxdata="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pdMNg2QAAAAkB&#10;AAAPAAAAAAAAAAEAIAAAADgAAABkcnMvZG93bnJldi54bWxQSwECFAAUAAAACACHTuJADqBJ9wQC&#10;AAAhBAAADgAAAAAAAAABACAAAAA+AQAAZHJzL2Uyb0RvYy54bWxQSwUGAAAAAAYABgBZAQAAtAUA&#10;AAAA&#10;">
                      <v:fill on="t" focussize="0,0"/>
                      <v:stroke color="#000000" joinstyle="miter"/>
                      <v:imagedata o:title=""/>
                      <o:lock v:ext="edit" aspectratio="f"/>
                      <v:textbox inset="1mm,0.5mm,1mm,0.5mm">
                        <w:txbxContent>
                          <w:p>
                            <w:r>
                              <w:rPr>
                                <w:rFonts w:hint="eastAsia"/>
                              </w:rPr>
                              <w:t>门焊</w:t>
                            </w:r>
                          </w:p>
                        </w:txbxContent>
                      </v:textbox>
                    </v:rect>
                  </w:pict>
                </mc:Fallback>
              </mc:AlternateContent>
            </w:r>
            <w:r>
              <w:rPr>
                <w:b/>
                <w:sz w:val="24"/>
                <w:szCs w:val="24"/>
              </w:rPr>
              <mc:AlternateContent>
                <mc:Choice Requires="wps">
                  <w:drawing>
                    <wp:anchor distT="0" distB="0" distL="114300" distR="114300" simplePos="0" relativeHeight="251703296" behindDoc="0" locked="0" layoutInCell="1" allowOverlap="1">
                      <wp:simplePos x="0" y="0"/>
                      <wp:positionH relativeFrom="column">
                        <wp:posOffset>4606925</wp:posOffset>
                      </wp:positionH>
                      <wp:positionV relativeFrom="paragraph">
                        <wp:posOffset>379095</wp:posOffset>
                      </wp:positionV>
                      <wp:extent cx="252095" cy="635"/>
                      <wp:effectExtent l="0" t="38100" r="6985" b="37465"/>
                      <wp:wrapNone/>
                      <wp:docPr id="56" name="直线 41"/>
                      <wp:cNvGraphicFramePr/>
                      <a:graphic xmlns:a="http://schemas.openxmlformats.org/drawingml/2006/main">
                        <a:graphicData uri="http://schemas.microsoft.com/office/word/2010/wordprocessingShape">
                          <wps:wsp>
                            <wps:cNvCnPr/>
                            <wps:spPr>
                              <a:xfrm flipV="true">
                                <a:off x="0" y="0"/>
                                <a:ext cx="25209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1" o:spid="_x0000_s1026" o:spt="20" style="position:absolute;left:0pt;flip:y;margin-left:362.75pt;margin-top:29.85pt;height:0.05pt;width:19.85pt;z-index:251703296;mso-width-relative:page;mso-height-relative:page;" filled="f" stroked="t" coordsize="21600,21600" o:gfxdata="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F45lNoAAAAJAQAADwAAAAAAAAABACAAAAA4AAAAZHJzL2Rvd25yZXYu&#10;eG1sUEsBAhQAFAAAAAgAh07iQABPBwfjAQAAsgMAAA4AAAAAAAAAAQAgAAAAPwEAAGRycy9lMm9E&#10;b2MueG1sUEsFBgAAAAAGAAYAWQEAAJQFA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683840" behindDoc="0" locked="0" layoutInCell="1" allowOverlap="1">
                      <wp:simplePos x="0" y="0"/>
                      <wp:positionH relativeFrom="column">
                        <wp:posOffset>4193540</wp:posOffset>
                      </wp:positionH>
                      <wp:positionV relativeFrom="paragraph">
                        <wp:posOffset>240030</wp:posOffset>
                      </wp:positionV>
                      <wp:extent cx="401320" cy="296545"/>
                      <wp:effectExtent l="4445" t="5080" r="5715" b="18415"/>
                      <wp:wrapNone/>
                      <wp:docPr id="24" name="矩形 2458"/>
                      <wp:cNvGraphicFramePr/>
                      <a:graphic xmlns:a="http://schemas.openxmlformats.org/drawingml/2006/main">
                        <a:graphicData uri="http://schemas.microsoft.com/office/word/2010/wordprocessingShape">
                          <wps:wsp>
                            <wps:cNvSpPr/>
                            <wps:spPr>
                              <a:xfrm>
                                <a:off x="0" y="0"/>
                                <a:ext cx="40132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组立</w:t>
                                  </w:r>
                                </w:p>
                              </w:txbxContent>
                            </wps:txbx>
                            <wps:bodyPr lIns="36000" tIns="18000" rIns="36000" bIns="18000" upright="true"/>
                          </wps:wsp>
                        </a:graphicData>
                      </a:graphic>
                    </wp:anchor>
                  </w:drawing>
                </mc:Choice>
                <mc:Fallback>
                  <w:pict>
                    <v:rect id="矩形 2458" o:spid="_x0000_s1026" o:spt="1" style="position:absolute;left:0pt;margin-left:330.2pt;margin-top:18.9pt;height:23.35pt;width:31.6pt;z-index:251683840;mso-width-relative:page;mso-height-relative:page;" fillcolor="#FFFFFF" filled="t" stroked="t" coordsize="21600,21600" o:gfxdata="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sFyAH2QAAAAkB&#10;AAAPAAAAAAAAAAEAIAAAADgAAABkcnMvZG93bnJldi54bWxQSwECFAAUAAAACACHTuJAXGsgZwQC&#10;AAAjBAAADgAAAAAAAAABACAAAAA+AQAAZHJzL2Uyb0RvYy54bWxQSwUGAAAAAAYABgBZAQAAtAUA&#10;AAAA&#10;">
                      <v:fill on="t" focussize="0,0"/>
                      <v:stroke color="#000000" joinstyle="miter"/>
                      <v:imagedata o:title=""/>
                      <o:lock v:ext="edit" aspectratio="f"/>
                      <v:textbox inset="1mm,0.5mm,1mm,0.5mm">
                        <w:txbxContent>
                          <w:p>
                            <w:r>
                              <w:rPr>
                                <w:rFonts w:hint="eastAsia"/>
                              </w:rPr>
                              <w:t>组立</w:t>
                            </w:r>
                          </w:p>
                        </w:txbxContent>
                      </v:textbox>
                    </v:rect>
                  </w:pict>
                </mc:Fallback>
              </mc:AlternateContent>
            </w:r>
            <w:r>
              <w:rPr>
                <w:b/>
                <w:sz w:val="24"/>
                <w:szCs w:val="24"/>
              </w:rPr>
              <mc:AlternateContent>
                <mc:Choice Requires="wps">
                  <w:drawing>
                    <wp:anchor distT="0" distB="0" distL="114300" distR="114300" simplePos="0" relativeHeight="251705344" behindDoc="0" locked="0" layoutInCell="1" allowOverlap="1">
                      <wp:simplePos x="0" y="0"/>
                      <wp:positionH relativeFrom="column">
                        <wp:posOffset>3949700</wp:posOffset>
                      </wp:positionH>
                      <wp:positionV relativeFrom="paragraph">
                        <wp:posOffset>379095</wp:posOffset>
                      </wp:positionV>
                      <wp:extent cx="252095" cy="635"/>
                      <wp:effectExtent l="0" t="38100" r="6985" b="37465"/>
                      <wp:wrapNone/>
                      <wp:docPr id="58" name="直线 43"/>
                      <wp:cNvGraphicFramePr/>
                      <a:graphic xmlns:a="http://schemas.openxmlformats.org/drawingml/2006/main">
                        <a:graphicData uri="http://schemas.microsoft.com/office/word/2010/wordprocessingShape">
                          <wps:wsp>
                            <wps:cNvCnPr/>
                            <wps:spPr>
                              <a:xfrm flipV="true">
                                <a:off x="0" y="0"/>
                                <a:ext cx="25209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3" o:spid="_x0000_s1026" o:spt="20" style="position:absolute;left:0pt;flip:y;margin-left:311pt;margin-top:29.85pt;height:0.05pt;width:19.85pt;z-index:251705344;mso-width-relative:page;mso-height-relative:page;" filled="f" stroked="t" coordsize="21600,21600" o:gfxdata="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hT6yltkAAAAJAQAADwAAAAAAAAABACAAAAA4AAAAZHJzL2Rvd25yZXYu&#10;eG1sUEsBAhQAFAAAAAgAh07iQLuMZ6PkAQAAsgMAAA4AAAAAAAAAAQAgAAAAPgEAAGRycy9lMm9E&#10;b2MueG1sUEsFBgAAAAAGAAYAWQEAAJQFAAAAAA==&#10;">
                      <v:fill on="f" focussize="0,0"/>
                      <v:stroke color="#000000" joinstyle="round" endarrow="block"/>
                      <v:imagedata o:title=""/>
                      <o:lock v:ext="edit" aspectratio="f"/>
                    </v:line>
                  </w:pict>
                </mc:Fallback>
              </mc:AlternateContent>
            </w:r>
            <w:r>
              <w:rPr>
                <w:rFonts w:ascii="黑体" w:eastAsia="黑体"/>
              </w:rPr>
              <mc:AlternateContent>
                <mc:Choice Requires="wps">
                  <w:drawing>
                    <wp:anchor distT="0" distB="0" distL="114300" distR="114300" simplePos="0" relativeHeight="251709440" behindDoc="0" locked="0" layoutInCell="1" allowOverlap="1">
                      <wp:simplePos x="0" y="0"/>
                      <wp:positionH relativeFrom="column">
                        <wp:posOffset>2429510</wp:posOffset>
                      </wp:positionH>
                      <wp:positionV relativeFrom="paragraph">
                        <wp:posOffset>227330</wp:posOffset>
                      </wp:positionV>
                      <wp:extent cx="1507490" cy="299720"/>
                      <wp:effectExtent l="4445" t="4445" r="12065" b="15875"/>
                      <wp:wrapNone/>
                      <wp:docPr id="62" name="文本框 45"/>
                      <wp:cNvGraphicFramePr/>
                      <a:graphic xmlns:a="http://schemas.openxmlformats.org/drawingml/2006/main">
                        <a:graphicData uri="http://schemas.microsoft.com/office/word/2010/wordprocessingShape">
                          <wps:wsp>
                            <wps:cNvSpPr txBox="true"/>
                            <wps:spPr>
                              <a:xfrm>
                                <a:off x="0" y="0"/>
                                <a:ext cx="1507490" cy="299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机床加工、打孔、打磨</w:t>
                                  </w:r>
                                </w:p>
                              </w:txbxContent>
                            </wps:txbx>
                            <wps:bodyPr upright="true"/>
                          </wps:wsp>
                        </a:graphicData>
                      </a:graphic>
                    </wp:anchor>
                  </w:drawing>
                </mc:Choice>
                <mc:Fallback>
                  <w:pict>
                    <v:shape id="文本框 45" o:spid="_x0000_s1026" o:spt="202" type="#_x0000_t202" style="position:absolute;left:0pt;margin-left:191.3pt;margin-top:17.9pt;height:23.6pt;width:118.7pt;z-index:251709440;mso-width-relative:page;mso-height-relative:page;" fillcolor="#FFFFFF" filled="t" stroked="t" coordsize="21600,21600" o:gfxdata="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G8Xq/XAAAACQEAAA8AAAAAAAAA&#10;AQAgAAAAOAAAAGRycy9kb3ducmV2LnhtbFBLAQIUABQAAAAIAIdO4kDk6i0C/AEAAP4DAAAOAAAA&#10;AAAAAAEAIAAAADwBAABkcnMvZTJvRG9jLnhtbFBLBQYAAAAABgAGAFkBAACqBQAAAAA=&#10;">
                      <v:fill on="t" focussize="0,0"/>
                      <v:stroke color="#000000" joinstyle="miter"/>
                      <v:imagedata o:title=""/>
                      <o:lock v:ext="edit" aspectratio="f"/>
                      <v:textbox>
                        <w:txbxContent>
                          <w:p>
                            <w:pPr>
                              <w:rPr>
                                <w:szCs w:val="21"/>
                              </w:rPr>
                            </w:pPr>
                            <w:r>
                              <w:rPr>
                                <w:rFonts w:hint="eastAsia"/>
                                <w:szCs w:val="21"/>
                              </w:rPr>
                              <w:t>机床加工、打孔、打磨</w:t>
                            </w:r>
                          </w:p>
                        </w:txbxContent>
                      </v:textbox>
                    </v:shape>
                  </w:pict>
                </mc:Fallback>
              </mc:AlternateContent>
            </w:r>
            <w:r>
              <w:rPr>
                <w:b/>
                <w:sz w:val="24"/>
                <w:szCs w:val="24"/>
              </w:rPr>
              <mc:AlternateContent>
                <mc:Choice Requires="wps">
                  <w:drawing>
                    <wp:anchor distT="0" distB="0" distL="114300" distR="114300" simplePos="0" relativeHeight="251696128" behindDoc="0" locked="0" layoutInCell="1" allowOverlap="1">
                      <wp:simplePos x="0" y="0"/>
                      <wp:positionH relativeFrom="column">
                        <wp:posOffset>194945</wp:posOffset>
                      </wp:positionH>
                      <wp:positionV relativeFrom="paragraph">
                        <wp:posOffset>300990</wp:posOffset>
                      </wp:positionV>
                      <wp:extent cx="657860" cy="258445"/>
                      <wp:effectExtent l="0" t="0" r="12700" b="635"/>
                      <wp:wrapNone/>
                      <wp:docPr id="49" name="矩形 2457"/>
                      <wp:cNvGraphicFramePr/>
                      <a:graphic xmlns:a="http://schemas.openxmlformats.org/drawingml/2006/main">
                        <a:graphicData uri="http://schemas.microsoft.com/office/word/2010/wordprocessingShape">
                          <wps:wsp>
                            <wps:cNvSpPr/>
                            <wps:spPr>
                              <a:xfrm>
                                <a:off x="0" y="0"/>
                                <a:ext cx="657860" cy="258445"/>
                              </a:xfrm>
                              <a:prstGeom prst="rect">
                                <a:avLst/>
                              </a:prstGeom>
                              <a:solidFill>
                                <a:srgbClr val="FFFFFF"/>
                              </a:solidFill>
                              <a:ln>
                                <a:noFill/>
                              </a:ln>
                              <a:effectLst/>
                            </wps:spPr>
                            <wps:txbx>
                              <w:txbxContent>
                                <w:p>
                                  <w:pPr>
                                    <w:jc w:val="center"/>
                                  </w:pPr>
                                  <w:r>
                                    <w:rPr>
                                      <w:rFonts w:hint="eastAsia"/>
                                    </w:rPr>
                                    <w:t>原材料</w:t>
                                  </w:r>
                                </w:p>
                              </w:txbxContent>
                            </wps:txbx>
                            <wps:bodyPr lIns="36000" tIns="18000" rIns="36000" bIns="18000" upright="true"/>
                          </wps:wsp>
                        </a:graphicData>
                      </a:graphic>
                    </wp:anchor>
                  </w:drawing>
                </mc:Choice>
                <mc:Fallback>
                  <w:pict>
                    <v:rect id="矩形 2457" o:spid="_x0000_s1026" o:spt="1" style="position:absolute;left:0pt;margin-left:15.35pt;margin-top:23.7pt;height:20.35pt;width:51.8pt;z-index:251696128;mso-width-relative:page;mso-height-relative:page;" fillcolor="#FFFFFF" filled="t" stroked="f" coordsize="21600,21600" o:gfxdata="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I6EP1dYAAAAIAQAADwAAAAAAAAABACAAAAA4AAAA&#10;ZHJzL2Rvd25yZXYueG1sUEsBAhQAFAAAAAgAh07iQNN0rLm6AQAAZAMAAA4AAAAAAAAAAQAgAAAA&#10;OwEAAGRycy9lMm9Eb2MueG1sUEsFBgAAAAAGAAYAWQEAAGcFAAAAAA==&#10;">
                      <v:fill on="t" focussize="0,0"/>
                      <v:stroke on="f"/>
                      <v:imagedata o:title=""/>
                      <o:lock v:ext="edit" aspectratio="f"/>
                      <v:textbox inset="1mm,0.5mm,1mm,0.5mm">
                        <w:txbxContent>
                          <w:p>
                            <w:pPr>
                              <w:jc w:val="center"/>
                            </w:pPr>
                            <w:r>
                              <w:rPr>
                                <w:rFonts w:hint="eastAsia"/>
                              </w:rPr>
                              <w:t>原材料</w:t>
                            </w:r>
                          </w:p>
                        </w:txbxContent>
                      </v:textbox>
                    </v:rect>
                  </w:pict>
                </mc:Fallback>
              </mc:AlternateContent>
            </w:r>
            <w:r>
              <w:rPr>
                <w:b/>
                <w:sz w:val="24"/>
                <w:szCs w:val="24"/>
              </w:rPr>
              <mc:AlternateContent>
                <mc:Choice Requires="wps">
                  <w:drawing>
                    <wp:anchor distT="0" distB="0" distL="114300" distR="114300" simplePos="0" relativeHeight="251698176" behindDoc="0" locked="0" layoutInCell="1" allowOverlap="1">
                      <wp:simplePos x="0" y="0"/>
                      <wp:positionH relativeFrom="column">
                        <wp:posOffset>787400</wp:posOffset>
                      </wp:positionH>
                      <wp:positionV relativeFrom="paragraph">
                        <wp:posOffset>398145</wp:posOffset>
                      </wp:positionV>
                      <wp:extent cx="252095" cy="635"/>
                      <wp:effectExtent l="0" t="38100" r="6985" b="37465"/>
                      <wp:wrapNone/>
                      <wp:docPr id="51" name="直线 48"/>
                      <wp:cNvGraphicFramePr/>
                      <a:graphic xmlns:a="http://schemas.openxmlformats.org/drawingml/2006/main">
                        <a:graphicData uri="http://schemas.microsoft.com/office/word/2010/wordprocessingShape">
                          <wps:wsp>
                            <wps:cNvCnPr/>
                            <wps:spPr>
                              <a:xfrm flipV="true">
                                <a:off x="0" y="0"/>
                                <a:ext cx="25209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48" o:spid="_x0000_s1026" o:spt="20" style="position:absolute;left:0pt;flip:y;margin-left:62pt;margin-top:31.35pt;height:0.05pt;width:19.85pt;z-index:251698176;mso-width-relative:page;mso-height-relative:page;" filled="f" stroked="t" coordsize="21600,21600" o:gfxdata="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1LTAY2AAAAAkBAAAPAAAAAAAAAAEAIAAAADgAAABkcnMvZG93bnJldi54&#10;bWxQSwECFAAUAAAACACHTuJAHaJME+QBAACyAwAADgAAAAAAAAABACAAAAA9AQAAZHJzL2Uyb0Rv&#10;Yy54bWxQSwUGAAAAAAYABgBZAQAAkwU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695104" behindDoc="0" locked="0" layoutInCell="1" allowOverlap="1">
                      <wp:simplePos x="0" y="0"/>
                      <wp:positionH relativeFrom="column">
                        <wp:posOffset>1040765</wp:posOffset>
                      </wp:positionH>
                      <wp:positionV relativeFrom="paragraph">
                        <wp:posOffset>251460</wp:posOffset>
                      </wp:positionV>
                      <wp:extent cx="432435" cy="266065"/>
                      <wp:effectExtent l="4445" t="4445" r="5080" b="19050"/>
                      <wp:wrapNone/>
                      <wp:docPr id="48" name="矩形 49"/>
                      <wp:cNvGraphicFramePr/>
                      <a:graphic xmlns:a="http://schemas.openxmlformats.org/drawingml/2006/main">
                        <a:graphicData uri="http://schemas.microsoft.com/office/word/2010/wordprocessingShape">
                          <wps:wsp>
                            <wps:cNvSpPr/>
                            <wps:spPr>
                              <a:xfrm>
                                <a:off x="0" y="0"/>
                                <a:ext cx="432435" cy="266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放样</w:t>
                                  </w:r>
                                </w:p>
                              </w:txbxContent>
                            </wps:txbx>
                            <wps:bodyPr lIns="0" tIns="18000" rIns="0" bIns="18000" upright="true"/>
                          </wps:wsp>
                        </a:graphicData>
                      </a:graphic>
                    </wp:anchor>
                  </w:drawing>
                </mc:Choice>
                <mc:Fallback>
                  <w:pict>
                    <v:rect id="矩形 49" o:spid="_x0000_s1026" o:spt="1" style="position:absolute;left:0pt;margin-left:81.95pt;margin-top:19.8pt;height:20.95pt;width:34.05pt;z-index:251695104;mso-width-relative:page;mso-height-relative:page;" fillcolor="#FFFFFF" filled="t" stroked="t" coordsize="21600,21600" o:gfxdata="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OwqD/2QAAAAkBAAAP&#10;AAAAAAAAAAEAIAAAADgAAABkcnMvZG93bnJldi54bWxQSwECFAAUAAAACACHTuJAjubQiQECAAAZ&#10;BAAADgAAAAAAAAABACAAAAA+AQAAZHJzL2Uyb0RvYy54bWxQSwUGAAAAAAYABgBZAQAAsQUAAAAA&#10;">
                      <v:fill on="t" focussize="0,0"/>
                      <v:stroke color="#000000" joinstyle="miter"/>
                      <v:imagedata o:title=""/>
                      <o:lock v:ext="edit" aspectratio="f"/>
                      <v:textbox inset="0mm,0.5mm,0mm,0.5mm">
                        <w:txbxContent>
                          <w:p>
                            <w:pPr>
                              <w:jc w:val="center"/>
                            </w:pPr>
                            <w:r>
                              <w:rPr>
                                <w:rFonts w:hint="eastAsia"/>
                              </w:rPr>
                              <w:t>放样</w:t>
                            </w:r>
                          </w:p>
                        </w:txbxContent>
                      </v:textbox>
                    </v:rect>
                  </w:pict>
                </mc:Fallback>
              </mc:AlternateContent>
            </w:r>
            <w:r>
              <w:rPr>
                <w:b/>
                <w:sz w:val="24"/>
                <w:szCs w:val="24"/>
              </w:rPr>
              <mc:AlternateContent>
                <mc:Choice Requires="wps">
                  <w:drawing>
                    <wp:anchor distT="0" distB="0" distL="114300" distR="114300" simplePos="0" relativeHeight="251701248" behindDoc="0" locked="0" layoutInCell="1" allowOverlap="1">
                      <wp:simplePos x="0" y="0"/>
                      <wp:positionH relativeFrom="column">
                        <wp:posOffset>1501775</wp:posOffset>
                      </wp:positionH>
                      <wp:positionV relativeFrom="paragraph">
                        <wp:posOffset>388620</wp:posOffset>
                      </wp:positionV>
                      <wp:extent cx="252095" cy="635"/>
                      <wp:effectExtent l="0" t="38100" r="6985" b="37465"/>
                      <wp:wrapNone/>
                      <wp:docPr id="54" name="直线 50"/>
                      <wp:cNvGraphicFramePr/>
                      <a:graphic xmlns:a="http://schemas.openxmlformats.org/drawingml/2006/main">
                        <a:graphicData uri="http://schemas.microsoft.com/office/word/2010/wordprocessingShape">
                          <wps:wsp>
                            <wps:cNvCnPr/>
                            <wps:spPr>
                              <a:xfrm flipV="true">
                                <a:off x="0" y="0"/>
                                <a:ext cx="25209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50" o:spid="_x0000_s1026" o:spt="20" style="position:absolute;left:0pt;flip:y;margin-left:118.25pt;margin-top:30.6pt;height:0.05pt;width:19.85pt;z-index:251701248;mso-width-relative:page;mso-height-relative:page;" filled="f" stroked="t" coordsize="21600,21600" o:gfxdata="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vxLEf2QAAAAkBAAAPAAAAAAAAAAEAIAAAADgAAABkcnMvZG93bnJldi54&#10;bWxQSwECFAAUAAAACACHTuJAB4WKkuMBAACyAwAADgAAAAAAAAABACAAAAA+AQAAZHJzL2Uyb0Rv&#10;Yy54bWxQSwUGAAAAAAYABgBZAQAAkwU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702272" behindDoc="0" locked="0" layoutInCell="1" allowOverlap="1">
                      <wp:simplePos x="0" y="0"/>
                      <wp:positionH relativeFrom="column">
                        <wp:posOffset>2178050</wp:posOffset>
                      </wp:positionH>
                      <wp:positionV relativeFrom="paragraph">
                        <wp:posOffset>388620</wp:posOffset>
                      </wp:positionV>
                      <wp:extent cx="252095" cy="635"/>
                      <wp:effectExtent l="0" t="38100" r="6985" b="37465"/>
                      <wp:wrapNone/>
                      <wp:docPr id="55" name="直线 52"/>
                      <wp:cNvGraphicFramePr/>
                      <a:graphic xmlns:a="http://schemas.openxmlformats.org/drawingml/2006/main">
                        <a:graphicData uri="http://schemas.microsoft.com/office/word/2010/wordprocessingShape">
                          <wps:wsp>
                            <wps:cNvCnPr/>
                            <wps:spPr>
                              <a:xfrm flipV="true">
                                <a:off x="0" y="0"/>
                                <a:ext cx="25209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52" o:spid="_x0000_s1026" o:spt="20" style="position:absolute;left:0pt;flip:y;margin-left:171.5pt;margin-top:30.6pt;height:0.05pt;width:19.85pt;z-index:251702272;mso-width-relative:page;mso-height-relative:page;" filled="f" stroked="t" coordsize="21600,21600" o:gfxdata="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A+tB52gAAAAkBAAAPAAAAAAAAAAEAIAAAADgAAABkcnMvZG93bnJldi54&#10;bWxQSwECFAAUAAAACACHTuJACXO3T+IBAACyAwAADgAAAAAAAAABACAAAAA/AQAAZHJzL2Uyb0Rv&#10;Yy54bWxQSwUGAAAAAAYABgBZAQAAkwUAAAAA&#10;">
                      <v:fill on="f" focussize="0,0"/>
                      <v:stroke color="#000000" joinstyle="round" endarrow="block"/>
                      <v:imagedata o:title=""/>
                      <o:lock v:ext="edit" aspectratio="f"/>
                    </v:line>
                  </w:pict>
                </mc:Fallback>
              </mc:AlternateContent>
            </w:r>
          </w:p>
          <w:p>
            <w:pPr>
              <w:spacing w:afterLines="50" w:line="520" w:lineRule="exact"/>
              <w:ind w:firstLine="472" w:firstLineChars="200"/>
              <w:rPr>
                <w:color w:val="FF0000"/>
                <w:sz w:val="26"/>
                <w:szCs w:val="26"/>
              </w:rPr>
            </w:pPr>
            <w:r>
              <w:rPr>
                <w:b/>
                <w:sz w:val="24"/>
                <w:szCs w:val="24"/>
              </w:rPr>
              <mc:AlternateContent>
                <mc:Choice Requires="wps">
                  <w:drawing>
                    <wp:anchor distT="0" distB="0" distL="114300" distR="114300" simplePos="0" relativeHeight="251708416" behindDoc="0" locked="0" layoutInCell="1" allowOverlap="1">
                      <wp:simplePos x="0" y="0"/>
                      <wp:positionH relativeFrom="column">
                        <wp:posOffset>3288665</wp:posOffset>
                      </wp:positionH>
                      <wp:positionV relativeFrom="paragraph">
                        <wp:posOffset>136525</wp:posOffset>
                      </wp:positionV>
                      <wp:extent cx="594360" cy="237490"/>
                      <wp:effectExtent l="0" t="0" r="0" b="0"/>
                      <wp:wrapNone/>
                      <wp:docPr id="61" name="矩形 54"/>
                      <wp:cNvGraphicFramePr/>
                      <a:graphic xmlns:a="http://schemas.openxmlformats.org/drawingml/2006/main">
                        <a:graphicData uri="http://schemas.microsoft.com/office/word/2010/wordprocessingShape">
                          <wps:wsp>
                            <wps:cNvSpPr/>
                            <wps:spPr>
                              <a:xfrm>
                                <a:off x="0" y="0"/>
                                <a:ext cx="594360" cy="237490"/>
                              </a:xfrm>
                              <a:prstGeom prst="rect">
                                <a:avLst/>
                              </a:prstGeom>
                              <a:noFill/>
                              <a:ln>
                                <a:noFill/>
                              </a:ln>
                              <a:effectLst/>
                            </wps:spPr>
                            <wps:txbx>
                              <w:txbxContent>
                                <w:p>
                                  <w:pPr>
                                    <w:jc w:val="center"/>
                                  </w:pPr>
                                  <w:r>
                                    <w:rPr>
                                      <w:rFonts w:hint="eastAsia"/>
                                    </w:rPr>
                                    <w:t>G S N</w:t>
                                  </w:r>
                                </w:p>
                              </w:txbxContent>
                            </wps:txbx>
                            <wps:bodyPr lIns="0" tIns="18000" rIns="0" bIns="18000" upright="true"/>
                          </wps:wsp>
                        </a:graphicData>
                      </a:graphic>
                    </wp:anchor>
                  </w:drawing>
                </mc:Choice>
                <mc:Fallback>
                  <w:pict>
                    <v:rect id="矩形 54" o:spid="_x0000_s1026" o:spt="1" style="position:absolute;left:0pt;margin-left:258.95pt;margin-top:10.75pt;height:18.7pt;width:46.8pt;z-index:251708416;mso-width-relative:page;mso-height-relative:page;" filled="f" stroked="f" coordsize="21600,21600" o:gfxdata="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nOTejZAAAACQEAAA8AAAAAAAAAAQAgAAAAOAAAAGRycy9kb3ducmV2LnhtbFBLAQIU&#10;ABQAAAAIAIdO4kAmm42EowEAADEDAAAOAAAAAAAAAAEAIAAAAD4BAABkcnMvZTJvRG9jLnhtbFBL&#10;BQYAAAAABgAGAFkBAABTBQAAAAA=&#10;">
                      <v:fill on="f" focussize="0,0"/>
                      <v:stroke on="f"/>
                      <v:imagedata o:title=""/>
                      <o:lock v:ext="edit" aspectratio="f"/>
                      <v:textbox inset="0mm,0.5mm,0mm,0.5mm">
                        <w:txbxContent>
                          <w:p>
                            <w:pPr>
                              <w:jc w:val="center"/>
                            </w:pPr>
                            <w:r>
                              <w:rPr>
                                <w:rFonts w:hint="eastAsia"/>
                              </w:rPr>
                              <w:t>G S N</w:t>
                            </w:r>
                          </w:p>
                        </w:txbxContent>
                      </v:textbox>
                    </v:rect>
                  </w:pict>
                </mc:Fallback>
              </mc:AlternateContent>
            </w:r>
            <w:r>
              <w:rPr>
                <w:b/>
                <w:sz w:val="24"/>
                <w:szCs w:val="24"/>
              </w:rPr>
              <mc:AlternateContent>
                <mc:Choice Requires="wps">
                  <w:drawing>
                    <wp:anchor distT="0" distB="0" distL="114300" distR="114300" simplePos="0" relativeHeight="251712512" behindDoc="0" locked="0" layoutInCell="1" allowOverlap="1">
                      <wp:simplePos x="0" y="0"/>
                      <wp:positionH relativeFrom="column">
                        <wp:posOffset>2412365</wp:posOffset>
                      </wp:positionH>
                      <wp:positionV relativeFrom="paragraph">
                        <wp:posOffset>153035</wp:posOffset>
                      </wp:positionV>
                      <wp:extent cx="594360" cy="237490"/>
                      <wp:effectExtent l="0" t="0" r="0" b="0"/>
                      <wp:wrapNone/>
                      <wp:docPr id="65" name="矩形 69"/>
                      <wp:cNvGraphicFramePr/>
                      <a:graphic xmlns:a="http://schemas.openxmlformats.org/drawingml/2006/main">
                        <a:graphicData uri="http://schemas.microsoft.com/office/word/2010/wordprocessingShape">
                          <wps:wsp>
                            <wps:cNvSpPr/>
                            <wps:spPr>
                              <a:xfrm>
                                <a:off x="0" y="0"/>
                                <a:ext cx="594360" cy="237490"/>
                              </a:xfrm>
                              <a:prstGeom prst="rect">
                                <a:avLst/>
                              </a:prstGeom>
                              <a:noFill/>
                              <a:ln>
                                <a:noFill/>
                              </a:ln>
                              <a:effectLst/>
                            </wps:spPr>
                            <wps:txbx>
                              <w:txbxContent>
                                <w:p>
                                  <w:pPr>
                                    <w:jc w:val="center"/>
                                  </w:pPr>
                                  <w:r>
                                    <w:rPr>
                                      <w:rFonts w:hint="eastAsia"/>
                                    </w:rPr>
                                    <w:t>G S N</w:t>
                                  </w:r>
                                </w:p>
                              </w:txbxContent>
                            </wps:txbx>
                            <wps:bodyPr lIns="0" tIns="18000" rIns="0" bIns="18000" upright="true"/>
                          </wps:wsp>
                        </a:graphicData>
                      </a:graphic>
                    </wp:anchor>
                  </w:drawing>
                </mc:Choice>
                <mc:Fallback>
                  <w:pict>
                    <v:rect id="矩形 69" o:spid="_x0000_s1026" o:spt="1" style="position:absolute;left:0pt;margin-left:189.95pt;margin-top:12.05pt;height:18.7pt;width:46.8pt;z-index:251712512;mso-width-relative:page;mso-height-relative:page;" filled="f" stroked="f" coordsize="21600,21600" o:gfxdata="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IrNo9sAAAAJAQAADwAAAAAAAAABACAAAAA4AAAAZHJzL2Rvd25yZXYueG1sUEsB&#10;AhQAFAAAAAgAh07iQGEydKmjAQAAMQMAAA4AAAAAAAAAAQAgAAAAQAEAAGRycy9lMm9Eb2MueG1s&#10;UEsFBgAAAAAGAAYAWQEAAFUFAAAAAA==&#10;">
                      <v:fill on="f" focussize="0,0"/>
                      <v:stroke on="f"/>
                      <v:imagedata o:title=""/>
                      <o:lock v:ext="edit" aspectratio="f"/>
                      <v:textbox inset="0mm,0.5mm,0mm,0.5mm">
                        <w:txbxContent>
                          <w:p>
                            <w:pPr>
                              <w:jc w:val="center"/>
                            </w:pPr>
                            <w:r>
                              <w:rPr>
                                <w:rFonts w:hint="eastAsia"/>
                              </w:rPr>
                              <w:t>G S N</w:t>
                            </w:r>
                          </w:p>
                        </w:txbxContent>
                      </v:textbox>
                    </v:rect>
                  </w:pict>
                </mc:Fallback>
              </mc:AlternateContent>
            </w:r>
            <w:r>
              <w:rPr>
                <w:b/>
                <w:sz w:val="24"/>
                <w:szCs w:val="24"/>
              </w:rPr>
              <mc:AlternateContent>
                <mc:Choice Requires="wps">
                  <w:drawing>
                    <wp:anchor distT="0" distB="0" distL="114300" distR="114300" simplePos="0" relativeHeight="251719680" behindDoc="0" locked="0" layoutInCell="1" allowOverlap="1">
                      <wp:simplePos x="0" y="0"/>
                      <wp:positionH relativeFrom="column">
                        <wp:posOffset>2654300</wp:posOffset>
                      </wp:positionH>
                      <wp:positionV relativeFrom="paragraph">
                        <wp:posOffset>375920</wp:posOffset>
                      </wp:positionV>
                      <wp:extent cx="4445" cy="219710"/>
                      <wp:effectExtent l="34925" t="0" r="36830" b="8890"/>
                      <wp:wrapNone/>
                      <wp:docPr id="72" name="直线 78"/>
                      <wp:cNvGraphicFramePr/>
                      <a:graphic xmlns:a="http://schemas.openxmlformats.org/drawingml/2006/main">
                        <a:graphicData uri="http://schemas.microsoft.com/office/word/2010/wordprocessingShape">
                          <wps:wsp>
                            <wps:cNvCnPr/>
                            <wps:spPr>
                              <a:xfrm flipV="true">
                                <a:off x="0" y="0"/>
                                <a:ext cx="4445" cy="2197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8" o:spid="_x0000_s1026" o:spt="20" style="position:absolute;left:0pt;flip:y;margin-left:209pt;margin-top:29.6pt;height:17.3pt;width:0.35pt;z-index:251719680;mso-width-relative:page;mso-height-relative:page;" filled="f" stroked="t" coordsize="21600,21600" o:gfxdata="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IvQk11gAAAAkBAAAPAAAAAAAAAAEAIAAAADgAAABkcnMvZG93bnJl&#10;di54bWxQSwECFAAUAAAACACHTuJAVQDngukBAACyAwAADgAAAAAAAAABACAAAAA7AQAAZHJzL2Uy&#10;b0RvYy54bWxQSwUGAAAAAAYABgBZAQAAlgU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718656" behindDoc="0" locked="0" layoutInCell="1" allowOverlap="1">
                      <wp:simplePos x="0" y="0"/>
                      <wp:positionH relativeFrom="column">
                        <wp:posOffset>3559175</wp:posOffset>
                      </wp:positionH>
                      <wp:positionV relativeFrom="paragraph">
                        <wp:posOffset>375920</wp:posOffset>
                      </wp:positionV>
                      <wp:extent cx="4445" cy="219710"/>
                      <wp:effectExtent l="34925" t="0" r="36830" b="8890"/>
                      <wp:wrapNone/>
                      <wp:docPr id="71" name="直线 76"/>
                      <wp:cNvGraphicFramePr/>
                      <a:graphic xmlns:a="http://schemas.openxmlformats.org/drawingml/2006/main">
                        <a:graphicData uri="http://schemas.microsoft.com/office/word/2010/wordprocessingShape">
                          <wps:wsp>
                            <wps:cNvCnPr/>
                            <wps:spPr>
                              <a:xfrm flipV="true">
                                <a:off x="0" y="0"/>
                                <a:ext cx="4445" cy="2197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6" o:spid="_x0000_s1026" o:spt="20" style="position:absolute;left:0pt;flip:y;margin-left:280.25pt;margin-top:29.6pt;height:17.3pt;width:0.35pt;z-index:251718656;mso-width-relative:page;mso-height-relative:page;" filled="f" stroked="t" coordsize="21600,21600" o:gfxdata="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HXCq9cAAAAJAQAADwAAAAAAAAABACAAAAA4AAAAZHJzL2Rvd25y&#10;ZXYueG1sUEsBAhQAFAAAAAgAh07iQOYTE5XpAQAAsgMAAA4AAAAAAAAAAQAgAAAAPAEAAGRycy9l&#10;Mm9Eb2MueG1sUEsFBgAAAAAGAAYAWQEAAJcFA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717632" behindDoc="0" locked="0" layoutInCell="1" allowOverlap="1">
                      <wp:simplePos x="0" y="0"/>
                      <wp:positionH relativeFrom="column">
                        <wp:posOffset>4283075</wp:posOffset>
                      </wp:positionH>
                      <wp:positionV relativeFrom="paragraph">
                        <wp:posOffset>356870</wp:posOffset>
                      </wp:positionV>
                      <wp:extent cx="4445" cy="219710"/>
                      <wp:effectExtent l="34925" t="0" r="36830" b="8890"/>
                      <wp:wrapNone/>
                      <wp:docPr id="70" name="直线 75"/>
                      <wp:cNvGraphicFramePr/>
                      <a:graphic xmlns:a="http://schemas.openxmlformats.org/drawingml/2006/main">
                        <a:graphicData uri="http://schemas.microsoft.com/office/word/2010/wordprocessingShape">
                          <wps:wsp>
                            <wps:cNvCnPr/>
                            <wps:spPr>
                              <a:xfrm flipV="true">
                                <a:off x="0" y="0"/>
                                <a:ext cx="4445" cy="2197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5" o:spid="_x0000_s1026" o:spt="20" style="position:absolute;left:0pt;flip:y;margin-left:337.25pt;margin-top:28.1pt;height:17.3pt;width:0.35pt;z-index:251717632;mso-width-relative:page;mso-height-relative:page;" filled="f" stroked="t" coordsize="21600,21600" o:gfxdata="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w2Qfq2AAAAAkBAAAPAAAAAAAAAAEAIAAAADgAAABkcnMvZG93bnJl&#10;di54bWxQSwECFAAUAAAACACHTuJAFIRWXecBAACyAwAADgAAAAAAAAABACAAAAA9AQAAZHJzL2Uy&#10;b0RvYy54bWxQSwUGAAAAAAYABgBZAQAAlgU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716608" behindDoc="0" locked="0" layoutInCell="1" allowOverlap="1">
                      <wp:simplePos x="0" y="0"/>
                      <wp:positionH relativeFrom="column">
                        <wp:posOffset>4959350</wp:posOffset>
                      </wp:positionH>
                      <wp:positionV relativeFrom="paragraph">
                        <wp:posOffset>347345</wp:posOffset>
                      </wp:positionV>
                      <wp:extent cx="4445" cy="219710"/>
                      <wp:effectExtent l="34925" t="0" r="36830" b="8890"/>
                      <wp:wrapNone/>
                      <wp:docPr id="69" name="直线 73"/>
                      <wp:cNvGraphicFramePr/>
                      <a:graphic xmlns:a="http://schemas.openxmlformats.org/drawingml/2006/main">
                        <a:graphicData uri="http://schemas.microsoft.com/office/word/2010/wordprocessingShape">
                          <wps:wsp>
                            <wps:cNvCnPr/>
                            <wps:spPr>
                              <a:xfrm flipV="true">
                                <a:off x="0" y="0"/>
                                <a:ext cx="4445" cy="219710"/>
                              </a:xfrm>
                              <a:prstGeom prst="line">
                                <a:avLst/>
                              </a:prstGeom>
                              <a:ln w="9525" cap="flat" cmpd="sng">
                                <a:solidFill>
                                  <a:srgbClr val="000000"/>
                                </a:solidFill>
                                <a:prstDash val="dash"/>
                                <a:headEnd type="none" w="med" len="med"/>
                                <a:tailEnd type="triangle" w="med" len="med"/>
                              </a:ln>
                              <a:effectLst/>
                            </wps:spPr>
                            <wps:bodyPr upright="true"/>
                          </wps:wsp>
                        </a:graphicData>
                      </a:graphic>
                    </wp:anchor>
                  </w:drawing>
                </mc:Choice>
                <mc:Fallback>
                  <w:pict>
                    <v:line id="直线 73" o:spid="_x0000_s1026" o:spt="20" style="position:absolute;left:0pt;flip:y;margin-left:390.5pt;margin-top:27.35pt;height:17.3pt;width:0.35pt;z-index:251716608;mso-width-relative:page;mso-height-relative:page;" filled="f" stroked="t" coordsize="21600,21600" o:gfxdata="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mboftcAAAAJAQAADwAAAAAAAAABACAAAAA4AAAAZHJzL2Rvd25y&#10;ZXYueG1sUEsBAhQAFAAAAAgAh07iQELZDlLpAQAAsgMAAA4AAAAAAAAAAQAgAAAAPAEAAGRycy9l&#10;Mm9Eb2MueG1sUEsFBgAAAAAGAAYAWQEAAJcFAAAAAA==&#10;">
                      <v:fill on="f" focussize="0,0"/>
                      <v:stroke color="#000000" joinstyle="round" dashstyle="dash" endarrow="block"/>
                      <v:imagedata o:title=""/>
                      <o:lock v:ext="edit" aspectratio="f"/>
                    </v:line>
                  </w:pict>
                </mc:Fallback>
              </mc:AlternateContent>
            </w:r>
            <w:r>
              <w:rPr>
                <w:b/>
                <w:sz w:val="24"/>
                <w:szCs w:val="24"/>
              </w:rPr>
              <mc:AlternateContent>
                <mc:Choice Requires="wps">
                  <w:drawing>
                    <wp:anchor distT="0" distB="0" distL="114300" distR="114300" simplePos="0" relativeHeight="251693056" behindDoc="0" locked="0" layoutInCell="1" allowOverlap="1">
                      <wp:simplePos x="0" y="0"/>
                      <wp:positionH relativeFrom="column">
                        <wp:posOffset>4012565</wp:posOffset>
                      </wp:positionH>
                      <wp:positionV relativeFrom="paragraph">
                        <wp:posOffset>148590</wp:posOffset>
                      </wp:positionV>
                      <wp:extent cx="594360" cy="237490"/>
                      <wp:effectExtent l="0" t="0" r="0" b="0"/>
                      <wp:wrapNone/>
                      <wp:docPr id="46" name="矩形 53"/>
                      <wp:cNvGraphicFramePr/>
                      <a:graphic xmlns:a="http://schemas.openxmlformats.org/drawingml/2006/main">
                        <a:graphicData uri="http://schemas.microsoft.com/office/word/2010/wordprocessingShape">
                          <wps:wsp>
                            <wps:cNvSpPr/>
                            <wps:spPr>
                              <a:xfrm>
                                <a:off x="0" y="0"/>
                                <a:ext cx="594360" cy="237490"/>
                              </a:xfrm>
                              <a:prstGeom prst="rect">
                                <a:avLst/>
                              </a:prstGeom>
                              <a:noFill/>
                              <a:ln>
                                <a:noFill/>
                              </a:ln>
                              <a:effectLst/>
                            </wps:spPr>
                            <wps:txbx>
                              <w:txbxContent>
                                <w:p>
                                  <w:pPr>
                                    <w:jc w:val="center"/>
                                  </w:pPr>
                                  <w:r>
                                    <w:rPr>
                                      <w:rFonts w:hint="eastAsia"/>
                                    </w:rPr>
                                    <w:t>G S N</w:t>
                                  </w:r>
                                </w:p>
                              </w:txbxContent>
                            </wps:txbx>
                            <wps:bodyPr lIns="0" tIns="18000" rIns="0" bIns="18000" upright="true"/>
                          </wps:wsp>
                        </a:graphicData>
                      </a:graphic>
                    </wp:anchor>
                  </w:drawing>
                </mc:Choice>
                <mc:Fallback>
                  <w:pict>
                    <v:rect id="矩形 53" o:spid="_x0000_s1026" o:spt="1" style="position:absolute;left:0pt;margin-left:315.95pt;margin-top:11.7pt;height:18.7pt;width:46.8pt;z-index:251693056;mso-width-relative:page;mso-height-relative:page;" filled="f" stroked="f" coordsize="21600,21600" o:gfxdata="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ZTboy2gAAAAkBAAAPAAAAAAAAAAEAIAAAADgAAABkcnMvZG93bnJldi54bWxQSwEC&#10;FAAUAAAACACHTuJA4SfMaKMBAAAxAwAADgAAAAAAAAABACAAAAA/AQAAZHJzL2Uyb0RvYy54bWxQ&#10;SwUGAAAAAAYABgBZAQAAVAUAAAAA&#10;">
                      <v:fill on="f" focussize="0,0"/>
                      <v:stroke on="f"/>
                      <v:imagedata o:title=""/>
                      <o:lock v:ext="edit" aspectratio="f"/>
                      <v:textbox inset="0mm,0.5mm,0mm,0.5mm">
                        <w:txbxContent>
                          <w:p>
                            <w:pPr>
                              <w:jc w:val="center"/>
                            </w:pPr>
                            <w:r>
                              <w:rPr>
                                <w:rFonts w:hint="eastAsia"/>
                              </w:rPr>
                              <w:t>G S N</w:t>
                            </w:r>
                          </w:p>
                        </w:txbxContent>
                      </v:textbox>
                    </v:rect>
                  </w:pict>
                </mc:Fallback>
              </mc:AlternateContent>
            </w:r>
            <w:r>
              <w:rPr>
                <w:b/>
                <w:sz w:val="24"/>
                <w:szCs w:val="24"/>
              </w:rPr>
              <mc:AlternateContent>
                <mc:Choice Requires="wps">
                  <w:drawing>
                    <wp:anchor distT="0" distB="0" distL="114300" distR="114300" simplePos="0" relativeHeight="251692032" behindDoc="0" locked="0" layoutInCell="1" allowOverlap="1">
                      <wp:simplePos x="0" y="0"/>
                      <wp:positionH relativeFrom="column">
                        <wp:posOffset>4831715</wp:posOffset>
                      </wp:positionH>
                      <wp:positionV relativeFrom="paragraph">
                        <wp:posOffset>158115</wp:posOffset>
                      </wp:positionV>
                      <wp:extent cx="385445" cy="237490"/>
                      <wp:effectExtent l="0" t="0" r="0" b="0"/>
                      <wp:wrapNone/>
                      <wp:docPr id="45" name="矩形 55"/>
                      <wp:cNvGraphicFramePr/>
                      <a:graphic xmlns:a="http://schemas.openxmlformats.org/drawingml/2006/main">
                        <a:graphicData uri="http://schemas.microsoft.com/office/word/2010/wordprocessingShape">
                          <wps:wsp>
                            <wps:cNvSpPr/>
                            <wps:spPr>
                              <a:xfrm>
                                <a:off x="0" y="0"/>
                                <a:ext cx="385445" cy="237490"/>
                              </a:xfrm>
                              <a:prstGeom prst="rect">
                                <a:avLst/>
                              </a:prstGeom>
                              <a:noFill/>
                              <a:ln>
                                <a:noFill/>
                              </a:ln>
                              <a:effectLst/>
                            </wps:spPr>
                            <wps:txbx>
                              <w:txbxContent>
                                <w:p>
                                  <w:r>
                                    <w:rPr>
                                      <w:rFonts w:hint="eastAsia"/>
                                    </w:rPr>
                                    <w:t xml:space="preserve"> N</w:t>
                                  </w:r>
                                </w:p>
                              </w:txbxContent>
                            </wps:txbx>
                            <wps:bodyPr lIns="0" tIns="18000" rIns="0" bIns="18000" upright="true"/>
                          </wps:wsp>
                        </a:graphicData>
                      </a:graphic>
                    </wp:anchor>
                  </w:drawing>
                </mc:Choice>
                <mc:Fallback>
                  <w:pict>
                    <v:rect id="矩形 55" o:spid="_x0000_s1026" o:spt="1" style="position:absolute;left:0pt;margin-left:380.45pt;margin-top:12.45pt;height:18.7pt;width:30.35pt;z-index:251692032;mso-width-relative:page;mso-height-relative:page;" filled="f" stroked="f" coordsize="21600,21600" o:gfxdata="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NKVxLaAAAACQEAAA8AAAAAAAAAAQAgAAAAOAAAAGRycy9kb3ducmV2LnhtbFBLAQIU&#10;ABQAAAAIAIdO4kDHfwvbogEAADEDAAAOAAAAAAAAAAEAIAAAAD8BAABkcnMvZTJvRG9jLnhtbFBL&#10;BQYAAAAABgAGAFkBAABTBQAAAAA=&#10;">
                      <v:fill on="f" focussize="0,0"/>
                      <v:stroke on="f"/>
                      <v:imagedata o:title=""/>
                      <o:lock v:ext="edit" aspectratio="f"/>
                      <v:textbox inset="0mm,0.5mm,0mm,0.5mm">
                        <w:txbxContent>
                          <w:p>
                            <w:r>
                              <w:rPr>
                                <w:rFonts w:hint="eastAsia"/>
                              </w:rPr>
                              <w:t xml:space="preserve"> N</w:t>
                            </w:r>
                          </w:p>
                        </w:txbxContent>
                      </v:textbox>
                    </v:rect>
                  </w:pict>
                </mc:Fallback>
              </mc:AlternateContent>
            </w:r>
            <w:r>
              <w:rPr>
                <w:b/>
                <w:sz w:val="24"/>
                <w:szCs w:val="24"/>
              </w:rPr>
              <mc:AlternateContent>
                <mc:Choice Requires="wps">
                  <w:drawing>
                    <wp:anchor distT="0" distB="0" distL="114300" distR="114300" simplePos="0" relativeHeight="251704320" behindDoc="0" locked="0" layoutInCell="1" allowOverlap="1">
                      <wp:simplePos x="0" y="0"/>
                      <wp:positionH relativeFrom="column">
                        <wp:posOffset>5064125</wp:posOffset>
                      </wp:positionH>
                      <wp:positionV relativeFrom="paragraph">
                        <wp:posOffset>112395</wp:posOffset>
                      </wp:positionV>
                      <wp:extent cx="5080" cy="466725"/>
                      <wp:effectExtent l="33655" t="0" r="37465" b="5715"/>
                      <wp:wrapNone/>
                      <wp:docPr id="57" name="直线 56"/>
                      <wp:cNvGraphicFramePr/>
                      <a:graphic xmlns:a="http://schemas.openxmlformats.org/drawingml/2006/main">
                        <a:graphicData uri="http://schemas.microsoft.com/office/word/2010/wordprocessingShape">
                          <wps:wsp>
                            <wps:cNvCnPr/>
                            <wps:spPr>
                              <a:xfrm>
                                <a:off x="0" y="0"/>
                                <a:ext cx="5080" cy="4667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56" o:spid="_x0000_s1026" o:spt="20" style="position:absolute;left:0pt;margin-left:398.75pt;margin-top:8.85pt;height:36.75pt;width:0.4pt;z-index:251704320;mso-width-relative:page;mso-height-relative:page;" filled="f" stroked="t" coordsize="21600,21600" o:gfxdata="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44TF9oAAAAJAQAADwAAAAAAAAABACAAAAA4AAAAZHJzL2Rvd25yZXYueG1sUEsB&#10;AhQAFAAAAAgAh07iQOabnNrdAQAApgMAAA4AAAAAAAAAAQAgAAAAPwEAAGRycy9lMm9Eb2MueG1s&#10;UEsFBgAAAAAGAAYAWQEAAI4FAAAAAA==&#10;">
                      <v:fill on="f" focussize="0,0"/>
                      <v:stroke color="#000000" joinstyle="round" endarrow="block"/>
                      <v:imagedata o:title=""/>
                      <o:lock v:ext="edit" aspectratio="f"/>
                    </v:line>
                  </w:pict>
                </mc:Fallback>
              </mc:AlternateContent>
            </w:r>
          </w:p>
          <w:p>
            <w:pPr>
              <w:spacing w:afterLines="50" w:line="520" w:lineRule="exact"/>
              <w:ind w:firstLine="472" w:firstLineChars="200"/>
              <w:rPr>
                <w:b/>
                <w:bCs/>
                <w:sz w:val="24"/>
                <w:szCs w:val="24"/>
              </w:rPr>
            </w:pPr>
            <w:r>
              <w:rPr>
                <w:b/>
                <w:sz w:val="24"/>
                <w:szCs w:val="24"/>
              </w:rPr>
              <mc:AlternateContent>
                <mc:Choice Requires="wps">
                  <w:drawing>
                    <wp:anchor distT="0" distB="0" distL="114300" distR="114300" simplePos="0" relativeHeight="251710464" behindDoc="0" locked="0" layoutInCell="1" allowOverlap="1">
                      <wp:simplePos x="0" y="0"/>
                      <wp:positionH relativeFrom="column">
                        <wp:posOffset>1555115</wp:posOffset>
                      </wp:positionH>
                      <wp:positionV relativeFrom="paragraph">
                        <wp:posOffset>146050</wp:posOffset>
                      </wp:positionV>
                      <wp:extent cx="410210" cy="267970"/>
                      <wp:effectExtent l="4445" t="4445" r="12065" b="17145"/>
                      <wp:wrapNone/>
                      <wp:docPr id="63" name="矩形 66"/>
                      <wp:cNvGraphicFramePr/>
                      <a:graphic xmlns:a="http://schemas.openxmlformats.org/drawingml/2006/main">
                        <a:graphicData uri="http://schemas.microsoft.com/office/word/2010/wordprocessingShape">
                          <wps:wsp>
                            <wps:cNvSpPr/>
                            <wps:spPr>
                              <a:xfrm>
                                <a:off x="0" y="0"/>
                                <a:ext cx="410210" cy="267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成品</w:t>
                                  </w:r>
                                </w:p>
                              </w:txbxContent>
                            </wps:txbx>
                            <wps:bodyPr lIns="36000" tIns="18000" rIns="36000" bIns="18000" upright="true"/>
                          </wps:wsp>
                        </a:graphicData>
                      </a:graphic>
                    </wp:anchor>
                  </w:drawing>
                </mc:Choice>
                <mc:Fallback>
                  <w:pict>
                    <v:rect id="矩形 66" o:spid="_x0000_s1026" o:spt="1" style="position:absolute;left:0pt;margin-left:122.45pt;margin-top:11.5pt;height:21.1pt;width:32.3pt;z-index:251710464;mso-width-relative:page;mso-height-relative:page;" fillcolor="#FFFFFF" filled="t" stroked="t" coordsize="21600,21600" o:gfxdata="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gG2SI2QAA&#10;AAkBAAAPAAAAAAAAAAEAIAAAADgAAABkcnMvZG93bnJldi54bWxQSwECFAAUAAAACACHTuJAFFvV&#10;cQcCAAAhBAAADgAAAAAAAAABACAAAAA+AQAAZHJzL2Uyb0RvYy54bWxQSwUGAAAAAAYABgBZAQAA&#10;twUAAAAA&#10;">
                      <v:fill on="t" focussize="0,0"/>
                      <v:stroke color="#000000" joinstyle="miter"/>
                      <v:imagedata o:title=""/>
                      <o:lock v:ext="edit" aspectratio="f"/>
                      <v:textbox inset="1mm,0.5mm,1mm,0.5mm">
                        <w:txbxContent>
                          <w:p>
                            <w:r>
                              <w:rPr>
                                <w:rFonts w:hint="eastAsia"/>
                              </w:rPr>
                              <w:t>成品</w:t>
                            </w:r>
                          </w:p>
                        </w:txbxContent>
                      </v:textbox>
                    </v:rect>
                  </w:pict>
                </mc:Fallback>
              </mc:AlternateContent>
            </w:r>
            <w:r>
              <w:rPr>
                <w:b/>
                <w:sz w:val="24"/>
                <w:szCs w:val="24"/>
              </w:rPr>
              <mc:AlternateContent>
                <mc:Choice Requires="wps">
                  <w:drawing>
                    <wp:anchor distT="0" distB="0" distL="114300" distR="114300" simplePos="0" relativeHeight="251711488" behindDoc="0" locked="0" layoutInCell="1" allowOverlap="1">
                      <wp:simplePos x="0" y="0"/>
                      <wp:positionH relativeFrom="column">
                        <wp:posOffset>1982470</wp:posOffset>
                      </wp:positionH>
                      <wp:positionV relativeFrom="paragraph">
                        <wp:posOffset>267970</wp:posOffset>
                      </wp:positionV>
                      <wp:extent cx="328930" cy="635"/>
                      <wp:effectExtent l="0" t="38100" r="6350" b="37465"/>
                      <wp:wrapNone/>
                      <wp:docPr id="64" name="直线 68"/>
                      <wp:cNvGraphicFramePr/>
                      <a:graphic xmlns:a="http://schemas.openxmlformats.org/drawingml/2006/main">
                        <a:graphicData uri="http://schemas.microsoft.com/office/word/2010/wordprocessingShape">
                          <wps:wsp>
                            <wps:cNvCnPr/>
                            <wps:spPr>
                              <a:xfrm flipH="true" flipV="true">
                                <a:off x="0" y="0"/>
                                <a:ext cx="328930"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68" o:spid="_x0000_s1026" o:spt="20" style="position:absolute;left:0pt;flip:x y;margin-left:156.1pt;margin-top:21.1pt;height:0.05pt;width:25.9pt;z-index:251711488;mso-width-relative:page;mso-height-relative:page;" filled="f" stroked="t" coordsize="21600,21600" o:gfxdata="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wJ1+NgAAAAJAQAADwAAAAAAAAABACAAAAA4AAAAZHJzL2Rv&#10;d25yZXYueG1sUEsBAhQAFAAAAAgAh07iQIjfzpjrAQAAvwMAAA4AAAAAAAAAAQAgAAAAPQEAAGRy&#10;cy9lMm9Eb2MueG1sUEsFBgAAAAAGAAYAWQEAAJoFA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686912" behindDoc="0" locked="0" layoutInCell="1" allowOverlap="1">
                      <wp:simplePos x="0" y="0"/>
                      <wp:positionH relativeFrom="column">
                        <wp:posOffset>2307590</wp:posOffset>
                      </wp:positionH>
                      <wp:positionV relativeFrom="paragraph">
                        <wp:posOffset>136525</wp:posOffset>
                      </wp:positionV>
                      <wp:extent cx="715010" cy="267970"/>
                      <wp:effectExtent l="4445" t="4445" r="12065" b="17145"/>
                      <wp:wrapNone/>
                      <wp:docPr id="27" name="矩形 57"/>
                      <wp:cNvGraphicFramePr/>
                      <a:graphic xmlns:a="http://schemas.openxmlformats.org/drawingml/2006/main">
                        <a:graphicData uri="http://schemas.microsoft.com/office/word/2010/wordprocessingShape">
                          <wps:wsp>
                            <wps:cNvSpPr/>
                            <wps:spPr>
                              <a:xfrm>
                                <a:off x="0" y="0"/>
                                <a:ext cx="715010" cy="267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喷漆、烘干</w:t>
                                  </w:r>
                                </w:p>
                              </w:txbxContent>
                            </wps:txbx>
                            <wps:bodyPr lIns="36000" tIns="18000" rIns="36000" bIns="18000" upright="true"/>
                          </wps:wsp>
                        </a:graphicData>
                      </a:graphic>
                    </wp:anchor>
                  </w:drawing>
                </mc:Choice>
                <mc:Fallback>
                  <w:pict>
                    <v:rect id="矩形 57" o:spid="_x0000_s1026" o:spt="1" style="position:absolute;left:0pt;margin-left:181.7pt;margin-top:10.75pt;height:21.1pt;width:56.3pt;z-index:251686912;mso-width-relative:page;mso-height-relative:page;" fillcolor="#FFFFFF" filled="t" stroked="t" coordsize="21600,21600" o:gfxdata="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VpEBRtkAAAAJ&#10;AQAADwAAAAAAAAABACAAAAA4AAAAZHJzL2Rvd25yZXYueG1sUEsBAhQAFAAAAAgAh07iQEDBqDAF&#10;AgAAIQQAAA4AAAAAAAAAAQAgAAAAPgEAAGRycy9lMm9Eb2MueG1sUEsFBgAAAAAGAAYAWQEAALUF&#10;AAAAAA==&#10;">
                      <v:fill on="t" focussize="0,0"/>
                      <v:stroke color="#000000" joinstyle="miter"/>
                      <v:imagedata o:title=""/>
                      <o:lock v:ext="edit" aspectratio="f"/>
                      <v:textbox inset="1mm,0.5mm,1mm,0.5mm">
                        <w:txbxContent>
                          <w:p>
                            <w:r>
                              <w:rPr>
                                <w:rFonts w:hint="eastAsia"/>
                              </w:rPr>
                              <w:t>喷漆、烘干</w:t>
                            </w:r>
                          </w:p>
                        </w:txbxContent>
                      </v:textbox>
                    </v:rect>
                  </w:pict>
                </mc:Fallback>
              </mc:AlternateContent>
            </w:r>
            <w:r>
              <w:rPr>
                <w:b/>
                <w:sz w:val="24"/>
                <w:szCs w:val="24"/>
              </w:rPr>
              <mc:AlternateContent>
                <mc:Choice Requires="wps">
                  <w:drawing>
                    <wp:anchor distT="0" distB="0" distL="114300" distR="114300" simplePos="0" relativeHeight="251689984" behindDoc="0" locked="0" layoutInCell="1" allowOverlap="1">
                      <wp:simplePos x="0" y="0"/>
                      <wp:positionH relativeFrom="column">
                        <wp:posOffset>3754120</wp:posOffset>
                      </wp:positionH>
                      <wp:positionV relativeFrom="paragraph">
                        <wp:posOffset>258445</wp:posOffset>
                      </wp:positionV>
                      <wp:extent cx="328930" cy="635"/>
                      <wp:effectExtent l="0" t="38100" r="6350" b="37465"/>
                      <wp:wrapNone/>
                      <wp:docPr id="30" name="直线 58"/>
                      <wp:cNvGraphicFramePr/>
                      <a:graphic xmlns:a="http://schemas.openxmlformats.org/drawingml/2006/main">
                        <a:graphicData uri="http://schemas.microsoft.com/office/word/2010/wordprocessingShape">
                          <wps:wsp>
                            <wps:cNvCnPr/>
                            <wps:spPr>
                              <a:xfrm flipH="true" flipV="true">
                                <a:off x="0" y="0"/>
                                <a:ext cx="328930"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58" o:spid="_x0000_s1026" o:spt="20" style="position:absolute;left:0pt;flip:x y;margin-left:295.6pt;margin-top:20.35pt;height:0.05pt;width:25.9pt;z-index:251689984;mso-width-relative:page;mso-height-relative:page;" filled="f" stroked="t" coordsize="21600,21600" o:gfxdata="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h9ho72AAAAAkBAAAPAAAAAAAAAAEAIAAAADgAAABkcnMvZG93&#10;bnJldi54bWxQSwECFAAUAAAACACHTuJAR4bmPeoBAAC/AwAADgAAAAAAAAABACAAAAA9AQAAZHJz&#10;L2Uyb0RvYy54bWxQSwUGAAAAAAYABgBZAQAAmQU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688960" behindDoc="0" locked="0" layoutInCell="1" allowOverlap="1">
                      <wp:simplePos x="0" y="0"/>
                      <wp:positionH relativeFrom="column">
                        <wp:posOffset>3030220</wp:posOffset>
                      </wp:positionH>
                      <wp:positionV relativeFrom="paragraph">
                        <wp:posOffset>267970</wp:posOffset>
                      </wp:positionV>
                      <wp:extent cx="328930" cy="635"/>
                      <wp:effectExtent l="0" t="38100" r="6350" b="37465"/>
                      <wp:wrapNone/>
                      <wp:docPr id="29" name="直线 59"/>
                      <wp:cNvGraphicFramePr/>
                      <a:graphic xmlns:a="http://schemas.openxmlformats.org/drawingml/2006/main">
                        <a:graphicData uri="http://schemas.microsoft.com/office/word/2010/wordprocessingShape">
                          <wps:wsp>
                            <wps:cNvCnPr/>
                            <wps:spPr>
                              <a:xfrm flipH="true" flipV="true">
                                <a:off x="0" y="0"/>
                                <a:ext cx="328930"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59" o:spid="_x0000_s1026" o:spt="20" style="position:absolute;left:0pt;flip:x y;margin-left:238.6pt;margin-top:21.1pt;height:0.05pt;width:25.9pt;z-index:251688960;mso-width-relative:page;mso-height-relative:page;" filled="f" stroked="t" coordsize="21600,21600" o:gfxdata="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SETctgAAAAJAQAADwAAAAAAAAABACAAAAA4AAAAZHJzL2Rv&#10;d25yZXYueG1sUEsBAhQAFAAAAAgAh07iQAzxwrLrAQAAvwMAAA4AAAAAAAAAAQAgAAAAPQEAAGRy&#10;cy9lMm9Eb2MueG1sUEsFBgAAAAAGAAYAWQEAAJoFA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685888" behindDoc="0" locked="0" layoutInCell="1" allowOverlap="1">
                      <wp:simplePos x="0" y="0"/>
                      <wp:positionH relativeFrom="column">
                        <wp:posOffset>3345815</wp:posOffset>
                      </wp:positionH>
                      <wp:positionV relativeFrom="paragraph">
                        <wp:posOffset>136525</wp:posOffset>
                      </wp:positionV>
                      <wp:extent cx="410210" cy="267970"/>
                      <wp:effectExtent l="4445" t="4445" r="12065" b="17145"/>
                      <wp:wrapNone/>
                      <wp:docPr id="26" name="矩形 60"/>
                      <wp:cNvGraphicFramePr/>
                      <a:graphic xmlns:a="http://schemas.openxmlformats.org/drawingml/2006/main">
                        <a:graphicData uri="http://schemas.microsoft.com/office/word/2010/wordprocessingShape">
                          <wps:wsp>
                            <wps:cNvSpPr/>
                            <wps:spPr>
                              <a:xfrm>
                                <a:off x="0" y="0"/>
                                <a:ext cx="410210" cy="267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抛丸</w:t>
                                  </w:r>
                                </w:p>
                              </w:txbxContent>
                            </wps:txbx>
                            <wps:bodyPr lIns="36000" tIns="18000" rIns="36000" bIns="18000" upright="true"/>
                          </wps:wsp>
                        </a:graphicData>
                      </a:graphic>
                    </wp:anchor>
                  </w:drawing>
                </mc:Choice>
                <mc:Fallback>
                  <w:pict>
                    <v:rect id="矩形 60" o:spid="_x0000_s1026" o:spt="1" style="position:absolute;left:0pt;margin-left:263.45pt;margin-top:10.75pt;height:21.1pt;width:32.3pt;z-index:251685888;mso-width-relative:page;mso-height-relative:page;" fillcolor="#FFFFFF" filled="t" stroked="t" coordsize="21600,21600" o:gfxdata="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QuzY7YAAAACQEA&#10;AA8AAAAAAAAAAQAgAAAAOAAAAGRycy9kb3ducmV2LnhtbFBLAQIUABQAAAAIAIdO4kAGMUBBBAIA&#10;ACEEAAAOAAAAAAAAAAEAIAAAAD0BAABkcnMvZTJvRG9jLnhtbFBLBQYAAAAABgAGAFkBAACzBQAA&#10;AAA=&#10;">
                      <v:fill on="t" focussize="0,0"/>
                      <v:stroke color="#000000" joinstyle="miter"/>
                      <v:imagedata o:title=""/>
                      <o:lock v:ext="edit" aspectratio="f"/>
                      <v:textbox inset="1mm,0.5mm,1mm,0.5mm">
                        <w:txbxContent>
                          <w:p>
                            <w:r>
                              <w:rPr>
                                <w:rFonts w:hint="eastAsia"/>
                              </w:rPr>
                              <w:t>抛丸</w:t>
                            </w:r>
                          </w:p>
                        </w:txbxContent>
                      </v:textbox>
                    </v:rect>
                  </w:pict>
                </mc:Fallback>
              </mc:AlternateContent>
            </w:r>
            <w:r>
              <w:rPr>
                <w:b/>
                <w:sz w:val="24"/>
                <w:szCs w:val="24"/>
              </w:rPr>
              <mc:AlternateContent>
                <mc:Choice Requires="wps">
                  <w:drawing>
                    <wp:anchor distT="0" distB="0" distL="114300" distR="114300" simplePos="0" relativeHeight="251687936" behindDoc="0" locked="0" layoutInCell="1" allowOverlap="1">
                      <wp:simplePos x="0" y="0"/>
                      <wp:positionH relativeFrom="column">
                        <wp:posOffset>4535805</wp:posOffset>
                      </wp:positionH>
                      <wp:positionV relativeFrom="paragraph">
                        <wp:posOffset>247650</wp:posOffset>
                      </wp:positionV>
                      <wp:extent cx="309245" cy="8890"/>
                      <wp:effectExtent l="0" t="31115" r="10795" b="36195"/>
                      <wp:wrapNone/>
                      <wp:docPr id="28" name="直线 2464"/>
                      <wp:cNvGraphicFramePr/>
                      <a:graphic xmlns:a="http://schemas.openxmlformats.org/drawingml/2006/main">
                        <a:graphicData uri="http://schemas.microsoft.com/office/word/2010/wordprocessingShape">
                          <wps:wsp>
                            <wps:cNvCnPr/>
                            <wps:spPr>
                              <a:xfrm flipH="true">
                                <a:off x="0" y="0"/>
                                <a:ext cx="309245" cy="88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线 2464" o:spid="_x0000_s1026" o:spt="20" style="position:absolute;left:0pt;flip:x;margin-left:357.15pt;margin-top:19.5pt;height:0.7pt;width:24.35pt;z-index:251687936;mso-width-relative:page;mso-height-relative:page;" filled="f" stroked="t" coordsize="21600,21600" o:gfxdata="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xy5u09kAAAAJAQAADwAAAAAAAAABACAAAAA4AAAAZHJzL2Rv&#10;d25yZXYueG1sUEsBAhQAFAAAAAgAh07iQKOPl3bqAQAAtQMAAA4AAAAAAAAAAQAgAAAAPgEAAGRy&#10;cy9lMm9Eb2MueG1sUEsFBgAAAAAGAAYAWQEAAJoFAAAAAA==&#10;">
                      <v:fill on="f" focussize="0,0"/>
                      <v:stroke color="#000000" joinstyle="round" endarrow="block"/>
                      <v:imagedata o:title=""/>
                      <o:lock v:ext="edit" aspectratio="f"/>
                    </v:line>
                  </w:pict>
                </mc:Fallback>
              </mc:AlternateContent>
            </w:r>
            <w:r>
              <w:rPr>
                <w:b/>
                <w:sz w:val="24"/>
                <w:szCs w:val="24"/>
              </w:rPr>
              <mc:AlternateContent>
                <mc:Choice Requires="wps">
                  <w:drawing>
                    <wp:anchor distT="0" distB="0" distL="114300" distR="114300" simplePos="0" relativeHeight="251684864" behindDoc="0" locked="0" layoutInCell="1" allowOverlap="1">
                      <wp:simplePos x="0" y="0"/>
                      <wp:positionH relativeFrom="column">
                        <wp:posOffset>4079240</wp:posOffset>
                      </wp:positionH>
                      <wp:positionV relativeFrom="paragraph">
                        <wp:posOffset>124460</wp:posOffset>
                      </wp:positionV>
                      <wp:extent cx="448310" cy="258445"/>
                      <wp:effectExtent l="4445" t="4445" r="19685" b="11430"/>
                      <wp:wrapNone/>
                      <wp:docPr id="25" name="矩形 62"/>
                      <wp:cNvGraphicFramePr/>
                      <a:graphic xmlns:a="http://schemas.openxmlformats.org/drawingml/2006/main">
                        <a:graphicData uri="http://schemas.microsoft.com/office/word/2010/wordprocessingShape">
                          <wps:wsp>
                            <wps:cNvSpPr/>
                            <wps:spPr>
                              <a:xfrm>
                                <a:off x="0" y="0"/>
                                <a:ext cx="448310" cy="258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加</w:t>
                                  </w:r>
                                  <w:r>
                                    <w:t>焊</w:t>
                                  </w:r>
                                </w:p>
                              </w:txbxContent>
                            </wps:txbx>
                            <wps:bodyPr lIns="36000" tIns="18000" rIns="36000" bIns="18000" upright="true"/>
                          </wps:wsp>
                        </a:graphicData>
                      </a:graphic>
                    </wp:anchor>
                  </w:drawing>
                </mc:Choice>
                <mc:Fallback>
                  <w:pict>
                    <v:rect id="矩形 62" o:spid="_x0000_s1026" o:spt="1" style="position:absolute;left:0pt;margin-left:321.2pt;margin-top:9.8pt;height:20.35pt;width:35.3pt;z-index:251684864;mso-width-relative:page;mso-height-relative:page;" fillcolor="#FFFFFF" filled="t" stroked="t" coordsize="21600,21600" o:gfxdata="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rxCVs2AAAAAkBAAAP&#10;AAAAAAAAAAEAIAAAADgAAABkcnMvZG93bnJldi54bWxQSwECFAAUAAAACACHTuJAOYGFKQICAAAh&#10;BAAADgAAAAAAAAABACAAAAA9AQAAZHJzL2Uyb0RvYy54bWxQSwUGAAAAAAYABgBZAQAAsQUAAAAA&#10;">
                      <v:fill on="t" focussize="0,0"/>
                      <v:stroke color="#000000" joinstyle="miter"/>
                      <v:imagedata o:title=""/>
                      <o:lock v:ext="edit" aspectratio="f"/>
                      <v:textbox inset="1mm,0.5mm,1mm,0.5mm">
                        <w:txbxContent>
                          <w:p>
                            <w:r>
                              <w:rPr>
                                <w:rFonts w:hint="eastAsia"/>
                              </w:rPr>
                              <w:t>加</w:t>
                            </w:r>
                            <w:r>
                              <w:t>焊</w:t>
                            </w:r>
                          </w:p>
                        </w:txbxContent>
                      </v:textbox>
                    </v:rect>
                  </w:pict>
                </mc:Fallback>
              </mc:AlternateContent>
            </w:r>
            <w:r>
              <w:rPr>
                <w:b/>
                <w:sz w:val="24"/>
                <w:szCs w:val="24"/>
              </w:rPr>
              <mc:AlternateContent>
                <mc:Choice Requires="wps">
                  <w:drawing>
                    <wp:anchor distT="0" distB="0" distL="114300" distR="114300" simplePos="0" relativeHeight="251700224" behindDoc="0" locked="0" layoutInCell="1" allowOverlap="1">
                      <wp:simplePos x="0" y="0"/>
                      <wp:positionH relativeFrom="column">
                        <wp:posOffset>4841875</wp:posOffset>
                      </wp:positionH>
                      <wp:positionV relativeFrom="paragraph">
                        <wp:posOffset>112395</wp:posOffset>
                      </wp:positionV>
                      <wp:extent cx="438150" cy="277495"/>
                      <wp:effectExtent l="4445" t="4445" r="14605" b="7620"/>
                      <wp:wrapNone/>
                      <wp:docPr id="53" name="矩形 63"/>
                      <wp:cNvGraphicFramePr/>
                      <a:graphic xmlns:a="http://schemas.openxmlformats.org/drawingml/2006/main">
                        <a:graphicData uri="http://schemas.microsoft.com/office/word/2010/wordprocessingShape">
                          <wps:wsp>
                            <wps:cNvSpPr/>
                            <wps:spPr>
                              <a:xfrm>
                                <a:off x="0" y="0"/>
                                <a:ext cx="438150" cy="277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矫正</w:t>
                                  </w:r>
                                </w:p>
                              </w:txbxContent>
                            </wps:txbx>
                            <wps:bodyPr lIns="36000" tIns="18000" rIns="36000" bIns="18000" upright="true"/>
                          </wps:wsp>
                        </a:graphicData>
                      </a:graphic>
                    </wp:anchor>
                  </w:drawing>
                </mc:Choice>
                <mc:Fallback>
                  <w:pict>
                    <v:rect id="矩形 63" o:spid="_x0000_s1026" o:spt="1" style="position:absolute;left:0pt;margin-left:381.25pt;margin-top:8.85pt;height:21.85pt;width:34.5pt;z-index:251700224;mso-width-relative:page;mso-height-relative:page;" fillcolor="#FFFFFF" filled="t" stroked="t" coordsize="21600,21600" o:gfxdata="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j+FdF2QAAAAkB&#10;AAAPAAAAAAAAAAEAIAAAADgAAABkcnMvZG93bnJldi54bWxQSwECFAAUAAAACACHTuJA+q6o4wQC&#10;AAAhBAAADgAAAAAAAAABACAAAAA+AQAAZHJzL2Uyb0RvYy54bWxQSwUGAAAAAAYABgBZAQAAtAUA&#10;AAAA&#10;">
                      <v:fill on="t" focussize="0,0"/>
                      <v:stroke color="#000000" joinstyle="miter"/>
                      <v:imagedata o:title=""/>
                      <o:lock v:ext="edit" aspectratio="f"/>
                      <v:textbox inset="1mm,0.5mm,1mm,0.5mm">
                        <w:txbxContent>
                          <w:p>
                            <w:pPr>
                              <w:rPr>
                                <w:szCs w:val="21"/>
                              </w:rPr>
                            </w:pPr>
                            <w:r>
                              <w:rPr>
                                <w:rFonts w:hint="eastAsia"/>
                                <w:szCs w:val="21"/>
                              </w:rPr>
                              <w:t>矫正</w:t>
                            </w:r>
                          </w:p>
                        </w:txbxContent>
                      </v:textbox>
                    </v:rect>
                  </w:pict>
                </mc:Fallback>
              </mc:AlternateContent>
            </w:r>
          </w:p>
          <w:p>
            <w:pPr>
              <w:spacing w:line="500" w:lineRule="exact"/>
              <w:jc w:val="center"/>
              <w:rPr>
                <w:b/>
                <w:bCs/>
                <w:sz w:val="24"/>
                <w:szCs w:val="24"/>
              </w:rPr>
            </w:pPr>
            <w:r>
              <w:rPr>
                <w:b/>
                <w:sz w:val="24"/>
                <w:szCs w:val="24"/>
              </w:rPr>
              <mc:AlternateContent>
                <mc:Choice Requires="wps">
                  <w:drawing>
                    <wp:anchor distT="0" distB="0" distL="114300" distR="114300" simplePos="0" relativeHeight="251694080" behindDoc="0" locked="0" layoutInCell="1" allowOverlap="1">
                      <wp:simplePos x="0" y="0"/>
                      <wp:positionH relativeFrom="column">
                        <wp:posOffset>3831590</wp:posOffset>
                      </wp:positionH>
                      <wp:positionV relativeFrom="paragraph">
                        <wp:posOffset>119380</wp:posOffset>
                      </wp:positionV>
                      <wp:extent cx="1595755" cy="237490"/>
                      <wp:effectExtent l="0" t="0" r="0" b="0"/>
                      <wp:wrapNone/>
                      <wp:docPr id="47" name="矩形 64"/>
                      <wp:cNvGraphicFramePr/>
                      <a:graphic xmlns:a="http://schemas.openxmlformats.org/drawingml/2006/main">
                        <a:graphicData uri="http://schemas.microsoft.com/office/word/2010/wordprocessingShape">
                          <wps:wsp>
                            <wps:cNvSpPr/>
                            <wps:spPr>
                              <a:xfrm>
                                <a:off x="0" y="0"/>
                                <a:ext cx="1595755" cy="237490"/>
                              </a:xfrm>
                              <a:prstGeom prst="rect">
                                <a:avLst/>
                              </a:prstGeom>
                              <a:noFill/>
                              <a:ln>
                                <a:noFill/>
                              </a:ln>
                              <a:effectLst/>
                            </wps:spPr>
                            <wps:txbx>
                              <w:txbxContent>
                                <w:p>
                                  <w:r>
                                    <w:rPr>
                                      <w:rFonts w:hint="eastAsia"/>
                                    </w:rPr>
                                    <w:t>废气G；固废S；噪声 N</w:t>
                                  </w:r>
                                </w:p>
                              </w:txbxContent>
                            </wps:txbx>
                            <wps:bodyPr lIns="0" tIns="18000" rIns="0" bIns="18000" upright="true"/>
                          </wps:wsp>
                        </a:graphicData>
                      </a:graphic>
                    </wp:anchor>
                  </w:drawing>
                </mc:Choice>
                <mc:Fallback>
                  <w:pict>
                    <v:rect id="矩形 64" o:spid="_x0000_s1026" o:spt="1" style="position:absolute;left:0pt;margin-left:301.7pt;margin-top:9.4pt;height:18.7pt;width:125.65pt;z-index:251694080;mso-width-relative:page;mso-height-relative:page;" filled="f" stroked="f" coordsize="21600,21600" o:gfxdata="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XoW2E2QAAAAkBAAAPAAAAAAAAAAEAIAAAADgAAABkcnMvZG93bnJldi54bWxQSwEC&#10;FAAUAAAACACHTuJAbUKquKQBAAAyAwAADgAAAAAAAAABACAAAAA+AQAAZHJzL2Uyb0RvYy54bWxQ&#10;SwUGAAAAAAYABgBZAQAAVAUAAAAA&#10;">
                      <v:fill on="f" focussize="0,0"/>
                      <v:stroke on="f"/>
                      <v:imagedata o:title=""/>
                      <o:lock v:ext="edit" aspectratio="f"/>
                      <v:textbox inset="0mm,0.5mm,0mm,0.5mm">
                        <w:txbxContent>
                          <w:p>
                            <w:r>
                              <w:rPr>
                                <w:rFonts w:hint="eastAsia"/>
                              </w:rPr>
                              <w:t>废气G；固废S；噪声 N</w:t>
                            </w:r>
                          </w:p>
                        </w:txbxContent>
                      </v:textbox>
                    </v:rect>
                  </w:pict>
                </mc:Fallback>
              </mc:AlternateContent>
            </w:r>
          </w:p>
          <w:p>
            <w:pPr>
              <w:spacing w:line="360" w:lineRule="auto"/>
              <w:jc w:val="center"/>
              <w:rPr>
                <w:b/>
                <w:bCs/>
                <w:sz w:val="24"/>
                <w:szCs w:val="24"/>
              </w:rPr>
            </w:pPr>
            <w:r>
              <w:rPr>
                <w:b/>
                <w:bCs/>
                <w:sz w:val="24"/>
                <w:szCs w:val="24"/>
              </w:rPr>
              <w:t>图</w:t>
            </w:r>
            <w:r>
              <w:rPr>
                <w:rFonts w:hint="eastAsia"/>
                <w:b/>
                <w:bCs/>
                <w:sz w:val="24"/>
                <w:szCs w:val="24"/>
              </w:rPr>
              <w:t>3</w:t>
            </w:r>
            <w:r>
              <w:rPr>
                <w:b/>
                <w:bCs/>
                <w:sz w:val="24"/>
                <w:szCs w:val="24"/>
              </w:rPr>
              <w:t xml:space="preserve">   工艺流程及排污节点图</w:t>
            </w:r>
          </w:p>
          <w:p>
            <w:pPr>
              <w:pStyle w:val="2"/>
              <w:spacing w:line="360" w:lineRule="auto"/>
              <w:ind w:firstLine="472" w:firstLineChars="200"/>
              <w:rPr>
                <w:rFonts w:hAnsi="宋体"/>
                <w:color w:val="auto"/>
              </w:rPr>
            </w:pPr>
            <w:r>
              <w:rPr>
                <w:rFonts w:hAnsi="宋体"/>
                <w:color w:val="auto"/>
              </w:rPr>
              <w:t>工艺流程</w:t>
            </w:r>
            <w:r>
              <w:rPr>
                <w:rFonts w:hint="eastAsia" w:hAnsi="宋体"/>
                <w:color w:val="auto"/>
              </w:rPr>
              <w:t>简述：</w:t>
            </w:r>
          </w:p>
          <w:p>
            <w:pPr>
              <w:pStyle w:val="2"/>
              <w:numPr>
                <w:ilvl w:val="0"/>
                <w:numId w:val="2"/>
              </w:numPr>
              <w:spacing w:line="360" w:lineRule="auto"/>
              <w:ind w:firstLine="472" w:firstLineChars="200"/>
              <w:rPr>
                <w:szCs w:val="24"/>
              </w:rPr>
            </w:pPr>
            <w:r>
              <w:rPr>
                <w:rFonts w:hint="eastAsia"/>
                <w:szCs w:val="24"/>
              </w:rPr>
              <w:t>放样：包括核对图纸的安装尺寸和孔距，核对各部分的尺寸，检查原材料的质量，制作样板和样杆作为下料、制孔等的依据，在样板、样杆上标注加工号、构件编号、规格、上孔直径等等。</w:t>
            </w:r>
          </w:p>
          <w:p>
            <w:pPr>
              <w:pStyle w:val="2"/>
              <w:numPr>
                <w:ilvl w:val="0"/>
                <w:numId w:val="2"/>
              </w:numPr>
              <w:spacing w:line="360" w:lineRule="auto"/>
              <w:ind w:firstLine="472" w:firstLineChars="200"/>
              <w:rPr>
                <w:szCs w:val="24"/>
              </w:rPr>
            </w:pPr>
            <w:r>
              <w:rPr>
                <w:rFonts w:hint="eastAsia"/>
                <w:szCs w:val="24"/>
              </w:rPr>
              <w:t>切割：放样号料后的钢材，必须按其所需的形状和尺寸进行下料切割，切割采用火焰切割机切割，燃料采用氧气、丙烷，燃烧生成二氧化碳和水。此工序过程产生的污染物有边角料</w:t>
            </w:r>
            <w:r>
              <w:rPr>
                <w:szCs w:val="24"/>
              </w:rPr>
              <w:t>、设备噪声。</w:t>
            </w:r>
          </w:p>
          <w:p>
            <w:pPr>
              <w:pStyle w:val="2"/>
              <w:numPr>
                <w:ilvl w:val="0"/>
                <w:numId w:val="2"/>
              </w:numPr>
              <w:spacing w:line="360" w:lineRule="auto"/>
              <w:ind w:firstLine="472" w:firstLineChars="200"/>
              <w:rPr>
                <w:szCs w:val="24"/>
              </w:rPr>
            </w:pPr>
            <w:r>
              <w:rPr>
                <w:rFonts w:hint="eastAsia"/>
                <w:szCs w:val="24"/>
              </w:rPr>
              <w:t>机床加工、打孔、打磨：切割后进行机加工，用辊压机、坡口机进行加工、钻床打孔、</w:t>
            </w:r>
            <w:r>
              <w:rPr>
                <w:rFonts w:hint="eastAsia"/>
                <w:color w:val="FF0000"/>
                <w:szCs w:val="24"/>
              </w:rPr>
              <w:t>再用磨床对切割后的</w:t>
            </w:r>
            <w:r>
              <w:rPr>
                <w:color w:val="FF0000"/>
                <w:szCs w:val="24"/>
              </w:rPr>
              <w:t>毛</w:t>
            </w:r>
            <w:r>
              <w:rPr>
                <w:rFonts w:hint="eastAsia"/>
                <w:color w:val="FF0000"/>
                <w:szCs w:val="24"/>
              </w:rPr>
              <w:t>边进行打磨</w:t>
            </w:r>
            <w:r>
              <w:rPr>
                <w:rFonts w:hint="eastAsia"/>
                <w:szCs w:val="24"/>
              </w:rPr>
              <w:t>，此工序过程产生的污染物为打磨过程产生的无组织颗粒物、含油废抹布、废切削液、废液压油、金属废料</w:t>
            </w:r>
            <w:r>
              <w:rPr>
                <w:szCs w:val="24"/>
              </w:rPr>
              <w:t>、设备噪声。</w:t>
            </w:r>
          </w:p>
          <w:p>
            <w:pPr>
              <w:pStyle w:val="2"/>
              <w:numPr>
                <w:ilvl w:val="0"/>
                <w:numId w:val="2"/>
              </w:numPr>
              <w:spacing w:line="360" w:lineRule="auto"/>
              <w:ind w:firstLine="472" w:firstLineChars="200"/>
              <w:rPr>
                <w:szCs w:val="24"/>
              </w:rPr>
            </w:pPr>
            <w:r>
              <w:rPr>
                <w:rFonts w:hint="eastAsia"/>
                <w:szCs w:val="24"/>
              </w:rPr>
              <w:t>组立：用对钢材进行组合使其成为产品要求的形状</w:t>
            </w:r>
            <w:r>
              <w:rPr>
                <w:szCs w:val="24"/>
              </w:rPr>
              <w:t>。</w:t>
            </w:r>
          </w:p>
          <w:p>
            <w:pPr>
              <w:pStyle w:val="2"/>
              <w:numPr>
                <w:ilvl w:val="0"/>
                <w:numId w:val="2"/>
              </w:numPr>
              <w:spacing w:line="360" w:lineRule="auto"/>
              <w:ind w:firstLine="472" w:firstLineChars="200"/>
              <w:rPr>
                <w:szCs w:val="24"/>
              </w:rPr>
            </w:pPr>
            <w:r>
              <w:rPr>
                <w:rFonts w:hint="eastAsia"/>
                <w:szCs w:val="24"/>
              </w:rPr>
              <w:t>焊接：采用龙门焊机对组合成型的钢结构工件进行焊接，焊接工艺采用埋弧焊。此工序过程产生的污染物有焊接烟尘、焊渣和</w:t>
            </w:r>
            <w:r>
              <w:rPr>
                <w:szCs w:val="24"/>
              </w:rPr>
              <w:t>设备噪声。</w:t>
            </w:r>
          </w:p>
          <w:p>
            <w:pPr>
              <w:pStyle w:val="2"/>
              <w:numPr>
                <w:ilvl w:val="0"/>
                <w:numId w:val="2"/>
              </w:numPr>
              <w:spacing w:line="360" w:lineRule="auto"/>
              <w:ind w:firstLine="472" w:firstLineChars="200"/>
              <w:rPr>
                <w:szCs w:val="24"/>
              </w:rPr>
            </w:pPr>
            <w:r>
              <w:rPr>
                <w:rFonts w:hint="eastAsia"/>
                <w:szCs w:val="24"/>
              </w:rPr>
              <w:t>矫正：包括数控型钢校直机进行矫正。此工序过程产生的污染物有废液压油、</w:t>
            </w:r>
            <w:r>
              <w:rPr>
                <w:szCs w:val="24"/>
              </w:rPr>
              <w:t>设备噪声。</w:t>
            </w:r>
          </w:p>
          <w:p>
            <w:pPr>
              <w:pStyle w:val="2"/>
              <w:numPr>
                <w:ilvl w:val="0"/>
                <w:numId w:val="2"/>
              </w:numPr>
              <w:spacing w:line="360" w:lineRule="auto"/>
              <w:ind w:firstLine="472" w:firstLineChars="200"/>
              <w:rPr>
                <w:szCs w:val="24"/>
              </w:rPr>
            </w:pPr>
            <w:r>
              <w:rPr>
                <w:rFonts w:hint="eastAsia"/>
                <w:szCs w:val="24"/>
              </w:rPr>
              <w:t>加焊：使用二保焊机对成型的钢结构工件进行人工焊接。此工序过程产生的污染物有焊接烟尘、焊渣和</w:t>
            </w:r>
            <w:r>
              <w:rPr>
                <w:szCs w:val="24"/>
              </w:rPr>
              <w:t>设备噪声。</w:t>
            </w:r>
          </w:p>
          <w:p>
            <w:pPr>
              <w:pStyle w:val="2"/>
              <w:numPr>
                <w:ilvl w:val="0"/>
                <w:numId w:val="2"/>
              </w:numPr>
              <w:spacing w:line="360" w:lineRule="auto"/>
              <w:ind w:firstLine="472" w:firstLineChars="200"/>
              <w:rPr>
                <w:szCs w:val="24"/>
              </w:rPr>
            </w:pPr>
            <w:r>
              <w:rPr>
                <w:rFonts w:hint="eastAsia"/>
                <w:szCs w:val="24"/>
              </w:rPr>
              <w:t>抛丸：</w:t>
            </w:r>
          </w:p>
          <w:p>
            <w:pPr>
              <w:pStyle w:val="2"/>
              <w:spacing w:line="360" w:lineRule="auto"/>
              <w:ind w:left="234" w:leftChars="114" w:firstLine="236" w:firstLineChars="100"/>
              <w:rPr>
                <w:szCs w:val="24"/>
              </w:rPr>
            </w:pPr>
            <w:r>
              <w:rPr>
                <w:rFonts w:hint="eastAsia"/>
                <w:szCs w:val="24"/>
              </w:rPr>
              <w:t>采用钢结构抛丸机进行抛丸，抛丸机为通过式封闭箱体，进出口设计有皮帘。</w:t>
            </w:r>
          </w:p>
          <w:p>
            <w:pPr>
              <w:pStyle w:val="2"/>
              <w:spacing w:line="360" w:lineRule="auto"/>
              <w:ind w:firstLine="472" w:firstLineChars="200"/>
              <w:rPr>
                <w:szCs w:val="24"/>
              </w:rPr>
            </w:pPr>
            <w:r>
              <w:rPr>
                <w:rFonts w:hint="eastAsia"/>
                <w:szCs w:val="24"/>
              </w:rPr>
              <w:t>工作原理：为连续送料的高功能连续作业清理机，在清理过程中由电气控制的可变频调速的输送辊道将钢结构件或钢材、钢板送进清理机室体内抛射区时，其周身各面受到来自不同方位的抛丸器的强力密集弹丸的打击与磨擦，使其上的氧化锈层及污物迅速脱落，钢材表面就获得具有一定粗糙度的光洁表面。落入钢材上面的弹丸与锈尘经回收螺旋输送到弹丸循环系统，在清理室外两边辊道装卸工件。清理过程中，撒落下来的丸尘混合物经室体漏斗、纵横向螺旋输送机汇集于提升机下部，再提升到机器上部的分离器里，分离后的纯净弹丸落入分离器料斗中，供抛丸循环使用。抛丸清理中产生的粉尘，由抽风管送至自带的布袋除尘器处理后，由</w:t>
            </w:r>
            <w:r>
              <w:rPr>
                <w:szCs w:val="24"/>
              </w:rPr>
              <w:t>15</w:t>
            </w:r>
            <w:r>
              <w:rPr>
                <w:rFonts w:hint="eastAsia"/>
                <w:szCs w:val="24"/>
              </w:rPr>
              <w:t>米高排气筒外排。</w:t>
            </w:r>
            <w:r>
              <w:rPr>
                <w:rFonts w:hint="eastAsia"/>
                <w:szCs w:val="24"/>
              </w:rPr>
              <w:br w:type="textWrapping"/>
            </w:r>
            <w:r>
              <w:rPr>
                <w:rFonts w:hint="eastAsia"/>
                <w:szCs w:val="24"/>
              </w:rPr>
              <w:t xml:space="preserve">    此工序过程产生的污染物有抛丸废气、废钢丸和</w:t>
            </w:r>
            <w:r>
              <w:rPr>
                <w:szCs w:val="24"/>
              </w:rPr>
              <w:t>设备噪声。</w:t>
            </w:r>
          </w:p>
          <w:p>
            <w:pPr>
              <w:pStyle w:val="2"/>
              <w:numPr>
                <w:ilvl w:val="0"/>
                <w:numId w:val="2"/>
              </w:numPr>
              <w:spacing w:line="360" w:lineRule="auto"/>
              <w:ind w:firstLine="472" w:firstLineChars="200"/>
              <w:jc w:val="both"/>
              <w:rPr>
                <w:szCs w:val="24"/>
              </w:rPr>
            </w:pPr>
            <w:r>
              <w:rPr>
                <w:rFonts w:hint="eastAsia"/>
                <w:szCs w:val="24"/>
              </w:rPr>
              <w:t>喷漆、烘干：</w:t>
            </w:r>
          </w:p>
          <w:p>
            <w:pPr>
              <w:spacing w:line="360" w:lineRule="auto"/>
              <w:ind w:firstLine="472" w:firstLineChars="200"/>
              <w:rPr>
                <w:sz w:val="24"/>
                <w:szCs w:val="24"/>
              </w:rPr>
            </w:pPr>
            <w:r>
              <w:rPr>
                <w:sz w:val="24"/>
                <w:szCs w:val="24"/>
              </w:rPr>
              <w:t>在专用密闭喷漆房内人工进行喷涂。喷漆</w:t>
            </w:r>
            <w:r>
              <w:rPr>
                <w:rFonts w:hint="eastAsia"/>
                <w:sz w:val="24"/>
                <w:szCs w:val="24"/>
              </w:rPr>
              <w:t>房</w:t>
            </w:r>
            <w:r>
              <w:rPr>
                <w:sz w:val="24"/>
                <w:szCs w:val="24"/>
              </w:rPr>
              <w:t>由喷漆</w:t>
            </w:r>
            <w:r>
              <w:rPr>
                <w:rFonts w:hint="eastAsia"/>
                <w:sz w:val="24"/>
                <w:szCs w:val="24"/>
              </w:rPr>
              <w:t>室</w:t>
            </w:r>
            <w:r>
              <w:rPr>
                <w:sz w:val="24"/>
                <w:szCs w:val="24"/>
              </w:rPr>
              <w:t>、</w:t>
            </w:r>
            <w:r>
              <w:rPr>
                <w:rFonts w:hint="eastAsia"/>
                <w:sz w:val="24"/>
                <w:szCs w:val="24"/>
              </w:rPr>
              <w:t>烘干室</w:t>
            </w:r>
            <w:r>
              <w:rPr>
                <w:sz w:val="24"/>
                <w:szCs w:val="24"/>
              </w:rPr>
              <w:t>组成，喷漆后</w:t>
            </w:r>
            <w:r>
              <w:rPr>
                <w:rFonts w:hint="eastAsia"/>
                <w:sz w:val="24"/>
                <w:szCs w:val="24"/>
              </w:rPr>
              <w:t>烘</w:t>
            </w:r>
            <w:r>
              <w:rPr>
                <w:sz w:val="24"/>
                <w:szCs w:val="24"/>
              </w:rPr>
              <w:t>干</w:t>
            </w:r>
            <w:r>
              <w:rPr>
                <w:rFonts w:hint="eastAsia"/>
                <w:sz w:val="24"/>
                <w:szCs w:val="24"/>
              </w:rPr>
              <w:t>（电加热）</w:t>
            </w:r>
            <w:r>
              <w:rPr>
                <w:sz w:val="24"/>
                <w:szCs w:val="24"/>
              </w:rPr>
              <w:t>。</w:t>
            </w:r>
            <w:r>
              <w:rPr>
                <w:rFonts w:hint="eastAsia"/>
                <w:sz w:val="24"/>
                <w:szCs w:val="24"/>
              </w:rPr>
              <w:t>本项目采用水性漆，喷漆后需在烘干室内烘干，烘干温度50</w:t>
            </w:r>
            <w:r>
              <w:rPr>
                <w:rFonts w:hint="eastAsia" w:ascii="宋体" w:hAnsi="宋体" w:cs="宋体"/>
                <w:sz w:val="24"/>
                <w:szCs w:val="24"/>
              </w:rPr>
              <w:t>℃</w:t>
            </w:r>
            <w:r>
              <w:rPr>
                <w:rFonts w:hint="eastAsia"/>
                <w:sz w:val="24"/>
                <w:szCs w:val="24"/>
              </w:rPr>
              <w:t>~60</w:t>
            </w:r>
            <w:r>
              <w:rPr>
                <w:rFonts w:hint="eastAsia" w:ascii="宋体" w:hAnsi="宋体" w:cs="宋体"/>
                <w:sz w:val="24"/>
                <w:szCs w:val="24"/>
              </w:rPr>
              <w:t>℃</w:t>
            </w:r>
            <w:r>
              <w:rPr>
                <w:rFonts w:hint="eastAsia"/>
                <w:sz w:val="24"/>
                <w:szCs w:val="24"/>
              </w:rPr>
              <w:t>。喷漆烘干后得到成品入库。</w:t>
            </w:r>
          </w:p>
          <w:p>
            <w:pPr>
              <w:spacing w:line="360" w:lineRule="auto"/>
              <w:ind w:firstLine="472" w:firstLineChars="200"/>
              <w:rPr>
                <w:color w:val="FF0000"/>
                <w:sz w:val="24"/>
                <w:szCs w:val="24"/>
              </w:rPr>
            </w:pPr>
            <w:r>
              <w:rPr>
                <w:color w:val="FF0000"/>
                <w:sz w:val="24"/>
                <w:szCs w:val="24"/>
              </w:rPr>
              <w:t>喷漆</w:t>
            </w:r>
            <w:r>
              <w:rPr>
                <w:rFonts w:hint="eastAsia"/>
                <w:color w:val="FF0000"/>
                <w:sz w:val="24"/>
                <w:szCs w:val="24"/>
              </w:rPr>
              <w:t>室</w:t>
            </w:r>
            <w:r>
              <w:rPr>
                <w:rFonts w:hint="eastAsia"/>
                <w:color w:val="FF0000"/>
                <w:sz w:val="24"/>
              </w:rPr>
              <w:t>设置方式为密闭湿式</w:t>
            </w:r>
            <w:r>
              <w:rPr>
                <w:color w:val="FF0000"/>
                <w:sz w:val="24"/>
                <w:szCs w:val="24"/>
              </w:rPr>
              <w:t>喷漆</w:t>
            </w:r>
            <w:r>
              <w:rPr>
                <w:rFonts w:hint="eastAsia"/>
                <w:color w:val="FF0000"/>
                <w:sz w:val="24"/>
                <w:szCs w:val="24"/>
              </w:rPr>
              <w:t>室，漆室采用上送风下抽风，漆雾捕集装置在喷漆室的下方，适用于大中型工件。喷漆房废气处理以水作为介质，采用上送风下抽风的方式，使漆雾与水在喷漆室下部充分混合的水帘装置， 新鲜空气通过送风管道系统送入水旋喷漆室室体顶部的均压室，经均流调节器和过滤层后，以0.45 m/ s的端而风速均匀地送入室体内，自上而下，将工件置入具有一定风速的均流层中，</w:t>
            </w:r>
            <w:r>
              <w:rPr>
                <w:rFonts w:hint="eastAsia"/>
                <w:b/>
                <w:bCs/>
                <w:color w:val="FF0000"/>
                <w:sz w:val="24"/>
                <w:szCs w:val="24"/>
              </w:rPr>
              <w:t> </w:t>
            </w:r>
            <w:r>
              <w:rPr>
                <w:rFonts w:hint="eastAsia"/>
                <w:color w:val="FF0000"/>
                <w:sz w:val="24"/>
                <w:szCs w:val="24"/>
              </w:rPr>
              <w:t>使飞溅的废漆雾压入喷漆室水帘装置，水在高速气流的冲击下被雾化后和废漆雾充分混合，</w:t>
            </w:r>
            <w:r>
              <w:rPr>
                <w:rFonts w:hint="eastAsia"/>
                <w:b/>
                <w:bCs/>
                <w:color w:val="FF0000"/>
                <w:sz w:val="24"/>
                <w:szCs w:val="24"/>
              </w:rPr>
              <w:t> </w:t>
            </w:r>
            <w:r>
              <w:rPr>
                <w:rFonts w:hint="eastAsia"/>
                <w:color w:val="FF0000"/>
                <w:sz w:val="24"/>
                <w:szCs w:val="24"/>
              </w:rPr>
              <w:t>从而使漆雾被吸引到水中而带走，</w:t>
            </w:r>
          </w:p>
          <w:p>
            <w:pPr>
              <w:spacing w:line="360" w:lineRule="auto"/>
              <w:rPr>
                <w:sz w:val="24"/>
                <w:szCs w:val="24"/>
              </w:rPr>
            </w:pPr>
            <w:r>
              <w:rPr>
                <w:rFonts w:hint="eastAsia"/>
                <w:color w:val="FF0000"/>
                <w:sz w:val="24"/>
                <w:szCs w:val="24"/>
              </w:rPr>
              <w:t>含水份的空气再经气水分离后，洁净的空气经排风系统送入大气中，而含漆雾的水流入循环水池， 通过凝聚净化(水中定期添加专用凝聚剂)后由循环泵送入到喷漆室循环使用，漂浮的漆渣定期捞出。</w:t>
            </w:r>
          </w:p>
          <w:p>
            <w:pPr>
              <w:spacing w:line="360" w:lineRule="auto"/>
              <w:ind w:firstLine="472" w:firstLineChars="200"/>
              <w:rPr>
                <w:sz w:val="24"/>
                <w:szCs w:val="24"/>
              </w:rPr>
            </w:pPr>
            <w:r>
              <w:rPr>
                <w:sz w:val="24"/>
                <w:szCs w:val="24"/>
              </w:rPr>
              <w:t>本工序主要污染物为喷漆</w:t>
            </w:r>
            <w:r>
              <w:rPr>
                <w:rFonts w:hint="eastAsia"/>
                <w:sz w:val="24"/>
                <w:szCs w:val="24"/>
              </w:rPr>
              <w:t>、烘干</w:t>
            </w:r>
            <w:r>
              <w:rPr>
                <w:sz w:val="24"/>
                <w:szCs w:val="24"/>
              </w:rPr>
              <w:t>废气</w:t>
            </w:r>
            <w:r>
              <w:rPr>
                <w:rFonts w:hint="eastAsia"/>
                <w:sz w:val="24"/>
                <w:szCs w:val="24"/>
              </w:rPr>
              <w:t>，废漆渣、</w:t>
            </w:r>
            <w:r>
              <w:rPr>
                <w:rFonts w:hint="eastAsia"/>
                <w:color w:val="FF0000"/>
                <w:sz w:val="24"/>
                <w:szCs w:val="24"/>
              </w:rPr>
              <w:t>废漆桶</w:t>
            </w:r>
            <w:r>
              <w:rPr>
                <w:rFonts w:hint="eastAsia"/>
                <w:sz w:val="24"/>
                <w:szCs w:val="24"/>
              </w:rPr>
              <w:t>，设备</w:t>
            </w:r>
            <w:r>
              <w:rPr>
                <w:sz w:val="24"/>
                <w:szCs w:val="24"/>
              </w:rPr>
              <w:t>运行时产生的噪声。</w:t>
            </w:r>
          </w:p>
          <w:p>
            <w:pPr>
              <w:spacing w:beforeLines="50" w:line="360" w:lineRule="auto"/>
              <w:rPr>
                <w:rFonts w:ascii="宋体" w:hAnsi="宋体"/>
                <w:b/>
                <w:bCs/>
                <w:sz w:val="24"/>
                <w:szCs w:val="24"/>
              </w:rPr>
            </w:pPr>
            <w:r>
              <w:rPr>
                <w:rFonts w:ascii="宋体" w:hAnsi="宋体"/>
                <w:b/>
                <w:bCs/>
                <w:sz w:val="24"/>
                <w:szCs w:val="24"/>
              </w:rPr>
              <w:t>主要污染工序：</w:t>
            </w:r>
          </w:p>
          <w:p>
            <w:pPr>
              <w:spacing w:line="360" w:lineRule="auto"/>
              <w:ind w:firstLine="472" w:firstLineChars="200"/>
              <w:rPr>
                <w:rFonts w:ascii="宋体" w:hAnsi="宋体"/>
                <w:sz w:val="24"/>
                <w:szCs w:val="24"/>
              </w:rPr>
            </w:pPr>
            <w:r>
              <w:rPr>
                <w:rFonts w:ascii="宋体" w:hAnsi="宋体"/>
                <w:sz w:val="24"/>
                <w:szCs w:val="24"/>
              </w:rPr>
              <w:t>施工期主要污染工序：</w:t>
            </w:r>
          </w:p>
          <w:p>
            <w:pPr>
              <w:spacing w:line="360" w:lineRule="auto"/>
              <w:ind w:firstLine="472" w:firstLineChars="200"/>
              <w:jc w:val="left"/>
              <w:rPr>
                <w:rFonts w:ascii="宋体" w:hAnsi="宋体"/>
                <w:sz w:val="24"/>
                <w:szCs w:val="24"/>
              </w:rPr>
            </w:pPr>
            <w:r>
              <w:rPr>
                <w:rFonts w:ascii="宋体" w:hAnsi="宋体"/>
                <w:sz w:val="24"/>
                <w:szCs w:val="24"/>
              </w:rPr>
              <w:t>(1)废气：施工过程中在场地平整、施工材料</w:t>
            </w:r>
            <w:r>
              <w:rPr>
                <w:rFonts w:hint="eastAsia" w:ascii="宋体" w:hAnsi="宋体"/>
                <w:sz w:val="24"/>
                <w:szCs w:val="24"/>
              </w:rPr>
              <w:t>、设备</w:t>
            </w:r>
            <w:r>
              <w:rPr>
                <w:rFonts w:ascii="宋体" w:hAnsi="宋体"/>
                <w:sz w:val="24"/>
                <w:szCs w:val="24"/>
              </w:rPr>
              <w:t>装卸运输时产生扬尘，主要污染物为</w:t>
            </w:r>
            <w:r>
              <w:rPr>
                <w:sz w:val="24"/>
                <w:szCs w:val="24"/>
              </w:rPr>
              <w:t>TSP</w:t>
            </w:r>
            <w:r>
              <w:rPr>
                <w:rFonts w:ascii="宋体" w:hAnsi="宋体"/>
                <w:sz w:val="24"/>
                <w:szCs w:val="24"/>
              </w:rPr>
              <w:t>，无组织排放。</w:t>
            </w:r>
          </w:p>
          <w:p>
            <w:pPr>
              <w:spacing w:line="360" w:lineRule="auto"/>
              <w:ind w:firstLine="472" w:firstLineChars="200"/>
              <w:jc w:val="left"/>
              <w:rPr>
                <w:rFonts w:ascii="宋体" w:hAnsi="宋体"/>
                <w:sz w:val="24"/>
                <w:szCs w:val="24"/>
              </w:rPr>
            </w:pPr>
            <w:r>
              <w:rPr>
                <w:rFonts w:ascii="宋体" w:hAnsi="宋体"/>
                <w:sz w:val="24"/>
                <w:szCs w:val="24"/>
              </w:rPr>
              <w:t>(2)废水：施工期间废水包括建筑废水及生活废水，主要污染物为</w:t>
            </w:r>
            <w:r>
              <w:rPr>
                <w:sz w:val="24"/>
                <w:szCs w:val="24"/>
              </w:rPr>
              <w:t>SS</w:t>
            </w:r>
            <w:r>
              <w:rPr>
                <w:rFonts w:hAnsi="宋体"/>
                <w:sz w:val="24"/>
                <w:szCs w:val="24"/>
              </w:rPr>
              <w:t>、</w:t>
            </w:r>
            <w:r>
              <w:rPr>
                <w:sz w:val="24"/>
                <w:szCs w:val="24"/>
              </w:rPr>
              <w:t>COD</w:t>
            </w:r>
            <w:r>
              <w:rPr>
                <w:rFonts w:ascii="宋体" w:hAnsi="宋体"/>
                <w:sz w:val="24"/>
                <w:szCs w:val="24"/>
              </w:rPr>
              <w:t>。</w:t>
            </w:r>
          </w:p>
          <w:p>
            <w:pPr>
              <w:spacing w:line="360" w:lineRule="auto"/>
              <w:ind w:firstLine="472" w:firstLineChars="200"/>
              <w:rPr>
                <w:rFonts w:ascii="宋体" w:hAnsi="宋体"/>
                <w:sz w:val="24"/>
                <w:szCs w:val="24"/>
              </w:rPr>
            </w:pPr>
            <w:r>
              <w:rPr>
                <w:rFonts w:ascii="宋体" w:hAnsi="宋体"/>
                <w:sz w:val="24"/>
                <w:szCs w:val="24"/>
              </w:rPr>
              <w:t>(3)噪声：施工期的噪声主要来源于施工作业机械及运输车辆在使用中产生的机械噪声。</w:t>
            </w:r>
          </w:p>
          <w:p>
            <w:pPr>
              <w:spacing w:line="360" w:lineRule="auto"/>
              <w:ind w:firstLine="472" w:firstLineChars="200"/>
              <w:rPr>
                <w:rFonts w:ascii="宋体" w:hAnsi="宋体"/>
                <w:sz w:val="24"/>
                <w:szCs w:val="24"/>
              </w:rPr>
            </w:pPr>
            <w:r>
              <w:rPr>
                <w:rFonts w:ascii="宋体" w:hAnsi="宋体"/>
                <w:sz w:val="24"/>
                <w:szCs w:val="24"/>
              </w:rPr>
              <w:t>(4)固体废物：施工期产生建筑垃圾和施工人员的生活垃圾。</w:t>
            </w:r>
          </w:p>
          <w:p>
            <w:pPr>
              <w:spacing w:line="360" w:lineRule="auto"/>
              <w:ind w:firstLine="472" w:firstLineChars="200"/>
              <w:rPr>
                <w:rFonts w:ascii="宋体" w:hAnsi="宋体"/>
                <w:sz w:val="24"/>
                <w:szCs w:val="24"/>
              </w:rPr>
            </w:pPr>
            <w:r>
              <w:rPr>
                <w:rFonts w:ascii="宋体" w:hAnsi="宋体"/>
                <w:sz w:val="24"/>
                <w:szCs w:val="24"/>
              </w:rPr>
              <w:t>营运期主要污染源分析：</w:t>
            </w:r>
          </w:p>
          <w:p>
            <w:pPr>
              <w:spacing w:line="360" w:lineRule="auto"/>
              <w:ind w:firstLine="472" w:firstLineChars="200"/>
              <w:rPr>
                <w:rFonts w:ascii="宋体" w:hAnsi="宋体"/>
                <w:sz w:val="24"/>
                <w:szCs w:val="24"/>
              </w:rPr>
            </w:pPr>
            <w:r>
              <w:rPr>
                <w:rFonts w:hint="eastAsia" w:ascii="宋体" w:hAnsi="宋体"/>
                <w:sz w:val="24"/>
                <w:szCs w:val="24"/>
              </w:rPr>
              <w:t>（1）废气：主要有食堂油烟、</w:t>
            </w:r>
            <w:r>
              <w:rPr>
                <w:rFonts w:hint="eastAsia"/>
                <w:sz w:val="24"/>
                <w:szCs w:val="24"/>
              </w:rPr>
              <w:t>抛丸废气、焊接烟尘、打磨粉尘、喷漆和烘干废气</w:t>
            </w:r>
            <w:r>
              <w:rPr>
                <w:rFonts w:hint="eastAsia" w:ascii="宋体" w:hAnsi="宋体"/>
                <w:sz w:val="24"/>
                <w:szCs w:val="24"/>
              </w:rPr>
              <w:t>，污染物为油烟、颗粒物、非甲烷总烃。</w:t>
            </w:r>
          </w:p>
          <w:p>
            <w:pPr>
              <w:spacing w:line="360" w:lineRule="auto"/>
              <w:ind w:firstLine="465" w:firstLineChars="197"/>
              <w:rPr>
                <w:rFonts w:ascii="宋体" w:hAnsi="宋体"/>
                <w:sz w:val="24"/>
                <w:szCs w:val="24"/>
              </w:rPr>
            </w:pPr>
            <w:r>
              <w:rPr>
                <w:rFonts w:hint="eastAsia" w:ascii="宋体" w:hAnsi="宋体"/>
                <w:sz w:val="24"/>
                <w:szCs w:val="24"/>
              </w:rPr>
              <w:t>（2）废水：本项目无生产</w:t>
            </w:r>
            <w:r>
              <w:rPr>
                <w:rFonts w:ascii="宋体" w:hAnsi="宋体"/>
                <w:sz w:val="24"/>
                <w:szCs w:val="24"/>
              </w:rPr>
              <w:t>废水</w:t>
            </w:r>
            <w:r>
              <w:rPr>
                <w:rFonts w:hint="eastAsia" w:ascii="宋体" w:hAnsi="宋体"/>
                <w:sz w:val="24"/>
                <w:szCs w:val="24"/>
              </w:rPr>
              <w:t>。食堂废水经隔油池处理、生活废水经化粪池处理后经管网进入魏县开发区污水处理厂。</w:t>
            </w:r>
          </w:p>
          <w:p>
            <w:pPr>
              <w:spacing w:line="360" w:lineRule="auto"/>
              <w:ind w:firstLine="472" w:firstLineChars="200"/>
              <w:rPr>
                <w:rFonts w:ascii="宋体" w:hAnsi="宋体"/>
                <w:sz w:val="24"/>
                <w:szCs w:val="24"/>
              </w:rPr>
            </w:pPr>
            <w:r>
              <w:rPr>
                <w:rFonts w:hint="eastAsia" w:ascii="宋体" w:hAnsi="宋体"/>
                <w:sz w:val="24"/>
                <w:szCs w:val="24"/>
              </w:rPr>
              <w:t>（3）噪声：生产设备切割机、焊机、机加工设备等运行过程产生的噪声，噪声值在</w:t>
            </w:r>
            <w:r>
              <w:rPr>
                <w:rFonts w:hint="eastAsia"/>
                <w:sz w:val="24"/>
                <w:szCs w:val="24"/>
              </w:rPr>
              <w:t>80～90</w:t>
            </w:r>
            <w:r>
              <w:rPr>
                <w:sz w:val="24"/>
                <w:szCs w:val="24"/>
              </w:rPr>
              <w:t>dB(A)</w:t>
            </w:r>
            <w:r>
              <w:rPr>
                <w:rFonts w:hint="eastAsia" w:ascii="宋体" w:hAnsi="宋体"/>
                <w:sz w:val="24"/>
                <w:szCs w:val="24"/>
              </w:rPr>
              <w:t>之间，主要污染因子为</w:t>
            </w:r>
            <w:r>
              <w:rPr>
                <w:sz w:val="24"/>
                <w:szCs w:val="24"/>
              </w:rPr>
              <w:t>LeqdB(A)</w:t>
            </w:r>
            <w:r>
              <w:rPr>
                <w:rFonts w:hint="eastAsia" w:ascii="宋体" w:hAnsi="宋体"/>
                <w:sz w:val="24"/>
                <w:szCs w:val="24"/>
              </w:rPr>
              <w:t>。</w:t>
            </w:r>
          </w:p>
          <w:p>
            <w:pPr>
              <w:spacing w:line="360" w:lineRule="auto"/>
              <w:ind w:firstLine="472" w:firstLineChars="200"/>
              <w:rPr>
                <w:sz w:val="24"/>
                <w:szCs w:val="24"/>
              </w:rPr>
            </w:pPr>
            <w:r>
              <w:rPr>
                <w:rFonts w:hint="eastAsia" w:ascii="宋体" w:hAnsi="宋体"/>
                <w:sz w:val="24"/>
                <w:szCs w:val="24"/>
              </w:rPr>
              <w:t>（4）固体废物：</w:t>
            </w:r>
            <w:r>
              <w:rPr>
                <w:rFonts w:ascii="宋体" w:hAnsi="宋体"/>
                <w:sz w:val="24"/>
                <w:szCs w:val="24"/>
              </w:rPr>
              <w:t>本项目固体废物主要为</w:t>
            </w:r>
            <w:r>
              <w:rPr>
                <w:rFonts w:hint="eastAsia" w:ascii="宋体" w:hAnsi="宋体"/>
                <w:sz w:val="24"/>
                <w:szCs w:val="24"/>
              </w:rPr>
              <w:t>切割、机加工过程产生的边角料和金属废料、</w:t>
            </w:r>
            <w:r>
              <w:rPr>
                <w:rFonts w:hint="eastAsia"/>
                <w:sz w:val="24"/>
                <w:szCs w:val="24"/>
              </w:rPr>
              <w:t>含油废抹布、废切削液、废液压油，</w:t>
            </w:r>
            <w:r>
              <w:rPr>
                <w:rFonts w:hint="eastAsia" w:ascii="宋体" w:hAnsi="宋体"/>
                <w:sz w:val="24"/>
                <w:szCs w:val="24"/>
              </w:rPr>
              <w:t>焊接过程产生的焊渣，除尘器收集的除尘灰，喷漆过程产生的废漆渣、</w:t>
            </w:r>
            <w:r>
              <w:rPr>
                <w:rFonts w:hint="eastAsia"/>
                <w:color w:val="FF0000"/>
                <w:sz w:val="24"/>
                <w:szCs w:val="24"/>
              </w:rPr>
              <w:t>废漆桶</w:t>
            </w:r>
            <w:r>
              <w:rPr>
                <w:rFonts w:hint="eastAsia" w:ascii="宋体" w:hAnsi="宋体"/>
                <w:sz w:val="24"/>
                <w:szCs w:val="24"/>
              </w:rPr>
              <w:t>，</w:t>
            </w:r>
            <w:r>
              <w:rPr>
                <w:rFonts w:ascii="宋体" w:hAnsi="宋体"/>
                <w:sz w:val="24"/>
                <w:szCs w:val="24"/>
              </w:rPr>
              <w:t>职工生活产生的生活垃圾。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52" w:type="dxa"/>
            <w:vAlign w:val="center"/>
          </w:tcPr>
          <w:p>
            <w:pPr>
              <w:pStyle w:val="2"/>
              <w:jc w:val="center"/>
              <w:rPr>
                <w:color w:val="auto"/>
              </w:rPr>
            </w:pPr>
            <w:r>
              <w:rPr>
                <w:rFonts w:hint="eastAsia"/>
                <w:color w:val="auto"/>
              </w:rPr>
              <w:t>与项目有关的原有环境污染问题</w:t>
            </w:r>
          </w:p>
        </w:tc>
        <w:tc>
          <w:tcPr>
            <w:tcW w:w="8563" w:type="dxa"/>
            <w:vAlign w:val="center"/>
          </w:tcPr>
          <w:p>
            <w:pPr>
              <w:spacing w:line="420" w:lineRule="exact"/>
              <w:ind w:firstLine="472" w:firstLineChars="200"/>
            </w:pPr>
            <w:r>
              <w:rPr>
                <w:sz w:val="24"/>
                <w:szCs w:val="24"/>
              </w:rPr>
              <w:t>本项目为新建项目，</w:t>
            </w:r>
            <w:r>
              <w:rPr>
                <w:rFonts w:hint="eastAsia"/>
                <w:sz w:val="24"/>
                <w:szCs w:val="24"/>
              </w:rPr>
              <w:t>不存在原有污染情况</w:t>
            </w:r>
            <w:r>
              <w:rPr>
                <w:sz w:val="24"/>
                <w:szCs w:val="24"/>
              </w:rPr>
              <w:t>。</w:t>
            </w:r>
          </w:p>
          <w:p>
            <w:pPr>
              <w:spacing w:line="360" w:lineRule="auto"/>
              <w:ind w:firstLine="412" w:firstLineChars="200"/>
            </w:pPr>
          </w:p>
          <w:p>
            <w:pPr>
              <w:pStyle w:val="9"/>
            </w:pPr>
          </w:p>
          <w:p>
            <w:pPr>
              <w:pStyle w:val="6"/>
            </w:pPr>
          </w:p>
          <w:p>
            <w:pPr>
              <w:pStyle w:val="6"/>
            </w:pPr>
          </w:p>
          <w:p/>
          <w:p>
            <w:pPr>
              <w:pStyle w:val="9"/>
            </w:pPr>
          </w:p>
          <w:p>
            <w:pPr>
              <w:pStyle w:val="6"/>
            </w:pPr>
          </w:p>
          <w:p/>
          <w:p/>
          <w:p>
            <w:pPr>
              <w:pStyle w:val="9"/>
            </w:pPr>
          </w:p>
          <w:p>
            <w:pPr>
              <w:pStyle w:val="6"/>
            </w:pPr>
          </w:p>
          <w:p/>
          <w:p>
            <w:pPr>
              <w:pStyle w:val="9"/>
            </w:pPr>
          </w:p>
          <w:p>
            <w:pPr>
              <w:pStyle w:val="6"/>
            </w:pPr>
          </w:p>
          <w:p>
            <w:pPr>
              <w:pStyle w:val="2"/>
            </w:pPr>
          </w:p>
        </w:tc>
      </w:tr>
    </w:tbl>
    <w:p>
      <w:pPr>
        <w:pStyle w:val="17"/>
        <w:sectPr>
          <w:pgSz w:w="11906" w:h="16838"/>
          <w:pgMar w:top="1304" w:right="1701" w:bottom="1418" w:left="1701" w:header="851" w:footer="851" w:gutter="0"/>
          <w:cols w:space="720" w:num="1"/>
          <w:docGrid w:type="linesAndChars" w:linePitch="380" w:charSpace="-948"/>
        </w:sectPr>
      </w:pPr>
    </w:p>
    <w:p>
      <w:pPr>
        <w:pStyle w:val="17"/>
        <w:tabs>
          <w:tab w:val="left" w:pos="1230"/>
        </w:tabs>
        <w:jc w:val="center"/>
        <w:rPr>
          <w:rFonts w:eastAsia="黑体"/>
          <w:b/>
          <w:sz w:val="32"/>
          <w:szCs w:val="32"/>
        </w:rPr>
      </w:pPr>
      <w:r>
        <w:rPr>
          <w:rFonts w:hint="eastAsia" w:eastAsia="黑体"/>
          <w:b/>
          <w:sz w:val="32"/>
          <w:szCs w:val="32"/>
        </w:rPr>
        <w:t>三、区域</w:t>
      </w:r>
      <w:r>
        <w:rPr>
          <w:rFonts w:eastAsia="黑体"/>
          <w:b/>
          <w:sz w:val="32"/>
          <w:szCs w:val="32"/>
        </w:rPr>
        <w:t>环境质量</w:t>
      </w:r>
      <w:r>
        <w:rPr>
          <w:rFonts w:hint="eastAsia" w:eastAsia="黑体"/>
          <w:b/>
          <w:sz w:val="32"/>
          <w:szCs w:val="32"/>
        </w:rPr>
        <w:t>现</w:t>
      </w:r>
      <w:r>
        <w:rPr>
          <w:rFonts w:eastAsia="黑体"/>
          <w:b/>
          <w:sz w:val="32"/>
          <w:szCs w:val="32"/>
        </w:rPr>
        <w:t>状</w:t>
      </w:r>
      <w:r>
        <w:rPr>
          <w:rFonts w:hint="eastAsia" w:eastAsia="黑体"/>
          <w:b/>
          <w:sz w:val="32"/>
          <w:szCs w:val="32"/>
        </w:rPr>
        <w:t>、环境保护目标及评价标准</w:t>
      </w:r>
    </w:p>
    <w:tbl>
      <w:tblPr>
        <w:tblStyle w:val="2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0" w:hRule="atLeast"/>
          <w:jc w:val="center"/>
        </w:trPr>
        <w:tc>
          <w:tcPr>
            <w:tcW w:w="851" w:type="dxa"/>
            <w:vAlign w:val="center"/>
          </w:tcPr>
          <w:p>
            <w:pPr>
              <w:shd w:val="clear" w:color="auto" w:fill="FFFFFF"/>
              <w:spacing w:line="480" w:lineRule="exact"/>
              <w:ind w:firstLine="480"/>
              <w:jc w:val="center"/>
              <w:rPr>
                <w:sz w:val="24"/>
                <w:szCs w:val="24"/>
              </w:rPr>
            </w:pPr>
          </w:p>
          <w:p>
            <w:pPr>
              <w:shd w:val="clear" w:color="auto" w:fill="FFFFFF"/>
              <w:spacing w:line="480" w:lineRule="exact"/>
              <w:ind w:firstLine="480"/>
              <w:jc w:val="center"/>
              <w:rPr>
                <w:rFonts w:ascii="Arial" w:hAnsi="Arial" w:cs="Arial"/>
                <w:sz w:val="24"/>
                <w:szCs w:val="24"/>
              </w:rPr>
            </w:pPr>
          </w:p>
          <w:p>
            <w:pPr>
              <w:pStyle w:val="2"/>
              <w:spacing w:line="440" w:lineRule="exact"/>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both"/>
              <w:rPr>
                <w:color w:val="auto"/>
              </w:rPr>
            </w:pPr>
          </w:p>
          <w:p>
            <w:pPr>
              <w:pStyle w:val="2"/>
              <w:jc w:val="both"/>
              <w:rPr>
                <w:color w:val="auto"/>
              </w:rPr>
            </w:pPr>
          </w:p>
        </w:tc>
        <w:tc>
          <w:tcPr>
            <w:tcW w:w="8101" w:type="dxa"/>
          </w:tcPr>
          <w:p>
            <w:pPr>
              <w:spacing w:line="480" w:lineRule="exact"/>
              <w:ind w:firstLine="472" w:firstLineChars="200"/>
              <w:rPr>
                <w:b/>
                <w:bCs/>
                <w:sz w:val="24"/>
              </w:rPr>
            </w:pPr>
            <w:r>
              <w:rPr>
                <w:rFonts w:hint="eastAsia"/>
                <w:color w:val="000000" w:themeColor="text1"/>
                <w:sz w:val="24"/>
                <w:szCs w:val="24"/>
              </w:rPr>
              <w:t>项目区域环境质量现状引用</w:t>
            </w:r>
            <w:r>
              <w:rPr>
                <w:color w:val="000000" w:themeColor="text1"/>
                <w:sz w:val="24"/>
                <w:szCs w:val="24"/>
              </w:rPr>
              <w:t>《河北魏县经济开发区总体规划跟踪及</w:t>
            </w:r>
            <w:r>
              <w:rPr>
                <w:rFonts w:hint="eastAsia"/>
                <w:color w:val="000000" w:themeColor="text1"/>
                <w:sz w:val="24"/>
                <w:szCs w:val="24"/>
              </w:rPr>
              <w:t>调</w:t>
            </w:r>
            <w:r>
              <w:rPr>
                <w:color w:val="000000" w:themeColor="text1"/>
                <w:sz w:val="24"/>
                <w:szCs w:val="24"/>
              </w:rPr>
              <w:t>整环境影响报告书》</w:t>
            </w:r>
            <w:r>
              <w:rPr>
                <w:rFonts w:hint="eastAsia"/>
                <w:color w:val="000000" w:themeColor="text1"/>
                <w:sz w:val="24"/>
                <w:szCs w:val="24"/>
              </w:rPr>
              <w:t>环境质量现状评价结果，河北标科环境检测技术有限公司于2020年6月15 日至2020年7月4日、河北泉皓环境科技有限公司于 2020年6月10日至2020年6月23日、山东微谱检测技术有限公司于2020年6月20日至 2020 年6月27日对河北魏县经济开发区区域环境进行了检测。</w:t>
            </w:r>
          </w:p>
          <w:p>
            <w:pPr>
              <w:spacing w:line="480" w:lineRule="exact"/>
              <w:ind w:firstLine="472" w:firstLineChars="200"/>
              <w:rPr>
                <w:b/>
                <w:bCs/>
                <w:sz w:val="24"/>
              </w:rPr>
            </w:pPr>
            <w:r>
              <w:rPr>
                <w:rFonts w:hint="eastAsia"/>
                <w:b/>
                <w:bCs/>
                <w:sz w:val="24"/>
              </w:rPr>
              <w:t>一</w:t>
            </w:r>
            <w:r>
              <w:rPr>
                <w:b/>
                <w:bCs/>
                <w:sz w:val="24"/>
              </w:rPr>
              <w:t>、环境空气</w:t>
            </w:r>
          </w:p>
          <w:p>
            <w:pPr>
              <w:spacing w:line="480" w:lineRule="exact"/>
              <w:ind w:firstLine="472" w:firstLineChars="200"/>
              <w:rPr>
                <w:sz w:val="24"/>
                <w:szCs w:val="24"/>
              </w:rPr>
            </w:pPr>
            <w:r>
              <w:rPr>
                <w:rFonts w:hint="eastAsia"/>
                <w:sz w:val="24"/>
                <w:szCs w:val="24"/>
              </w:rPr>
              <w:t>1、基本污染物：根据魏县地面观测站环境空气质量例行监测点2019年全年的监测数据作为基本污染物环境空气质量现状数据，</w:t>
            </w:r>
            <w:r>
              <w:rPr>
                <w:sz w:val="24"/>
                <w:szCs w:val="24"/>
              </w:rPr>
              <w:t>对比《环境空气质量标准》（GB3095-2012）评价结果如下：</w:t>
            </w:r>
          </w:p>
          <w:p>
            <w:pPr>
              <w:adjustRightInd w:val="0"/>
              <w:snapToGrid w:val="0"/>
              <w:jc w:val="center"/>
              <w:rPr>
                <w:b/>
                <w:bCs/>
                <w:sz w:val="24"/>
                <w:szCs w:val="24"/>
              </w:rPr>
            </w:pPr>
            <w:r>
              <w:rPr>
                <w:b/>
                <w:bCs/>
                <w:sz w:val="24"/>
                <w:szCs w:val="24"/>
              </w:rPr>
              <w:t>表</w:t>
            </w:r>
            <w:r>
              <w:rPr>
                <w:rFonts w:hint="eastAsia"/>
                <w:b/>
                <w:bCs/>
                <w:sz w:val="24"/>
                <w:szCs w:val="24"/>
              </w:rPr>
              <w:t>3-1</w:t>
            </w:r>
            <w:r>
              <w:rPr>
                <w:b/>
                <w:bCs/>
                <w:sz w:val="24"/>
                <w:szCs w:val="24"/>
              </w:rPr>
              <w:t xml:space="preserve">  </w:t>
            </w:r>
            <w:r>
              <w:rPr>
                <w:rFonts w:hint="eastAsia"/>
                <w:b/>
                <w:bCs/>
                <w:sz w:val="24"/>
                <w:szCs w:val="24"/>
              </w:rPr>
              <w:t>区域</w:t>
            </w:r>
            <w:r>
              <w:rPr>
                <w:b/>
                <w:bCs/>
                <w:sz w:val="24"/>
                <w:szCs w:val="24"/>
              </w:rPr>
              <w:t>环境空气质量现状评价表</w:t>
            </w:r>
          </w:p>
          <w:tbl>
            <w:tblPr>
              <w:tblStyle w:val="28"/>
              <w:tblW w:w="7885"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302"/>
              <w:gridCol w:w="1235"/>
              <w:gridCol w:w="1429"/>
              <w:gridCol w:w="1028"/>
              <w:gridCol w:w="10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污染物</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年评价指标</w:t>
                  </w:r>
                </w:p>
              </w:tc>
              <w:tc>
                <w:tcPr>
                  <w:tcW w:w="783" w:type="pct"/>
                  <w:tcMar>
                    <w:top w:w="0" w:type="dxa"/>
                    <w:left w:w="0" w:type="dxa"/>
                    <w:bottom w:w="0" w:type="dxa"/>
                    <w:right w:w="0" w:type="dxa"/>
                  </w:tcMar>
                  <w:vAlign w:val="center"/>
                </w:tcPr>
                <w:p>
                  <w:pPr>
                    <w:adjustRightInd w:val="0"/>
                    <w:snapToGrid w:val="0"/>
                    <w:jc w:val="center"/>
                    <w:rPr>
                      <w:sz w:val="22"/>
                      <w:szCs w:val="22"/>
                    </w:rPr>
                  </w:pPr>
                  <w:r>
                    <w:rPr>
                      <w:sz w:val="22"/>
                      <w:szCs w:val="22"/>
                    </w:rPr>
                    <w:t>现状浓度μg/m</w:t>
                  </w:r>
                  <w:r>
                    <w:rPr>
                      <w:sz w:val="22"/>
                      <w:szCs w:val="22"/>
                      <w:vertAlign w:val="superscript"/>
                    </w:rPr>
                    <w:t>3</w:t>
                  </w:r>
                </w:p>
              </w:tc>
              <w:tc>
                <w:tcPr>
                  <w:tcW w:w="906" w:type="pct"/>
                  <w:tcMar>
                    <w:top w:w="0" w:type="dxa"/>
                    <w:left w:w="0" w:type="dxa"/>
                    <w:bottom w:w="0" w:type="dxa"/>
                    <w:right w:w="0" w:type="dxa"/>
                  </w:tcMar>
                  <w:vAlign w:val="center"/>
                </w:tcPr>
                <w:p>
                  <w:pPr>
                    <w:adjustRightInd w:val="0"/>
                    <w:snapToGrid w:val="0"/>
                    <w:jc w:val="center"/>
                    <w:rPr>
                      <w:sz w:val="22"/>
                      <w:szCs w:val="22"/>
                    </w:rPr>
                  </w:pPr>
                  <w:r>
                    <w:rPr>
                      <w:sz w:val="22"/>
                      <w:szCs w:val="22"/>
                    </w:rPr>
                    <w:t>标准限值</w:t>
                  </w:r>
                </w:p>
                <w:p>
                  <w:pPr>
                    <w:adjustRightInd w:val="0"/>
                    <w:snapToGrid w:val="0"/>
                    <w:jc w:val="center"/>
                    <w:rPr>
                      <w:sz w:val="22"/>
                      <w:szCs w:val="22"/>
                    </w:rPr>
                  </w:pPr>
                  <w:r>
                    <w:rPr>
                      <w:sz w:val="22"/>
                      <w:szCs w:val="22"/>
                    </w:rPr>
                    <w:t>μg/m</w:t>
                  </w:r>
                  <w:r>
                    <w:rPr>
                      <w:sz w:val="22"/>
                      <w:szCs w:val="22"/>
                      <w:vertAlign w:val="superscript"/>
                    </w:rPr>
                    <w:t>3</w:t>
                  </w:r>
                </w:p>
              </w:tc>
              <w:tc>
                <w:tcPr>
                  <w:tcW w:w="652" w:type="pct"/>
                  <w:tcMar>
                    <w:top w:w="0" w:type="dxa"/>
                    <w:left w:w="0" w:type="dxa"/>
                    <w:bottom w:w="0" w:type="dxa"/>
                    <w:right w:w="0" w:type="dxa"/>
                  </w:tcMar>
                  <w:vAlign w:val="center"/>
                </w:tcPr>
                <w:p>
                  <w:pPr>
                    <w:adjustRightInd w:val="0"/>
                    <w:snapToGrid w:val="0"/>
                    <w:jc w:val="center"/>
                    <w:rPr>
                      <w:sz w:val="22"/>
                      <w:szCs w:val="22"/>
                    </w:rPr>
                  </w:pPr>
                  <w:r>
                    <w:rPr>
                      <w:sz w:val="22"/>
                      <w:szCs w:val="22"/>
                    </w:rPr>
                    <w:t>占标率%</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PM</w:t>
                  </w:r>
                  <w:r>
                    <w:rPr>
                      <w:sz w:val="22"/>
                      <w:szCs w:val="22"/>
                      <w:vertAlign w:val="subscript"/>
                    </w:rPr>
                    <w:t>10</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年平均</w:t>
                  </w:r>
                  <w:r>
                    <w:rPr>
                      <w:rFonts w:hint="eastAsia"/>
                      <w:sz w:val="22"/>
                      <w:szCs w:val="22"/>
                    </w:rPr>
                    <w:t>质量</w:t>
                  </w:r>
                  <w:r>
                    <w:rPr>
                      <w:sz w:val="22"/>
                      <w:szCs w:val="22"/>
                    </w:rPr>
                    <w:t>浓度</w:t>
                  </w:r>
                </w:p>
              </w:tc>
              <w:tc>
                <w:tcPr>
                  <w:tcW w:w="783"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118</w:t>
                  </w:r>
                </w:p>
              </w:tc>
              <w:tc>
                <w:tcPr>
                  <w:tcW w:w="906"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70</w:t>
                  </w:r>
                </w:p>
              </w:tc>
              <w:tc>
                <w:tcPr>
                  <w:tcW w:w="652" w:type="pct"/>
                  <w:tcMar>
                    <w:top w:w="0" w:type="dxa"/>
                    <w:left w:w="0" w:type="dxa"/>
                    <w:bottom w:w="0" w:type="dxa"/>
                    <w:right w:w="0" w:type="dxa"/>
                  </w:tcMar>
                  <w:vAlign w:val="center"/>
                </w:tcPr>
                <w:p>
                  <w:pPr>
                    <w:jc w:val="center"/>
                    <w:rPr>
                      <w:color w:val="000000"/>
                      <w:sz w:val="22"/>
                      <w:szCs w:val="22"/>
                    </w:rPr>
                  </w:pPr>
                  <w:r>
                    <w:rPr>
                      <w:color w:val="000000"/>
                      <w:sz w:val="22"/>
                      <w:szCs w:val="22"/>
                    </w:rPr>
                    <w:t>168.6</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PM</w:t>
                  </w:r>
                  <w:r>
                    <w:rPr>
                      <w:sz w:val="22"/>
                      <w:szCs w:val="22"/>
                      <w:vertAlign w:val="subscript"/>
                    </w:rPr>
                    <w:t>2.5</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年平均</w:t>
                  </w:r>
                  <w:r>
                    <w:rPr>
                      <w:rFonts w:hint="eastAsia"/>
                      <w:sz w:val="22"/>
                      <w:szCs w:val="22"/>
                    </w:rPr>
                    <w:t>质量</w:t>
                  </w:r>
                  <w:r>
                    <w:rPr>
                      <w:sz w:val="22"/>
                      <w:szCs w:val="22"/>
                    </w:rPr>
                    <w:t>浓度</w:t>
                  </w:r>
                </w:p>
              </w:tc>
              <w:tc>
                <w:tcPr>
                  <w:tcW w:w="783"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66</w:t>
                  </w:r>
                </w:p>
              </w:tc>
              <w:tc>
                <w:tcPr>
                  <w:tcW w:w="906"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35</w:t>
                  </w:r>
                </w:p>
              </w:tc>
              <w:tc>
                <w:tcPr>
                  <w:tcW w:w="652" w:type="pct"/>
                  <w:tcMar>
                    <w:top w:w="0" w:type="dxa"/>
                    <w:left w:w="0" w:type="dxa"/>
                    <w:bottom w:w="0" w:type="dxa"/>
                    <w:right w:w="0" w:type="dxa"/>
                  </w:tcMar>
                  <w:vAlign w:val="center"/>
                </w:tcPr>
                <w:p>
                  <w:pPr>
                    <w:jc w:val="center"/>
                    <w:rPr>
                      <w:color w:val="000000"/>
                      <w:sz w:val="22"/>
                      <w:szCs w:val="22"/>
                    </w:rPr>
                  </w:pPr>
                  <w:r>
                    <w:rPr>
                      <w:color w:val="000000"/>
                      <w:sz w:val="22"/>
                      <w:szCs w:val="22"/>
                    </w:rPr>
                    <w:t>188.6</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SO</w:t>
                  </w:r>
                  <w:r>
                    <w:rPr>
                      <w:sz w:val="22"/>
                      <w:szCs w:val="22"/>
                      <w:vertAlign w:val="subscript"/>
                    </w:rPr>
                    <w:t>2</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年平均</w:t>
                  </w:r>
                  <w:r>
                    <w:rPr>
                      <w:rFonts w:hint="eastAsia"/>
                      <w:sz w:val="22"/>
                      <w:szCs w:val="22"/>
                    </w:rPr>
                    <w:t>质量</w:t>
                  </w:r>
                  <w:r>
                    <w:rPr>
                      <w:sz w:val="22"/>
                      <w:szCs w:val="22"/>
                    </w:rPr>
                    <w:t>浓度</w:t>
                  </w:r>
                </w:p>
              </w:tc>
              <w:tc>
                <w:tcPr>
                  <w:tcW w:w="783"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29</w:t>
                  </w:r>
                </w:p>
              </w:tc>
              <w:tc>
                <w:tcPr>
                  <w:tcW w:w="906"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60</w:t>
                  </w:r>
                </w:p>
              </w:tc>
              <w:tc>
                <w:tcPr>
                  <w:tcW w:w="652" w:type="pct"/>
                  <w:tcMar>
                    <w:top w:w="0" w:type="dxa"/>
                    <w:left w:w="0" w:type="dxa"/>
                    <w:bottom w:w="0" w:type="dxa"/>
                    <w:right w:w="0" w:type="dxa"/>
                  </w:tcMar>
                  <w:vAlign w:val="center"/>
                </w:tcPr>
                <w:p>
                  <w:pPr>
                    <w:jc w:val="center"/>
                    <w:rPr>
                      <w:color w:val="000000"/>
                      <w:sz w:val="22"/>
                      <w:szCs w:val="22"/>
                    </w:rPr>
                  </w:pPr>
                  <w:r>
                    <w:rPr>
                      <w:color w:val="000000"/>
                      <w:sz w:val="22"/>
                      <w:szCs w:val="22"/>
                    </w:rPr>
                    <w:t>48.3</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NO</w:t>
                  </w:r>
                  <w:r>
                    <w:rPr>
                      <w:sz w:val="22"/>
                      <w:szCs w:val="22"/>
                      <w:vertAlign w:val="subscript"/>
                    </w:rPr>
                    <w:t>2</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年平均</w:t>
                  </w:r>
                  <w:r>
                    <w:rPr>
                      <w:rFonts w:hint="eastAsia"/>
                      <w:sz w:val="22"/>
                      <w:szCs w:val="22"/>
                    </w:rPr>
                    <w:t>质量</w:t>
                  </w:r>
                  <w:r>
                    <w:rPr>
                      <w:sz w:val="22"/>
                      <w:szCs w:val="22"/>
                    </w:rPr>
                    <w:t>浓度</w:t>
                  </w:r>
                </w:p>
              </w:tc>
              <w:tc>
                <w:tcPr>
                  <w:tcW w:w="783"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37</w:t>
                  </w:r>
                </w:p>
              </w:tc>
              <w:tc>
                <w:tcPr>
                  <w:tcW w:w="906"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40</w:t>
                  </w:r>
                </w:p>
              </w:tc>
              <w:tc>
                <w:tcPr>
                  <w:tcW w:w="652" w:type="pct"/>
                  <w:tcMar>
                    <w:top w:w="0" w:type="dxa"/>
                    <w:left w:w="0" w:type="dxa"/>
                    <w:bottom w:w="0" w:type="dxa"/>
                    <w:right w:w="0" w:type="dxa"/>
                  </w:tcMar>
                  <w:vAlign w:val="center"/>
                </w:tcPr>
                <w:p>
                  <w:pPr>
                    <w:jc w:val="center"/>
                    <w:rPr>
                      <w:color w:val="000000"/>
                      <w:sz w:val="22"/>
                      <w:szCs w:val="22"/>
                    </w:rPr>
                  </w:pPr>
                  <w:r>
                    <w:rPr>
                      <w:color w:val="000000"/>
                      <w:sz w:val="22"/>
                      <w:szCs w:val="22"/>
                    </w:rPr>
                    <w:t>92.5</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CO</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24h平均第95百分位数</w:t>
                  </w:r>
                </w:p>
              </w:tc>
              <w:tc>
                <w:tcPr>
                  <w:tcW w:w="783"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2300</w:t>
                  </w:r>
                </w:p>
              </w:tc>
              <w:tc>
                <w:tcPr>
                  <w:tcW w:w="906" w:type="pct"/>
                  <w:tcMar>
                    <w:top w:w="0" w:type="dxa"/>
                    <w:left w:w="0" w:type="dxa"/>
                    <w:bottom w:w="0" w:type="dxa"/>
                    <w:right w:w="0" w:type="dxa"/>
                  </w:tcMar>
                  <w:vAlign w:val="center"/>
                </w:tcPr>
                <w:p>
                  <w:pPr>
                    <w:pStyle w:val="25"/>
                    <w:adjustRightInd w:val="0"/>
                    <w:snapToGrid w:val="0"/>
                    <w:jc w:val="center"/>
                    <w:rPr>
                      <w:rFonts w:hint="default" w:ascii="Times New Roman" w:hAnsi="Times New Roman"/>
                      <w:sz w:val="22"/>
                      <w:szCs w:val="22"/>
                    </w:rPr>
                  </w:pPr>
                  <w:r>
                    <w:rPr>
                      <w:rFonts w:hint="default" w:ascii="Times New Roman" w:hAnsi="Times New Roman"/>
                      <w:sz w:val="22"/>
                      <w:szCs w:val="22"/>
                    </w:rPr>
                    <w:t>4000</w:t>
                  </w:r>
                </w:p>
              </w:tc>
              <w:tc>
                <w:tcPr>
                  <w:tcW w:w="652" w:type="pct"/>
                  <w:tcMar>
                    <w:top w:w="0" w:type="dxa"/>
                    <w:left w:w="0" w:type="dxa"/>
                    <w:bottom w:w="0" w:type="dxa"/>
                    <w:right w:w="0" w:type="dxa"/>
                  </w:tcMar>
                  <w:vAlign w:val="center"/>
                </w:tcPr>
                <w:p>
                  <w:pPr>
                    <w:jc w:val="center"/>
                    <w:rPr>
                      <w:color w:val="000000"/>
                      <w:sz w:val="22"/>
                      <w:szCs w:val="22"/>
                    </w:rPr>
                  </w:pPr>
                  <w:r>
                    <w:rPr>
                      <w:color w:val="000000"/>
                      <w:sz w:val="22"/>
                      <w:szCs w:val="22"/>
                    </w:rPr>
                    <w:t>57.5</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pct"/>
                  <w:tcMar>
                    <w:top w:w="0" w:type="dxa"/>
                    <w:left w:w="0" w:type="dxa"/>
                    <w:bottom w:w="0" w:type="dxa"/>
                    <w:right w:w="0" w:type="dxa"/>
                  </w:tcMar>
                  <w:vAlign w:val="center"/>
                </w:tcPr>
                <w:p>
                  <w:pPr>
                    <w:adjustRightInd w:val="0"/>
                    <w:snapToGrid w:val="0"/>
                    <w:jc w:val="center"/>
                    <w:rPr>
                      <w:sz w:val="22"/>
                      <w:szCs w:val="22"/>
                    </w:rPr>
                  </w:pPr>
                  <w:r>
                    <w:rPr>
                      <w:sz w:val="22"/>
                      <w:szCs w:val="22"/>
                    </w:rPr>
                    <w:t>O</w:t>
                  </w:r>
                  <w:r>
                    <w:rPr>
                      <w:sz w:val="22"/>
                      <w:szCs w:val="22"/>
                      <w:vertAlign w:val="subscript"/>
                    </w:rPr>
                    <w:t>3</w:t>
                  </w:r>
                </w:p>
              </w:tc>
              <w:tc>
                <w:tcPr>
                  <w:tcW w:w="1460" w:type="pct"/>
                  <w:tcMar>
                    <w:top w:w="0" w:type="dxa"/>
                    <w:left w:w="0" w:type="dxa"/>
                    <w:bottom w:w="0" w:type="dxa"/>
                    <w:right w:w="0" w:type="dxa"/>
                  </w:tcMar>
                  <w:vAlign w:val="center"/>
                </w:tcPr>
                <w:p>
                  <w:pPr>
                    <w:adjustRightInd w:val="0"/>
                    <w:snapToGrid w:val="0"/>
                    <w:jc w:val="center"/>
                    <w:rPr>
                      <w:sz w:val="22"/>
                      <w:szCs w:val="22"/>
                    </w:rPr>
                  </w:pPr>
                  <w:r>
                    <w:rPr>
                      <w:sz w:val="22"/>
                      <w:szCs w:val="22"/>
                    </w:rPr>
                    <w:t>日最大8h平均质量浓度第90百分位数</w:t>
                  </w:r>
                </w:p>
              </w:tc>
              <w:tc>
                <w:tcPr>
                  <w:tcW w:w="783" w:type="pct"/>
                  <w:tcMar>
                    <w:top w:w="0" w:type="dxa"/>
                    <w:left w:w="0" w:type="dxa"/>
                    <w:bottom w:w="0" w:type="dxa"/>
                    <w:right w:w="0" w:type="dxa"/>
                  </w:tcMar>
                  <w:vAlign w:val="center"/>
                </w:tcPr>
                <w:p>
                  <w:pPr>
                    <w:adjustRightInd w:val="0"/>
                    <w:snapToGrid w:val="0"/>
                    <w:jc w:val="center"/>
                    <w:rPr>
                      <w:sz w:val="22"/>
                      <w:szCs w:val="22"/>
                    </w:rPr>
                  </w:pPr>
                  <w:r>
                    <w:rPr>
                      <w:rFonts w:hint="eastAsia"/>
                      <w:sz w:val="22"/>
                      <w:szCs w:val="22"/>
                    </w:rPr>
                    <w:t>206</w:t>
                  </w:r>
                </w:p>
              </w:tc>
              <w:tc>
                <w:tcPr>
                  <w:tcW w:w="906" w:type="pct"/>
                  <w:tcMar>
                    <w:top w:w="0" w:type="dxa"/>
                    <w:left w:w="0" w:type="dxa"/>
                    <w:bottom w:w="0" w:type="dxa"/>
                    <w:right w:w="0" w:type="dxa"/>
                  </w:tcMar>
                  <w:vAlign w:val="center"/>
                </w:tcPr>
                <w:p>
                  <w:pPr>
                    <w:pStyle w:val="25"/>
                    <w:adjustRightInd w:val="0"/>
                    <w:snapToGrid w:val="0"/>
                    <w:jc w:val="center"/>
                    <w:rPr>
                      <w:rFonts w:hint="default" w:ascii="Times New Roman" w:hAnsi="Times New Roman"/>
                      <w:sz w:val="22"/>
                      <w:szCs w:val="22"/>
                    </w:rPr>
                  </w:pPr>
                  <w:r>
                    <w:rPr>
                      <w:rFonts w:hint="default" w:ascii="Times New Roman" w:hAnsi="Times New Roman"/>
                      <w:sz w:val="22"/>
                      <w:szCs w:val="22"/>
                    </w:rPr>
                    <w:t>160</w:t>
                  </w:r>
                </w:p>
              </w:tc>
              <w:tc>
                <w:tcPr>
                  <w:tcW w:w="652" w:type="pct"/>
                  <w:tcMar>
                    <w:top w:w="0" w:type="dxa"/>
                    <w:left w:w="0" w:type="dxa"/>
                    <w:bottom w:w="0" w:type="dxa"/>
                    <w:right w:w="0" w:type="dxa"/>
                  </w:tcMar>
                  <w:vAlign w:val="center"/>
                </w:tcPr>
                <w:p>
                  <w:pPr>
                    <w:jc w:val="center"/>
                    <w:rPr>
                      <w:color w:val="000000"/>
                      <w:sz w:val="22"/>
                      <w:szCs w:val="22"/>
                    </w:rPr>
                  </w:pPr>
                  <w:r>
                    <w:rPr>
                      <w:color w:val="000000"/>
                      <w:sz w:val="22"/>
                      <w:szCs w:val="22"/>
                    </w:rPr>
                    <w:t>128.8</w:t>
                  </w:r>
                </w:p>
              </w:tc>
              <w:tc>
                <w:tcPr>
                  <w:tcW w:w="637" w:type="pct"/>
                  <w:tcMar>
                    <w:top w:w="0" w:type="dxa"/>
                    <w:left w:w="0" w:type="dxa"/>
                    <w:bottom w:w="0" w:type="dxa"/>
                    <w:right w:w="0" w:type="dxa"/>
                  </w:tcMar>
                  <w:vAlign w:val="center"/>
                </w:tcPr>
                <w:p>
                  <w:pPr>
                    <w:adjustRightInd w:val="0"/>
                    <w:snapToGrid w:val="0"/>
                    <w:jc w:val="center"/>
                    <w:rPr>
                      <w:sz w:val="22"/>
                      <w:szCs w:val="22"/>
                    </w:rPr>
                  </w:pPr>
                  <w:r>
                    <w:rPr>
                      <w:sz w:val="22"/>
                      <w:szCs w:val="22"/>
                    </w:rPr>
                    <w:t>不达标</w:t>
                  </w:r>
                </w:p>
              </w:tc>
            </w:tr>
          </w:tbl>
          <w:p>
            <w:pPr>
              <w:spacing w:line="480" w:lineRule="exact"/>
              <w:ind w:firstLine="472" w:firstLineChars="200"/>
              <w:rPr>
                <w:sz w:val="24"/>
                <w:szCs w:val="24"/>
              </w:rPr>
            </w:pPr>
            <w:r>
              <w:rPr>
                <w:sz w:val="24"/>
                <w:szCs w:val="24"/>
              </w:rPr>
              <w:t>根据上表可知，本项目所在区域 PM</w:t>
            </w:r>
            <w:r>
              <w:rPr>
                <w:sz w:val="24"/>
                <w:szCs w:val="24"/>
                <w:vertAlign w:val="subscript"/>
              </w:rPr>
              <w:t>10</w:t>
            </w:r>
            <w:r>
              <w:rPr>
                <w:sz w:val="24"/>
                <w:szCs w:val="24"/>
              </w:rPr>
              <w:t>、PM</w:t>
            </w:r>
            <w:r>
              <w:rPr>
                <w:sz w:val="24"/>
                <w:szCs w:val="24"/>
                <w:vertAlign w:val="subscript"/>
              </w:rPr>
              <w:t>2.5</w:t>
            </w:r>
            <w:r>
              <w:rPr>
                <w:sz w:val="24"/>
                <w:szCs w:val="24"/>
              </w:rPr>
              <w:t>、O</w:t>
            </w:r>
            <w:r>
              <w:rPr>
                <w:sz w:val="24"/>
                <w:szCs w:val="24"/>
                <w:vertAlign w:val="subscript"/>
              </w:rPr>
              <w:t>3</w:t>
            </w:r>
            <w:r>
              <w:rPr>
                <w:rFonts w:hint="eastAsia"/>
                <w:sz w:val="24"/>
                <w:szCs w:val="24"/>
              </w:rPr>
              <w:t>污染物年评价指标不满足标准要求，本次评价判定项目所在区域为</w:t>
            </w:r>
            <w:r>
              <w:rPr>
                <w:sz w:val="24"/>
                <w:szCs w:val="24"/>
              </w:rPr>
              <w:t>环境空气不达标区。</w:t>
            </w:r>
          </w:p>
          <w:p>
            <w:pPr>
              <w:numPr>
                <w:ilvl w:val="0"/>
                <w:numId w:val="3"/>
              </w:numPr>
              <w:spacing w:line="480" w:lineRule="exact"/>
              <w:ind w:firstLine="472" w:firstLineChars="200"/>
              <w:rPr>
                <w:b/>
                <w:sz w:val="24"/>
              </w:rPr>
            </w:pPr>
            <w:r>
              <w:rPr>
                <w:rFonts w:hint="eastAsia"/>
                <w:color w:val="000000" w:themeColor="text1"/>
                <w:sz w:val="24"/>
                <w:szCs w:val="24"/>
              </w:rPr>
              <w:t>特征污染物：根据</w:t>
            </w:r>
            <w:r>
              <w:rPr>
                <w:color w:val="000000" w:themeColor="text1"/>
                <w:sz w:val="24"/>
                <w:szCs w:val="24"/>
              </w:rPr>
              <w:t>《河北魏县经济开发区总体规划跟踪及</w:t>
            </w:r>
            <w:r>
              <w:rPr>
                <w:rFonts w:hint="eastAsia"/>
                <w:color w:val="000000" w:themeColor="text1"/>
                <w:sz w:val="24"/>
                <w:szCs w:val="24"/>
              </w:rPr>
              <w:t>调</w:t>
            </w:r>
            <w:r>
              <w:rPr>
                <w:color w:val="000000" w:themeColor="text1"/>
                <w:sz w:val="24"/>
                <w:szCs w:val="24"/>
              </w:rPr>
              <w:t>整环境影响报告书》</w:t>
            </w:r>
            <w:r>
              <w:rPr>
                <w:rFonts w:hint="eastAsia"/>
                <w:color w:val="000000" w:themeColor="text1"/>
                <w:sz w:val="24"/>
                <w:szCs w:val="24"/>
              </w:rPr>
              <w:t>大气环境质量现状监测结果及评价： 非甲烷总烃1 小时平均浓度范围为 0.95~1.39mg/m</w:t>
            </w:r>
            <w:r>
              <w:rPr>
                <w:rFonts w:hint="eastAsia"/>
                <w:color w:val="000000" w:themeColor="text1"/>
                <w:sz w:val="24"/>
                <w:szCs w:val="24"/>
                <w:vertAlign w:val="superscript"/>
              </w:rPr>
              <w:t>3</w:t>
            </w:r>
            <w:r>
              <w:rPr>
                <w:rFonts w:hint="eastAsia"/>
                <w:color w:val="000000" w:themeColor="text1"/>
                <w:sz w:val="24"/>
                <w:szCs w:val="24"/>
              </w:rPr>
              <w:t>，标准指数为 0.475~0.695；非甲烷总烃满足河北省地方标准《环境空气质量 非甲烷总烃限值》（DB13/1577-2012）二级标准。</w:t>
            </w:r>
          </w:p>
          <w:p>
            <w:pPr>
              <w:spacing w:line="480" w:lineRule="exact"/>
              <w:ind w:firstLine="472" w:firstLineChars="200"/>
              <w:rPr>
                <w:b/>
                <w:sz w:val="24"/>
              </w:rPr>
            </w:pPr>
            <w:r>
              <w:rPr>
                <w:rFonts w:hint="eastAsia"/>
                <w:b/>
                <w:sz w:val="24"/>
              </w:rPr>
              <w:t>二</w:t>
            </w:r>
            <w:r>
              <w:rPr>
                <w:b/>
                <w:sz w:val="24"/>
              </w:rPr>
              <w:t>、</w:t>
            </w:r>
            <w:r>
              <w:rPr>
                <w:rFonts w:hint="eastAsia"/>
                <w:b/>
                <w:sz w:val="24"/>
              </w:rPr>
              <w:t>地表</w:t>
            </w:r>
            <w:r>
              <w:rPr>
                <w:b/>
                <w:sz w:val="24"/>
              </w:rPr>
              <w:t>水环境</w:t>
            </w:r>
          </w:p>
          <w:p>
            <w:pPr>
              <w:spacing w:line="480" w:lineRule="exact"/>
              <w:ind w:firstLine="472" w:firstLineChars="200"/>
              <w:rPr>
                <w:color w:val="000000" w:themeColor="text1"/>
                <w:sz w:val="24"/>
                <w:szCs w:val="24"/>
              </w:rPr>
            </w:pPr>
            <w:r>
              <w:rPr>
                <w:color w:val="000000" w:themeColor="text1"/>
                <w:sz w:val="24"/>
                <w:szCs w:val="24"/>
              </w:rPr>
              <w:t>《河北魏县经济开发区总体规划跟踪及</w:t>
            </w:r>
            <w:r>
              <w:rPr>
                <w:rFonts w:hint="eastAsia"/>
                <w:color w:val="000000" w:themeColor="text1"/>
                <w:sz w:val="24"/>
                <w:szCs w:val="24"/>
              </w:rPr>
              <w:t>调</w:t>
            </w:r>
            <w:r>
              <w:rPr>
                <w:color w:val="000000" w:themeColor="text1"/>
                <w:sz w:val="24"/>
                <w:szCs w:val="24"/>
              </w:rPr>
              <w:t>整环境影响报告书》</w:t>
            </w:r>
            <w:r>
              <w:rPr>
                <w:rFonts w:hint="eastAsia"/>
                <w:color w:val="000000" w:themeColor="text1"/>
                <w:sz w:val="24"/>
                <w:szCs w:val="24"/>
              </w:rPr>
              <w:t>地表水环境质量现状评价结果：</w:t>
            </w:r>
          </w:p>
          <w:p>
            <w:pPr>
              <w:spacing w:line="480" w:lineRule="exact"/>
              <w:ind w:firstLine="472" w:firstLineChars="200"/>
              <w:rPr>
                <w:color w:val="000000" w:themeColor="text1"/>
                <w:sz w:val="24"/>
                <w:szCs w:val="24"/>
              </w:rPr>
            </w:pPr>
            <w:r>
              <w:rPr>
                <w:rFonts w:hint="eastAsia"/>
                <w:color w:val="000000" w:themeColor="text1"/>
                <w:sz w:val="24"/>
                <w:szCs w:val="24"/>
              </w:rPr>
              <w:t>评价区布设 4 个监测断面，分别为兴源河经园区进口处、兴源河经园区出口处、魏大馆渠污水处理厂排污口上游 500m 处、魏大馆渠污水处理厂排污口下游 2000m 处。</w:t>
            </w:r>
          </w:p>
          <w:p>
            <w:pPr>
              <w:spacing w:line="480" w:lineRule="exact"/>
              <w:ind w:firstLine="472" w:firstLineChars="200"/>
              <w:rPr>
                <w:bCs/>
                <w:sz w:val="24"/>
                <w:szCs w:val="24"/>
              </w:rPr>
            </w:pPr>
            <w:r>
              <w:rPr>
                <w:rFonts w:hint="eastAsia"/>
                <w:color w:val="000000" w:themeColor="text1"/>
                <w:sz w:val="24"/>
                <w:szCs w:val="24"/>
              </w:rPr>
              <w:t>兴源河经园区进口处监测断面的 BOD5、总氮因子超出《地表水环境质量标准》Ⅲ类水体相应指标，其它因子均达标；兴源河经园区出口处监测断面的 COD、BOD5、总氮因子超出《地表水环境质量标准》Ⅲ类水体相应指标，其它因子均达标；魏大馆渠污水处理厂排污口上游 500m 监测断面的 BOD5、总磷、总氮因子超出《地表水环境质量标准》</w:t>
            </w:r>
            <w:r>
              <w:rPr>
                <w:color w:val="000000" w:themeColor="text1"/>
                <w:sz w:val="24"/>
                <w:szCs w:val="24"/>
              </w:rPr>
              <w:t>Ⅴ</w:t>
            </w:r>
            <w:r>
              <w:rPr>
                <w:rFonts w:hint="eastAsia"/>
                <w:color w:val="000000" w:themeColor="text1"/>
                <w:sz w:val="24"/>
                <w:szCs w:val="24"/>
              </w:rPr>
              <w:t>类水体相应指标，其它因子均达标；魏大馆渠污水处理厂排污口下游 2000m 监测断面的 COD、BOD5、高锰酸盐指数、总磷、总氮因子超出《地表水环境质量标准》</w:t>
            </w:r>
            <w:r>
              <w:rPr>
                <w:color w:val="000000" w:themeColor="text1"/>
                <w:sz w:val="24"/>
                <w:szCs w:val="24"/>
              </w:rPr>
              <w:t>Ⅴ</w:t>
            </w:r>
            <w:r>
              <w:rPr>
                <w:rFonts w:hint="eastAsia"/>
                <w:color w:val="000000" w:themeColor="text1"/>
                <w:sz w:val="24"/>
                <w:szCs w:val="24"/>
              </w:rPr>
              <w:t>类水体相应指标，其它因子均达标。</w:t>
            </w:r>
          </w:p>
          <w:p>
            <w:pPr>
              <w:numPr>
                <w:ilvl w:val="0"/>
                <w:numId w:val="4"/>
              </w:numPr>
              <w:spacing w:line="480" w:lineRule="exact"/>
              <w:ind w:firstLine="472" w:firstLineChars="200"/>
              <w:rPr>
                <w:b/>
                <w:sz w:val="24"/>
                <w:szCs w:val="24"/>
              </w:rPr>
            </w:pPr>
            <w:r>
              <w:rPr>
                <w:rFonts w:hint="eastAsia"/>
                <w:b/>
                <w:sz w:val="24"/>
                <w:szCs w:val="24"/>
              </w:rPr>
              <w:t>地下水</w:t>
            </w:r>
          </w:p>
          <w:p>
            <w:pPr>
              <w:spacing w:line="480" w:lineRule="exact"/>
              <w:ind w:firstLine="472" w:firstLineChars="200"/>
              <w:rPr>
                <w:color w:val="000000" w:themeColor="text1"/>
                <w:sz w:val="24"/>
                <w:szCs w:val="24"/>
              </w:rPr>
            </w:pPr>
            <w:r>
              <w:rPr>
                <w:color w:val="000000" w:themeColor="text1"/>
                <w:sz w:val="24"/>
                <w:szCs w:val="24"/>
              </w:rPr>
              <w:t>《河北魏县经济开发区总体规划跟踪及</w:t>
            </w:r>
            <w:r>
              <w:rPr>
                <w:rFonts w:hint="eastAsia"/>
                <w:color w:val="000000" w:themeColor="text1"/>
                <w:sz w:val="24"/>
                <w:szCs w:val="24"/>
              </w:rPr>
              <w:t>调</w:t>
            </w:r>
            <w:r>
              <w:rPr>
                <w:color w:val="000000" w:themeColor="text1"/>
                <w:sz w:val="24"/>
                <w:szCs w:val="24"/>
              </w:rPr>
              <w:t>整环境影响报告书》</w:t>
            </w:r>
            <w:r>
              <w:rPr>
                <w:rFonts w:hint="eastAsia"/>
                <w:color w:val="000000" w:themeColor="text1"/>
                <w:sz w:val="24"/>
                <w:szCs w:val="24"/>
              </w:rPr>
              <w:t>地下水环境质量现状评价结果：</w:t>
            </w:r>
          </w:p>
          <w:p>
            <w:pPr>
              <w:spacing w:line="480" w:lineRule="exact"/>
              <w:ind w:firstLine="472" w:firstLineChars="200"/>
              <w:rPr>
                <w:b/>
                <w:sz w:val="24"/>
                <w:szCs w:val="24"/>
              </w:rPr>
            </w:pPr>
            <w:r>
              <w:rPr>
                <w:color w:val="000000" w:themeColor="text1"/>
                <w:sz w:val="24"/>
                <w:szCs w:val="24"/>
              </w:rPr>
              <w:t>魏县经济开发区</w:t>
            </w:r>
            <w:r>
              <w:rPr>
                <w:bCs/>
                <w:sz w:val="24"/>
                <w:szCs w:val="24"/>
              </w:rPr>
              <w:t>潜水含水层部分监测点中氟化物、溶解性总固体、 总硬度、耗氧量、钠、硫酸盐和氯化物超过《地下水质量标准》（GB/T 14848-2017）Ⅲ类标准，其他因子均满足《地下水质量标准》（GB/T 14848-2017）Ⅲ类标准要求。根据分析，评价区内潜水含水层中氟化物、溶解性总固体、总硬度、耗氧量、钠、硫酸盐和氯化物出现超标现象主要原因为：评价区内上部潜水含水层为咸水，矿化度在 3~8g/L，氟化物、溶解性总固体、总硬度、耗氧量、钠、硫酸盐和氯化物超标属于原生地质问题。</w:t>
            </w:r>
          </w:p>
          <w:p>
            <w:pPr>
              <w:spacing w:line="480" w:lineRule="exact"/>
              <w:ind w:firstLine="472" w:firstLineChars="200"/>
              <w:rPr>
                <w:b/>
                <w:sz w:val="24"/>
                <w:szCs w:val="24"/>
              </w:rPr>
            </w:pPr>
            <w:r>
              <w:rPr>
                <w:rFonts w:hint="eastAsia"/>
                <w:b/>
                <w:sz w:val="24"/>
                <w:szCs w:val="24"/>
              </w:rPr>
              <w:t>4、</w:t>
            </w:r>
            <w:r>
              <w:rPr>
                <w:b/>
                <w:sz w:val="24"/>
                <w:szCs w:val="24"/>
              </w:rPr>
              <w:t>声环境</w:t>
            </w:r>
          </w:p>
          <w:p>
            <w:pPr>
              <w:spacing w:line="480" w:lineRule="exact"/>
              <w:ind w:firstLine="472" w:firstLineChars="200"/>
              <w:rPr>
                <w:color w:val="000000" w:themeColor="text1"/>
                <w:sz w:val="24"/>
                <w:szCs w:val="24"/>
              </w:rPr>
            </w:pPr>
            <w:r>
              <w:rPr>
                <w:rFonts w:hint="eastAsia"/>
                <w:color w:val="000000" w:themeColor="text1"/>
                <w:sz w:val="24"/>
                <w:szCs w:val="24"/>
              </w:rPr>
              <w:t>项目区域声环境质量引用</w:t>
            </w:r>
            <w:r>
              <w:rPr>
                <w:color w:val="000000" w:themeColor="text1"/>
                <w:sz w:val="24"/>
                <w:szCs w:val="24"/>
              </w:rPr>
              <w:t>《河北魏县经济开发区总体规划跟踪及</w:t>
            </w:r>
            <w:r>
              <w:rPr>
                <w:rFonts w:hint="eastAsia"/>
                <w:color w:val="000000" w:themeColor="text1"/>
                <w:sz w:val="24"/>
                <w:szCs w:val="24"/>
              </w:rPr>
              <w:t>调</w:t>
            </w:r>
            <w:r>
              <w:rPr>
                <w:color w:val="000000" w:themeColor="text1"/>
                <w:sz w:val="24"/>
                <w:szCs w:val="24"/>
              </w:rPr>
              <w:t>整环境影响报告书》</w:t>
            </w:r>
            <w:r>
              <w:rPr>
                <w:rFonts w:hint="eastAsia"/>
                <w:color w:val="000000" w:themeColor="text1"/>
                <w:sz w:val="24"/>
                <w:szCs w:val="24"/>
              </w:rPr>
              <w:t>环境质量现状评价结果：</w:t>
            </w:r>
          </w:p>
          <w:p>
            <w:pPr>
              <w:spacing w:line="480" w:lineRule="exact"/>
              <w:ind w:firstLine="472" w:firstLineChars="200"/>
            </w:pPr>
            <w:r>
              <w:rPr>
                <w:color w:val="000000" w:themeColor="text1"/>
                <w:sz w:val="24"/>
                <w:szCs w:val="24"/>
              </w:rPr>
              <w:t>魏县经济开发区</w:t>
            </w:r>
            <w:r>
              <w:rPr>
                <w:rFonts w:hint="eastAsia"/>
                <w:color w:val="000000" w:themeColor="text1"/>
                <w:sz w:val="24"/>
                <w:szCs w:val="24"/>
              </w:rPr>
              <w:t>噪声源主要为</w:t>
            </w:r>
            <w:r>
              <w:rPr>
                <w:sz w:val="24"/>
                <w:szCs w:val="24"/>
              </w:rPr>
              <w:t>工业、交通以及社会生活噪声，声环境整体质量良好，昼间、夜间噪声均</w:t>
            </w:r>
            <w:r>
              <w:rPr>
                <w:rFonts w:hint="eastAsia"/>
                <w:sz w:val="24"/>
                <w:szCs w:val="24"/>
              </w:rPr>
              <w:t>满足《工业企业厂界环境噪声排放标准》(GB12348-2008)中3类标准(昼间≤65dB(A)，夜间≤55dB(A))。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4"/>
                <w:szCs w:val="24"/>
              </w:rPr>
            </w:pPr>
            <w:r>
              <w:rPr>
                <w:bCs/>
                <w:sz w:val="24"/>
                <w:szCs w:val="24"/>
              </w:rPr>
              <w:t>环境保护目标</w:t>
            </w:r>
          </w:p>
          <w:p>
            <w:pPr>
              <w:pStyle w:val="2"/>
              <w:jc w:val="center"/>
              <w:rPr>
                <w:color w:val="auto"/>
              </w:rPr>
            </w:pPr>
          </w:p>
        </w:tc>
        <w:tc>
          <w:tcPr>
            <w:tcW w:w="8101"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sz w:val="24"/>
                <w:szCs w:val="24"/>
              </w:rPr>
            </w:pPr>
            <w:r>
              <w:rPr>
                <w:sz w:val="24"/>
                <w:szCs w:val="24"/>
              </w:rPr>
              <w:t>根据项目特点、评价区域环境特征及《</w:t>
            </w:r>
            <w:r>
              <w:rPr>
                <w:rFonts w:hint="eastAsia"/>
                <w:sz w:val="24"/>
                <w:szCs w:val="24"/>
              </w:rPr>
              <w:t>建设项目环境影响报告表编制技术指南（污染影响类）</w:t>
            </w:r>
            <w:r>
              <w:rPr>
                <w:rFonts w:hint="eastAsia"/>
                <w:sz w:val="24"/>
                <w:szCs w:val="24"/>
                <w:lang w:eastAsia="zh-CN"/>
              </w:rPr>
              <w:t>（试行）》</w:t>
            </w:r>
            <w:r>
              <w:rPr>
                <w:sz w:val="24"/>
                <w:szCs w:val="24"/>
              </w:rPr>
              <w:t>，确定</w:t>
            </w:r>
            <w:r>
              <w:rPr>
                <w:rFonts w:hint="eastAsia"/>
                <w:sz w:val="24"/>
                <w:szCs w:val="24"/>
              </w:rPr>
              <w:t>本项目</w:t>
            </w:r>
            <w:r>
              <w:rPr>
                <w:sz w:val="24"/>
                <w:szCs w:val="24"/>
              </w:rPr>
              <w:t>环境保护目标及保护级别见</w:t>
            </w:r>
            <w:r>
              <w:rPr>
                <w:rFonts w:hint="eastAsia"/>
                <w:sz w:val="24"/>
                <w:szCs w:val="24"/>
              </w:rPr>
              <w:t>下</w:t>
            </w:r>
            <w:r>
              <w:rPr>
                <w:sz w:val="24"/>
                <w:szCs w:val="24"/>
              </w:rPr>
              <w:t>表。</w:t>
            </w:r>
          </w:p>
          <w:p>
            <w:pPr>
              <w:spacing w:line="360" w:lineRule="auto"/>
              <w:jc w:val="center"/>
              <w:rPr>
                <w:b/>
                <w:sz w:val="24"/>
                <w:szCs w:val="24"/>
              </w:rPr>
            </w:pPr>
            <w:r>
              <w:rPr>
                <w:b/>
                <w:sz w:val="24"/>
                <w:szCs w:val="24"/>
              </w:rPr>
              <w:t>表</w:t>
            </w:r>
            <w:r>
              <w:rPr>
                <w:rFonts w:hint="eastAsia"/>
                <w:b/>
                <w:sz w:val="24"/>
                <w:szCs w:val="24"/>
              </w:rPr>
              <w:t>3-2</w:t>
            </w:r>
            <w:r>
              <w:rPr>
                <w:b/>
                <w:sz w:val="24"/>
                <w:szCs w:val="24"/>
              </w:rPr>
              <w:t xml:space="preserve">  </w:t>
            </w:r>
            <w:r>
              <w:rPr>
                <w:rFonts w:hint="eastAsia"/>
                <w:b/>
                <w:sz w:val="24"/>
                <w:szCs w:val="24"/>
              </w:rPr>
              <w:t>本项目</w:t>
            </w:r>
            <w:r>
              <w:rPr>
                <w:b/>
                <w:sz w:val="24"/>
                <w:szCs w:val="24"/>
              </w:rPr>
              <w:t>主要保护目标一览表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362"/>
              <w:gridCol w:w="1001"/>
              <w:gridCol w:w="1220"/>
              <w:gridCol w:w="860"/>
              <w:gridCol w:w="24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vAlign w:val="center"/>
                </w:tcPr>
                <w:p>
                  <w:pPr>
                    <w:adjustRightInd w:val="0"/>
                    <w:snapToGrid w:val="0"/>
                    <w:jc w:val="center"/>
                    <w:rPr>
                      <w:szCs w:val="21"/>
                    </w:rPr>
                  </w:pPr>
                  <w:r>
                    <w:rPr>
                      <w:szCs w:val="21"/>
                    </w:rPr>
                    <w:t>环境要素</w:t>
                  </w:r>
                </w:p>
              </w:tc>
              <w:tc>
                <w:tcPr>
                  <w:tcW w:w="863" w:type="pct"/>
                  <w:vAlign w:val="center"/>
                </w:tcPr>
                <w:p>
                  <w:pPr>
                    <w:adjustRightInd w:val="0"/>
                    <w:snapToGrid w:val="0"/>
                    <w:jc w:val="center"/>
                    <w:rPr>
                      <w:szCs w:val="21"/>
                    </w:rPr>
                  </w:pPr>
                  <w:r>
                    <w:rPr>
                      <w:szCs w:val="21"/>
                    </w:rPr>
                    <w:t>保护对象</w:t>
                  </w:r>
                </w:p>
              </w:tc>
              <w:tc>
                <w:tcPr>
                  <w:tcW w:w="634" w:type="pct"/>
                  <w:vAlign w:val="center"/>
                </w:tcPr>
                <w:p>
                  <w:pPr>
                    <w:adjustRightInd w:val="0"/>
                    <w:snapToGrid w:val="0"/>
                    <w:jc w:val="center"/>
                    <w:rPr>
                      <w:szCs w:val="21"/>
                    </w:rPr>
                  </w:pPr>
                  <w:r>
                    <w:rPr>
                      <w:szCs w:val="21"/>
                    </w:rPr>
                    <w:t>方位</w:t>
                  </w:r>
                </w:p>
              </w:tc>
              <w:tc>
                <w:tcPr>
                  <w:tcW w:w="773" w:type="pct"/>
                  <w:vAlign w:val="center"/>
                </w:tcPr>
                <w:p>
                  <w:pPr>
                    <w:adjustRightInd w:val="0"/>
                    <w:snapToGrid w:val="0"/>
                    <w:jc w:val="center"/>
                    <w:rPr>
                      <w:szCs w:val="21"/>
                    </w:rPr>
                  </w:pPr>
                  <w:r>
                    <w:rPr>
                      <w:rFonts w:hint="eastAsia"/>
                      <w:szCs w:val="21"/>
                    </w:rPr>
                    <w:t>与厂界</w:t>
                  </w:r>
                  <w:r>
                    <w:rPr>
                      <w:szCs w:val="21"/>
                    </w:rPr>
                    <w:t>距离</w:t>
                  </w:r>
                </w:p>
              </w:tc>
              <w:tc>
                <w:tcPr>
                  <w:tcW w:w="545" w:type="pct"/>
                  <w:vAlign w:val="center"/>
                </w:tcPr>
                <w:p>
                  <w:pPr>
                    <w:adjustRightInd w:val="0"/>
                    <w:snapToGrid w:val="0"/>
                    <w:jc w:val="center"/>
                    <w:rPr>
                      <w:szCs w:val="21"/>
                    </w:rPr>
                  </w:pPr>
                  <w:r>
                    <w:rPr>
                      <w:szCs w:val="21"/>
                    </w:rPr>
                    <w:t>功能</w:t>
                  </w:r>
                </w:p>
              </w:tc>
              <w:tc>
                <w:tcPr>
                  <w:tcW w:w="1533" w:type="pct"/>
                  <w:vAlign w:val="center"/>
                </w:tcPr>
                <w:p>
                  <w:pPr>
                    <w:adjustRightInd w:val="0"/>
                    <w:snapToGrid w:val="0"/>
                    <w:jc w:val="center"/>
                    <w:rPr>
                      <w:szCs w:val="21"/>
                    </w:rPr>
                  </w:pPr>
                  <w:r>
                    <w:rPr>
                      <w:szCs w:val="21"/>
                    </w:rPr>
                    <w:t>保护</w:t>
                  </w:r>
                  <w:r>
                    <w:rPr>
                      <w:rFonts w:hint="eastAsia"/>
                      <w:szCs w:val="21"/>
                    </w:rPr>
                    <w:t>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47" w:type="pct"/>
                  <w:vAlign w:val="center"/>
                </w:tcPr>
                <w:p>
                  <w:pPr>
                    <w:jc w:val="center"/>
                    <w:rPr>
                      <w:szCs w:val="21"/>
                    </w:rPr>
                  </w:pPr>
                  <w:r>
                    <w:rPr>
                      <w:szCs w:val="21"/>
                    </w:rPr>
                    <w:t>环境</w:t>
                  </w:r>
                </w:p>
                <w:p>
                  <w:pPr>
                    <w:jc w:val="center"/>
                    <w:rPr>
                      <w:szCs w:val="21"/>
                    </w:rPr>
                  </w:pPr>
                  <w:r>
                    <w:rPr>
                      <w:szCs w:val="21"/>
                    </w:rPr>
                    <w:t>空气</w:t>
                  </w:r>
                </w:p>
              </w:tc>
              <w:tc>
                <w:tcPr>
                  <w:tcW w:w="863" w:type="pct"/>
                  <w:vAlign w:val="center"/>
                </w:tcPr>
                <w:p>
                  <w:pPr>
                    <w:jc w:val="center"/>
                    <w:rPr>
                      <w:szCs w:val="21"/>
                    </w:rPr>
                  </w:pPr>
                  <w:r>
                    <w:rPr>
                      <w:rFonts w:hint="eastAsia"/>
                    </w:rPr>
                    <w:t>旭日中学</w:t>
                  </w:r>
                </w:p>
              </w:tc>
              <w:tc>
                <w:tcPr>
                  <w:tcW w:w="634" w:type="pct"/>
                  <w:vAlign w:val="center"/>
                </w:tcPr>
                <w:p>
                  <w:pPr>
                    <w:spacing w:line="300" w:lineRule="exact"/>
                    <w:jc w:val="center"/>
                    <w:rPr>
                      <w:szCs w:val="21"/>
                    </w:rPr>
                  </w:pPr>
                  <w:r>
                    <w:rPr>
                      <w:rFonts w:hint="eastAsia"/>
                    </w:rPr>
                    <w:t>NE</w:t>
                  </w:r>
                </w:p>
              </w:tc>
              <w:tc>
                <w:tcPr>
                  <w:tcW w:w="773" w:type="pct"/>
                  <w:vAlign w:val="center"/>
                </w:tcPr>
                <w:p>
                  <w:pPr>
                    <w:spacing w:line="300" w:lineRule="exact"/>
                    <w:jc w:val="center"/>
                    <w:rPr>
                      <w:szCs w:val="21"/>
                    </w:rPr>
                  </w:pPr>
                  <w:r>
                    <w:rPr>
                      <w:rFonts w:hint="eastAsia"/>
                    </w:rPr>
                    <w:t>90</w:t>
                  </w:r>
                </w:p>
              </w:tc>
              <w:tc>
                <w:tcPr>
                  <w:tcW w:w="545" w:type="pct"/>
                  <w:vAlign w:val="center"/>
                </w:tcPr>
                <w:p>
                  <w:pPr>
                    <w:jc w:val="center"/>
                    <w:rPr>
                      <w:szCs w:val="21"/>
                    </w:rPr>
                  </w:pPr>
                  <w:r>
                    <w:rPr>
                      <w:rFonts w:hint="eastAsia"/>
                    </w:rPr>
                    <w:t>文教</w:t>
                  </w:r>
                  <w:r>
                    <w:t>区</w:t>
                  </w:r>
                </w:p>
              </w:tc>
              <w:tc>
                <w:tcPr>
                  <w:tcW w:w="1533" w:type="pct"/>
                  <w:vAlign w:val="center"/>
                </w:tcPr>
                <w:p>
                  <w:pPr>
                    <w:spacing w:line="300" w:lineRule="exact"/>
                    <w:jc w:val="center"/>
                  </w:pPr>
                  <w:r>
                    <w:t>《环境空气质量标准》</w:t>
                  </w:r>
                </w:p>
                <w:p>
                  <w:pPr>
                    <w:spacing w:line="300" w:lineRule="exact"/>
                    <w:jc w:val="center"/>
                  </w:pPr>
                  <w:r>
                    <w:t>（GB3095-2012）</w:t>
                  </w:r>
                </w:p>
                <w:p>
                  <w:pPr>
                    <w:jc w:val="center"/>
                    <w:rPr>
                      <w:szCs w:val="21"/>
                    </w:rPr>
                  </w:pPr>
                  <w:r>
                    <w:t>二级标准</w:t>
                  </w:r>
                  <w:r>
                    <w:rPr>
                      <w:rFonts w:hint="eastAsia"/>
                    </w:rPr>
                    <w:t>及修改单、《环境空气质量 非甲烷总烃限值》（DB13/1577-2012）二级标准</w:t>
                  </w:r>
                </w:p>
              </w:tc>
            </w:tr>
          </w:tbl>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bCs/>
                <w:sz w:val="24"/>
                <w:szCs w:val="24"/>
              </w:rPr>
              <w:t>污染物排放</w:t>
            </w:r>
            <w:r>
              <w:rPr>
                <w:rFonts w:hint="eastAsia"/>
                <w:bCs/>
                <w:sz w:val="24"/>
                <w:szCs w:val="24"/>
              </w:rPr>
              <w:t>控制</w:t>
            </w:r>
            <w:r>
              <w:rPr>
                <w:bCs/>
                <w:sz w:val="24"/>
                <w:szCs w:val="24"/>
              </w:rPr>
              <w:t>标准</w:t>
            </w:r>
          </w:p>
        </w:tc>
        <w:tc>
          <w:tcPr>
            <w:tcW w:w="8101"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auto"/>
              <w:ind w:firstLine="472" w:firstLineChars="200"/>
              <w:rPr>
                <w:sz w:val="24"/>
              </w:rPr>
            </w:pPr>
            <w:r>
              <w:rPr>
                <w:sz w:val="24"/>
              </w:rPr>
              <w:t>废气：</w:t>
            </w:r>
          </w:p>
          <w:p>
            <w:pPr>
              <w:spacing w:line="360" w:lineRule="auto"/>
              <w:ind w:firstLine="472" w:firstLineChars="200"/>
              <w:rPr>
                <w:rFonts w:ascii="宋体" w:hAnsi="宋体" w:cs="宋体"/>
                <w:sz w:val="24"/>
              </w:rPr>
            </w:pPr>
            <w:r>
              <w:rPr>
                <w:rFonts w:hAnsi="宋体"/>
                <w:sz w:val="24"/>
              </w:rPr>
              <w:t>施工期：</w:t>
            </w:r>
            <w:r>
              <w:rPr>
                <w:rFonts w:hint="eastAsia"/>
                <w:bCs/>
                <w:sz w:val="24"/>
              </w:rPr>
              <w:t>施工</w:t>
            </w:r>
            <w:r>
              <w:rPr>
                <w:bCs/>
                <w:sz w:val="24"/>
              </w:rPr>
              <w:t>含尘废气执行河北省地方标准《施工场地扬尘排放标准》(DB13/2934-2019)表1中扬尘排放浓度限值</w:t>
            </w:r>
            <w:r>
              <w:rPr>
                <w:rFonts w:hint="eastAsia" w:ascii="宋体" w:hAnsi="宋体" w:cs="宋体"/>
                <w:sz w:val="24"/>
              </w:rPr>
              <w:t>；</w:t>
            </w:r>
          </w:p>
          <w:p>
            <w:pPr>
              <w:spacing w:line="360" w:lineRule="auto"/>
              <w:ind w:firstLine="472" w:firstLineChars="200"/>
              <w:rPr>
                <w:sz w:val="24"/>
              </w:rPr>
            </w:pPr>
            <w:r>
              <w:rPr>
                <w:rFonts w:hAnsi="宋体"/>
                <w:sz w:val="24"/>
              </w:rPr>
              <w:t>营运期：</w:t>
            </w:r>
            <w:r>
              <w:rPr>
                <w:rFonts w:hint="eastAsia" w:hAnsi="宋体"/>
                <w:sz w:val="24"/>
              </w:rPr>
              <w:t>抛丸工序</w:t>
            </w:r>
            <w:r>
              <w:rPr>
                <w:rFonts w:hint="eastAsia" w:ascii="宋体" w:hAnsi="宋体" w:cs="宋体"/>
                <w:sz w:val="24"/>
              </w:rPr>
              <w:t>颗粒物</w:t>
            </w:r>
            <w:r>
              <w:rPr>
                <w:rFonts w:hAnsi="宋体"/>
                <w:bCs/>
                <w:sz w:val="24"/>
                <w:szCs w:val="24"/>
              </w:rPr>
              <w:t>排放执行《大气污染物综合排放标准》</w:t>
            </w:r>
            <w:r>
              <w:rPr>
                <w:bCs/>
                <w:sz w:val="24"/>
                <w:szCs w:val="24"/>
              </w:rPr>
              <w:t>(GB16297-1996)</w:t>
            </w:r>
            <w:r>
              <w:rPr>
                <w:rFonts w:hAnsi="宋体"/>
                <w:bCs/>
                <w:sz w:val="24"/>
                <w:szCs w:val="24"/>
              </w:rPr>
              <w:t>表</w:t>
            </w:r>
            <w:r>
              <w:rPr>
                <w:bCs/>
                <w:sz w:val="24"/>
                <w:szCs w:val="24"/>
              </w:rPr>
              <w:t>2</w:t>
            </w:r>
            <w:r>
              <w:rPr>
                <w:rFonts w:hAnsi="宋体"/>
                <w:bCs/>
                <w:sz w:val="24"/>
                <w:szCs w:val="24"/>
              </w:rPr>
              <w:t>其他行业</w:t>
            </w:r>
            <w:r>
              <w:rPr>
                <w:rFonts w:hint="eastAsia" w:hAnsi="宋体"/>
                <w:bCs/>
                <w:sz w:val="24"/>
                <w:szCs w:val="24"/>
              </w:rPr>
              <w:t>二级</w:t>
            </w:r>
            <w:r>
              <w:rPr>
                <w:rFonts w:hAnsi="宋体"/>
                <w:bCs/>
                <w:sz w:val="24"/>
                <w:szCs w:val="24"/>
              </w:rPr>
              <w:t>排放限值</w:t>
            </w:r>
            <w:r>
              <w:rPr>
                <w:rFonts w:hint="eastAsia" w:ascii="宋体" w:hAnsi="宋体" w:cs="宋体"/>
                <w:sz w:val="24"/>
              </w:rPr>
              <w:t>；</w:t>
            </w:r>
            <w:r>
              <w:rPr>
                <w:rFonts w:hint="eastAsia" w:hAnsi="宋体"/>
                <w:sz w:val="24"/>
              </w:rPr>
              <w:t>焊接、喷漆工序</w:t>
            </w:r>
            <w:r>
              <w:rPr>
                <w:rFonts w:hint="eastAsia" w:ascii="宋体" w:hAnsi="宋体" w:cs="宋体"/>
                <w:sz w:val="24"/>
              </w:rPr>
              <w:t>颗粒物</w:t>
            </w:r>
            <w:r>
              <w:rPr>
                <w:rFonts w:hAnsi="宋体"/>
                <w:bCs/>
                <w:sz w:val="24"/>
                <w:szCs w:val="24"/>
              </w:rPr>
              <w:t>排放执行《大气污染物综合排放标准》</w:t>
            </w:r>
            <w:r>
              <w:rPr>
                <w:bCs/>
                <w:sz w:val="24"/>
                <w:szCs w:val="24"/>
              </w:rPr>
              <w:t>(GB16297-1996)</w:t>
            </w:r>
            <w:r>
              <w:rPr>
                <w:rFonts w:hAnsi="宋体"/>
                <w:bCs/>
                <w:sz w:val="24"/>
                <w:szCs w:val="24"/>
              </w:rPr>
              <w:t>表</w:t>
            </w:r>
            <w:r>
              <w:rPr>
                <w:bCs/>
                <w:sz w:val="24"/>
                <w:szCs w:val="24"/>
              </w:rPr>
              <w:t>2</w:t>
            </w:r>
            <w:r>
              <w:rPr>
                <w:rFonts w:hAnsi="宋体"/>
                <w:bCs/>
                <w:sz w:val="24"/>
                <w:szCs w:val="24"/>
              </w:rPr>
              <w:t>其他行业</w:t>
            </w:r>
            <w:r>
              <w:rPr>
                <w:rFonts w:hint="eastAsia" w:hAnsi="宋体"/>
                <w:bCs/>
                <w:sz w:val="24"/>
                <w:szCs w:val="24"/>
              </w:rPr>
              <w:t>二级</w:t>
            </w:r>
            <w:r>
              <w:rPr>
                <w:rFonts w:hAnsi="宋体"/>
                <w:bCs/>
                <w:sz w:val="24"/>
                <w:szCs w:val="24"/>
              </w:rPr>
              <w:t>排放限值</w:t>
            </w:r>
            <w:r>
              <w:rPr>
                <w:rFonts w:hint="eastAsia" w:hAnsi="宋体"/>
                <w:bCs/>
                <w:sz w:val="24"/>
                <w:szCs w:val="24"/>
              </w:rPr>
              <w:t>及</w:t>
            </w:r>
            <w:r>
              <w:rPr>
                <w:rFonts w:hint="eastAsia" w:ascii="宋体" w:hAnsi="宋体" w:cs="宋体"/>
                <w:sz w:val="24"/>
              </w:rPr>
              <w:t>无组织</w:t>
            </w:r>
            <w:r>
              <w:rPr>
                <w:rFonts w:hint="eastAsia" w:hAnsi="宋体"/>
                <w:sz w:val="24"/>
              </w:rPr>
              <w:t>监控点</w:t>
            </w:r>
            <w:r>
              <w:rPr>
                <w:rFonts w:hint="eastAsia" w:ascii="宋体" w:hAnsi="宋体" w:cs="宋体"/>
                <w:sz w:val="24"/>
              </w:rPr>
              <w:t>浓度</w:t>
            </w:r>
            <w:r>
              <w:rPr>
                <w:rFonts w:hAnsi="宋体"/>
                <w:bCs/>
                <w:sz w:val="24"/>
                <w:szCs w:val="24"/>
              </w:rPr>
              <w:t>限值</w:t>
            </w:r>
            <w:r>
              <w:rPr>
                <w:rFonts w:hint="eastAsia" w:ascii="宋体" w:hAnsi="宋体" w:cs="宋体"/>
                <w:sz w:val="24"/>
              </w:rPr>
              <w:t>；</w:t>
            </w:r>
            <w:r>
              <w:rPr>
                <w:rFonts w:hint="eastAsia" w:hAnsi="宋体"/>
                <w:sz w:val="24"/>
              </w:rPr>
              <w:t>打磨工序</w:t>
            </w:r>
            <w:r>
              <w:rPr>
                <w:rFonts w:hint="eastAsia" w:ascii="宋体" w:hAnsi="宋体" w:cs="宋体"/>
                <w:sz w:val="24"/>
              </w:rPr>
              <w:t>颗粒物</w:t>
            </w:r>
            <w:r>
              <w:rPr>
                <w:rFonts w:hAnsi="宋体"/>
                <w:bCs/>
                <w:sz w:val="24"/>
                <w:szCs w:val="24"/>
              </w:rPr>
              <w:t>排放执行《大气污染物综合排放标准》</w:t>
            </w:r>
            <w:r>
              <w:rPr>
                <w:bCs/>
                <w:sz w:val="24"/>
                <w:szCs w:val="24"/>
              </w:rPr>
              <w:t>(GB16297-1996)</w:t>
            </w:r>
            <w:r>
              <w:rPr>
                <w:rFonts w:hAnsi="宋体"/>
                <w:bCs/>
                <w:sz w:val="24"/>
                <w:szCs w:val="24"/>
              </w:rPr>
              <w:t>表</w:t>
            </w:r>
            <w:r>
              <w:rPr>
                <w:bCs/>
                <w:sz w:val="24"/>
                <w:szCs w:val="24"/>
              </w:rPr>
              <w:t>2</w:t>
            </w:r>
            <w:r>
              <w:rPr>
                <w:rFonts w:hAnsi="宋体"/>
                <w:bCs/>
                <w:sz w:val="24"/>
                <w:szCs w:val="24"/>
              </w:rPr>
              <w:t>其他行业</w:t>
            </w:r>
            <w:r>
              <w:rPr>
                <w:rFonts w:hint="eastAsia" w:ascii="宋体" w:hAnsi="宋体" w:cs="宋体"/>
                <w:sz w:val="24"/>
              </w:rPr>
              <w:t>无组织</w:t>
            </w:r>
            <w:r>
              <w:rPr>
                <w:rFonts w:hint="eastAsia" w:hAnsi="宋体"/>
                <w:sz w:val="24"/>
              </w:rPr>
              <w:t>监控点</w:t>
            </w:r>
            <w:r>
              <w:rPr>
                <w:rFonts w:hint="eastAsia" w:ascii="宋体" w:hAnsi="宋体" w:cs="宋体"/>
                <w:sz w:val="24"/>
              </w:rPr>
              <w:t>浓度</w:t>
            </w:r>
            <w:r>
              <w:rPr>
                <w:rFonts w:hAnsi="宋体"/>
                <w:bCs/>
                <w:sz w:val="24"/>
                <w:szCs w:val="24"/>
              </w:rPr>
              <w:t>限值</w:t>
            </w:r>
            <w:r>
              <w:rPr>
                <w:rFonts w:hint="eastAsia" w:ascii="宋体" w:hAnsi="宋体" w:cs="宋体"/>
                <w:sz w:val="24"/>
              </w:rPr>
              <w:t>；油烟执行《饮食业油烟排放标准》（</w:t>
            </w:r>
            <w:r>
              <w:rPr>
                <w:rFonts w:hint="eastAsia"/>
                <w:sz w:val="24"/>
              </w:rPr>
              <w:t>GB18483-2001</w:t>
            </w:r>
            <w:r>
              <w:rPr>
                <w:rFonts w:hint="eastAsia" w:ascii="宋体" w:hAnsi="宋体" w:cs="宋体"/>
                <w:sz w:val="24"/>
              </w:rPr>
              <w:t>）中表</w:t>
            </w:r>
            <w:r>
              <w:rPr>
                <w:sz w:val="24"/>
              </w:rPr>
              <w:t>2</w:t>
            </w:r>
            <w:r>
              <w:rPr>
                <w:rFonts w:hint="eastAsia" w:ascii="宋体" w:hAnsi="宋体" w:cs="宋体"/>
                <w:sz w:val="24"/>
              </w:rPr>
              <w:t>的相关标准；喷漆烘干</w:t>
            </w:r>
            <w:r>
              <w:rPr>
                <w:rFonts w:hint="eastAsia"/>
                <w:sz w:val="24"/>
                <w:szCs w:val="24"/>
              </w:rPr>
              <w:t>有机废气排放执行《工业企业挥发性有机物排放控制标准》（DB13/2322-2016）表1中表面涂装业有机废气排放口限值及表2中“其他企业”的边界大气污染物浓度限值及</w:t>
            </w:r>
            <w:r>
              <w:rPr>
                <w:sz w:val="24"/>
                <w:szCs w:val="24"/>
              </w:rPr>
              <w:t>《挥发性有机物无组织排放控制标准》（GB37822-2019）表A.1厂区内VOCs无组织排放限值</w:t>
            </w:r>
            <w:r>
              <w:rPr>
                <w:rFonts w:hint="eastAsia"/>
                <w:sz w:val="24"/>
                <w:szCs w:val="24"/>
              </w:rPr>
              <w:t>。</w:t>
            </w:r>
          </w:p>
          <w:p>
            <w:pPr>
              <w:spacing w:line="360" w:lineRule="auto"/>
              <w:ind w:firstLine="472" w:firstLineChars="200"/>
              <w:rPr>
                <w:sz w:val="24"/>
              </w:rPr>
            </w:pPr>
            <w:r>
              <w:rPr>
                <w:sz w:val="24"/>
              </w:rPr>
              <w:t>2</w:t>
            </w:r>
            <w:r>
              <w:rPr>
                <w:rFonts w:hAnsi="宋体"/>
                <w:sz w:val="24"/>
              </w:rPr>
              <w:t>、</w:t>
            </w:r>
            <w:r>
              <w:rPr>
                <w:rFonts w:hint="eastAsia" w:ascii="宋体" w:hAnsi="宋体" w:cs="宋体"/>
                <w:sz w:val="24"/>
              </w:rPr>
              <w:t>废水</w:t>
            </w:r>
          </w:p>
          <w:p>
            <w:pPr>
              <w:spacing w:line="360" w:lineRule="auto"/>
              <w:ind w:firstLine="472" w:firstLineChars="200"/>
              <w:rPr>
                <w:rFonts w:ascii="宋体" w:hAnsi="宋体" w:cs="宋体"/>
                <w:sz w:val="24"/>
              </w:rPr>
            </w:pPr>
            <w:r>
              <w:rPr>
                <w:rFonts w:hint="eastAsia" w:ascii="宋体" w:hAnsi="宋体" w:cs="宋体"/>
                <w:sz w:val="24"/>
              </w:rPr>
              <w:t>营运期</w:t>
            </w:r>
            <w:r>
              <w:rPr>
                <w:rFonts w:hint="eastAsia" w:ascii="宋体" w:hAnsi="宋体"/>
                <w:sz w:val="24"/>
                <w:szCs w:val="24"/>
              </w:rPr>
              <w:t>生活废水</w:t>
            </w:r>
            <w:r>
              <w:rPr>
                <w:rFonts w:hint="eastAsia" w:ascii="宋体" w:hAnsi="宋体" w:cs="宋体"/>
                <w:sz w:val="24"/>
                <w:szCs w:val="24"/>
              </w:rPr>
              <w:t>执行《污水综合排放标准》（</w:t>
            </w:r>
            <w:r>
              <w:rPr>
                <w:sz w:val="24"/>
                <w:szCs w:val="24"/>
              </w:rPr>
              <w:t>GB8978-1996</w:t>
            </w:r>
            <w:r>
              <w:rPr>
                <w:rFonts w:hint="eastAsia" w:ascii="宋体" w:hAnsi="宋体" w:cs="宋体"/>
                <w:sz w:val="24"/>
                <w:szCs w:val="24"/>
              </w:rPr>
              <w:t>）表</w:t>
            </w:r>
            <w:r>
              <w:rPr>
                <w:sz w:val="24"/>
                <w:szCs w:val="24"/>
              </w:rPr>
              <w:t>4</w:t>
            </w:r>
            <w:r>
              <w:rPr>
                <w:rFonts w:hint="eastAsia" w:ascii="宋体" w:hAnsi="宋体" w:cs="宋体"/>
                <w:sz w:val="24"/>
                <w:szCs w:val="24"/>
              </w:rPr>
              <w:t>中三级标准，同时满足魏县开发区污水处理厂进水水质要求</w:t>
            </w:r>
            <w:r>
              <w:rPr>
                <w:rFonts w:hint="eastAsia" w:ascii="宋体" w:hAnsi="宋体" w:cs="宋体"/>
                <w:sz w:val="24"/>
              </w:rPr>
              <w:t>。</w:t>
            </w:r>
          </w:p>
          <w:p>
            <w:pPr>
              <w:spacing w:line="360" w:lineRule="auto"/>
              <w:ind w:firstLine="472" w:firstLineChars="200"/>
              <w:rPr>
                <w:sz w:val="24"/>
              </w:rPr>
            </w:pPr>
            <w:r>
              <w:rPr>
                <w:sz w:val="24"/>
              </w:rPr>
              <w:t>3</w:t>
            </w:r>
            <w:r>
              <w:rPr>
                <w:rFonts w:hAnsi="宋体"/>
                <w:sz w:val="24"/>
              </w:rPr>
              <w:t>、</w:t>
            </w:r>
            <w:r>
              <w:rPr>
                <w:rFonts w:hint="eastAsia" w:ascii="宋体" w:hAnsi="宋体" w:cs="宋体"/>
                <w:sz w:val="24"/>
              </w:rPr>
              <w:t>噪声</w:t>
            </w:r>
          </w:p>
          <w:p>
            <w:pPr>
              <w:spacing w:line="360" w:lineRule="auto"/>
              <w:ind w:firstLine="472" w:firstLineChars="200"/>
              <w:rPr>
                <w:sz w:val="24"/>
              </w:rPr>
            </w:pPr>
            <w:r>
              <w:rPr>
                <w:rFonts w:hint="eastAsia" w:ascii="宋体" w:hAnsi="宋体" w:cs="宋体"/>
                <w:sz w:val="24"/>
              </w:rPr>
              <w:t>施工期噪声执行《建筑施工场界环境噪声排放标准》</w:t>
            </w:r>
            <w:r>
              <w:rPr>
                <w:sz w:val="24"/>
              </w:rPr>
              <w:t>(GB12523-2011)</w:t>
            </w:r>
            <w:r>
              <w:rPr>
                <w:rFonts w:hint="eastAsia" w:ascii="宋体" w:hAnsi="宋体" w:cs="宋体"/>
                <w:sz w:val="24"/>
              </w:rPr>
              <w:t>；营运期厂界噪声执行《工业企业厂界环境噪声排放标准》</w:t>
            </w:r>
            <w:r>
              <w:rPr>
                <w:sz w:val="24"/>
              </w:rPr>
              <w:t>(GB12348-2008)</w:t>
            </w:r>
            <w:r>
              <w:rPr>
                <w:rFonts w:hint="eastAsia" w:ascii="宋体" w:hAnsi="宋体" w:cs="宋体"/>
                <w:sz w:val="24"/>
              </w:rPr>
              <w:t>中</w:t>
            </w:r>
            <w:r>
              <w:rPr>
                <w:sz w:val="24"/>
              </w:rPr>
              <w:t>3</w:t>
            </w:r>
            <w:r>
              <w:rPr>
                <w:rFonts w:hint="eastAsia" w:ascii="宋体" w:hAnsi="宋体" w:cs="宋体"/>
                <w:sz w:val="24"/>
              </w:rPr>
              <w:t>类标准。</w:t>
            </w:r>
          </w:p>
          <w:p>
            <w:pPr>
              <w:spacing w:line="360" w:lineRule="auto"/>
              <w:ind w:firstLine="472" w:firstLineChars="200"/>
              <w:rPr>
                <w:sz w:val="24"/>
              </w:rPr>
            </w:pPr>
            <w:r>
              <w:rPr>
                <w:sz w:val="24"/>
              </w:rPr>
              <w:t>4</w:t>
            </w:r>
            <w:r>
              <w:rPr>
                <w:rFonts w:hAnsi="宋体"/>
                <w:sz w:val="24"/>
              </w:rPr>
              <w:t>、</w:t>
            </w:r>
            <w:r>
              <w:rPr>
                <w:rFonts w:hint="eastAsia" w:ascii="宋体" w:hAnsi="宋体" w:cs="宋体"/>
                <w:sz w:val="24"/>
              </w:rPr>
              <w:t>固废</w:t>
            </w:r>
          </w:p>
          <w:p>
            <w:pPr>
              <w:spacing w:line="360" w:lineRule="auto"/>
              <w:ind w:firstLine="472" w:firstLineChars="200"/>
              <w:rPr>
                <w:sz w:val="24"/>
              </w:rPr>
            </w:pPr>
            <w:r>
              <w:rPr>
                <w:rFonts w:hint="eastAsia" w:ascii="宋体" w:hAnsi="宋体" w:cs="宋体"/>
                <w:sz w:val="24"/>
              </w:rPr>
              <w:t>一般工业固体废物处置按照《一般工业固体废物贮存、处置场污染控制标准》（</w:t>
            </w:r>
            <w:r>
              <w:rPr>
                <w:sz w:val="24"/>
              </w:rPr>
              <w:t>GB18599-2001</w:t>
            </w:r>
            <w:r>
              <w:rPr>
                <w:rFonts w:hint="eastAsia" w:ascii="宋体" w:hAnsi="宋体" w:cs="宋体"/>
                <w:sz w:val="24"/>
              </w:rPr>
              <w:t>）中标准及</w:t>
            </w:r>
            <w:r>
              <w:rPr>
                <w:sz w:val="24"/>
              </w:rPr>
              <w:t>2013</w:t>
            </w:r>
            <w:r>
              <w:rPr>
                <w:rFonts w:hint="eastAsia" w:ascii="宋体" w:hAnsi="宋体" w:cs="宋体"/>
                <w:sz w:val="24"/>
              </w:rPr>
              <w:t>年修改单要求；</w:t>
            </w:r>
            <w:r>
              <w:rPr>
                <w:rFonts w:hint="eastAsia"/>
                <w:bCs/>
                <w:sz w:val="24"/>
                <w:szCs w:val="24"/>
              </w:rPr>
              <w:t>危险废弃物储存执行《危险废物贮存污染控制标准》（GB18597-2001）及 2013修改单规定中的相关规定（环境保护部 2013 年第 36 号）。</w:t>
            </w:r>
          </w:p>
          <w:p>
            <w:pPr>
              <w:adjustRightInd w:val="0"/>
              <w:snapToGrid w:val="0"/>
              <w:spacing w:line="360" w:lineRule="auto"/>
              <w:ind w:firstLine="472" w:firstLineChars="200"/>
              <w:rPr>
                <w:sz w:val="24"/>
                <w:szCs w:val="24"/>
              </w:rPr>
            </w:pPr>
            <w:r>
              <w:rPr>
                <w:rFonts w:hint="eastAsia" w:ascii="宋体" w:hAnsi="宋体" w:cs="宋体"/>
                <w:sz w:val="24"/>
              </w:rPr>
              <w:t>污染物排放标准限值见表</w:t>
            </w:r>
            <w:r>
              <w:rPr>
                <w:rFonts w:hint="eastAsia"/>
                <w:sz w:val="24"/>
              </w:rPr>
              <w:t>3-3</w:t>
            </w:r>
            <w:r>
              <w:rPr>
                <w:rFonts w:hint="eastAsia" w:ascii="宋体" w:hAnsi="宋体" w:cs="宋体"/>
                <w:sz w:val="24"/>
              </w:rPr>
              <w:t>。</w:t>
            </w:r>
          </w:p>
          <w:p>
            <w:pPr>
              <w:spacing w:line="360" w:lineRule="auto"/>
              <w:jc w:val="center"/>
              <w:rPr>
                <w:b/>
                <w:sz w:val="24"/>
              </w:rPr>
            </w:pPr>
            <w:r>
              <w:rPr>
                <w:rFonts w:hint="eastAsia"/>
                <w:b/>
                <w:sz w:val="24"/>
              </w:rPr>
              <w:t>表3-3  污染物排放标准限值一览表</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434"/>
              <w:gridCol w:w="935"/>
              <w:gridCol w:w="1457"/>
              <w:gridCol w:w="1676"/>
              <w:gridCol w:w="29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49" w:type="pct"/>
                  <w:gridSpan w:val="3"/>
                  <w:vAlign w:val="center"/>
                </w:tcPr>
                <w:p>
                  <w:pPr>
                    <w:spacing w:line="240" w:lineRule="exact"/>
                    <w:jc w:val="center"/>
                    <w:rPr>
                      <w:b/>
                      <w:szCs w:val="21"/>
                    </w:rPr>
                  </w:pPr>
                  <w:r>
                    <w:rPr>
                      <w:rFonts w:hAnsi="宋体"/>
                      <w:b/>
                      <w:szCs w:val="21"/>
                    </w:rPr>
                    <w:t>项目</w:t>
                  </w:r>
                </w:p>
              </w:tc>
              <w:tc>
                <w:tcPr>
                  <w:tcW w:w="924" w:type="pct"/>
                  <w:vAlign w:val="center"/>
                </w:tcPr>
                <w:p>
                  <w:pPr>
                    <w:spacing w:line="240" w:lineRule="exact"/>
                    <w:jc w:val="center"/>
                    <w:rPr>
                      <w:b/>
                      <w:szCs w:val="21"/>
                    </w:rPr>
                  </w:pPr>
                  <w:r>
                    <w:rPr>
                      <w:rFonts w:hAnsi="宋体"/>
                      <w:b/>
                      <w:bCs/>
                      <w:szCs w:val="21"/>
                    </w:rPr>
                    <w:t>评价因子</w:t>
                  </w:r>
                </w:p>
              </w:tc>
              <w:tc>
                <w:tcPr>
                  <w:tcW w:w="1063" w:type="pct"/>
                  <w:vAlign w:val="center"/>
                </w:tcPr>
                <w:p>
                  <w:pPr>
                    <w:spacing w:line="240" w:lineRule="exact"/>
                    <w:ind w:firstLine="412" w:firstLineChars="200"/>
                    <w:rPr>
                      <w:b/>
                      <w:szCs w:val="21"/>
                    </w:rPr>
                  </w:pPr>
                  <w:r>
                    <w:rPr>
                      <w:rFonts w:hAnsi="宋体"/>
                      <w:b/>
                      <w:szCs w:val="21"/>
                    </w:rPr>
                    <w:t>标准值</w:t>
                  </w:r>
                </w:p>
              </w:tc>
              <w:tc>
                <w:tcPr>
                  <w:tcW w:w="1864" w:type="pct"/>
                  <w:vAlign w:val="center"/>
                </w:tcPr>
                <w:p>
                  <w:pPr>
                    <w:spacing w:line="240" w:lineRule="exact"/>
                    <w:jc w:val="center"/>
                    <w:rPr>
                      <w:b/>
                      <w:szCs w:val="21"/>
                    </w:rPr>
                  </w:pPr>
                  <w:r>
                    <w:rPr>
                      <w:rFonts w:hAnsi="宋体"/>
                      <w:b/>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restart"/>
                  <w:vAlign w:val="center"/>
                </w:tcPr>
                <w:p>
                  <w:pPr>
                    <w:spacing w:line="240" w:lineRule="exact"/>
                    <w:ind w:firstLine="412" w:firstLineChars="200"/>
                    <w:rPr>
                      <w:b/>
                      <w:szCs w:val="21"/>
                    </w:rPr>
                  </w:pPr>
                </w:p>
                <w:p>
                  <w:pPr>
                    <w:spacing w:line="240" w:lineRule="exact"/>
                    <w:ind w:firstLine="412" w:firstLineChars="200"/>
                    <w:rPr>
                      <w:b/>
                      <w:szCs w:val="21"/>
                    </w:rPr>
                  </w:pPr>
                </w:p>
                <w:p>
                  <w:pPr>
                    <w:spacing w:line="240" w:lineRule="exact"/>
                    <w:ind w:firstLine="412" w:firstLineChars="200"/>
                    <w:rPr>
                      <w:b/>
                      <w:szCs w:val="21"/>
                    </w:rPr>
                  </w:pPr>
                </w:p>
                <w:p>
                  <w:pPr>
                    <w:spacing w:line="240" w:lineRule="exact"/>
                    <w:ind w:firstLine="412" w:firstLineChars="200"/>
                    <w:rPr>
                      <w:b/>
                      <w:szCs w:val="21"/>
                    </w:rPr>
                  </w:pPr>
                </w:p>
                <w:p>
                  <w:pPr>
                    <w:spacing w:line="240" w:lineRule="exact"/>
                    <w:ind w:firstLine="412" w:firstLineChars="200"/>
                    <w:rPr>
                      <w:b/>
                      <w:szCs w:val="21"/>
                    </w:rPr>
                  </w:pPr>
                </w:p>
                <w:p>
                  <w:pPr>
                    <w:spacing w:line="240" w:lineRule="exact"/>
                    <w:ind w:firstLine="412" w:firstLineChars="200"/>
                    <w:rPr>
                      <w:b/>
                      <w:szCs w:val="21"/>
                    </w:rPr>
                  </w:pPr>
                </w:p>
                <w:p>
                  <w:pPr>
                    <w:spacing w:line="240" w:lineRule="exact"/>
                    <w:rPr>
                      <w:b/>
                      <w:szCs w:val="21"/>
                    </w:rPr>
                  </w:pPr>
                  <w:r>
                    <w:rPr>
                      <w:rFonts w:hAnsi="宋体"/>
                      <w:b/>
                      <w:szCs w:val="21"/>
                    </w:rPr>
                    <w:t>废气</w:t>
                  </w:r>
                </w:p>
              </w:tc>
              <w:tc>
                <w:tcPr>
                  <w:tcW w:w="868" w:type="pct"/>
                  <w:gridSpan w:val="2"/>
                  <w:vAlign w:val="center"/>
                </w:tcPr>
                <w:p>
                  <w:pPr>
                    <w:spacing w:line="240" w:lineRule="exact"/>
                    <w:jc w:val="center"/>
                    <w:rPr>
                      <w:szCs w:val="21"/>
                    </w:rPr>
                  </w:pPr>
                  <w:r>
                    <w:rPr>
                      <w:rFonts w:hAnsi="宋体"/>
                      <w:szCs w:val="21"/>
                    </w:rPr>
                    <w:t>施工期</w:t>
                  </w:r>
                </w:p>
              </w:tc>
              <w:tc>
                <w:tcPr>
                  <w:tcW w:w="924" w:type="pct"/>
                  <w:vAlign w:val="center"/>
                </w:tcPr>
                <w:p>
                  <w:pPr>
                    <w:spacing w:line="240" w:lineRule="exact"/>
                    <w:jc w:val="center"/>
                    <w:rPr>
                      <w:szCs w:val="21"/>
                    </w:rPr>
                  </w:pPr>
                  <w:r>
                    <w:rPr>
                      <w:rFonts w:hAnsi="宋体"/>
                      <w:szCs w:val="21"/>
                    </w:rPr>
                    <w:t>颗粒物</w:t>
                  </w:r>
                </w:p>
              </w:tc>
              <w:tc>
                <w:tcPr>
                  <w:tcW w:w="1063" w:type="pct"/>
                  <w:vAlign w:val="center"/>
                </w:tcPr>
                <w:p>
                  <w:pPr>
                    <w:spacing w:line="240" w:lineRule="exact"/>
                    <w:rPr>
                      <w:szCs w:val="21"/>
                    </w:rPr>
                  </w:pPr>
                  <w:r>
                    <w:rPr>
                      <w:rFonts w:hint="eastAsia"/>
                      <w:szCs w:val="21"/>
                    </w:rPr>
                    <w:t>PM</w:t>
                  </w:r>
                  <w:r>
                    <w:rPr>
                      <w:rFonts w:hint="eastAsia"/>
                      <w:szCs w:val="21"/>
                      <w:vertAlign w:val="subscript"/>
                    </w:rPr>
                    <w:t>10</w:t>
                  </w:r>
                  <w:r>
                    <w:rPr>
                      <w:szCs w:val="21"/>
                    </w:rPr>
                    <w:t>≤80μg/m</w:t>
                  </w:r>
                  <w:r>
                    <w:rPr>
                      <w:szCs w:val="21"/>
                      <w:vertAlign w:val="superscript"/>
                    </w:rPr>
                    <w:t>3</w:t>
                  </w:r>
                </w:p>
              </w:tc>
              <w:tc>
                <w:tcPr>
                  <w:tcW w:w="1864" w:type="pct"/>
                  <w:vAlign w:val="center"/>
                </w:tcPr>
                <w:p>
                  <w:pPr>
                    <w:spacing w:line="240" w:lineRule="exact"/>
                    <w:jc w:val="center"/>
                    <w:rPr>
                      <w:szCs w:val="21"/>
                    </w:rPr>
                  </w:pPr>
                  <w:r>
                    <w:rPr>
                      <w:rFonts w:hAnsi="宋体"/>
                      <w:szCs w:val="21"/>
                    </w:rPr>
                    <w:t>河北省地方标准《施工场地扬尘排放标准》(DB13/2934-2019)表1中扬尘排放浓度限值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81" w:type="pct"/>
                  <w:vMerge w:val="continue"/>
                  <w:vAlign w:val="center"/>
                </w:tcPr>
                <w:p>
                  <w:pPr>
                    <w:spacing w:line="240" w:lineRule="exact"/>
                    <w:ind w:firstLine="412" w:firstLineChars="200"/>
                    <w:rPr>
                      <w:b/>
                      <w:szCs w:val="21"/>
                    </w:rPr>
                  </w:pPr>
                </w:p>
              </w:tc>
              <w:tc>
                <w:tcPr>
                  <w:tcW w:w="275" w:type="pct"/>
                  <w:vMerge w:val="restart"/>
                  <w:vAlign w:val="center"/>
                </w:tcPr>
                <w:p>
                  <w:pPr>
                    <w:spacing w:line="240" w:lineRule="exact"/>
                    <w:rPr>
                      <w:szCs w:val="21"/>
                    </w:rPr>
                  </w:pPr>
                  <w:r>
                    <w:rPr>
                      <w:rFonts w:hAnsi="宋体"/>
                      <w:szCs w:val="21"/>
                    </w:rPr>
                    <w:t>营</w:t>
                  </w:r>
                  <w:r>
                    <w:rPr>
                      <w:rFonts w:hint="eastAsia" w:hAnsi="宋体"/>
                      <w:szCs w:val="21"/>
                    </w:rPr>
                    <w:t>运</w:t>
                  </w:r>
                  <w:r>
                    <w:rPr>
                      <w:rFonts w:hAnsi="宋体"/>
                      <w:szCs w:val="21"/>
                    </w:rPr>
                    <w:t>期</w:t>
                  </w:r>
                </w:p>
              </w:tc>
              <w:tc>
                <w:tcPr>
                  <w:tcW w:w="593" w:type="pct"/>
                  <w:vMerge w:val="restart"/>
                  <w:vAlign w:val="center"/>
                </w:tcPr>
                <w:p>
                  <w:pPr>
                    <w:spacing w:line="240" w:lineRule="exact"/>
                    <w:jc w:val="center"/>
                    <w:rPr>
                      <w:rFonts w:hAnsi="宋体"/>
                      <w:szCs w:val="21"/>
                    </w:rPr>
                  </w:pPr>
                  <w:r>
                    <w:rPr>
                      <w:rFonts w:hAnsi="宋体"/>
                      <w:szCs w:val="21"/>
                    </w:rPr>
                    <w:t>食堂</w:t>
                  </w:r>
                </w:p>
                <w:p>
                  <w:pPr>
                    <w:spacing w:line="240" w:lineRule="exact"/>
                    <w:jc w:val="center"/>
                    <w:rPr>
                      <w:szCs w:val="21"/>
                    </w:rPr>
                  </w:pPr>
                  <w:r>
                    <w:rPr>
                      <w:rFonts w:hint="eastAsia" w:hAnsi="宋体"/>
                      <w:szCs w:val="21"/>
                    </w:rPr>
                    <w:t>油烟</w:t>
                  </w:r>
                </w:p>
              </w:tc>
              <w:tc>
                <w:tcPr>
                  <w:tcW w:w="924" w:type="pct"/>
                  <w:vAlign w:val="center"/>
                </w:tcPr>
                <w:p>
                  <w:pPr>
                    <w:spacing w:line="240" w:lineRule="exact"/>
                    <w:jc w:val="center"/>
                    <w:rPr>
                      <w:szCs w:val="21"/>
                    </w:rPr>
                  </w:pPr>
                  <w:r>
                    <w:rPr>
                      <w:rFonts w:hAnsi="宋体"/>
                      <w:szCs w:val="21"/>
                    </w:rPr>
                    <w:t>油烟</w:t>
                  </w:r>
                </w:p>
              </w:tc>
              <w:tc>
                <w:tcPr>
                  <w:tcW w:w="1063" w:type="pct"/>
                  <w:vAlign w:val="center"/>
                </w:tcPr>
                <w:p>
                  <w:pPr>
                    <w:spacing w:line="240" w:lineRule="exact"/>
                    <w:ind w:firstLine="412" w:firstLineChars="200"/>
                    <w:rPr>
                      <w:szCs w:val="21"/>
                    </w:rPr>
                  </w:pPr>
                  <w:r>
                    <w:rPr>
                      <w:szCs w:val="21"/>
                    </w:rPr>
                    <w:t>≤2.0mg/m³</w:t>
                  </w:r>
                </w:p>
              </w:tc>
              <w:tc>
                <w:tcPr>
                  <w:tcW w:w="1864" w:type="pct"/>
                  <w:vMerge w:val="restart"/>
                  <w:vAlign w:val="center"/>
                </w:tcPr>
                <w:p>
                  <w:pPr>
                    <w:spacing w:line="240" w:lineRule="exact"/>
                    <w:jc w:val="center"/>
                    <w:rPr>
                      <w:szCs w:val="21"/>
                    </w:rPr>
                  </w:pPr>
                  <w:r>
                    <w:rPr>
                      <w:rFonts w:hAnsi="宋体"/>
                      <w:szCs w:val="21"/>
                    </w:rPr>
                    <w:t>《饮食业油烟排放标准》（</w:t>
                  </w:r>
                  <w:r>
                    <w:rPr>
                      <w:szCs w:val="21"/>
                    </w:rPr>
                    <w:t>GB18483-2001</w:t>
                  </w:r>
                  <w:r>
                    <w:rPr>
                      <w:rFonts w:hAnsi="宋体"/>
                      <w:szCs w:val="21"/>
                    </w:rPr>
                    <w:t>）表</w:t>
                  </w:r>
                  <w:r>
                    <w:rPr>
                      <w:szCs w:val="21"/>
                    </w:rPr>
                    <w:t>2</w:t>
                  </w:r>
                  <w:r>
                    <w:rPr>
                      <w:rFonts w:hAnsi="宋体"/>
                      <w:szCs w:val="21"/>
                    </w:rPr>
                    <w:t>小型标准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rFonts w:hAnsi="宋体"/>
                      <w:szCs w:val="21"/>
                    </w:rPr>
                    <w:t>最低去除率</w:t>
                  </w:r>
                </w:p>
              </w:tc>
              <w:tc>
                <w:tcPr>
                  <w:tcW w:w="1063" w:type="pct"/>
                  <w:vAlign w:val="center"/>
                </w:tcPr>
                <w:p>
                  <w:pPr>
                    <w:spacing w:line="240" w:lineRule="exact"/>
                    <w:jc w:val="center"/>
                    <w:rPr>
                      <w:szCs w:val="21"/>
                    </w:rPr>
                  </w:pPr>
                  <w:r>
                    <w:rPr>
                      <w:szCs w:val="21"/>
                    </w:rPr>
                    <w:t>60%</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restart"/>
                  <w:vAlign w:val="center"/>
                </w:tcPr>
                <w:p>
                  <w:pPr>
                    <w:spacing w:line="240" w:lineRule="exact"/>
                    <w:jc w:val="center"/>
                    <w:rPr>
                      <w:szCs w:val="21"/>
                    </w:rPr>
                  </w:pPr>
                  <w:r>
                    <w:rPr>
                      <w:rFonts w:hint="eastAsia"/>
                      <w:szCs w:val="21"/>
                    </w:rPr>
                    <w:t>抛丸工序</w:t>
                  </w:r>
                </w:p>
              </w:tc>
              <w:tc>
                <w:tcPr>
                  <w:tcW w:w="924" w:type="pct"/>
                  <w:vMerge w:val="restart"/>
                  <w:vAlign w:val="center"/>
                </w:tcPr>
                <w:p>
                  <w:pPr>
                    <w:spacing w:line="240" w:lineRule="exact"/>
                    <w:jc w:val="center"/>
                    <w:rPr>
                      <w:rFonts w:hAnsi="宋体"/>
                      <w:szCs w:val="21"/>
                    </w:rPr>
                  </w:pPr>
                  <w:r>
                    <w:rPr>
                      <w:rFonts w:hAnsi="宋体"/>
                      <w:szCs w:val="21"/>
                    </w:rPr>
                    <w:t>颗粒物</w:t>
                  </w:r>
                </w:p>
                <w:p>
                  <w:pPr>
                    <w:spacing w:line="240" w:lineRule="exact"/>
                    <w:jc w:val="center"/>
                    <w:rPr>
                      <w:rFonts w:hAnsi="宋体"/>
                      <w:szCs w:val="21"/>
                    </w:rPr>
                  </w:pPr>
                  <w:r>
                    <w:rPr>
                      <w:rFonts w:hAnsi="宋体"/>
                      <w:szCs w:val="21"/>
                    </w:rPr>
                    <w:t>（有组织）</w:t>
                  </w:r>
                </w:p>
              </w:tc>
              <w:tc>
                <w:tcPr>
                  <w:tcW w:w="1063" w:type="pct"/>
                  <w:vAlign w:val="center"/>
                </w:tcPr>
                <w:p>
                  <w:pPr>
                    <w:spacing w:line="240" w:lineRule="exact"/>
                    <w:jc w:val="center"/>
                    <w:rPr>
                      <w:szCs w:val="21"/>
                    </w:rPr>
                  </w:pPr>
                  <w:r>
                    <w:rPr>
                      <w:szCs w:val="21"/>
                    </w:rPr>
                    <w:t>≤120mg/m</w:t>
                  </w:r>
                  <w:r>
                    <w:rPr>
                      <w:szCs w:val="21"/>
                      <w:vertAlign w:val="superscript"/>
                    </w:rPr>
                    <w:t>3</w:t>
                  </w:r>
                </w:p>
              </w:tc>
              <w:tc>
                <w:tcPr>
                  <w:tcW w:w="1864" w:type="pct"/>
                  <w:vMerge w:val="restart"/>
                  <w:vAlign w:val="center"/>
                </w:tcPr>
                <w:p>
                  <w:pPr>
                    <w:spacing w:line="240" w:lineRule="exact"/>
                    <w:ind w:firstLine="412" w:firstLineChars="200"/>
                    <w:rPr>
                      <w:szCs w:val="21"/>
                    </w:rPr>
                  </w:pPr>
                  <w:r>
                    <w:rPr>
                      <w:rFonts w:hAnsi="宋体"/>
                      <w:bCs/>
                      <w:szCs w:val="21"/>
                    </w:rPr>
                    <w:t>执行《大气污染物综合排放标准》</w:t>
                  </w:r>
                  <w:r>
                    <w:rPr>
                      <w:bCs/>
                      <w:szCs w:val="21"/>
                    </w:rPr>
                    <w:t>(GB16297-1996)</w:t>
                  </w:r>
                  <w:r>
                    <w:rPr>
                      <w:rFonts w:hAnsi="宋体"/>
                      <w:bCs/>
                      <w:szCs w:val="21"/>
                    </w:rPr>
                    <w:t>表</w:t>
                  </w:r>
                  <w:r>
                    <w:rPr>
                      <w:bCs/>
                      <w:szCs w:val="21"/>
                    </w:rPr>
                    <w:t>2</w:t>
                  </w:r>
                  <w:r>
                    <w:rPr>
                      <w:rFonts w:hAnsi="宋体"/>
                      <w:bCs/>
                      <w:szCs w:val="21"/>
                    </w:rPr>
                    <w:t>其他行业</w:t>
                  </w:r>
                  <w:r>
                    <w:rPr>
                      <w:rFonts w:hint="eastAsia" w:hAnsi="宋体"/>
                      <w:bCs/>
                      <w:szCs w:val="21"/>
                    </w:rPr>
                    <w:t>二级</w:t>
                  </w:r>
                  <w:r>
                    <w:rPr>
                      <w:rFonts w:hAnsi="宋体"/>
                      <w:bCs/>
                      <w:szCs w:val="21"/>
                    </w:rPr>
                    <w:t>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rPr>
                      <w:szCs w:val="21"/>
                    </w:rPr>
                  </w:pPr>
                </w:p>
              </w:tc>
              <w:tc>
                <w:tcPr>
                  <w:tcW w:w="924" w:type="pct"/>
                  <w:vMerge w:val="continue"/>
                  <w:vAlign w:val="center"/>
                </w:tcPr>
                <w:p>
                  <w:pPr>
                    <w:spacing w:line="240" w:lineRule="exact"/>
                    <w:jc w:val="center"/>
                    <w:rPr>
                      <w:rFonts w:hAnsi="宋体"/>
                      <w:szCs w:val="21"/>
                    </w:rPr>
                  </w:pPr>
                </w:p>
              </w:tc>
              <w:tc>
                <w:tcPr>
                  <w:tcW w:w="1063" w:type="pct"/>
                  <w:vAlign w:val="center"/>
                </w:tcPr>
                <w:p>
                  <w:pPr>
                    <w:spacing w:line="240" w:lineRule="exact"/>
                    <w:rPr>
                      <w:szCs w:val="21"/>
                    </w:rPr>
                  </w:pPr>
                  <w:r>
                    <w:rPr>
                      <w:szCs w:val="21"/>
                    </w:rPr>
                    <w:t>15</w:t>
                  </w:r>
                  <w:r>
                    <w:rPr>
                      <w:rFonts w:hAnsi="宋体"/>
                      <w:szCs w:val="21"/>
                    </w:rPr>
                    <w:t>米排气筒，排放速率</w:t>
                  </w:r>
                  <w:r>
                    <w:rPr>
                      <w:szCs w:val="21"/>
                    </w:rPr>
                    <w:t>≤3.5kg/h</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restart"/>
                  <w:vAlign w:val="center"/>
                </w:tcPr>
                <w:p>
                  <w:pPr>
                    <w:spacing w:line="240" w:lineRule="exact"/>
                    <w:jc w:val="center"/>
                    <w:rPr>
                      <w:szCs w:val="21"/>
                    </w:rPr>
                  </w:pPr>
                  <w:r>
                    <w:rPr>
                      <w:rFonts w:hint="eastAsia"/>
                      <w:szCs w:val="21"/>
                    </w:rPr>
                    <w:t>焊接工序</w:t>
                  </w:r>
                </w:p>
              </w:tc>
              <w:tc>
                <w:tcPr>
                  <w:tcW w:w="924" w:type="pct"/>
                  <w:vMerge w:val="restart"/>
                  <w:vAlign w:val="center"/>
                </w:tcPr>
                <w:p>
                  <w:pPr>
                    <w:spacing w:line="240" w:lineRule="exact"/>
                    <w:jc w:val="center"/>
                    <w:rPr>
                      <w:rFonts w:hAnsi="宋体"/>
                      <w:szCs w:val="21"/>
                    </w:rPr>
                  </w:pPr>
                  <w:r>
                    <w:rPr>
                      <w:rFonts w:hAnsi="宋体"/>
                      <w:szCs w:val="21"/>
                    </w:rPr>
                    <w:t>颗粒物</w:t>
                  </w:r>
                </w:p>
                <w:p>
                  <w:pPr>
                    <w:spacing w:line="240" w:lineRule="exact"/>
                    <w:jc w:val="center"/>
                    <w:rPr>
                      <w:szCs w:val="21"/>
                    </w:rPr>
                  </w:pPr>
                  <w:r>
                    <w:rPr>
                      <w:rFonts w:hAnsi="宋体"/>
                      <w:szCs w:val="21"/>
                    </w:rPr>
                    <w:t>（有组织）</w:t>
                  </w:r>
                </w:p>
              </w:tc>
              <w:tc>
                <w:tcPr>
                  <w:tcW w:w="1063" w:type="pct"/>
                  <w:vAlign w:val="center"/>
                </w:tcPr>
                <w:p>
                  <w:pPr>
                    <w:spacing w:line="240" w:lineRule="exact"/>
                    <w:jc w:val="center"/>
                    <w:rPr>
                      <w:szCs w:val="21"/>
                    </w:rPr>
                  </w:pPr>
                  <w:r>
                    <w:rPr>
                      <w:szCs w:val="21"/>
                    </w:rPr>
                    <w:t>≤120mg/m</w:t>
                  </w:r>
                  <w:r>
                    <w:rPr>
                      <w:szCs w:val="21"/>
                      <w:vertAlign w:val="superscript"/>
                    </w:rPr>
                    <w:t>3</w:t>
                  </w:r>
                </w:p>
              </w:tc>
              <w:tc>
                <w:tcPr>
                  <w:tcW w:w="1864" w:type="pct"/>
                  <w:vMerge w:val="restart"/>
                  <w:vAlign w:val="center"/>
                </w:tcPr>
                <w:p>
                  <w:pPr>
                    <w:spacing w:line="240" w:lineRule="exact"/>
                    <w:jc w:val="center"/>
                    <w:rPr>
                      <w:szCs w:val="21"/>
                    </w:rPr>
                  </w:pPr>
                  <w:r>
                    <w:rPr>
                      <w:rFonts w:hAnsi="宋体"/>
                      <w:bCs/>
                      <w:szCs w:val="21"/>
                    </w:rPr>
                    <w:t>执行《大气污染物综合排放标准》</w:t>
                  </w:r>
                  <w:r>
                    <w:rPr>
                      <w:bCs/>
                      <w:szCs w:val="21"/>
                    </w:rPr>
                    <w:t>(GB16297-1996)</w:t>
                  </w:r>
                  <w:r>
                    <w:rPr>
                      <w:rFonts w:hAnsi="宋体"/>
                      <w:bCs/>
                      <w:szCs w:val="21"/>
                    </w:rPr>
                    <w:t>表</w:t>
                  </w:r>
                  <w:r>
                    <w:rPr>
                      <w:bCs/>
                      <w:szCs w:val="21"/>
                    </w:rPr>
                    <w:t>2</w:t>
                  </w:r>
                  <w:r>
                    <w:rPr>
                      <w:rFonts w:hAnsi="宋体"/>
                      <w:bCs/>
                      <w:szCs w:val="21"/>
                    </w:rPr>
                    <w:t>其他行业</w:t>
                  </w:r>
                  <w:r>
                    <w:rPr>
                      <w:rFonts w:hint="eastAsia" w:hAnsi="宋体"/>
                      <w:bCs/>
                      <w:szCs w:val="21"/>
                    </w:rPr>
                    <w:t>二级</w:t>
                  </w:r>
                  <w:r>
                    <w:rPr>
                      <w:rFonts w:hAnsi="宋体"/>
                      <w:bCs/>
                      <w:szCs w:val="21"/>
                    </w:rPr>
                    <w:t>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1" w:type="pct"/>
                  <w:vMerge w:val="continue"/>
                  <w:vAlign w:val="center"/>
                </w:tcPr>
                <w:p>
                  <w:pPr>
                    <w:spacing w:line="240" w:lineRule="exact"/>
                    <w:jc w:val="center"/>
                    <w:rPr>
                      <w:szCs w:val="21"/>
                    </w:rPr>
                  </w:pPr>
                </w:p>
              </w:tc>
              <w:tc>
                <w:tcPr>
                  <w:tcW w:w="275" w:type="pct"/>
                  <w:vMerge w:val="continue"/>
                  <w:vAlign w:val="center"/>
                </w:tcPr>
                <w:p>
                  <w:pPr>
                    <w:spacing w:line="240" w:lineRule="exact"/>
                    <w:jc w:val="center"/>
                    <w:rPr>
                      <w:szCs w:val="21"/>
                    </w:rPr>
                  </w:pPr>
                </w:p>
              </w:tc>
              <w:tc>
                <w:tcPr>
                  <w:tcW w:w="593" w:type="pct"/>
                  <w:vMerge w:val="continue"/>
                  <w:vAlign w:val="center"/>
                </w:tcPr>
                <w:p>
                  <w:pPr>
                    <w:spacing w:line="240" w:lineRule="exact"/>
                    <w:jc w:val="center"/>
                    <w:rPr>
                      <w:szCs w:val="21"/>
                    </w:rPr>
                  </w:pPr>
                </w:p>
              </w:tc>
              <w:tc>
                <w:tcPr>
                  <w:tcW w:w="924" w:type="pct"/>
                  <w:vMerge w:val="continue"/>
                  <w:vAlign w:val="center"/>
                </w:tcPr>
                <w:p>
                  <w:pPr>
                    <w:spacing w:line="240" w:lineRule="exact"/>
                    <w:jc w:val="center"/>
                    <w:rPr>
                      <w:szCs w:val="21"/>
                    </w:rPr>
                  </w:pPr>
                </w:p>
              </w:tc>
              <w:tc>
                <w:tcPr>
                  <w:tcW w:w="1063" w:type="pct"/>
                  <w:vAlign w:val="center"/>
                </w:tcPr>
                <w:p>
                  <w:pPr>
                    <w:spacing w:line="240" w:lineRule="exact"/>
                    <w:rPr>
                      <w:szCs w:val="21"/>
                    </w:rPr>
                  </w:pPr>
                  <w:r>
                    <w:rPr>
                      <w:szCs w:val="21"/>
                    </w:rPr>
                    <w:t>15</w:t>
                  </w:r>
                  <w:r>
                    <w:rPr>
                      <w:rFonts w:hAnsi="宋体"/>
                      <w:szCs w:val="21"/>
                    </w:rPr>
                    <w:t>米排气筒，排放速率</w:t>
                  </w:r>
                  <w:r>
                    <w:rPr>
                      <w:szCs w:val="21"/>
                    </w:rPr>
                    <w:t>≤3.5kg/h</w:t>
                  </w:r>
                </w:p>
              </w:tc>
              <w:tc>
                <w:tcPr>
                  <w:tcW w:w="1864" w:type="pct"/>
                  <w:vMerge w:val="continue"/>
                  <w:vAlign w:val="center"/>
                </w:tcPr>
                <w:p>
                  <w:pPr>
                    <w:spacing w:line="24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jc w:val="center"/>
                    <w:rPr>
                      <w:szCs w:val="21"/>
                    </w:rPr>
                  </w:pPr>
                </w:p>
              </w:tc>
              <w:tc>
                <w:tcPr>
                  <w:tcW w:w="924" w:type="pct"/>
                  <w:vAlign w:val="center"/>
                </w:tcPr>
                <w:p>
                  <w:pPr>
                    <w:spacing w:line="240" w:lineRule="exact"/>
                    <w:jc w:val="center"/>
                    <w:rPr>
                      <w:rFonts w:hAnsi="宋体"/>
                      <w:szCs w:val="21"/>
                    </w:rPr>
                  </w:pPr>
                  <w:r>
                    <w:rPr>
                      <w:rFonts w:hAnsi="宋体"/>
                      <w:szCs w:val="21"/>
                    </w:rPr>
                    <w:t>颗粒物</w:t>
                  </w:r>
                </w:p>
                <w:p>
                  <w:pPr>
                    <w:spacing w:line="240" w:lineRule="exact"/>
                    <w:jc w:val="center"/>
                    <w:rPr>
                      <w:szCs w:val="21"/>
                    </w:rPr>
                  </w:pPr>
                  <w:r>
                    <w:rPr>
                      <w:rFonts w:hAnsi="宋体"/>
                      <w:szCs w:val="21"/>
                    </w:rPr>
                    <w:t>（无组织）</w:t>
                  </w:r>
                </w:p>
              </w:tc>
              <w:tc>
                <w:tcPr>
                  <w:tcW w:w="1063" w:type="pct"/>
                  <w:vAlign w:val="center"/>
                </w:tcPr>
                <w:p>
                  <w:pPr>
                    <w:spacing w:line="240" w:lineRule="exact"/>
                    <w:jc w:val="center"/>
                    <w:rPr>
                      <w:szCs w:val="21"/>
                    </w:rPr>
                  </w:pPr>
                  <w:r>
                    <w:rPr>
                      <w:szCs w:val="21"/>
                    </w:rPr>
                    <w:t>≤</w:t>
                  </w:r>
                  <w:r>
                    <w:rPr>
                      <w:rFonts w:hint="eastAsia"/>
                      <w:szCs w:val="21"/>
                    </w:rPr>
                    <w:t>1.0</w:t>
                  </w:r>
                  <w:r>
                    <w:rPr>
                      <w:szCs w:val="21"/>
                    </w:rPr>
                    <w:t>mg/m</w:t>
                  </w:r>
                  <w:r>
                    <w:rPr>
                      <w:szCs w:val="21"/>
                      <w:vertAlign w:val="superscript"/>
                    </w:rPr>
                    <w:t>3</w:t>
                  </w:r>
                </w:p>
              </w:tc>
              <w:tc>
                <w:tcPr>
                  <w:tcW w:w="1864" w:type="pct"/>
                  <w:vAlign w:val="center"/>
                </w:tcPr>
                <w:p>
                  <w:pPr>
                    <w:spacing w:line="240" w:lineRule="exact"/>
                    <w:ind w:firstLine="412" w:firstLineChars="200"/>
                    <w:jc w:val="center"/>
                    <w:rPr>
                      <w:szCs w:val="21"/>
                    </w:rPr>
                  </w:pPr>
                  <w:r>
                    <w:rPr>
                      <w:rFonts w:hAnsi="宋体"/>
                      <w:bCs/>
                      <w:szCs w:val="21"/>
                    </w:rPr>
                    <w:t>执行《大气污染物综合排放标准》</w:t>
                  </w:r>
                  <w:r>
                    <w:rPr>
                      <w:bCs/>
                      <w:szCs w:val="21"/>
                    </w:rPr>
                    <w:t>(GB16297-1996)</w:t>
                  </w:r>
                  <w:r>
                    <w:rPr>
                      <w:rFonts w:hAnsi="宋体"/>
                      <w:bCs/>
                      <w:szCs w:val="21"/>
                    </w:rPr>
                    <w:t>表</w:t>
                  </w:r>
                  <w:r>
                    <w:rPr>
                      <w:bCs/>
                      <w:szCs w:val="21"/>
                    </w:rPr>
                    <w:t>2</w:t>
                  </w:r>
                  <w:r>
                    <w:rPr>
                      <w:rFonts w:hAnsi="宋体"/>
                      <w:bCs/>
                      <w:szCs w:val="21"/>
                    </w:rPr>
                    <w:t>其他行业</w:t>
                  </w:r>
                  <w:r>
                    <w:rPr>
                      <w:rFonts w:hint="eastAsia" w:hAnsi="宋体"/>
                      <w:bCs/>
                      <w:szCs w:val="21"/>
                    </w:rPr>
                    <w:t>无组织监控点浓度限值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Align w:val="center"/>
                </w:tcPr>
                <w:p>
                  <w:pPr>
                    <w:spacing w:line="240" w:lineRule="exact"/>
                    <w:jc w:val="center"/>
                    <w:rPr>
                      <w:szCs w:val="21"/>
                    </w:rPr>
                  </w:pPr>
                  <w:r>
                    <w:rPr>
                      <w:rFonts w:hint="eastAsia"/>
                      <w:szCs w:val="21"/>
                    </w:rPr>
                    <w:t>打磨工序</w:t>
                  </w:r>
                </w:p>
              </w:tc>
              <w:tc>
                <w:tcPr>
                  <w:tcW w:w="924" w:type="pct"/>
                  <w:vAlign w:val="center"/>
                </w:tcPr>
                <w:p>
                  <w:pPr>
                    <w:spacing w:line="240" w:lineRule="exact"/>
                    <w:jc w:val="center"/>
                    <w:rPr>
                      <w:rFonts w:hAnsi="宋体"/>
                      <w:szCs w:val="21"/>
                    </w:rPr>
                  </w:pPr>
                  <w:r>
                    <w:rPr>
                      <w:rFonts w:hAnsi="宋体"/>
                      <w:szCs w:val="21"/>
                    </w:rPr>
                    <w:t>颗粒物</w:t>
                  </w:r>
                </w:p>
                <w:p>
                  <w:pPr>
                    <w:spacing w:line="240" w:lineRule="exact"/>
                    <w:jc w:val="center"/>
                    <w:rPr>
                      <w:szCs w:val="21"/>
                    </w:rPr>
                  </w:pPr>
                  <w:r>
                    <w:rPr>
                      <w:rFonts w:hAnsi="宋体"/>
                      <w:szCs w:val="21"/>
                    </w:rPr>
                    <w:t>（无组织）</w:t>
                  </w:r>
                </w:p>
              </w:tc>
              <w:tc>
                <w:tcPr>
                  <w:tcW w:w="1063" w:type="pct"/>
                  <w:vAlign w:val="center"/>
                </w:tcPr>
                <w:p>
                  <w:pPr>
                    <w:spacing w:line="240" w:lineRule="exact"/>
                    <w:jc w:val="center"/>
                    <w:rPr>
                      <w:szCs w:val="21"/>
                    </w:rPr>
                  </w:pPr>
                  <w:r>
                    <w:rPr>
                      <w:szCs w:val="21"/>
                    </w:rPr>
                    <w:t>≤</w:t>
                  </w:r>
                  <w:r>
                    <w:rPr>
                      <w:rFonts w:hint="eastAsia"/>
                      <w:szCs w:val="21"/>
                    </w:rPr>
                    <w:t>1.0</w:t>
                  </w:r>
                  <w:r>
                    <w:rPr>
                      <w:szCs w:val="21"/>
                    </w:rPr>
                    <w:t>mg/m</w:t>
                  </w:r>
                  <w:r>
                    <w:rPr>
                      <w:szCs w:val="21"/>
                      <w:vertAlign w:val="superscript"/>
                    </w:rPr>
                    <w:t>3</w:t>
                  </w:r>
                </w:p>
              </w:tc>
              <w:tc>
                <w:tcPr>
                  <w:tcW w:w="1864" w:type="pct"/>
                  <w:vAlign w:val="center"/>
                </w:tcPr>
                <w:p>
                  <w:pPr>
                    <w:spacing w:line="240" w:lineRule="exact"/>
                    <w:ind w:firstLine="412" w:firstLineChars="200"/>
                    <w:jc w:val="center"/>
                    <w:rPr>
                      <w:szCs w:val="21"/>
                    </w:rPr>
                  </w:pPr>
                  <w:r>
                    <w:rPr>
                      <w:rFonts w:hAnsi="宋体"/>
                      <w:bCs/>
                      <w:szCs w:val="21"/>
                    </w:rPr>
                    <w:t>执行《大气污染物综合排放标准》</w:t>
                  </w:r>
                  <w:r>
                    <w:rPr>
                      <w:bCs/>
                      <w:szCs w:val="21"/>
                    </w:rPr>
                    <w:t>(GB16297-1996)</w:t>
                  </w:r>
                  <w:r>
                    <w:rPr>
                      <w:rFonts w:hAnsi="宋体"/>
                      <w:bCs/>
                      <w:szCs w:val="21"/>
                    </w:rPr>
                    <w:t>表</w:t>
                  </w:r>
                  <w:r>
                    <w:rPr>
                      <w:bCs/>
                      <w:szCs w:val="21"/>
                    </w:rPr>
                    <w:t>2</w:t>
                  </w:r>
                  <w:r>
                    <w:rPr>
                      <w:rFonts w:hAnsi="宋体"/>
                      <w:bCs/>
                      <w:szCs w:val="21"/>
                    </w:rPr>
                    <w:t>其他行业</w:t>
                  </w:r>
                  <w:r>
                    <w:rPr>
                      <w:rFonts w:hint="eastAsia" w:hAnsi="宋体"/>
                      <w:bCs/>
                      <w:szCs w:val="21"/>
                    </w:rPr>
                    <w:t>无组织监控点浓度限值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restart"/>
                  <w:vAlign w:val="center"/>
                </w:tcPr>
                <w:p>
                  <w:pPr>
                    <w:spacing w:line="240" w:lineRule="exact"/>
                    <w:rPr>
                      <w:szCs w:val="21"/>
                    </w:rPr>
                  </w:pPr>
                  <w:r>
                    <w:rPr>
                      <w:rFonts w:hint="eastAsia"/>
                      <w:szCs w:val="21"/>
                    </w:rPr>
                    <w:t>喷漆、烘干工序</w:t>
                  </w:r>
                </w:p>
              </w:tc>
              <w:tc>
                <w:tcPr>
                  <w:tcW w:w="924" w:type="pct"/>
                  <w:vMerge w:val="restart"/>
                  <w:vAlign w:val="center"/>
                </w:tcPr>
                <w:p>
                  <w:pPr>
                    <w:spacing w:line="240" w:lineRule="exact"/>
                    <w:jc w:val="center"/>
                    <w:rPr>
                      <w:rFonts w:hAnsi="宋体"/>
                      <w:szCs w:val="21"/>
                    </w:rPr>
                  </w:pPr>
                  <w:r>
                    <w:rPr>
                      <w:rFonts w:hAnsi="宋体"/>
                      <w:szCs w:val="21"/>
                    </w:rPr>
                    <w:t>颗粒物</w:t>
                  </w:r>
                </w:p>
                <w:p>
                  <w:pPr>
                    <w:spacing w:line="240" w:lineRule="exact"/>
                    <w:jc w:val="center"/>
                    <w:rPr>
                      <w:szCs w:val="21"/>
                    </w:rPr>
                  </w:pPr>
                  <w:r>
                    <w:rPr>
                      <w:rFonts w:hAnsi="宋体"/>
                      <w:szCs w:val="21"/>
                    </w:rPr>
                    <w:t>（有组织）</w:t>
                  </w:r>
                </w:p>
              </w:tc>
              <w:tc>
                <w:tcPr>
                  <w:tcW w:w="1063" w:type="pct"/>
                  <w:vAlign w:val="center"/>
                </w:tcPr>
                <w:p>
                  <w:pPr>
                    <w:spacing w:line="240" w:lineRule="exact"/>
                    <w:jc w:val="center"/>
                    <w:rPr>
                      <w:szCs w:val="21"/>
                    </w:rPr>
                  </w:pPr>
                  <w:r>
                    <w:rPr>
                      <w:szCs w:val="21"/>
                    </w:rPr>
                    <w:t>≤120mg/m</w:t>
                  </w:r>
                  <w:r>
                    <w:rPr>
                      <w:szCs w:val="21"/>
                      <w:vertAlign w:val="superscript"/>
                    </w:rPr>
                    <w:t>3</w:t>
                  </w:r>
                </w:p>
              </w:tc>
              <w:tc>
                <w:tcPr>
                  <w:tcW w:w="1864" w:type="pct"/>
                  <w:vMerge w:val="restart"/>
                  <w:vAlign w:val="center"/>
                </w:tcPr>
                <w:p>
                  <w:pPr>
                    <w:spacing w:line="240" w:lineRule="exact"/>
                    <w:jc w:val="center"/>
                    <w:rPr>
                      <w:szCs w:val="21"/>
                    </w:rPr>
                  </w:pPr>
                  <w:r>
                    <w:rPr>
                      <w:rFonts w:hAnsi="宋体"/>
                      <w:bCs/>
                      <w:szCs w:val="21"/>
                    </w:rPr>
                    <w:t>执行《大气污染物综合排放标准》</w:t>
                  </w:r>
                  <w:r>
                    <w:rPr>
                      <w:bCs/>
                      <w:szCs w:val="21"/>
                    </w:rPr>
                    <w:t>(GB16297-1996)</w:t>
                  </w:r>
                  <w:r>
                    <w:rPr>
                      <w:rFonts w:hAnsi="宋体"/>
                      <w:bCs/>
                      <w:szCs w:val="21"/>
                    </w:rPr>
                    <w:t>表</w:t>
                  </w:r>
                  <w:r>
                    <w:rPr>
                      <w:bCs/>
                      <w:szCs w:val="21"/>
                    </w:rPr>
                    <w:t>2</w:t>
                  </w:r>
                  <w:r>
                    <w:rPr>
                      <w:rFonts w:hAnsi="宋体"/>
                      <w:bCs/>
                      <w:szCs w:val="21"/>
                    </w:rPr>
                    <w:t>其他行业</w:t>
                  </w:r>
                  <w:r>
                    <w:rPr>
                      <w:rFonts w:hint="eastAsia" w:hAnsi="宋体"/>
                      <w:bCs/>
                      <w:szCs w:val="21"/>
                    </w:rPr>
                    <w:t>二级</w:t>
                  </w:r>
                  <w:r>
                    <w:rPr>
                      <w:rFonts w:hAnsi="宋体"/>
                      <w:bCs/>
                      <w:szCs w:val="21"/>
                    </w:rPr>
                    <w:t>排放限值</w:t>
                  </w:r>
                  <w:r>
                    <w:rPr>
                      <w:rFonts w:hint="eastAsia" w:hAnsi="宋体"/>
                      <w:bCs/>
                      <w:szCs w:val="21"/>
                    </w:rPr>
                    <w:t>和无组织监控点浓度限值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1" w:type="pct"/>
                  <w:vMerge w:val="continue"/>
                  <w:vAlign w:val="center"/>
                </w:tcPr>
                <w:p>
                  <w:pPr>
                    <w:spacing w:line="240" w:lineRule="exact"/>
                    <w:jc w:val="center"/>
                  </w:pPr>
                </w:p>
              </w:tc>
              <w:tc>
                <w:tcPr>
                  <w:tcW w:w="275" w:type="pct"/>
                  <w:vMerge w:val="continue"/>
                  <w:vAlign w:val="center"/>
                </w:tcPr>
                <w:p>
                  <w:pPr>
                    <w:spacing w:line="240" w:lineRule="exact"/>
                    <w:jc w:val="center"/>
                  </w:pPr>
                </w:p>
              </w:tc>
              <w:tc>
                <w:tcPr>
                  <w:tcW w:w="593" w:type="pct"/>
                  <w:vMerge w:val="continue"/>
                  <w:vAlign w:val="center"/>
                </w:tcPr>
                <w:p>
                  <w:pPr>
                    <w:spacing w:line="240" w:lineRule="exact"/>
                    <w:jc w:val="center"/>
                  </w:pPr>
                </w:p>
              </w:tc>
              <w:tc>
                <w:tcPr>
                  <w:tcW w:w="924" w:type="pct"/>
                  <w:vMerge w:val="continue"/>
                  <w:vAlign w:val="center"/>
                </w:tcPr>
                <w:p>
                  <w:pPr>
                    <w:spacing w:line="240" w:lineRule="exact"/>
                    <w:jc w:val="center"/>
                  </w:pPr>
                </w:p>
              </w:tc>
              <w:tc>
                <w:tcPr>
                  <w:tcW w:w="1063" w:type="pct"/>
                  <w:vAlign w:val="center"/>
                </w:tcPr>
                <w:p>
                  <w:pPr>
                    <w:spacing w:line="240" w:lineRule="exact"/>
                    <w:rPr>
                      <w:szCs w:val="21"/>
                    </w:rPr>
                  </w:pPr>
                  <w:r>
                    <w:rPr>
                      <w:szCs w:val="21"/>
                    </w:rPr>
                    <w:t>15</w:t>
                  </w:r>
                  <w:r>
                    <w:rPr>
                      <w:rFonts w:hAnsi="宋体"/>
                      <w:szCs w:val="21"/>
                    </w:rPr>
                    <w:t>米排气筒，排放速率</w:t>
                  </w:r>
                  <w:r>
                    <w:rPr>
                      <w:szCs w:val="21"/>
                    </w:rPr>
                    <w:t>≤3.5kg/h</w:t>
                  </w:r>
                </w:p>
              </w:tc>
              <w:tc>
                <w:tcPr>
                  <w:tcW w:w="1864" w:type="pct"/>
                  <w:vMerge w:val="continue"/>
                  <w:vAlign w:val="center"/>
                </w:tcPr>
                <w:p>
                  <w:pPr>
                    <w:spacing w:line="24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rPr>
                      <w:szCs w:val="21"/>
                    </w:rPr>
                  </w:pPr>
                </w:p>
              </w:tc>
              <w:tc>
                <w:tcPr>
                  <w:tcW w:w="924" w:type="pct"/>
                  <w:vAlign w:val="center"/>
                </w:tcPr>
                <w:p>
                  <w:pPr>
                    <w:spacing w:line="240" w:lineRule="exact"/>
                    <w:jc w:val="center"/>
                    <w:rPr>
                      <w:rFonts w:hAnsi="宋体"/>
                      <w:szCs w:val="21"/>
                    </w:rPr>
                  </w:pPr>
                  <w:r>
                    <w:rPr>
                      <w:rFonts w:hAnsi="宋体"/>
                      <w:szCs w:val="21"/>
                    </w:rPr>
                    <w:t>颗粒物</w:t>
                  </w:r>
                </w:p>
                <w:p>
                  <w:pPr>
                    <w:spacing w:line="240" w:lineRule="exact"/>
                    <w:jc w:val="center"/>
                    <w:rPr>
                      <w:szCs w:val="21"/>
                    </w:rPr>
                  </w:pPr>
                  <w:r>
                    <w:rPr>
                      <w:rFonts w:hAnsi="宋体"/>
                      <w:szCs w:val="21"/>
                    </w:rPr>
                    <w:t>（无组织）</w:t>
                  </w:r>
                </w:p>
              </w:tc>
              <w:tc>
                <w:tcPr>
                  <w:tcW w:w="1063" w:type="pct"/>
                  <w:vAlign w:val="center"/>
                </w:tcPr>
                <w:p>
                  <w:pPr>
                    <w:spacing w:line="240" w:lineRule="exact"/>
                    <w:jc w:val="center"/>
                    <w:rPr>
                      <w:szCs w:val="21"/>
                    </w:rPr>
                  </w:pPr>
                  <w:r>
                    <w:rPr>
                      <w:szCs w:val="21"/>
                    </w:rPr>
                    <w:t>≤</w:t>
                  </w:r>
                  <w:r>
                    <w:rPr>
                      <w:rFonts w:hint="eastAsia"/>
                      <w:szCs w:val="21"/>
                    </w:rPr>
                    <w:t>1.0</w:t>
                  </w:r>
                  <w:r>
                    <w:rPr>
                      <w:szCs w:val="21"/>
                    </w:rPr>
                    <w:t>mg/m</w:t>
                  </w:r>
                  <w:r>
                    <w:rPr>
                      <w:szCs w:val="21"/>
                      <w:vertAlign w:val="superscript"/>
                    </w:rPr>
                    <w:t>3</w:t>
                  </w:r>
                </w:p>
              </w:tc>
              <w:tc>
                <w:tcPr>
                  <w:tcW w:w="1864" w:type="pct"/>
                  <w:vMerge w:val="continue"/>
                  <w:vAlign w:val="center"/>
                </w:tcPr>
                <w:p>
                  <w:pPr>
                    <w:spacing w:line="240" w:lineRule="exact"/>
                    <w:ind w:firstLine="412" w:firstLineChars="200"/>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rPr>
                      <w:szCs w:val="21"/>
                    </w:rPr>
                  </w:pPr>
                </w:p>
              </w:tc>
              <w:tc>
                <w:tcPr>
                  <w:tcW w:w="924" w:type="pct"/>
                  <w:vAlign w:val="center"/>
                </w:tcPr>
                <w:p>
                  <w:pPr>
                    <w:spacing w:line="240" w:lineRule="exact"/>
                    <w:jc w:val="center"/>
                    <w:rPr>
                      <w:rFonts w:hAnsi="宋体"/>
                      <w:szCs w:val="21"/>
                    </w:rPr>
                  </w:pPr>
                  <w:r>
                    <w:rPr>
                      <w:rFonts w:hint="eastAsia"/>
                      <w:szCs w:val="21"/>
                    </w:rPr>
                    <w:t>非甲烷总烃</w:t>
                  </w:r>
                  <w:r>
                    <w:rPr>
                      <w:rFonts w:hAnsi="宋体"/>
                      <w:szCs w:val="21"/>
                    </w:rPr>
                    <w:t>（有组织）</w:t>
                  </w:r>
                </w:p>
              </w:tc>
              <w:tc>
                <w:tcPr>
                  <w:tcW w:w="1063" w:type="pct"/>
                  <w:vAlign w:val="center"/>
                </w:tcPr>
                <w:p>
                  <w:pPr>
                    <w:spacing w:line="240" w:lineRule="exact"/>
                    <w:jc w:val="center"/>
                    <w:rPr>
                      <w:szCs w:val="21"/>
                    </w:rPr>
                  </w:pPr>
                  <w:r>
                    <w:rPr>
                      <w:rFonts w:hint="eastAsia"/>
                      <w:szCs w:val="21"/>
                    </w:rPr>
                    <w:t>60</w:t>
                  </w:r>
                  <w:r>
                    <w:rPr>
                      <w:szCs w:val="21"/>
                    </w:rPr>
                    <w:t>mg/m</w:t>
                  </w:r>
                  <w:r>
                    <w:rPr>
                      <w:szCs w:val="21"/>
                      <w:vertAlign w:val="superscript"/>
                    </w:rPr>
                    <w:t>3</w:t>
                  </w:r>
                  <w:r>
                    <w:rPr>
                      <w:rFonts w:hint="eastAsia"/>
                      <w:szCs w:val="21"/>
                    </w:rPr>
                    <w:t>；最低去除率70%</w:t>
                  </w:r>
                </w:p>
              </w:tc>
              <w:tc>
                <w:tcPr>
                  <w:tcW w:w="1864" w:type="pct"/>
                  <w:vMerge w:val="restart"/>
                  <w:vAlign w:val="center"/>
                </w:tcPr>
                <w:p>
                  <w:pPr>
                    <w:spacing w:line="240" w:lineRule="exact"/>
                    <w:jc w:val="center"/>
                    <w:rPr>
                      <w:szCs w:val="21"/>
                    </w:rPr>
                  </w:pPr>
                  <w:r>
                    <w:rPr>
                      <w:rFonts w:hint="eastAsia"/>
                      <w:szCs w:val="21"/>
                    </w:rPr>
                    <w:t>《工业企业挥发性有机物排放控制标准》（DB13/2322-2016）表1中表面涂装业有机废气排放口限值及表2中“其他企业”的边界大气污染物浓度限值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1" w:type="pct"/>
                  <w:vMerge w:val="continue"/>
                  <w:vAlign w:val="center"/>
                </w:tcPr>
                <w:p>
                  <w:pPr>
                    <w:spacing w:line="240" w:lineRule="exact"/>
                    <w:jc w:val="center"/>
                  </w:pPr>
                </w:p>
              </w:tc>
              <w:tc>
                <w:tcPr>
                  <w:tcW w:w="275" w:type="pct"/>
                  <w:vMerge w:val="continue"/>
                  <w:vAlign w:val="center"/>
                </w:tcPr>
                <w:p>
                  <w:pPr>
                    <w:spacing w:line="240" w:lineRule="exact"/>
                    <w:jc w:val="center"/>
                  </w:pPr>
                </w:p>
              </w:tc>
              <w:tc>
                <w:tcPr>
                  <w:tcW w:w="593" w:type="pct"/>
                  <w:vMerge w:val="continue"/>
                  <w:vAlign w:val="center"/>
                </w:tcPr>
                <w:p>
                  <w:pPr>
                    <w:spacing w:line="240" w:lineRule="exact"/>
                    <w:jc w:val="center"/>
                  </w:pPr>
                </w:p>
              </w:tc>
              <w:tc>
                <w:tcPr>
                  <w:tcW w:w="924" w:type="pct"/>
                  <w:vMerge w:val="restart"/>
                  <w:vAlign w:val="center"/>
                </w:tcPr>
                <w:p>
                  <w:pPr>
                    <w:spacing w:line="240" w:lineRule="exact"/>
                    <w:jc w:val="center"/>
                  </w:pPr>
                  <w:r>
                    <w:rPr>
                      <w:rFonts w:hint="eastAsia"/>
                      <w:szCs w:val="21"/>
                    </w:rPr>
                    <w:t>非甲烷总烃</w:t>
                  </w:r>
                  <w:r>
                    <w:rPr>
                      <w:rFonts w:hAnsi="宋体"/>
                      <w:szCs w:val="21"/>
                    </w:rPr>
                    <w:t>（</w:t>
                  </w:r>
                  <w:r>
                    <w:rPr>
                      <w:rFonts w:hint="eastAsia" w:hAnsi="宋体"/>
                      <w:szCs w:val="21"/>
                    </w:rPr>
                    <w:t>无</w:t>
                  </w:r>
                  <w:r>
                    <w:rPr>
                      <w:rFonts w:hAnsi="宋体"/>
                      <w:szCs w:val="21"/>
                    </w:rPr>
                    <w:t>组织）</w:t>
                  </w:r>
                </w:p>
              </w:tc>
              <w:tc>
                <w:tcPr>
                  <w:tcW w:w="1063" w:type="pct"/>
                  <w:vAlign w:val="center"/>
                </w:tcPr>
                <w:p>
                  <w:pPr>
                    <w:spacing w:line="240" w:lineRule="exact"/>
                    <w:jc w:val="center"/>
                    <w:rPr>
                      <w:szCs w:val="21"/>
                    </w:rPr>
                  </w:pPr>
                  <w:r>
                    <w:rPr>
                      <w:szCs w:val="21"/>
                    </w:rPr>
                    <w:t>≤</w:t>
                  </w:r>
                  <w:r>
                    <w:rPr>
                      <w:rFonts w:hint="eastAsia"/>
                      <w:szCs w:val="21"/>
                    </w:rPr>
                    <w:t>2.0</w:t>
                  </w:r>
                  <w:r>
                    <w:rPr>
                      <w:szCs w:val="21"/>
                    </w:rPr>
                    <w:t>mg/m</w:t>
                  </w:r>
                  <w:r>
                    <w:rPr>
                      <w:szCs w:val="21"/>
                      <w:vertAlign w:val="superscript"/>
                    </w:rPr>
                    <w:t>3</w:t>
                  </w:r>
                </w:p>
              </w:tc>
              <w:tc>
                <w:tcPr>
                  <w:tcW w:w="1864" w:type="pct"/>
                  <w:vMerge w:val="continue"/>
                  <w:vAlign w:val="center"/>
                </w:tcPr>
                <w:p>
                  <w:pPr>
                    <w:spacing w:line="24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1" w:type="pct"/>
                  <w:vMerge w:val="continue"/>
                  <w:vAlign w:val="center"/>
                </w:tcPr>
                <w:p>
                  <w:pPr>
                    <w:spacing w:line="240" w:lineRule="exact"/>
                    <w:jc w:val="center"/>
                  </w:pPr>
                </w:p>
              </w:tc>
              <w:tc>
                <w:tcPr>
                  <w:tcW w:w="275" w:type="pct"/>
                  <w:vMerge w:val="continue"/>
                  <w:vAlign w:val="center"/>
                </w:tcPr>
                <w:p>
                  <w:pPr>
                    <w:spacing w:line="240" w:lineRule="exact"/>
                    <w:jc w:val="center"/>
                  </w:pPr>
                </w:p>
              </w:tc>
              <w:tc>
                <w:tcPr>
                  <w:tcW w:w="593" w:type="pct"/>
                  <w:vMerge w:val="continue"/>
                  <w:vAlign w:val="center"/>
                </w:tcPr>
                <w:p>
                  <w:pPr>
                    <w:spacing w:line="240" w:lineRule="exact"/>
                    <w:jc w:val="center"/>
                  </w:pPr>
                </w:p>
              </w:tc>
              <w:tc>
                <w:tcPr>
                  <w:tcW w:w="924" w:type="pct"/>
                  <w:vMerge w:val="continue"/>
                  <w:vAlign w:val="center"/>
                </w:tcPr>
                <w:p>
                  <w:pPr>
                    <w:spacing w:line="240" w:lineRule="exact"/>
                    <w:jc w:val="center"/>
                    <w:rPr>
                      <w:szCs w:val="21"/>
                    </w:rPr>
                  </w:pPr>
                </w:p>
              </w:tc>
              <w:tc>
                <w:tcPr>
                  <w:tcW w:w="1063" w:type="pct"/>
                  <w:vAlign w:val="center"/>
                </w:tcPr>
                <w:p>
                  <w:pPr>
                    <w:adjustRightInd w:val="0"/>
                    <w:snapToGrid w:val="0"/>
                    <w:spacing w:line="260" w:lineRule="exact"/>
                    <w:jc w:val="center"/>
                    <w:rPr>
                      <w:szCs w:val="21"/>
                    </w:rPr>
                  </w:pPr>
                  <w:r>
                    <w:rPr>
                      <w:snapToGrid w:val="0"/>
                      <w:szCs w:val="21"/>
                    </w:rPr>
                    <w:t>监控点处1h平均浓度值：排放限值</w:t>
                  </w:r>
                  <w:r>
                    <w:rPr>
                      <w:rFonts w:hint="eastAsia"/>
                      <w:snapToGrid w:val="0"/>
                      <w:szCs w:val="21"/>
                    </w:rPr>
                    <w:t>6</w:t>
                  </w:r>
                  <w:r>
                    <w:rPr>
                      <w:snapToGrid w:val="0"/>
                      <w:szCs w:val="21"/>
                    </w:rPr>
                    <w:t>mg/m</w:t>
                  </w:r>
                  <w:r>
                    <w:rPr>
                      <w:snapToGrid w:val="0"/>
                      <w:szCs w:val="21"/>
                      <w:vertAlign w:val="superscript"/>
                    </w:rPr>
                    <w:t>3</w:t>
                  </w:r>
                  <w:r>
                    <w:rPr>
                      <w:snapToGrid w:val="0"/>
                      <w:szCs w:val="21"/>
                    </w:rPr>
                    <w:t>；监控点处任意一次浓度值：排放限值</w:t>
                  </w:r>
                  <w:r>
                    <w:rPr>
                      <w:rFonts w:hint="eastAsia"/>
                      <w:snapToGrid w:val="0"/>
                      <w:szCs w:val="21"/>
                    </w:rPr>
                    <w:t>2</w:t>
                  </w:r>
                  <w:r>
                    <w:rPr>
                      <w:snapToGrid w:val="0"/>
                      <w:szCs w:val="21"/>
                    </w:rPr>
                    <w:t>0mg/m</w:t>
                  </w:r>
                  <w:r>
                    <w:rPr>
                      <w:snapToGrid w:val="0"/>
                      <w:szCs w:val="21"/>
                      <w:vertAlign w:val="superscript"/>
                    </w:rPr>
                    <w:t>3</w:t>
                  </w:r>
                </w:p>
              </w:tc>
              <w:tc>
                <w:tcPr>
                  <w:tcW w:w="1864" w:type="pct"/>
                  <w:vAlign w:val="center"/>
                </w:tcPr>
                <w:p>
                  <w:pPr>
                    <w:spacing w:line="260" w:lineRule="exact"/>
                    <w:jc w:val="center"/>
                    <w:rPr>
                      <w:bCs/>
                      <w:szCs w:val="21"/>
                    </w:rPr>
                  </w:pPr>
                  <w:r>
                    <w:rPr>
                      <w:szCs w:val="21"/>
                    </w:rPr>
                    <w:t>《挥发性有机物无组织排放控制标准》（GB37822-2019）表A.1厂区内VOCs无组织排放限值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1" w:type="pct"/>
                  <w:vMerge w:val="restart"/>
                  <w:vAlign w:val="center"/>
                </w:tcPr>
                <w:p>
                  <w:pPr>
                    <w:spacing w:line="240" w:lineRule="exact"/>
                    <w:rPr>
                      <w:b/>
                      <w:szCs w:val="21"/>
                    </w:rPr>
                  </w:pPr>
                  <w:r>
                    <w:rPr>
                      <w:rFonts w:hAnsi="宋体"/>
                      <w:b/>
                      <w:szCs w:val="21"/>
                    </w:rPr>
                    <w:t>废水</w:t>
                  </w:r>
                </w:p>
              </w:tc>
              <w:tc>
                <w:tcPr>
                  <w:tcW w:w="275" w:type="pct"/>
                  <w:vMerge w:val="restart"/>
                  <w:vAlign w:val="center"/>
                </w:tcPr>
                <w:p>
                  <w:pPr>
                    <w:spacing w:line="240" w:lineRule="exact"/>
                    <w:rPr>
                      <w:szCs w:val="21"/>
                    </w:rPr>
                  </w:pPr>
                  <w:r>
                    <w:rPr>
                      <w:rFonts w:hAnsi="宋体"/>
                      <w:szCs w:val="21"/>
                    </w:rPr>
                    <w:t>营运期</w:t>
                  </w:r>
                </w:p>
              </w:tc>
              <w:tc>
                <w:tcPr>
                  <w:tcW w:w="593" w:type="pct"/>
                  <w:vMerge w:val="restart"/>
                  <w:vAlign w:val="center"/>
                </w:tcPr>
                <w:p>
                  <w:pPr>
                    <w:spacing w:line="240" w:lineRule="exact"/>
                    <w:jc w:val="center"/>
                    <w:rPr>
                      <w:rFonts w:hAnsi="宋体"/>
                      <w:szCs w:val="21"/>
                    </w:rPr>
                  </w:pPr>
                  <w:r>
                    <w:rPr>
                      <w:rFonts w:hAnsi="宋体"/>
                      <w:szCs w:val="21"/>
                    </w:rPr>
                    <w:t>生活</w:t>
                  </w:r>
                </w:p>
                <w:p>
                  <w:pPr>
                    <w:spacing w:line="240" w:lineRule="exact"/>
                    <w:jc w:val="center"/>
                    <w:rPr>
                      <w:szCs w:val="21"/>
                    </w:rPr>
                  </w:pPr>
                  <w:r>
                    <w:rPr>
                      <w:rFonts w:hAnsi="宋体"/>
                      <w:szCs w:val="21"/>
                    </w:rPr>
                    <w:t>废水</w:t>
                  </w:r>
                </w:p>
              </w:tc>
              <w:tc>
                <w:tcPr>
                  <w:tcW w:w="924" w:type="pct"/>
                  <w:vAlign w:val="center"/>
                </w:tcPr>
                <w:p>
                  <w:pPr>
                    <w:spacing w:line="240" w:lineRule="exact"/>
                    <w:jc w:val="center"/>
                    <w:rPr>
                      <w:szCs w:val="21"/>
                    </w:rPr>
                  </w:pPr>
                  <w:r>
                    <w:rPr>
                      <w:szCs w:val="21"/>
                    </w:rPr>
                    <w:t>SS</w:t>
                  </w:r>
                </w:p>
              </w:tc>
              <w:tc>
                <w:tcPr>
                  <w:tcW w:w="1063" w:type="pct"/>
                  <w:vAlign w:val="center"/>
                </w:tcPr>
                <w:p>
                  <w:pPr>
                    <w:spacing w:line="240" w:lineRule="exact"/>
                    <w:jc w:val="center"/>
                    <w:rPr>
                      <w:szCs w:val="21"/>
                    </w:rPr>
                  </w:pPr>
                  <w:r>
                    <w:rPr>
                      <w:szCs w:val="21"/>
                    </w:rPr>
                    <w:t>≤400mg/L</w:t>
                  </w:r>
                </w:p>
              </w:tc>
              <w:tc>
                <w:tcPr>
                  <w:tcW w:w="1864" w:type="pct"/>
                  <w:vMerge w:val="restart"/>
                  <w:vAlign w:val="center"/>
                </w:tcPr>
                <w:p>
                  <w:pPr>
                    <w:spacing w:line="240" w:lineRule="exact"/>
                    <w:jc w:val="center"/>
                    <w:rPr>
                      <w:szCs w:val="21"/>
                    </w:rPr>
                  </w:pPr>
                  <w:r>
                    <w:rPr>
                      <w:rFonts w:ascii="宋体" w:hAnsi="宋体"/>
                      <w:szCs w:val="21"/>
                    </w:rPr>
                    <w:t>《污水综合排放标准》（</w:t>
                  </w:r>
                  <w:r>
                    <w:rPr>
                      <w:szCs w:val="21"/>
                    </w:rPr>
                    <w:t>GB8978-1996</w:t>
                  </w:r>
                  <w:r>
                    <w:rPr>
                      <w:rFonts w:ascii="宋体" w:hAnsi="宋体"/>
                      <w:szCs w:val="21"/>
                    </w:rPr>
                    <w:t>）表</w:t>
                  </w:r>
                  <w:r>
                    <w:rPr>
                      <w:szCs w:val="21"/>
                    </w:rPr>
                    <w:t>4</w:t>
                  </w:r>
                  <w:r>
                    <w:rPr>
                      <w:rFonts w:ascii="宋体" w:hAnsi="宋体"/>
                      <w:szCs w:val="21"/>
                    </w:rPr>
                    <w:t>中三级标准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szCs w:val="21"/>
                    </w:rPr>
                    <w:t>BOD</w:t>
                  </w:r>
                  <w:r>
                    <w:rPr>
                      <w:szCs w:val="21"/>
                      <w:vertAlign w:val="subscript"/>
                    </w:rPr>
                    <w:t>5</w:t>
                  </w:r>
                </w:p>
              </w:tc>
              <w:tc>
                <w:tcPr>
                  <w:tcW w:w="1063" w:type="pct"/>
                  <w:vAlign w:val="center"/>
                </w:tcPr>
                <w:p>
                  <w:pPr>
                    <w:spacing w:line="240" w:lineRule="exact"/>
                    <w:jc w:val="center"/>
                    <w:rPr>
                      <w:szCs w:val="21"/>
                    </w:rPr>
                  </w:pPr>
                  <w:r>
                    <w:rPr>
                      <w:szCs w:val="21"/>
                    </w:rPr>
                    <w:t>≤300mg/L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szCs w:val="21"/>
                    </w:rPr>
                    <w:t>COD</w:t>
                  </w:r>
                </w:p>
              </w:tc>
              <w:tc>
                <w:tcPr>
                  <w:tcW w:w="1063" w:type="pct"/>
                  <w:vAlign w:val="center"/>
                </w:tcPr>
                <w:p>
                  <w:pPr>
                    <w:spacing w:line="240" w:lineRule="exact"/>
                    <w:jc w:val="center"/>
                    <w:rPr>
                      <w:szCs w:val="21"/>
                    </w:rPr>
                  </w:pPr>
                  <w:r>
                    <w:rPr>
                      <w:szCs w:val="21"/>
                    </w:rPr>
                    <w:t>≤500mg/L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80" w:lineRule="exact"/>
                    <w:jc w:val="center"/>
                    <w:rPr>
                      <w:szCs w:val="21"/>
                    </w:rPr>
                  </w:pPr>
                  <w:r>
                    <w:rPr>
                      <w:rFonts w:hint="eastAsia"/>
                      <w:szCs w:val="21"/>
                    </w:rPr>
                    <w:t>动植物</w:t>
                  </w:r>
                  <w:r>
                    <w:rPr>
                      <w:szCs w:val="21"/>
                    </w:rPr>
                    <w:t>油</w:t>
                  </w:r>
                </w:p>
              </w:tc>
              <w:tc>
                <w:tcPr>
                  <w:tcW w:w="1063" w:type="pct"/>
                  <w:vAlign w:val="center"/>
                </w:tcPr>
                <w:p>
                  <w:pPr>
                    <w:spacing w:line="280" w:lineRule="exact"/>
                    <w:jc w:val="center"/>
                    <w:rPr>
                      <w:szCs w:val="21"/>
                    </w:rPr>
                  </w:pPr>
                  <w:r>
                    <w:rPr>
                      <w:kern w:val="1"/>
                      <w:szCs w:val="21"/>
                    </w:rPr>
                    <w:t>≤</w:t>
                  </w:r>
                  <w:r>
                    <w:rPr>
                      <w:rFonts w:hint="eastAsia"/>
                      <w:szCs w:val="21"/>
                    </w:rPr>
                    <w:t>10</w:t>
                  </w:r>
                  <w:r>
                    <w:rPr>
                      <w:szCs w:val="21"/>
                    </w:rPr>
                    <w:t>0mg/L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80" w:lineRule="exact"/>
                    <w:jc w:val="center"/>
                    <w:rPr>
                      <w:szCs w:val="21"/>
                    </w:rPr>
                  </w:pPr>
                  <w:r>
                    <w:rPr>
                      <w:rFonts w:hint="eastAsia"/>
                      <w:szCs w:val="21"/>
                    </w:rPr>
                    <w:t>LAS</w:t>
                  </w:r>
                </w:p>
              </w:tc>
              <w:tc>
                <w:tcPr>
                  <w:tcW w:w="1063" w:type="pct"/>
                  <w:vAlign w:val="center"/>
                </w:tcPr>
                <w:p>
                  <w:pPr>
                    <w:spacing w:line="280" w:lineRule="exact"/>
                    <w:jc w:val="center"/>
                    <w:rPr>
                      <w:szCs w:val="21"/>
                    </w:rPr>
                  </w:pPr>
                  <w:r>
                    <w:rPr>
                      <w:kern w:val="1"/>
                      <w:szCs w:val="21"/>
                    </w:rPr>
                    <w:t>≤</w:t>
                  </w:r>
                  <w:r>
                    <w:rPr>
                      <w:szCs w:val="21"/>
                    </w:rPr>
                    <w:t>20mg/L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rFonts w:hint="eastAsia"/>
                      <w:szCs w:val="21"/>
                    </w:rPr>
                    <w:t>COD</w:t>
                  </w:r>
                </w:p>
              </w:tc>
              <w:tc>
                <w:tcPr>
                  <w:tcW w:w="1063" w:type="pct"/>
                  <w:vAlign w:val="center"/>
                </w:tcPr>
                <w:p>
                  <w:pPr>
                    <w:spacing w:line="240" w:lineRule="exact"/>
                    <w:jc w:val="center"/>
                    <w:rPr>
                      <w:rFonts w:ascii="宋体" w:hAnsi="宋体" w:cs="宋体"/>
                      <w:szCs w:val="21"/>
                    </w:rPr>
                  </w:pPr>
                  <w:r>
                    <w:rPr>
                      <w:rFonts w:hint="eastAsia"/>
                      <w:szCs w:val="21"/>
                    </w:rPr>
                    <w:t>≤350mg/L</w:t>
                  </w:r>
                </w:p>
              </w:tc>
              <w:tc>
                <w:tcPr>
                  <w:tcW w:w="1864" w:type="pct"/>
                  <w:vMerge w:val="restart"/>
                  <w:vAlign w:val="center"/>
                </w:tcPr>
                <w:p>
                  <w:pPr>
                    <w:spacing w:line="240" w:lineRule="exact"/>
                    <w:jc w:val="center"/>
                    <w:rPr>
                      <w:szCs w:val="21"/>
                    </w:rPr>
                  </w:pPr>
                  <w:r>
                    <w:rPr>
                      <w:rFonts w:hint="eastAsia" w:hAnsi="宋体"/>
                      <w:szCs w:val="21"/>
                    </w:rPr>
                    <w:t>魏县开发区污水处理厂</w:t>
                  </w:r>
                  <w:r>
                    <w:rPr>
                      <w:rFonts w:hAnsi="宋体"/>
                      <w:szCs w:val="21"/>
                    </w:rPr>
                    <w:t>进水水质要求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rFonts w:hint="eastAsia"/>
                      <w:szCs w:val="21"/>
                    </w:rPr>
                    <w:t>BOD</w:t>
                  </w:r>
                  <w:r>
                    <w:rPr>
                      <w:rFonts w:hint="eastAsia"/>
                      <w:szCs w:val="21"/>
                      <w:vertAlign w:val="subscript"/>
                    </w:rPr>
                    <w:t>5</w:t>
                  </w:r>
                </w:p>
              </w:tc>
              <w:tc>
                <w:tcPr>
                  <w:tcW w:w="1063" w:type="pct"/>
                  <w:vAlign w:val="center"/>
                </w:tcPr>
                <w:p>
                  <w:pPr>
                    <w:spacing w:line="240" w:lineRule="exact"/>
                    <w:jc w:val="center"/>
                    <w:rPr>
                      <w:szCs w:val="21"/>
                    </w:rPr>
                  </w:pPr>
                  <w:r>
                    <w:rPr>
                      <w:rFonts w:hint="eastAsia"/>
                      <w:szCs w:val="21"/>
                    </w:rPr>
                    <w:t>≤250mg/L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rFonts w:hint="eastAsia"/>
                      <w:szCs w:val="21"/>
                    </w:rPr>
                    <w:t>SS</w:t>
                  </w:r>
                </w:p>
              </w:tc>
              <w:tc>
                <w:tcPr>
                  <w:tcW w:w="1063" w:type="pct"/>
                  <w:vAlign w:val="center"/>
                </w:tcPr>
                <w:p>
                  <w:pPr>
                    <w:spacing w:line="240" w:lineRule="exact"/>
                    <w:jc w:val="center"/>
                    <w:rPr>
                      <w:szCs w:val="21"/>
                    </w:rPr>
                  </w:pPr>
                  <w:r>
                    <w:rPr>
                      <w:rFonts w:hint="eastAsia"/>
                      <w:szCs w:val="21"/>
                    </w:rPr>
                    <w:t>≤200mg/L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b/>
                      <w:szCs w:val="21"/>
                    </w:rPr>
                  </w:pPr>
                </w:p>
              </w:tc>
              <w:tc>
                <w:tcPr>
                  <w:tcW w:w="275" w:type="pct"/>
                  <w:vMerge w:val="continue"/>
                  <w:vAlign w:val="center"/>
                </w:tcPr>
                <w:p>
                  <w:pPr>
                    <w:spacing w:line="240" w:lineRule="exact"/>
                    <w:ind w:firstLine="412" w:firstLineChars="200"/>
                    <w:rPr>
                      <w:szCs w:val="21"/>
                    </w:rPr>
                  </w:pPr>
                </w:p>
              </w:tc>
              <w:tc>
                <w:tcPr>
                  <w:tcW w:w="593" w:type="pct"/>
                  <w:vMerge w:val="continue"/>
                  <w:vAlign w:val="center"/>
                </w:tcPr>
                <w:p>
                  <w:pPr>
                    <w:spacing w:line="240" w:lineRule="exact"/>
                    <w:ind w:firstLine="412" w:firstLineChars="200"/>
                    <w:rPr>
                      <w:szCs w:val="21"/>
                    </w:rPr>
                  </w:pPr>
                </w:p>
              </w:tc>
              <w:tc>
                <w:tcPr>
                  <w:tcW w:w="924" w:type="pct"/>
                  <w:vAlign w:val="center"/>
                </w:tcPr>
                <w:p>
                  <w:pPr>
                    <w:spacing w:line="240" w:lineRule="exact"/>
                    <w:jc w:val="center"/>
                    <w:rPr>
                      <w:szCs w:val="21"/>
                    </w:rPr>
                  </w:pPr>
                  <w:r>
                    <w:rPr>
                      <w:rFonts w:hint="eastAsia"/>
                      <w:szCs w:val="21"/>
                    </w:rPr>
                    <w:t>NH</w:t>
                  </w:r>
                  <w:r>
                    <w:rPr>
                      <w:rFonts w:hint="eastAsia"/>
                      <w:szCs w:val="21"/>
                      <w:vertAlign w:val="subscript"/>
                    </w:rPr>
                    <w:t>3</w:t>
                  </w:r>
                  <w:r>
                    <w:rPr>
                      <w:rFonts w:hint="eastAsia"/>
                      <w:szCs w:val="21"/>
                    </w:rPr>
                    <w:t>-N</w:t>
                  </w:r>
                </w:p>
              </w:tc>
              <w:tc>
                <w:tcPr>
                  <w:tcW w:w="1063" w:type="pct"/>
                  <w:vAlign w:val="center"/>
                </w:tcPr>
                <w:p>
                  <w:pPr>
                    <w:spacing w:line="240" w:lineRule="exact"/>
                    <w:jc w:val="center"/>
                    <w:rPr>
                      <w:szCs w:val="21"/>
                    </w:rPr>
                  </w:pPr>
                  <w:r>
                    <w:rPr>
                      <w:rFonts w:hint="eastAsia"/>
                      <w:szCs w:val="21"/>
                    </w:rPr>
                    <w:t>≤35mg/L</w:t>
                  </w:r>
                </w:p>
              </w:tc>
              <w:tc>
                <w:tcPr>
                  <w:tcW w:w="1864" w:type="pct"/>
                  <w:vMerge w:val="continue"/>
                  <w:vAlign w:val="center"/>
                </w:tcPr>
                <w:p>
                  <w:pPr>
                    <w:spacing w:line="240" w:lineRule="exact"/>
                    <w:ind w:firstLine="412" w:firstLineChars="200"/>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restart"/>
                  <w:vAlign w:val="center"/>
                </w:tcPr>
                <w:p>
                  <w:pPr>
                    <w:spacing w:line="240" w:lineRule="exact"/>
                    <w:rPr>
                      <w:b/>
                      <w:szCs w:val="21"/>
                    </w:rPr>
                  </w:pPr>
                  <w:r>
                    <w:rPr>
                      <w:rFonts w:hAnsi="宋体"/>
                      <w:b/>
                      <w:szCs w:val="21"/>
                    </w:rPr>
                    <w:t>噪声</w:t>
                  </w:r>
                </w:p>
              </w:tc>
              <w:tc>
                <w:tcPr>
                  <w:tcW w:w="868" w:type="pct"/>
                  <w:gridSpan w:val="2"/>
                  <w:vAlign w:val="center"/>
                </w:tcPr>
                <w:p>
                  <w:pPr>
                    <w:spacing w:line="240" w:lineRule="exact"/>
                    <w:jc w:val="center"/>
                    <w:rPr>
                      <w:szCs w:val="21"/>
                    </w:rPr>
                  </w:pPr>
                  <w:r>
                    <w:rPr>
                      <w:rFonts w:hAnsi="宋体"/>
                      <w:szCs w:val="21"/>
                    </w:rPr>
                    <w:t>施工期</w:t>
                  </w:r>
                </w:p>
              </w:tc>
              <w:tc>
                <w:tcPr>
                  <w:tcW w:w="924" w:type="pct"/>
                  <w:vAlign w:val="center"/>
                </w:tcPr>
                <w:p>
                  <w:pPr>
                    <w:spacing w:line="240" w:lineRule="exact"/>
                    <w:jc w:val="center"/>
                    <w:rPr>
                      <w:szCs w:val="21"/>
                    </w:rPr>
                  </w:pPr>
                  <w:r>
                    <w:rPr>
                      <w:szCs w:val="21"/>
                    </w:rPr>
                    <w:t>Leq(A)</w:t>
                  </w:r>
                </w:p>
              </w:tc>
              <w:tc>
                <w:tcPr>
                  <w:tcW w:w="1063" w:type="pct"/>
                  <w:vAlign w:val="center"/>
                </w:tcPr>
                <w:p>
                  <w:pPr>
                    <w:spacing w:line="240" w:lineRule="exact"/>
                    <w:jc w:val="center"/>
                    <w:rPr>
                      <w:szCs w:val="21"/>
                    </w:rPr>
                  </w:pPr>
                  <w:r>
                    <w:rPr>
                      <w:rFonts w:hAnsi="宋体"/>
                      <w:szCs w:val="21"/>
                    </w:rPr>
                    <w:t>昼间</w:t>
                  </w:r>
                  <w:r>
                    <w:rPr>
                      <w:szCs w:val="21"/>
                    </w:rPr>
                    <w:t>≤70dB</w:t>
                  </w:r>
                  <w:r>
                    <w:rPr>
                      <w:rFonts w:hAnsi="宋体"/>
                      <w:szCs w:val="21"/>
                    </w:rPr>
                    <w:t>（</w:t>
                  </w:r>
                  <w:r>
                    <w:rPr>
                      <w:szCs w:val="21"/>
                    </w:rPr>
                    <w:t>A</w:t>
                  </w:r>
                  <w:r>
                    <w:rPr>
                      <w:rFonts w:hAnsi="宋体"/>
                      <w:szCs w:val="21"/>
                    </w:rPr>
                    <w:t>）</w:t>
                  </w:r>
                </w:p>
                <w:p>
                  <w:pPr>
                    <w:spacing w:line="240" w:lineRule="exact"/>
                    <w:jc w:val="center"/>
                    <w:rPr>
                      <w:szCs w:val="21"/>
                    </w:rPr>
                  </w:pPr>
                  <w:r>
                    <w:rPr>
                      <w:rFonts w:hAnsi="宋体"/>
                      <w:szCs w:val="21"/>
                    </w:rPr>
                    <w:t>夜间</w:t>
                  </w:r>
                  <w:r>
                    <w:rPr>
                      <w:szCs w:val="21"/>
                    </w:rPr>
                    <w:t>≤55dB</w:t>
                  </w:r>
                  <w:r>
                    <w:rPr>
                      <w:rFonts w:hAnsi="宋体"/>
                      <w:szCs w:val="21"/>
                    </w:rPr>
                    <w:t>（</w:t>
                  </w:r>
                  <w:r>
                    <w:rPr>
                      <w:szCs w:val="21"/>
                    </w:rPr>
                    <w:t>A</w:t>
                  </w:r>
                  <w:r>
                    <w:rPr>
                      <w:rFonts w:hAnsi="宋体"/>
                      <w:szCs w:val="21"/>
                    </w:rPr>
                    <w:t>）</w:t>
                  </w:r>
                </w:p>
              </w:tc>
              <w:tc>
                <w:tcPr>
                  <w:tcW w:w="1864" w:type="pct"/>
                  <w:vAlign w:val="center"/>
                </w:tcPr>
                <w:p>
                  <w:pPr>
                    <w:spacing w:line="240" w:lineRule="exact"/>
                    <w:jc w:val="center"/>
                    <w:rPr>
                      <w:szCs w:val="21"/>
                    </w:rPr>
                  </w:pPr>
                  <w:r>
                    <w:rPr>
                      <w:rFonts w:hAnsi="宋体"/>
                      <w:szCs w:val="21"/>
                    </w:rPr>
                    <w:t>《建筑施工场界环境噪声排放标准》</w:t>
                  </w:r>
                  <w:r>
                    <w:rPr>
                      <w:szCs w:val="21"/>
                    </w:rPr>
                    <w:t>(GB12523-2011)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1" w:type="pct"/>
                  <w:vMerge w:val="continue"/>
                  <w:vAlign w:val="center"/>
                </w:tcPr>
                <w:p>
                  <w:pPr>
                    <w:spacing w:line="240" w:lineRule="exact"/>
                    <w:ind w:firstLine="412" w:firstLineChars="200"/>
                    <w:rPr>
                      <w:szCs w:val="21"/>
                    </w:rPr>
                  </w:pPr>
                </w:p>
              </w:tc>
              <w:tc>
                <w:tcPr>
                  <w:tcW w:w="868" w:type="pct"/>
                  <w:gridSpan w:val="2"/>
                  <w:vAlign w:val="center"/>
                </w:tcPr>
                <w:p>
                  <w:pPr>
                    <w:spacing w:line="240" w:lineRule="exact"/>
                    <w:jc w:val="center"/>
                    <w:rPr>
                      <w:rFonts w:hAnsi="宋体"/>
                      <w:szCs w:val="21"/>
                    </w:rPr>
                  </w:pPr>
                  <w:r>
                    <w:rPr>
                      <w:rFonts w:hAnsi="宋体"/>
                      <w:szCs w:val="21"/>
                    </w:rPr>
                    <w:t>运营期</w:t>
                  </w:r>
                </w:p>
                <w:p>
                  <w:pPr>
                    <w:spacing w:line="240" w:lineRule="exact"/>
                    <w:jc w:val="center"/>
                    <w:rPr>
                      <w:szCs w:val="21"/>
                    </w:rPr>
                  </w:pPr>
                  <w:r>
                    <w:rPr>
                      <w:rFonts w:hAnsi="宋体"/>
                      <w:szCs w:val="21"/>
                    </w:rPr>
                    <w:t>厂界</w:t>
                  </w:r>
                </w:p>
              </w:tc>
              <w:tc>
                <w:tcPr>
                  <w:tcW w:w="924" w:type="pct"/>
                  <w:vAlign w:val="center"/>
                </w:tcPr>
                <w:p>
                  <w:pPr>
                    <w:spacing w:line="240" w:lineRule="exact"/>
                    <w:jc w:val="center"/>
                    <w:rPr>
                      <w:szCs w:val="21"/>
                    </w:rPr>
                  </w:pPr>
                  <w:r>
                    <w:rPr>
                      <w:szCs w:val="21"/>
                    </w:rPr>
                    <w:t>Leq(A)</w:t>
                  </w:r>
                </w:p>
              </w:tc>
              <w:tc>
                <w:tcPr>
                  <w:tcW w:w="1063" w:type="pct"/>
                  <w:vAlign w:val="center"/>
                </w:tcPr>
                <w:p>
                  <w:pPr>
                    <w:spacing w:line="240" w:lineRule="exact"/>
                    <w:jc w:val="center"/>
                    <w:rPr>
                      <w:szCs w:val="21"/>
                    </w:rPr>
                  </w:pPr>
                  <w:r>
                    <w:rPr>
                      <w:rFonts w:hAnsi="宋体"/>
                      <w:szCs w:val="21"/>
                    </w:rPr>
                    <w:t>昼间</w:t>
                  </w:r>
                  <w:r>
                    <w:rPr>
                      <w:szCs w:val="21"/>
                    </w:rPr>
                    <w:t>≤65dB</w:t>
                  </w:r>
                  <w:r>
                    <w:rPr>
                      <w:rFonts w:hAnsi="宋体"/>
                      <w:szCs w:val="21"/>
                    </w:rPr>
                    <w:t>（</w:t>
                  </w:r>
                  <w:r>
                    <w:rPr>
                      <w:szCs w:val="21"/>
                    </w:rPr>
                    <w:t>A</w:t>
                  </w:r>
                  <w:r>
                    <w:rPr>
                      <w:rFonts w:hAnsi="宋体"/>
                      <w:szCs w:val="21"/>
                    </w:rPr>
                    <w:t>）</w:t>
                  </w:r>
                </w:p>
                <w:p>
                  <w:pPr>
                    <w:spacing w:line="240" w:lineRule="exact"/>
                    <w:jc w:val="center"/>
                    <w:rPr>
                      <w:szCs w:val="21"/>
                    </w:rPr>
                  </w:pPr>
                  <w:r>
                    <w:rPr>
                      <w:rFonts w:hAnsi="宋体"/>
                      <w:szCs w:val="21"/>
                    </w:rPr>
                    <w:t>夜间</w:t>
                  </w:r>
                  <w:r>
                    <w:rPr>
                      <w:szCs w:val="21"/>
                    </w:rPr>
                    <w:t>≤55dB</w:t>
                  </w:r>
                  <w:r>
                    <w:rPr>
                      <w:rFonts w:hAnsi="宋体"/>
                      <w:szCs w:val="21"/>
                    </w:rPr>
                    <w:t>（</w:t>
                  </w:r>
                  <w:r>
                    <w:rPr>
                      <w:szCs w:val="21"/>
                    </w:rPr>
                    <w:t>A</w:t>
                  </w:r>
                  <w:r>
                    <w:rPr>
                      <w:rFonts w:hAnsi="宋体"/>
                      <w:szCs w:val="21"/>
                    </w:rPr>
                    <w:t>）</w:t>
                  </w:r>
                </w:p>
              </w:tc>
              <w:tc>
                <w:tcPr>
                  <w:tcW w:w="1864" w:type="pct"/>
                  <w:vAlign w:val="center"/>
                </w:tcPr>
                <w:p>
                  <w:pPr>
                    <w:spacing w:line="240" w:lineRule="exact"/>
                    <w:jc w:val="center"/>
                    <w:rPr>
                      <w:szCs w:val="21"/>
                    </w:rPr>
                  </w:pPr>
                  <w:r>
                    <w:rPr>
                      <w:rFonts w:hAnsi="宋体"/>
                      <w:szCs w:val="21"/>
                    </w:rPr>
                    <w:t>《工业企业厂界环境噪声排放标准》（</w:t>
                  </w:r>
                  <w:r>
                    <w:rPr>
                      <w:szCs w:val="21"/>
                    </w:rPr>
                    <w:t>GB12348-2008</w:t>
                  </w:r>
                  <w:r>
                    <w:rPr>
                      <w:rFonts w:hAnsi="宋体"/>
                      <w:szCs w:val="21"/>
                    </w:rPr>
                    <w:t>）</w:t>
                  </w:r>
                  <w:r>
                    <w:rPr>
                      <w:szCs w:val="21"/>
                    </w:rPr>
                    <w:t>3</w:t>
                  </w:r>
                  <w:r>
                    <w:rPr>
                      <w:rFonts w:hAnsi="宋体"/>
                      <w:szCs w:val="21"/>
                    </w:rPr>
                    <w:t>类标准</w:t>
                  </w:r>
                </w:p>
              </w:tc>
            </w:tr>
          </w:tbl>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bCs/>
                <w:sz w:val="24"/>
                <w:szCs w:val="24"/>
              </w:rPr>
            </w:pPr>
            <w:r>
              <w:rPr>
                <w:bCs/>
                <w:sz w:val="24"/>
                <w:szCs w:val="24"/>
              </w:rPr>
              <w:t>总量控制指标</w:t>
            </w:r>
          </w:p>
        </w:tc>
        <w:tc>
          <w:tcPr>
            <w:tcW w:w="81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sz w:val="24"/>
                <w:lang w:val="fr-FR"/>
              </w:rPr>
            </w:pPr>
            <w:r>
              <w:rPr>
                <w:rFonts w:hAnsi="宋体"/>
                <w:sz w:val="24"/>
                <w:lang w:val="fr-FR"/>
              </w:rPr>
              <w:t>根据</w:t>
            </w:r>
            <w:r>
              <w:rPr>
                <w:sz w:val="24"/>
                <w:lang w:val="fr-FR"/>
              </w:rPr>
              <w:t>“</w:t>
            </w:r>
            <w:r>
              <w:rPr>
                <w:rFonts w:hAnsi="宋体"/>
                <w:sz w:val="24"/>
                <w:lang w:val="fr-FR"/>
              </w:rPr>
              <w:t>十三五</w:t>
            </w:r>
            <w:r>
              <w:rPr>
                <w:sz w:val="24"/>
                <w:lang w:val="fr-FR"/>
              </w:rPr>
              <w:t>”</w:t>
            </w:r>
            <w:r>
              <w:rPr>
                <w:rFonts w:hAnsi="宋体"/>
                <w:sz w:val="24"/>
                <w:lang w:val="fr-FR"/>
              </w:rPr>
              <w:t>期间国家及地方各级政府对主要污染物总量控制的相关规划、政策措施，结合</w:t>
            </w:r>
            <w:r>
              <w:rPr>
                <w:rFonts w:hint="eastAsia" w:hAnsi="宋体"/>
                <w:sz w:val="24"/>
                <w:lang w:val="fr-FR"/>
              </w:rPr>
              <w:t>本项目</w:t>
            </w:r>
            <w:r>
              <w:rPr>
                <w:rFonts w:hAnsi="宋体"/>
                <w:sz w:val="24"/>
                <w:lang w:val="fr-FR"/>
              </w:rPr>
              <w:t>污染源及污染物排放特征，确定</w:t>
            </w:r>
            <w:r>
              <w:rPr>
                <w:rFonts w:hint="eastAsia" w:hAnsi="宋体"/>
                <w:sz w:val="24"/>
                <w:lang w:val="fr-FR"/>
              </w:rPr>
              <w:t>本项目</w:t>
            </w:r>
            <w:r>
              <w:rPr>
                <w:rFonts w:hAnsi="宋体"/>
                <w:sz w:val="24"/>
                <w:lang w:val="fr-FR"/>
              </w:rPr>
              <w:t>需要实施总量控制的污染因子为：</w:t>
            </w:r>
            <w:r>
              <w:rPr>
                <w:sz w:val="24"/>
                <w:lang w:val="fr-FR"/>
              </w:rPr>
              <w:t>COD</w:t>
            </w:r>
            <w:r>
              <w:rPr>
                <w:rFonts w:hAnsi="宋体"/>
                <w:sz w:val="24"/>
                <w:lang w:val="fr-FR"/>
              </w:rPr>
              <w:t>、氨氮、</w:t>
            </w:r>
            <w:r>
              <w:rPr>
                <w:sz w:val="24"/>
                <w:lang w:val="fr-FR"/>
              </w:rPr>
              <w:t>SO</w:t>
            </w:r>
            <w:r>
              <w:rPr>
                <w:sz w:val="24"/>
                <w:vertAlign w:val="subscript"/>
                <w:lang w:val="fr-FR"/>
              </w:rPr>
              <w:t>2</w:t>
            </w:r>
            <w:r>
              <w:rPr>
                <w:rFonts w:hAnsi="宋体"/>
                <w:sz w:val="24"/>
                <w:lang w:val="fr-FR"/>
              </w:rPr>
              <w:t>、</w:t>
            </w:r>
            <w:r>
              <w:rPr>
                <w:sz w:val="24"/>
                <w:lang w:val="fr-FR"/>
              </w:rPr>
              <w:t>NO</w:t>
            </w:r>
            <w:r>
              <w:rPr>
                <w:sz w:val="24"/>
                <w:vertAlign w:val="subscript"/>
                <w:lang w:val="fr-FR"/>
              </w:rPr>
              <w:t>X</w:t>
            </w:r>
            <w:r>
              <w:rPr>
                <w:rFonts w:hAnsi="宋体"/>
                <w:sz w:val="24"/>
                <w:lang w:val="fr-FR"/>
              </w:rPr>
              <w:t>。</w:t>
            </w:r>
          </w:p>
          <w:p>
            <w:pPr>
              <w:pStyle w:val="2"/>
              <w:spacing w:line="360" w:lineRule="auto"/>
              <w:ind w:firstLine="465"/>
              <w:jc w:val="both"/>
              <w:rPr>
                <w:rFonts w:ascii="宋体" w:hAnsi="宋体"/>
                <w:color w:val="auto"/>
              </w:rPr>
            </w:pPr>
            <w:r>
              <w:rPr>
                <w:rFonts w:hint="eastAsia" w:ascii="宋体" w:hAnsi="宋体"/>
                <w:color w:val="auto"/>
              </w:rPr>
              <w:t>本项目废气主要有：食堂油烟、抛丸废气、焊接废气、打磨废气、喷漆和烘干废气。污染物为油烟、颗粒物、</w:t>
            </w:r>
            <w:r>
              <w:rPr>
                <w:rFonts w:hint="eastAsia"/>
                <w:szCs w:val="21"/>
              </w:rPr>
              <w:t>非甲烷总烃</w:t>
            </w:r>
            <w:r>
              <w:rPr>
                <w:rFonts w:hint="eastAsia" w:ascii="宋体" w:hAnsi="宋体"/>
                <w:color w:val="auto"/>
              </w:rPr>
              <w:t>。</w:t>
            </w:r>
          </w:p>
          <w:p>
            <w:pPr>
              <w:pStyle w:val="2"/>
              <w:spacing w:line="360" w:lineRule="auto"/>
              <w:ind w:firstLine="465"/>
              <w:jc w:val="both"/>
              <w:rPr>
                <w:rFonts w:hAnsi="宋体"/>
                <w:color w:val="auto"/>
              </w:rPr>
            </w:pPr>
            <w:r>
              <w:rPr>
                <w:rFonts w:hAnsi="宋体"/>
                <w:color w:val="auto"/>
              </w:rPr>
              <w:t>项目</w:t>
            </w:r>
            <w:r>
              <w:rPr>
                <w:rFonts w:hint="eastAsia" w:hAnsi="宋体"/>
                <w:color w:val="auto"/>
              </w:rPr>
              <w:t>无</w:t>
            </w:r>
            <w:r>
              <w:rPr>
                <w:rFonts w:hAnsi="宋体"/>
                <w:color w:val="auto"/>
              </w:rPr>
              <w:t>生</w:t>
            </w:r>
            <w:r>
              <w:rPr>
                <w:rFonts w:hint="eastAsia" w:hAnsi="宋体"/>
                <w:color w:val="auto"/>
              </w:rPr>
              <w:t>产</w:t>
            </w:r>
            <w:r>
              <w:rPr>
                <w:rFonts w:hAnsi="宋体"/>
                <w:color w:val="auto"/>
              </w:rPr>
              <w:t>废水</w:t>
            </w:r>
            <w:r>
              <w:rPr>
                <w:color w:val="auto"/>
              </w:rPr>
              <w:t>，</w:t>
            </w:r>
            <w:r>
              <w:rPr>
                <w:rFonts w:ascii="宋体" w:hAnsi="宋体"/>
                <w:color w:val="auto"/>
              </w:rPr>
              <w:t>生活</w:t>
            </w:r>
            <w:r>
              <w:rPr>
                <w:rFonts w:hint="eastAsia" w:ascii="宋体" w:hAnsi="宋体"/>
                <w:color w:val="auto"/>
              </w:rPr>
              <w:t>废</w:t>
            </w:r>
            <w:r>
              <w:rPr>
                <w:rFonts w:ascii="宋体" w:hAnsi="宋体"/>
                <w:color w:val="auto"/>
              </w:rPr>
              <w:t>水</w:t>
            </w:r>
            <w:r>
              <w:rPr>
                <w:rFonts w:hint="eastAsia" w:ascii="宋体" w:hAnsi="宋体"/>
                <w:color w:val="auto"/>
              </w:rPr>
              <w:t>产生量为</w:t>
            </w:r>
            <w:r>
              <w:rPr>
                <w:color w:val="auto"/>
              </w:rPr>
              <w:t>7488m</w:t>
            </w:r>
            <w:r>
              <w:rPr>
                <w:color w:val="auto"/>
                <w:vertAlign w:val="superscript"/>
              </w:rPr>
              <w:t>3</w:t>
            </w:r>
            <w:r>
              <w:rPr>
                <w:color w:val="auto"/>
              </w:rPr>
              <w:t>/a</w:t>
            </w:r>
            <w:r>
              <w:rPr>
                <w:rFonts w:hint="eastAsia" w:ascii="宋体" w:hAnsi="宋体"/>
                <w:color w:val="auto"/>
              </w:rPr>
              <w:t>，</w:t>
            </w:r>
            <w:r>
              <w:rPr>
                <w:rFonts w:ascii="宋体" w:hAnsi="宋体"/>
                <w:color w:val="auto"/>
              </w:rPr>
              <w:t>经隔油池</w:t>
            </w:r>
            <w:r>
              <w:rPr>
                <w:rFonts w:hint="eastAsia" w:ascii="宋体" w:hAnsi="宋体"/>
                <w:color w:val="auto"/>
              </w:rPr>
              <w:t>、</w:t>
            </w:r>
            <w:r>
              <w:rPr>
                <w:rFonts w:ascii="宋体" w:hAnsi="宋体"/>
                <w:color w:val="auto"/>
              </w:rPr>
              <w:t>化粪池处理后经污水管网进入</w:t>
            </w:r>
            <w:r>
              <w:rPr>
                <w:rFonts w:hint="eastAsia" w:ascii="宋体" w:hAnsi="宋体"/>
                <w:bCs/>
                <w:color w:val="auto"/>
              </w:rPr>
              <w:t>魏县开发区污水处理厂</w:t>
            </w:r>
            <w:r>
              <w:rPr>
                <w:rFonts w:ascii="宋体" w:hAnsi="宋体"/>
                <w:color w:val="auto"/>
              </w:rPr>
              <w:t>进一步处理</w:t>
            </w:r>
            <w:r>
              <w:rPr>
                <w:rFonts w:hint="eastAsia" w:ascii="宋体" w:hAnsi="宋体"/>
                <w:color w:val="auto"/>
              </w:rPr>
              <w:t>。</w:t>
            </w:r>
            <w:r>
              <w:rPr>
                <w:rFonts w:hint="eastAsia" w:ascii="宋体" w:hAnsi="宋体"/>
                <w:bCs/>
                <w:color w:val="auto"/>
              </w:rPr>
              <w:t>魏县开发区污水处理厂进水水质</w:t>
            </w:r>
            <w:r>
              <w:rPr>
                <w:rFonts w:hAnsi="宋体"/>
                <w:color w:val="auto"/>
              </w:rPr>
              <w:t>要求为：</w:t>
            </w:r>
            <w:r>
              <w:rPr>
                <w:rFonts w:hint="eastAsia" w:hAnsi="宋体"/>
                <w:color w:val="auto"/>
              </w:rPr>
              <w:t>COD</w:t>
            </w:r>
            <w:r>
              <w:rPr>
                <w:color w:val="auto"/>
              </w:rPr>
              <w:t>≤</w:t>
            </w:r>
            <w:r>
              <w:rPr>
                <w:rFonts w:hint="eastAsia"/>
                <w:color w:val="auto"/>
              </w:rPr>
              <w:t>3</w:t>
            </w:r>
            <w:r>
              <w:rPr>
                <w:color w:val="auto"/>
              </w:rPr>
              <w:t>50mg/L</w:t>
            </w:r>
            <w:r>
              <w:rPr>
                <w:rFonts w:hint="eastAsia" w:hAnsi="宋体"/>
                <w:color w:val="auto"/>
              </w:rPr>
              <w:t>、BOB</w:t>
            </w:r>
            <w:r>
              <w:rPr>
                <w:rFonts w:hint="eastAsia" w:hAnsi="宋体"/>
                <w:color w:val="auto"/>
                <w:vertAlign w:val="subscript"/>
              </w:rPr>
              <w:t>5</w:t>
            </w:r>
            <w:r>
              <w:rPr>
                <w:color w:val="auto"/>
              </w:rPr>
              <w:t>≤</w:t>
            </w:r>
            <w:r>
              <w:rPr>
                <w:rFonts w:hint="eastAsia"/>
                <w:color w:val="auto"/>
              </w:rPr>
              <w:t>20</w:t>
            </w:r>
            <w:r>
              <w:rPr>
                <w:color w:val="auto"/>
              </w:rPr>
              <w:t>0mg/L</w:t>
            </w:r>
            <w:r>
              <w:rPr>
                <w:rFonts w:hint="eastAsia" w:hAnsi="宋体"/>
                <w:color w:val="auto"/>
              </w:rPr>
              <w:t>、氨氮</w:t>
            </w:r>
            <w:r>
              <w:rPr>
                <w:color w:val="auto"/>
              </w:rPr>
              <w:t>≤</w:t>
            </w:r>
            <w:r>
              <w:rPr>
                <w:rFonts w:hint="eastAsia"/>
                <w:color w:val="auto"/>
              </w:rPr>
              <w:t>35</w:t>
            </w:r>
            <w:r>
              <w:rPr>
                <w:color w:val="auto"/>
              </w:rPr>
              <w:t>mg/L</w:t>
            </w:r>
            <w:r>
              <w:rPr>
                <w:rFonts w:hint="eastAsia" w:hAnsi="宋体"/>
                <w:color w:val="auto"/>
              </w:rPr>
              <w:t>、SS</w:t>
            </w:r>
            <w:r>
              <w:rPr>
                <w:color w:val="auto"/>
              </w:rPr>
              <w:t>≤</w:t>
            </w:r>
            <w:r>
              <w:rPr>
                <w:rFonts w:hint="eastAsia"/>
                <w:color w:val="auto"/>
              </w:rPr>
              <w:t>2</w:t>
            </w:r>
            <w:r>
              <w:rPr>
                <w:color w:val="auto"/>
              </w:rPr>
              <w:t>50mg/L</w:t>
            </w:r>
            <w:r>
              <w:rPr>
                <w:rFonts w:hint="eastAsia"/>
                <w:color w:val="auto"/>
              </w:rPr>
              <w:t>、</w:t>
            </w:r>
            <w:r>
              <w:rPr>
                <w:rFonts w:hint="eastAsia" w:hAnsi="宋体"/>
                <w:color w:val="auto"/>
              </w:rPr>
              <w:t>TN</w:t>
            </w:r>
            <w:r>
              <w:rPr>
                <w:color w:val="auto"/>
              </w:rPr>
              <w:t>≤</w:t>
            </w:r>
            <w:r>
              <w:rPr>
                <w:rFonts w:hint="eastAsia"/>
                <w:color w:val="auto"/>
              </w:rPr>
              <w:t>45</w:t>
            </w:r>
            <w:r>
              <w:rPr>
                <w:color w:val="auto"/>
              </w:rPr>
              <w:t>mg/L</w:t>
            </w:r>
            <w:r>
              <w:rPr>
                <w:rFonts w:hint="eastAsia"/>
                <w:color w:val="auto"/>
              </w:rPr>
              <w:t>、T</w:t>
            </w:r>
            <w:r>
              <w:rPr>
                <w:rFonts w:hint="eastAsia" w:hAnsi="宋体"/>
                <w:color w:val="auto"/>
              </w:rPr>
              <w:t>P</w:t>
            </w:r>
            <w:r>
              <w:rPr>
                <w:color w:val="auto"/>
              </w:rPr>
              <w:t>≤</w:t>
            </w:r>
            <w:r>
              <w:rPr>
                <w:rFonts w:hint="eastAsia"/>
                <w:color w:val="auto"/>
              </w:rPr>
              <w:t>4</w:t>
            </w:r>
            <w:r>
              <w:rPr>
                <w:color w:val="auto"/>
              </w:rPr>
              <w:t>mg/L</w:t>
            </w:r>
            <w:r>
              <w:rPr>
                <w:rFonts w:hint="eastAsia"/>
                <w:color w:val="auto"/>
              </w:rPr>
              <w:t>。</w:t>
            </w:r>
          </w:p>
          <w:p>
            <w:pPr>
              <w:pStyle w:val="2"/>
              <w:spacing w:line="360" w:lineRule="auto"/>
              <w:ind w:firstLine="465"/>
              <w:rPr>
                <w:rFonts w:hAnsi="宋体"/>
                <w:color w:val="auto"/>
              </w:rPr>
            </w:pPr>
            <w:r>
              <w:rPr>
                <w:rFonts w:hint="eastAsia" w:hAnsi="宋体"/>
                <w:color w:val="auto"/>
              </w:rPr>
              <w:t>本项目核定总量为：</w:t>
            </w:r>
          </w:p>
          <w:p>
            <w:pPr>
              <w:pStyle w:val="2"/>
              <w:spacing w:line="360" w:lineRule="auto"/>
              <w:ind w:firstLine="465"/>
              <w:rPr>
                <w:color w:val="auto"/>
              </w:rPr>
            </w:pPr>
            <w:r>
              <w:rPr>
                <w:rFonts w:hint="eastAsia" w:hAnsi="宋体"/>
                <w:color w:val="auto"/>
              </w:rPr>
              <w:t>COD ：350</w:t>
            </w:r>
            <w:r>
              <w:rPr>
                <w:color w:val="auto"/>
              </w:rPr>
              <w:t xml:space="preserve"> mg/L</w:t>
            </w:r>
            <w:r>
              <w:rPr>
                <w:rFonts w:hint="eastAsia" w:ascii="宋体" w:hAnsi="宋体"/>
                <w:color w:val="auto"/>
              </w:rPr>
              <w:t>×</w:t>
            </w:r>
            <w:r>
              <w:rPr>
                <w:rFonts w:hint="eastAsia"/>
                <w:color w:val="auto"/>
              </w:rPr>
              <w:t>7488</w:t>
            </w:r>
            <w:r>
              <w:rPr>
                <w:color w:val="auto"/>
              </w:rPr>
              <w:t xml:space="preserve"> m</w:t>
            </w:r>
            <w:r>
              <w:rPr>
                <w:color w:val="auto"/>
                <w:vertAlign w:val="superscript"/>
              </w:rPr>
              <w:t>3</w:t>
            </w:r>
            <w:r>
              <w:rPr>
                <w:color w:val="auto"/>
              </w:rPr>
              <w:t>/a</w:t>
            </w:r>
            <w:r>
              <w:rPr>
                <w:rFonts w:hint="eastAsia" w:ascii="宋体" w:hAnsi="宋体"/>
                <w:color w:val="auto"/>
              </w:rPr>
              <w:t>×</w:t>
            </w:r>
            <w:r>
              <w:rPr>
                <w:color w:val="auto"/>
              </w:rPr>
              <w:t>10</w:t>
            </w:r>
            <w:r>
              <w:rPr>
                <w:color w:val="auto"/>
                <w:vertAlign w:val="superscript"/>
              </w:rPr>
              <w:t>-6</w:t>
            </w:r>
            <w:r>
              <w:rPr>
                <w:rFonts w:hint="eastAsia"/>
                <w:color w:val="auto"/>
              </w:rPr>
              <w:t>=2.62</w:t>
            </w:r>
            <w:r>
              <w:rPr>
                <w:color w:val="auto"/>
              </w:rPr>
              <w:t xml:space="preserve"> t/a；</w:t>
            </w:r>
          </w:p>
          <w:p>
            <w:pPr>
              <w:pStyle w:val="2"/>
              <w:spacing w:line="360" w:lineRule="auto"/>
              <w:ind w:firstLine="465"/>
              <w:rPr>
                <w:rFonts w:hAnsi="宋体"/>
                <w:color w:val="auto"/>
              </w:rPr>
            </w:pPr>
            <w:r>
              <w:rPr>
                <w:rFonts w:hint="eastAsia" w:hAnsi="宋体"/>
                <w:color w:val="auto"/>
              </w:rPr>
              <w:t>氨氮：35</w:t>
            </w:r>
            <w:r>
              <w:rPr>
                <w:color w:val="auto"/>
              </w:rPr>
              <w:t xml:space="preserve"> mg/L</w:t>
            </w:r>
            <w:r>
              <w:rPr>
                <w:rFonts w:hint="eastAsia" w:ascii="宋体" w:hAnsi="宋体"/>
                <w:color w:val="auto"/>
              </w:rPr>
              <w:t>×</w:t>
            </w:r>
            <w:r>
              <w:rPr>
                <w:rFonts w:hint="eastAsia"/>
                <w:color w:val="auto"/>
              </w:rPr>
              <w:t>7488</w:t>
            </w:r>
            <w:r>
              <w:rPr>
                <w:color w:val="auto"/>
              </w:rPr>
              <w:t xml:space="preserve"> m</w:t>
            </w:r>
            <w:r>
              <w:rPr>
                <w:color w:val="auto"/>
                <w:vertAlign w:val="superscript"/>
              </w:rPr>
              <w:t>3</w:t>
            </w:r>
            <w:r>
              <w:rPr>
                <w:color w:val="auto"/>
              </w:rPr>
              <w:t>/a</w:t>
            </w:r>
            <w:r>
              <w:rPr>
                <w:rFonts w:hint="eastAsia" w:ascii="宋体" w:hAnsi="宋体"/>
                <w:color w:val="auto"/>
              </w:rPr>
              <w:t>×</w:t>
            </w:r>
            <w:r>
              <w:rPr>
                <w:color w:val="auto"/>
              </w:rPr>
              <w:t>10</w:t>
            </w:r>
            <w:r>
              <w:rPr>
                <w:color w:val="auto"/>
                <w:vertAlign w:val="superscript"/>
              </w:rPr>
              <w:t>-6</w:t>
            </w:r>
            <w:r>
              <w:rPr>
                <w:rFonts w:hint="eastAsia"/>
                <w:color w:val="auto"/>
              </w:rPr>
              <w:t>=0.26</w:t>
            </w:r>
            <w:r>
              <w:rPr>
                <w:color w:val="auto"/>
              </w:rPr>
              <w:t xml:space="preserve"> t/a</w:t>
            </w:r>
          </w:p>
          <w:p>
            <w:pPr>
              <w:spacing w:line="360" w:lineRule="auto"/>
              <w:ind w:firstLine="472" w:firstLineChars="200"/>
              <w:rPr>
                <w:sz w:val="24"/>
              </w:rPr>
            </w:pPr>
            <w:r>
              <w:rPr>
                <w:rFonts w:hint="eastAsia" w:ascii="宋体" w:hAnsi="宋体"/>
                <w:sz w:val="24"/>
              </w:rPr>
              <w:t>综上，本项目</w:t>
            </w:r>
            <w:r>
              <w:rPr>
                <w:rFonts w:ascii="宋体" w:hAnsi="宋体"/>
                <w:sz w:val="24"/>
              </w:rPr>
              <w:t>污染物排放总量控制指标建议值为</w:t>
            </w:r>
            <w:r>
              <w:rPr>
                <w:sz w:val="24"/>
              </w:rPr>
              <w:t>COD</w:t>
            </w:r>
            <w:r>
              <w:rPr>
                <w:rFonts w:hint="eastAsia"/>
                <w:sz w:val="24"/>
              </w:rPr>
              <w:t>2.62</w:t>
            </w:r>
            <w:r>
              <w:rPr>
                <w:sz w:val="24"/>
              </w:rPr>
              <w:t>t/a、氨氮0.</w:t>
            </w:r>
            <w:r>
              <w:rPr>
                <w:rFonts w:hint="eastAsia"/>
                <w:sz w:val="24"/>
              </w:rPr>
              <w:t>262</w:t>
            </w:r>
            <w:r>
              <w:rPr>
                <w:sz w:val="24"/>
              </w:rPr>
              <w:t>t/a、SO</w:t>
            </w:r>
            <w:r>
              <w:rPr>
                <w:sz w:val="24"/>
                <w:vertAlign w:val="subscript"/>
              </w:rPr>
              <w:t>2</w:t>
            </w:r>
            <w:r>
              <w:rPr>
                <w:sz w:val="24"/>
              </w:rPr>
              <w:t>0t/a、NO</w:t>
            </w:r>
            <w:r>
              <w:rPr>
                <w:sz w:val="24"/>
                <w:vertAlign w:val="subscript"/>
              </w:rPr>
              <w:t>X</w:t>
            </w:r>
            <w:r>
              <w:rPr>
                <w:sz w:val="24"/>
              </w:rPr>
              <w:t>0t/a。</w:t>
            </w:r>
          </w:p>
          <w:p>
            <w:pPr>
              <w:pStyle w:val="2"/>
              <w:spacing w:line="360" w:lineRule="auto"/>
              <w:rPr>
                <w:color w:val="auto"/>
                <w:lang w:val="fr-FR"/>
              </w:rPr>
            </w:pPr>
          </w:p>
          <w:p>
            <w:pPr>
              <w:pStyle w:val="2"/>
              <w:rPr>
                <w:color w:val="auto"/>
                <w:lang w:val="fr-FR"/>
              </w:rPr>
            </w:pPr>
          </w:p>
          <w:p>
            <w:pPr>
              <w:pStyle w:val="2"/>
              <w:rPr>
                <w:color w:val="auto"/>
                <w:lang w:val="fr-FR"/>
              </w:rPr>
            </w:pPr>
          </w:p>
          <w:p>
            <w:pPr>
              <w:pStyle w:val="2"/>
              <w:rPr>
                <w:color w:val="auto"/>
                <w:lang w:val="fr-FR"/>
              </w:rPr>
            </w:pPr>
          </w:p>
          <w:p>
            <w:pPr>
              <w:pStyle w:val="2"/>
              <w:rPr>
                <w:color w:val="auto"/>
                <w:lang w:val="fr-FR"/>
              </w:rPr>
            </w:pPr>
          </w:p>
          <w:p>
            <w:pPr>
              <w:pStyle w:val="2"/>
              <w:rPr>
                <w:color w:val="auto"/>
              </w:rPr>
            </w:pPr>
          </w:p>
        </w:tc>
      </w:tr>
    </w:tbl>
    <w:p>
      <w:pPr>
        <w:rPr>
          <w:rFonts w:eastAsia="黑体"/>
          <w:sz w:val="28"/>
        </w:rPr>
        <w:sectPr>
          <w:pgSz w:w="11906" w:h="16838"/>
          <w:pgMar w:top="1304" w:right="1701" w:bottom="1418" w:left="1701" w:header="851" w:footer="851" w:gutter="0"/>
          <w:cols w:space="720" w:num="1"/>
          <w:docGrid w:type="linesAndChars" w:linePitch="380" w:charSpace="-948"/>
        </w:sectPr>
      </w:pPr>
    </w:p>
    <w:p>
      <w:pPr>
        <w:jc w:val="center"/>
        <w:rPr>
          <w:rFonts w:eastAsia="黑体"/>
          <w:b/>
          <w:sz w:val="32"/>
          <w:szCs w:val="32"/>
        </w:rPr>
      </w:pPr>
      <w:r>
        <w:rPr>
          <w:rFonts w:hint="eastAsia" w:eastAsia="黑体"/>
          <w:b/>
          <w:sz w:val="32"/>
          <w:szCs w:val="32"/>
        </w:rPr>
        <w:t>四、主要环境影响和保护措施</w:t>
      </w:r>
    </w:p>
    <w:tbl>
      <w:tblPr>
        <w:tblStyle w:val="28"/>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 w:type="pct"/>
            <w:vAlign w:val="center"/>
          </w:tcPr>
          <w:p>
            <w:pPr>
              <w:jc w:val="center"/>
              <w:rPr>
                <w:rFonts w:eastAsia="黑体"/>
                <w:sz w:val="28"/>
              </w:rPr>
            </w:pPr>
            <w:r>
              <w:rPr>
                <w:rFonts w:hint="eastAsia" w:ascii="宋体" w:hAnsi="宋体" w:cs="宋体"/>
                <w:bCs/>
                <w:sz w:val="24"/>
                <w:szCs w:val="24"/>
              </w:rPr>
              <w:t>施工期环境保护措施</w:t>
            </w:r>
          </w:p>
        </w:tc>
        <w:tc>
          <w:tcPr>
            <w:tcW w:w="4720" w:type="pct"/>
            <w:vAlign w:val="center"/>
          </w:tcPr>
          <w:p>
            <w:pPr>
              <w:spacing w:line="360" w:lineRule="auto"/>
              <w:ind w:right="562"/>
              <w:rPr>
                <w:b/>
                <w:bCs/>
                <w:kern w:val="1"/>
                <w:sz w:val="24"/>
                <w:szCs w:val="24"/>
              </w:rPr>
            </w:pPr>
            <w:r>
              <w:rPr>
                <w:rFonts w:hint="eastAsia"/>
                <w:b/>
                <w:bCs/>
                <w:kern w:val="1"/>
                <w:sz w:val="24"/>
                <w:szCs w:val="24"/>
              </w:rPr>
              <w:t>施工期</w:t>
            </w:r>
            <w:r>
              <w:rPr>
                <w:b/>
                <w:bCs/>
                <w:kern w:val="1"/>
                <w:sz w:val="24"/>
                <w:szCs w:val="24"/>
              </w:rPr>
              <w:t>环境影响分析：</w:t>
            </w:r>
          </w:p>
          <w:p>
            <w:pPr>
              <w:spacing w:line="360" w:lineRule="auto"/>
              <w:ind w:firstLine="472" w:firstLineChars="200"/>
              <w:rPr>
                <w:bCs/>
                <w:snapToGrid w:val="0"/>
                <w:sz w:val="24"/>
                <w:szCs w:val="24"/>
              </w:rPr>
            </w:pPr>
            <w:r>
              <w:rPr>
                <w:rFonts w:hint="eastAsia" w:ascii="宋体" w:hAnsi="宋体"/>
                <w:bCs/>
                <w:snapToGrid w:val="0"/>
                <w:sz w:val="24"/>
                <w:szCs w:val="24"/>
              </w:rPr>
              <w:t>本项目为新建项目，除租赁现有厂房外，其他需要新建</w:t>
            </w:r>
            <w:r>
              <w:rPr>
                <w:rFonts w:hint="eastAsia" w:ascii="宋体" w:hAnsi="宋体" w:cs="宋体"/>
                <w:bCs/>
                <w:snapToGrid w:val="0"/>
                <w:sz w:val="24"/>
                <w:szCs w:val="24"/>
              </w:rPr>
              <w:t>。</w:t>
            </w:r>
            <w:r>
              <w:rPr>
                <w:rFonts w:hint="eastAsia" w:hAnsi="宋体"/>
                <w:bCs/>
                <w:snapToGrid w:val="0"/>
                <w:sz w:val="24"/>
                <w:szCs w:val="24"/>
              </w:rPr>
              <w:t>项目</w:t>
            </w:r>
            <w:r>
              <w:rPr>
                <w:rFonts w:hAnsi="宋体"/>
                <w:bCs/>
                <w:snapToGrid w:val="0"/>
                <w:sz w:val="24"/>
                <w:szCs w:val="24"/>
              </w:rPr>
              <w:t>施工过程对环境产生的不良影响主要表现在施工和运输过程产生的扬尘、建筑垃圾、施工噪声的影响。</w:t>
            </w:r>
          </w:p>
          <w:p>
            <w:pPr>
              <w:spacing w:line="360" w:lineRule="auto"/>
              <w:ind w:firstLine="472" w:firstLineChars="200"/>
              <w:rPr>
                <w:sz w:val="24"/>
              </w:rPr>
            </w:pPr>
            <w:r>
              <w:rPr>
                <w:sz w:val="24"/>
              </w:rPr>
              <w:t>1</w:t>
            </w:r>
            <w:r>
              <w:rPr>
                <w:rFonts w:hAnsi="宋体"/>
                <w:sz w:val="24"/>
              </w:rPr>
              <w:t>、大气环境影响分析</w:t>
            </w:r>
          </w:p>
          <w:p>
            <w:pPr>
              <w:spacing w:line="360" w:lineRule="auto"/>
              <w:ind w:firstLine="472" w:firstLineChars="200"/>
              <w:rPr>
                <w:sz w:val="24"/>
              </w:rPr>
            </w:pPr>
            <w:r>
              <w:rPr>
                <w:rFonts w:hAnsi="宋体"/>
                <w:sz w:val="24"/>
              </w:rPr>
              <w:t>项目施工期对大气环境的影响主要为</w:t>
            </w:r>
            <w:r>
              <w:rPr>
                <w:rFonts w:hAnsi="宋体"/>
                <w:bCs/>
                <w:snapToGrid w:val="0"/>
                <w:sz w:val="24"/>
                <w:szCs w:val="24"/>
              </w:rPr>
              <w:t>施工和运输过程产生的扬尘</w:t>
            </w:r>
            <w:r>
              <w:rPr>
                <w:rFonts w:hAnsi="宋体"/>
                <w:sz w:val="24"/>
              </w:rPr>
              <w:t>。为减轻项目施工对周围环境的影响，建议采取如下措施：</w:t>
            </w:r>
          </w:p>
          <w:p>
            <w:pPr>
              <w:spacing w:line="360" w:lineRule="auto"/>
              <w:ind w:firstLine="236" w:firstLineChars="100"/>
              <w:rPr>
                <w:sz w:val="24"/>
              </w:rPr>
            </w:pPr>
            <w:r>
              <w:rPr>
                <w:rFonts w:hAnsi="宋体"/>
                <w:sz w:val="24"/>
              </w:rPr>
              <w:t>（</w:t>
            </w:r>
            <w:r>
              <w:rPr>
                <w:sz w:val="24"/>
              </w:rPr>
              <w:t>1</w:t>
            </w:r>
            <w:r>
              <w:rPr>
                <w:rFonts w:hAnsi="宋体"/>
                <w:sz w:val="24"/>
              </w:rPr>
              <w:t>）项目施工过程中建筑材料应严密遮盖，使用时不得凌空抛掷、抛洒。</w:t>
            </w:r>
          </w:p>
          <w:p>
            <w:pPr>
              <w:spacing w:line="360" w:lineRule="auto"/>
              <w:ind w:firstLine="236" w:firstLineChars="100"/>
              <w:rPr>
                <w:sz w:val="24"/>
              </w:rPr>
            </w:pPr>
            <w:r>
              <w:rPr>
                <w:rFonts w:hAnsi="宋体"/>
                <w:sz w:val="24"/>
              </w:rPr>
              <w:t>（</w:t>
            </w:r>
            <w:r>
              <w:rPr>
                <w:sz w:val="24"/>
              </w:rPr>
              <w:t>2</w:t>
            </w:r>
            <w:r>
              <w:rPr>
                <w:rFonts w:hAnsi="宋体"/>
                <w:sz w:val="24"/>
              </w:rPr>
              <w:t>）建筑材料运输中要采取遮盖措施或利用密闭性运输车，采用苫布覆盖时，苫布边缘至少要遮住槽帮上沿以下</w:t>
            </w:r>
            <w:r>
              <w:rPr>
                <w:sz w:val="24"/>
              </w:rPr>
              <w:t>15cm</w:t>
            </w:r>
            <w:r>
              <w:rPr>
                <w:rFonts w:hAnsi="宋体"/>
                <w:sz w:val="24"/>
              </w:rPr>
              <w:t>。建筑垃圾等废弃物料采用专用运输车辆，车辆应按照批准的路线和时间进行建筑垃圾的运输，行驶路线要避开居民区等环境敏感目标，并限制运输车辆的车速。</w:t>
            </w:r>
          </w:p>
          <w:p>
            <w:pPr>
              <w:spacing w:line="360" w:lineRule="auto"/>
              <w:ind w:firstLine="472" w:firstLineChars="200"/>
              <w:rPr>
                <w:rFonts w:hAnsi="宋体"/>
                <w:bCs/>
                <w:snapToGrid w:val="0"/>
                <w:sz w:val="24"/>
                <w:szCs w:val="24"/>
              </w:rPr>
            </w:pPr>
            <w:r>
              <w:rPr>
                <w:rFonts w:hAnsi="宋体"/>
                <w:bCs/>
                <w:snapToGrid w:val="0"/>
                <w:sz w:val="24"/>
                <w:szCs w:val="24"/>
              </w:rPr>
              <w:t>施工现场必须严格按照《河北省建筑施工扬尘防治强化措施18条》要求，采取有效措施，最大程度的减轻施工期扬尘对环境的影响，使施工期</w:t>
            </w:r>
            <w:r>
              <w:rPr>
                <w:rFonts w:hint="eastAsia" w:hAnsi="宋体"/>
                <w:bCs/>
                <w:snapToGrid w:val="0"/>
                <w:sz w:val="24"/>
                <w:szCs w:val="24"/>
              </w:rPr>
              <w:t>颗粒物（PM</w:t>
            </w:r>
            <w:r>
              <w:rPr>
                <w:rFonts w:hint="eastAsia" w:hAnsi="宋体"/>
                <w:bCs/>
                <w:snapToGrid w:val="0"/>
                <w:sz w:val="24"/>
                <w:szCs w:val="24"/>
                <w:vertAlign w:val="subscript"/>
              </w:rPr>
              <w:t>10</w:t>
            </w:r>
            <w:r>
              <w:rPr>
                <w:rFonts w:hint="eastAsia" w:hAnsi="宋体"/>
                <w:bCs/>
                <w:snapToGrid w:val="0"/>
                <w:sz w:val="24"/>
                <w:szCs w:val="24"/>
              </w:rPr>
              <w:t>）</w:t>
            </w:r>
            <w:r>
              <w:rPr>
                <w:rFonts w:hAnsi="宋体"/>
                <w:bCs/>
                <w:snapToGrid w:val="0"/>
                <w:sz w:val="24"/>
                <w:szCs w:val="24"/>
              </w:rPr>
              <w:t>满足《施工场地扬尘排放标准》(DB13/2934-2019)表1中扬尘排放浓度限值。</w:t>
            </w:r>
          </w:p>
          <w:p>
            <w:pPr>
              <w:spacing w:line="360" w:lineRule="auto"/>
              <w:ind w:firstLine="472" w:firstLineChars="200"/>
              <w:rPr>
                <w:rFonts w:hAnsi="宋体"/>
                <w:bCs/>
                <w:snapToGrid w:val="0"/>
                <w:sz w:val="24"/>
                <w:szCs w:val="24"/>
              </w:rPr>
            </w:pPr>
            <w:r>
              <w:rPr>
                <w:rFonts w:hAnsi="宋体"/>
                <w:bCs/>
                <w:snapToGrid w:val="0"/>
                <w:sz w:val="24"/>
                <w:szCs w:val="24"/>
              </w:rPr>
              <w:t>2、施工噪声</w:t>
            </w:r>
          </w:p>
          <w:p>
            <w:pPr>
              <w:spacing w:line="360" w:lineRule="auto"/>
              <w:ind w:firstLine="472" w:firstLineChars="200"/>
              <w:rPr>
                <w:bCs/>
                <w:snapToGrid w:val="0"/>
                <w:sz w:val="24"/>
                <w:szCs w:val="24"/>
              </w:rPr>
            </w:pPr>
            <w:r>
              <w:rPr>
                <w:rFonts w:hAnsi="宋体"/>
                <w:bCs/>
                <w:snapToGrid w:val="0"/>
                <w:sz w:val="24"/>
                <w:szCs w:val="24"/>
              </w:rPr>
              <w:t>施工期间噪声影响主要来自施工机械噪声，噪声源强在</w:t>
            </w:r>
            <w:r>
              <w:rPr>
                <w:bCs/>
                <w:snapToGrid w:val="0"/>
                <w:sz w:val="24"/>
                <w:szCs w:val="24"/>
              </w:rPr>
              <w:t>80~105dB(A)</w:t>
            </w:r>
            <w:r>
              <w:rPr>
                <w:rFonts w:hAnsi="宋体"/>
                <w:bCs/>
                <w:snapToGrid w:val="0"/>
                <w:sz w:val="24"/>
                <w:szCs w:val="24"/>
              </w:rPr>
              <w:t>之间，为了避免施工过程中产生的噪声对周围环境敏感点的影响，本评价要求施工单位在施工期间严格执行《建筑施工场界环境噪声排放标准》（</w:t>
            </w:r>
            <w:r>
              <w:rPr>
                <w:bCs/>
                <w:snapToGrid w:val="0"/>
                <w:sz w:val="24"/>
                <w:szCs w:val="24"/>
              </w:rPr>
              <w:t>GB12523-2011</w:t>
            </w:r>
            <w:r>
              <w:rPr>
                <w:rFonts w:hAnsi="宋体"/>
                <w:bCs/>
                <w:snapToGrid w:val="0"/>
                <w:sz w:val="24"/>
                <w:szCs w:val="24"/>
              </w:rPr>
              <w:t>）中的有关规定，各种噪声设备禁止夜间作业，尽量减小由于施工而给周边环境造成的影响。施工噪声对周边环境的影响会随施工的结束而消失。</w:t>
            </w:r>
          </w:p>
          <w:p>
            <w:pPr>
              <w:spacing w:line="360" w:lineRule="auto"/>
              <w:ind w:firstLine="472" w:firstLineChars="200"/>
              <w:rPr>
                <w:bCs/>
                <w:snapToGrid w:val="0"/>
                <w:sz w:val="24"/>
                <w:szCs w:val="24"/>
              </w:rPr>
            </w:pPr>
            <w:r>
              <w:rPr>
                <w:bCs/>
                <w:snapToGrid w:val="0"/>
                <w:sz w:val="24"/>
                <w:szCs w:val="24"/>
              </w:rPr>
              <w:t>3</w:t>
            </w:r>
            <w:r>
              <w:rPr>
                <w:rFonts w:hAnsi="宋体"/>
                <w:bCs/>
                <w:snapToGrid w:val="0"/>
                <w:sz w:val="24"/>
                <w:szCs w:val="24"/>
              </w:rPr>
              <w:t>、建筑垃圾</w:t>
            </w:r>
          </w:p>
          <w:p>
            <w:pPr>
              <w:spacing w:line="360" w:lineRule="auto"/>
              <w:ind w:firstLine="472" w:firstLineChars="200"/>
              <w:rPr>
                <w:bCs/>
                <w:snapToGrid w:val="0"/>
                <w:sz w:val="24"/>
                <w:szCs w:val="24"/>
              </w:rPr>
            </w:pPr>
            <w:r>
              <w:rPr>
                <w:rFonts w:hAnsi="宋体"/>
                <w:bCs/>
                <w:snapToGrid w:val="0"/>
                <w:sz w:val="24"/>
                <w:szCs w:val="24"/>
              </w:rPr>
              <w:t>（</w:t>
            </w:r>
            <w:r>
              <w:rPr>
                <w:bCs/>
                <w:snapToGrid w:val="0"/>
                <w:sz w:val="24"/>
                <w:szCs w:val="24"/>
              </w:rPr>
              <w:t>1</w:t>
            </w:r>
            <w:r>
              <w:rPr>
                <w:rFonts w:hAnsi="宋体"/>
                <w:bCs/>
                <w:snapToGrid w:val="0"/>
                <w:sz w:val="24"/>
                <w:szCs w:val="24"/>
              </w:rPr>
              <w:t>）施工现场应设置具备喷淋功能的密闭式</w:t>
            </w:r>
            <w:r>
              <w:rPr>
                <w:rFonts w:hint="eastAsia" w:hAnsi="宋体"/>
                <w:bCs/>
                <w:snapToGrid w:val="0"/>
                <w:sz w:val="24"/>
                <w:szCs w:val="24"/>
                <w:lang w:eastAsia="zh-CN"/>
              </w:rPr>
              <w:t>垃圾</w:t>
            </w:r>
            <w:r>
              <w:rPr>
                <w:rFonts w:hAnsi="宋体"/>
                <w:bCs/>
                <w:snapToGrid w:val="0"/>
                <w:sz w:val="24"/>
                <w:szCs w:val="24"/>
              </w:rPr>
              <w:t>池，生活垃圾和施工垃圾必须分开存放，垃圾池容量应满足施工现场垃圾处理使用需求。</w:t>
            </w:r>
            <w:r>
              <w:rPr>
                <w:bCs/>
                <w:snapToGrid w:val="0"/>
                <w:sz w:val="24"/>
                <w:szCs w:val="24"/>
              </w:rPr>
              <w:t xml:space="preserve"> </w:t>
            </w:r>
          </w:p>
          <w:p>
            <w:pPr>
              <w:spacing w:line="360" w:lineRule="auto"/>
              <w:ind w:firstLine="472" w:firstLineChars="200"/>
              <w:rPr>
                <w:bCs/>
                <w:snapToGrid w:val="0"/>
                <w:sz w:val="24"/>
                <w:szCs w:val="24"/>
              </w:rPr>
            </w:pPr>
            <w:r>
              <w:rPr>
                <w:rFonts w:hAnsi="宋体"/>
                <w:bCs/>
                <w:snapToGrid w:val="0"/>
                <w:sz w:val="24"/>
                <w:szCs w:val="24"/>
              </w:rPr>
              <w:t>（</w:t>
            </w:r>
            <w:r>
              <w:rPr>
                <w:bCs/>
                <w:snapToGrid w:val="0"/>
                <w:sz w:val="24"/>
                <w:szCs w:val="24"/>
              </w:rPr>
              <w:t>2</w:t>
            </w:r>
            <w:r>
              <w:rPr>
                <w:rFonts w:hAnsi="宋体"/>
                <w:bCs/>
                <w:snapToGrid w:val="0"/>
                <w:sz w:val="24"/>
                <w:szCs w:val="24"/>
              </w:rPr>
              <w:t>）施工单位应安排专人负责对现场</w:t>
            </w:r>
            <w:r>
              <w:rPr>
                <w:rFonts w:hint="eastAsia" w:hAnsi="宋体"/>
                <w:bCs/>
                <w:snapToGrid w:val="0"/>
                <w:sz w:val="24"/>
                <w:szCs w:val="24"/>
                <w:lang w:eastAsia="zh-CN"/>
              </w:rPr>
              <w:t>垃圾</w:t>
            </w:r>
            <w:r>
              <w:rPr>
                <w:rFonts w:hAnsi="宋体"/>
                <w:bCs/>
                <w:snapToGrid w:val="0"/>
                <w:sz w:val="24"/>
                <w:szCs w:val="24"/>
              </w:rPr>
              <w:t>进行管理，通过具备垃圾消纳资格的达标运输车辆每晚对垃圾池进行清理，将垃圾运送到指定的垃圾处理场所。</w:t>
            </w:r>
            <w:r>
              <w:rPr>
                <w:bCs/>
                <w:snapToGrid w:val="0"/>
                <w:sz w:val="24"/>
                <w:szCs w:val="24"/>
              </w:rPr>
              <w:t xml:space="preserve"> </w:t>
            </w:r>
          </w:p>
          <w:p>
            <w:pPr>
              <w:spacing w:line="360" w:lineRule="auto"/>
              <w:ind w:firstLine="472" w:firstLineChars="200"/>
              <w:rPr>
                <w:bCs/>
                <w:snapToGrid w:val="0"/>
                <w:sz w:val="24"/>
                <w:szCs w:val="24"/>
              </w:rPr>
            </w:pPr>
            <w:r>
              <w:rPr>
                <w:bCs/>
                <w:snapToGrid w:val="0"/>
                <w:sz w:val="24"/>
                <w:szCs w:val="24"/>
              </w:rPr>
              <w:t>4</w:t>
            </w:r>
            <w:r>
              <w:rPr>
                <w:rFonts w:hAnsi="宋体"/>
                <w:bCs/>
                <w:snapToGrid w:val="0"/>
                <w:sz w:val="24"/>
                <w:szCs w:val="24"/>
              </w:rPr>
              <w:t>、废水</w:t>
            </w:r>
          </w:p>
          <w:p>
            <w:pPr>
              <w:spacing w:line="360" w:lineRule="auto"/>
              <w:ind w:firstLine="472" w:firstLineChars="200"/>
              <w:rPr>
                <w:bCs/>
                <w:snapToGrid w:val="0"/>
                <w:sz w:val="24"/>
                <w:szCs w:val="24"/>
              </w:rPr>
            </w:pPr>
            <w:r>
              <w:rPr>
                <w:rFonts w:hAnsi="宋体"/>
                <w:bCs/>
                <w:snapToGrid w:val="0"/>
                <w:sz w:val="24"/>
                <w:szCs w:val="24"/>
              </w:rPr>
              <w:t>项目施工期间废水主要为施工人员生活污水和建筑物养护用水。生活污水产生量较小，全部用于泼洒道路防止扬尘。</w:t>
            </w:r>
          </w:p>
          <w:p>
            <w:pPr>
              <w:spacing w:line="360" w:lineRule="auto"/>
              <w:ind w:firstLine="472" w:firstLineChars="200"/>
            </w:pPr>
            <w:r>
              <w:rPr>
                <w:rFonts w:hAnsi="宋体"/>
                <w:bCs/>
                <w:snapToGrid w:val="0"/>
                <w:sz w:val="24"/>
                <w:szCs w:val="24"/>
              </w:rPr>
              <w:t>总之，只要加强管理，切实落实好以上措施，施工期对环境的影响将会大大降低，其对环境的影响也将随施工的结束而消失</w:t>
            </w:r>
            <w:r>
              <w:rPr>
                <w:rFonts w:hint="eastAsia" w:hAnsi="宋体"/>
                <w:bCs/>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80" w:type="pct"/>
            <w:vAlign w:val="center"/>
          </w:tcPr>
          <w:p>
            <w:pPr>
              <w:jc w:val="center"/>
              <w:rPr>
                <w:rFonts w:eastAsia="黑体"/>
                <w:sz w:val="28"/>
              </w:rPr>
            </w:pPr>
            <w:r>
              <w:rPr>
                <w:rFonts w:hint="eastAsia" w:ascii="宋体" w:hAnsi="宋体" w:cs="宋体"/>
                <w:sz w:val="24"/>
                <w:szCs w:val="24"/>
              </w:rPr>
              <w:t>运营期环境影响和保护措施</w:t>
            </w:r>
          </w:p>
        </w:tc>
        <w:tc>
          <w:tcPr>
            <w:tcW w:w="4720" w:type="pct"/>
            <w:vAlign w:val="center"/>
          </w:tcPr>
          <w:p>
            <w:pPr>
              <w:spacing w:line="360" w:lineRule="auto"/>
              <w:ind w:firstLine="472" w:firstLineChars="200"/>
              <w:rPr>
                <w:b/>
                <w:bCs/>
                <w:kern w:val="1"/>
                <w:sz w:val="24"/>
                <w:szCs w:val="24"/>
              </w:rPr>
            </w:pPr>
            <w:r>
              <w:rPr>
                <w:b/>
                <w:bCs/>
                <w:kern w:val="1"/>
                <w:sz w:val="24"/>
                <w:szCs w:val="24"/>
              </w:rPr>
              <w:t>一、大气环境影响分析</w:t>
            </w:r>
          </w:p>
          <w:p>
            <w:pPr>
              <w:spacing w:line="360" w:lineRule="auto"/>
              <w:ind w:firstLine="472" w:firstLineChars="200"/>
              <w:rPr>
                <w:rFonts w:hAnsi="宋体"/>
                <w:sz w:val="24"/>
                <w:szCs w:val="24"/>
              </w:rPr>
            </w:pPr>
            <w:r>
              <w:rPr>
                <w:rFonts w:hint="eastAsia" w:hAnsi="宋体"/>
                <w:sz w:val="24"/>
                <w:szCs w:val="24"/>
              </w:rPr>
              <w:t xml:space="preserve">1、产排污节点、污染物及污染治理设施 </w:t>
            </w:r>
          </w:p>
          <w:p>
            <w:pPr>
              <w:spacing w:line="360" w:lineRule="auto"/>
              <w:ind w:firstLine="472" w:firstLineChars="200"/>
              <w:rPr>
                <w:rFonts w:hAnsi="宋体"/>
                <w:b/>
                <w:bCs/>
                <w:sz w:val="24"/>
                <w:szCs w:val="24"/>
              </w:rPr>
            </w:pPr>
            <w:r>
              <w:rPr>
                <w:rFonts w:hint="eastAsia" w:hAnsi="宋体"/>
                <w:sz w:val="24"/>
                <w:szCs w:val="24"/>
              </w:rPr>
              <w:t>本项目废气产排污节点、污染物及污染治理设施信息见下表：</w:t>
            </w:r>
          </w:p>
          <w:p>
            <w:pPr>
              <w:spacing w:line="360" w:lineRule="auto"/>
              <w:ind w:firstLine="472" w:firstLineChars="200"/>
              <w:jc w:val="center"/>
              <w:rPr>
                <w:rFonts w:hAnsi="宋体"/>
                <w:b/>
                <w:bCs/>
                <w:sz w:val="24"/>
                <w:szCs w:val="24"/>
              </w:rPr>
            </w:pPr>
          </w:p>
          <w:p>
            <w:pPr>
              <w:spacing w:line="360" w:lineRule="auto"/>
              <w:ind w:firstLine="472" w:firstLineChars="200"/>
              <w:jc w:val="center"/>
              <w:rPr>
                <w:rFonts w:hAnsi="宋体"/>
                <w:sz w:val="24"/>
                <w:szCs w:val="24"/>
              </w:rPr>
            </w:pPr>
            <w:r>
              <w:rPr>
                <w:rFonts w:hint="eastAsia" w:hAnsi="宋体"/>
                <w:b/>
                <w:bCs/>
                <w:sz w:val="24"/>
                <w:szCs w:val="24"/>
              </w:rPr>
              <w:t>表4-1 废气产排污节点、污染物及污染治理设施信息表</w:t>
            </w:r>
          </w:p>
          <w:tbl>
            <w:tblPr>
              <w:tblStyle w:val="29"/>
              <w:tblW w:w="499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874"/>
              <w:gridCol w:w="821"/>
              <w:gridCol w:w="656"/>
              <w:gridCol w:w="969"/>
              <w:gridCol w:w="1020"/>
              <w:gridCol w:w="728"/>
              <w:gridCol w:w="1046"/>
              <w:gridCol w:w="748"/>
              <w:gridCol w:w="727"/>
              <w:gridCol w:w="836"/>
              <w:gridCol w:w="971"/>
              <w:gridCol w:w="1037"/>
              <w:gridCol w:w="1141"/>
              <w:gridCol w:w="650"/>
              <w:gridCol w:w="6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5" w:type="pct"/>
                  <w:vMerge w:val="restart"/>
                  <w:vAlign w:val="center"/>
                </w:tcPr>
                <w:p>
                  <w:pPr>
                    <w:pStyle w:val="2"/>
                    <w:spacing w:line="240" w:lineRule="exact"/>
                    <w:jc w:val="both"/>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329"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产污设施名称</w:t>
                  </w:r>
                </w:p>
              </w:tc>
              <w:tc>
                <w:tcPr>
                  <w:tcW w:w="309"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对应产污环节 </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名称</w:t>
                  </w:r>
                </w:p>
              </w:tc>
              <w:tc>
                <w:tcPr>
                  <w:tcW w:w="247"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污染物 </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种类</w:t>
                  </w:r>
                </w:p>
              </w:tc>
              <w:tc>
                <w:tcPr>
                  <w:tcW w:w="36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污染物产生量（t/a）</w:t>
                  </w:r>
                </w:p>
              </w:tc>
              <w:tc>
                <w:tcPr>
                  <w:tcW w:w="384"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污染物产生浓度(mg/m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p>
              </w:tc>
              <w:tc>
                <w:tcPr>
                  <w:tcW w:w="274"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形式</w:t>
                  </w:r>
                </w:p>
              </w:tc>
              <w:tc>
                <w:tcPr>
                  <w:tcW w:w="1265" w:type="pct"/>
                  <w:gridSpan w:val="4"/>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污染治理设施</w:t>
                  </w:r>
                </w:p>
              </w:tc>
              <w:tc>
                <w:tcPr>
                  <w:tcW w:w="366"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污染物排放量（t/a）</w:t>
                  </w:r>
                </w:p>
              </w:tc>
              <w:tc>
                <w:tcPr>
                  <w:tcW w:w="391"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污染物排放浓度(mg/m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p>
              </w:tc>
              <w:tc>
                <w:tcPr>
                  <w:tcW w:w="430"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污染物排放速率(kg/h)</w:t>
                  </w:r>
                </w:p>
              </w:tc>
              <w:tc>
                <w:tcPr>
                  <w:tcW w:w="24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有组织排放口编号</w:t>
                  </w:r>
                </w:p>
              </w:tc>
              <w:tc>
                <w:tcPr>
                  <w:tcW w:w="237"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329" w:type="pct"/>
                  <w:vMerge w:val="continue"/>
                  <w:vAlign w:val="center"/>
                </w:tcPr>
                <w:p>
                  <w:pPr>
                    <w:pStyle w:val="2"/>
                    <w:spacing w:line="240" w:lineRule="exact"/>
                    <w:jc w:val="center"/>
                    <w:rPr>
                      <w:rFonts w:ascii="仿宋" w:hAnsi="仿宋" w:eastAsia="仿宋" w:cs="仿宋"/>
                      <w:color w:val="auto"/>
                      <w:sz w:val="21"/>
                      <w:szCs w:val="21"/>
                    </w:rPr>
                  </w:pPr>
                </w:p>
              </w:tc>
              <w:tc>
                <w:tcPr>
                  <w:tcW w:w="309" w:type="pct"/>
                  <w:vMerge w:val="continue"/>
                  <w:vAlign w:val="center"/>
                </w:tcPr>
                <w:p>
                  <w:pPr>
                    <w:pStyle w:val="2"/>
                    <w:spacing w:line="240" w:lineRule="exact"/>
                    <w:jc w:val="center"/>
                    <w:rPr>
                      <w:rFonts w:ascii="仿宋" w:hAnsi="仿宋" w:eastAsia="仿宋" w:cs="仿宋"/>
                      <w:color w:val="auto"/>
                      <w:sz w:val="21"/>
                      <w:szCs w:val="21"/>
                    </w:rPr>
                  </w:pPr>
                </w:p>
              </w:tc>
              <w:tc>
                <w:tcPr>
                  <w:tcW w:w="247" w:type="pct"/>
                  <w:vMerge w:val="continue"/>
                  <w:vAlign w:val="center"/>
                </w:tcPr>
                <w:p>
                  <w:pPr>
                    <w:pStyle w:val="2"/>
                    <w:spacing w:line="240" w:lineRule="exact"/>
                    <w:jc w:val="center"/>
                    <w:rPr>
                      <w:rFonts w:ascii="仿宋" w:hAnsi="仿宋" w:eastAsia="仿宋" w:cs="仿宋"/>
                      <w:color w:val="auto"/>
                      <w:sz w:val="21"/>
                      <w:szCs w:val="21"/>
                    </w:rPr>
                  </w:pPr>
                </w:p>
              </w:tc>
              <w:tc>
                <w:tcPr>
                  <w:tcW w:w="365" w:type="pct"/>
                  <w:vMerge w:val="continue"/>
                  <w:vAlign w:val="center"/>
                </w:tcPr>
                <w:p>
                  <w:pPr>
                    <w:pStyle w:val="2"/>
                    <w:spacing w:line="240" w:lineRule="exact"/>
                    <w:jc w:val="center"/>
                    <w:rPr>
                      <w:rFonts w:ascii="仿宋" w:hAnsi="仿宋" w:eastAsia="仿宋" w:cs="仿宋"/>
                      <w:color w:val="auto"/>
                      <w:sz w:val="21"/>
                      <w:szCs w:val="21"/>
                    </w:rPr>
                  </w:pPr>
                </w:p>
              </w:tc>
              <w:tc>
                <w:tcPr>
                  <w:tcW w:w="384" w:type="pct"/>
                  <w:vMerge w:val="continue"/>
                  <w:vAlign w:val="center"/>
                </w:tcPr>
                <w:p>
                  <w:pPr>
                    <w:pStyle w:val="2"/>
                    <w:spacing w:line="240" w:lineRule="exact"/>
                    <w:jc w:val="center"/>
                    <w:rPr>
                      <w:rFonts w:ascii="仿宋" w:hAnsi="仿宋" w:eastAsia="仿宋" w:cs="仿宋"/>
                      <w:color w:val="auto"/>
                      <w:sz w:val="21"/>
                      <w:szCs w:val="21"/>
                    </w:rPr>
                  </w:pPr>
                </w:p>
              </w:tc>
              <w:tc>
                <w:tcPr>
                  <w:tcW w:w="274" w:type="pct"/>
                  <w:vMerge w:val="continue"/>
                  <w:vAlign w:val="center"/>
                </w:tcPr>
                <w:p>
                  <w:pPr>
                    <w:pStyle w:val="2"/>
                    <w:spacing w:line="240" w:lineRule="exact"/>
                    <w:jc w:val="center"/>
                    <w:rPr>
                      <w:rFonts w:ascii="仿宋" w:hAnsi="仿宋" w:eastAsia="仿宋" w:cs="仿宋"/>
                      <w:color w:val="auto"/>
                      <w:sz w:val="21"/>
                      <w:szCs w:val="21"/>
                    </w:rPr>
                  </w:pP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处理</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能力</w:t>
                  </w:r>
                </w:p>
              </w:tc>
              <w:tc>
                <w:tcPr>
                  <w:tcW w:w="282"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收集效率（%）</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去除效率（%） </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是否为可行技术 </w:t>
                  </w:r>
                </w:p>
              </w:tc>
              <w:tc>
                <w:tcPr>
                  <w:tcW w:w="366" w:type="pct"/>
                  <w:vMerge w:val="continue"/>
                  <w:vAlign w:val="center"/>
                </w:tcPr>
                <w:p>
                  <w:pPr>
                    <w:pStyle w:val="2"/>
                    <w:spacing w:line="240" w:lineRule="exact"/>
                    <w:jc w:val="center"/>
                    <w:rPr>
                      <w:rFonts w:ascii="仿宋" w:hAnsi="仿宋" w:eastAsia="仿宋" w:cs="仿宋"/>
                      <w:color w:val="auto"/>
                      <w:sz w:val="21"/>
                      <w:szCs w:val="21"/>
                    </w:rPr>
                  </w:pPr>
                </w:p>
              </w:tc>
              <w:tc>
                <w:tcPr>
                  <w:tcW w:w="391" w:type="pct"/>
                  <w:vMerge w:val="continue"/>
                  <w:vAlign w:val="center"/>
                </w:tcPr>
                <w:p>
                  <w:pPr>
                    <w:pStyle w:val="2"/>
                    <w:spacing w:line="240" w:lineRule="exact"/>
                    <w:jc w:val="center"/>
                    <w:rPr>
                      <w:rFonts w:ascii="仿宋" w:hAnsi="仿宋" w:eastAsia="仿宋" w:cs="仿宋"/>
                      <w:color w:val="auto"/>
                      <w:sz w:val="21"/>
                      <w:szCs w:val="21"/>
                    </w:rPr>
                  </w:pPr>
                </w:p>
              </w:tc>
              <w:tc>
                <w:tcPr>
                  <w:tcW w:w="430" w:type="pct"/>
                  <w:vMerge w:val="continue"/>
                  <w:vAlign w:val="center"/>
                </w:tcPr>
                <w:p>
                  <w:pPr>
                    <w:pStyle w:val="2"/>
                    <w:spacing w:line="240" w:lineRule="exact"/>
                    <w:jc w:val="center"/>
                    <w:rPr>
                      <w:rFonts w:ascii="仿宋" w:hAnsi="仿宋" w:eastAsia="仿宋" w:cs="仿宋"/>
                      <w:color w:val="auto"/>
                      <w:sz w:val="21"/>
                      <w:szCs w:val="21"/>
                    </w:rPr>
                  </w:pPr>
                </w:p>
              </w:tc>
              <w:tc>
                <w:tcPr>
                  <w:tcW w:w="245" w:type="pct"/>
                  <w:vMerge w:val="continue"/>
                  <w:vAlign w:val="center"/>
                </w:tcPr>
                <w:p>
                  <w:pPr>
                    <w:pStyle w:val="2"/>
                    <w:spacing w:line="240" w:lineRule="exact"/>
                    <w:jc w:val="center"/>
                    <w:rPr>
                      <w:rFonts w:ascii="仿宋" w:hAnsi="仿宋" w:eastAsia="仿宋" w:cs="仿宋"/>
                      <w:color w:val="auto"/>
                      <w:sz w:val="21"/>
                      <w:szCs w:val="21"/>
                    </w:rPr>
                  </w:pPr>
                </w:p>
              </w:tc>
              <w:tc>
                <w:tcPr>
                  <w:tcW w:w="237" w:type="pct"/>
                  <w:vMerge w:val="continue"/>
                  <w:vAlign w:val="center"/>
                </w:tcPr>
                <w:p>
                  <w:pPr>
                    <w:pStyle w:val="2"/>
                    <w:spacing w:line="240" w:lineRule="exact"/>
                    <w:jc w:val="center"/>
                    <w:rPr>
                      <w:rFonts w:ascii="仿宋" w:hAnsi="仿宋" w:eastAsia="仿宋" w:cs="仿宋"/>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329"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食堂</w:t>
                  </w:r>
                </w:p>
              </w:tc>
              <w:tc>
                <w:tcPr>
                  <w:tcW w:w="309"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餐饮</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油烟</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0.54</w:t>
                  </w:r>
                </w:p>
              </w:tc>
              <w:tc>
                <w:tcPr>
                  <w:tcW w:w="384"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2.25</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6000m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282"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90</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75</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0.135</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0.56</w:t>
                  </w:r>
                </w:p>
              </w:tc>
              <w:tc>
                <w:tcPr>
                  <w:tcW w:w="430" w:type="pct"/>
                  <w:vAlign w:val="center"/>
                </w:tcPr>
                <w:p>
                  <w:pPr>
                    <w:pStyle w:val="2"/>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0.1125</w:t>
                  </w:r>
                </w:p>
              </w:tc>
              <w:tc>
                <w:tcPr>
                  <w:tcW w:w="245"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DA001</w:t>
                  </w:r>
                </w:p>
              </w:tc>
              <w:tc>
                <w:tcPr>
                  <w:tcW w:w="23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329" w:type="pct"/>
                  <w:vAlign w:val="center"/>
                </w:tcPr>
                <w:p>
                  <w:pPr>
                    <w:pStyle w:val="2"/>
                    <w:jc w:val="center"/>
                    <w:rPr>
                      <w:rFonts w:ascii="仿宋" w:hAnsi="仿宋" w:eastAsia="仿宋" w:cs="仿宋"/>
                      <w:spacing w:val="-10"/>
                      <w:sz w:val="18"/>
                      <w:szCs w:val="18"/>
                    </w:rPr>
                  </w:pPr>
                  <w:r>
                    <w:rPr>
                      <w:rFonts w:hint="eastAsia" w:ascii="仿宋" w:hAnsi="仿宋" w:eastAsia="仿宋" w:cs="仿宋"/>
                      <w:spacing w:val="-10"/>
                      <w:sz w:val="20"/>
                      <w:szCs w:val="20"/>
                    </w:rPr>
                    <w:t>抛丸</w:t>
                  </w:r>
                  <w:r>
                    <w:rPr>
                      <w:rFonts w:hint="eastAsia" w:ascii="仿宋" w:hAnsi="仿宋" w:eastAsia="仿宋" w:cs="仿宋"/>
                      <w:color w:val="auto"/>
                      <w:spacing w:val="-10"/>
                      <w:sz w:val="21"/>
                      <w:szCs w:val="21"/>
                    </w:rPr>
                    <w:t>工序</w:t>
                  </w:r>
                </w:p>
              </w:tc>
              <w:tc>
                <w:tcPr>
                  <w:tcW w:w="309"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color w:val="000000"/>
                      <w:spacing w:val="-10"/>
                      <w:kern w:val="0"/>
                      <w:sz w:val="20"/>
                    </w:rPr>
                    <w:t>抛丸</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0.4</w:t>
                  </w:r>
                </w:p>
              </w:tc>
              <w:tc>
                <w:tcPr>
                  <w:tcW w:w="384"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11</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282"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100</w:t>
                  </w:r>
                </w:p>
              </w:tc>
              <w:tc>
                <w:tcPr>
                  <w:tcW w:w="274"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90</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0.04</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1.1</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0.033</w:t>
                  </w:r>
                </w:p>
              </w:tc>
              <w:tc>
                <w:tcPr>
                  <w:tcW w:w="245"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DA002</w:t>
                  </w:r>
                </w:p>
              </w:tc>
              <w:tc>
                <w:tcPr>
                  <w:tcW w:w="23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329" w:type="pct"/>
                  <w:vAlign w:val="center"/>
                </w:tcPr>
                <w:p>
                  <w:pPr>
                    <w:pStyle w:val="2"/>
                    <w:snapToGrid w:val="0"/>
                    <w:spacing w:line="300" w:lineRule="exact"/>
                    <w:jc w:val="center"/>
                    <w:rPr>
                      <w:rFonts w:ascii="仿宋" w:hAnsi="仿宋" w:eastAsia="仿宋" w:cs="仿宋"/>
                      <w:color w:val="auto"/>
                      <w:spacing w:val="-10"/>
                      <w:sz w:val="21"/>
                      <w:szCs w:val="21"/>
                    </w:rPr>
                  </w:pPr>
                  <w:r>
                    <w:rPr>
                      <w:rFonts w:ascii="仿宋" w:hAnsi="仿宋" w:eastAsia="仿宋" w:cs="仿宋"/>
                      <w:color w:val="auto"/>
                      <w:spacing w:val="-10"/>
                      <w:sz w:val="21"/>
                      <w:szCs w:val="21"/>
                    </w:rPr>
                    <w:t>焊接</w:t>
                  </w:r>
                  <w:r>
                    <w:rPr>
                      <w:rFonts w:hint="eastAsia" w:ascii="仿宋" w:hAnsi="仿宋" w:eastAsia="仿宋" w:cs="仿宋"/>
                      <w:color w:val="auto"/>
                      <w:spacing w:val="-10"/>
                      <w:sz w:val="21"/>
                      <w:szCs w:val="21"/>
                    </w:rPr>
                    <w:t>工序</w:t>
                  </w:r>
                </w:p>
              </w:tc>
              <w:tc>
                <w:tcPr>
                  <w:tcW w:w="309" w:type="pct"/>
                  <w:vAlign w:val="center"/>
                </w:tcPr>
                <w:p>
                  <w:pPr>
                    <w:autoSpaceDE w:val="0"/>
                    <w:autoSpaceDN w:val="0"/>
                    <w:adjustRightInd w:val="0"/>
                    <w:spacing w:line="240" w:lineRule="exact"/>
                    <w:jc w:val="center"/>
                    <w:rPr>
                      <w:rFonts w:ascii="仿宋" w:hAnsi="仿宋" w:eastAsia="仿宋" w:cs="仿宋"/>
                      <w:spacing w:val="-10"/>
                      <w:szCs w:val="21"/>
                    </w:rPr>
                  </w:pPr>
                  <w:r>
                    <w:rPr>
                      <w:rFonts w:ascii="仿宋" w:hAnsi="仿宋" w:eastAsia="仿宋" w:cs="仿宋"/>
                      <w:spacing w:val="-10"/>
                      <w:szCs w:val="21"/>
                    </w:rPr>
                    <w:t>焊接</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0.05</w:t>
                  </w:r>
                </w:p>
              </w:tc>
              <w:tc>
                <w:tcPr>
                  <w:tcW w:w="384"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282"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80</w:t>
                  </w:r>
                </w:p>
              </w:tc>
              <w:tc>
                <w:tcPr>
                  <w:tcW w:w="274"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90</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0.005</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0.0042</w:t>
                  </w:r>
                </w:p>
              </w:tc>
              <w:tc>
                <w:tcPr>
                  <w:tcW w:w="245"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DA003</w:t>
                  </w:r>
                </w:p>
              </w:tc>
              <w:tc>
                <w:tcPr>
                  <w:tcW w:w="23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329" w:type="pct"/>
                  <w:vAlign w:val="center"/>
                </w:tcPr>
                <w:p>
                  <w:pPr>
                    <w:pStyle w:val="2"/>
                    <w:snapToGrid w:val="0"/>
                    <w:spacing w:line="300" w:lineRule="exact"/>
                    <w:jc w:val="center"/>
                    <w:rPr>
                      <w:rFonts w:ascii="仿宋" w:hAnsi="仿宋" w:eastAsia="仿宋" w:cs="仿宋"/>
                      <w:color w:val="auto"/>
                      <w:spacing w:val="-10"/>
                      <w:sz w:val="21"/>
                      <w:szCs w:val="21"/>
                    </w:rPr>
                  </w:pPr>
                  <w:r>
                    <w:rPr>
                      <w:rFonts w:ascii="仿宋" w:hAnsi="仿宋" w:eastAsia="仿宋" w:cs="仿宋"/>
                      <w:color w:val="auto"/>
                      <w:spacing w:val="-10"/>
                      <w:sz w:val="21"/>
                      <w:szCs w:val="21"/>
                    </w:rPr>
                    <w:t>焊接</w:t>
                  </w:r>
                  <w:r>
                    <w:rPr>
                      <w:rFonts w:hint="eastAsia" w:ascii="仿宋" w:hAnsi="仿宋" w:eastAsia="仿宋" w:cs="仿宋"/>
                      <w:color w:val="auto"/>
                      <w:spacing w:val="-10"/>
                      <w:sz w:val="21"/>
                      <w:szCs w:val="21"/>
                    </w:rPr>
                    <w:t>工序</w:t>
                  </w:r>
                </w:p>
              </w:tc>
              <w:tc>
                <w:tcPr>
                  <w:tcW w:w="309" w:type="pct"/>
                  <w:vAlign w:val="center"/>
                </w:tcPr>
                <w:p>
                  <w:pPr>
                    <w:autoSpaceDE w:val="0"/>
                    <w:autoSpaceDN w:val="0"/>
                    <w:adjustRightInd w:val="0"/>
                    <w:spacing w:line="240" w:lineRule="exact"/>
                    <w:jc w:val="center"/>
                    <w:rPr>
                      <w:rFonts w:ascii="仿宋" w:hAnsi="仿宋" w:eastAsia="仿宋" w:cs="仿宋"/>
                      <w:spacing w:val="-10"/>
                      <w:szCs w:val="21"/>
                    </w:rPr>
                  </w:pPr>
                  <w:r>
                    <w:rPr>
                      <w:rFonts w:ascii="仿宋" w:hAnsi="仿宋" w:eastAsia="仿宋" w:cs="仿宋"/>
                      <w:spacing w:val="-10"/>
                      <w:szCs w:val="21"/>
                    </w:rPr>
                    <w:t>焊接</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0.05</w:t>
                  </w:r>
                </w:p>
              </w:tc>
              <w:tc>
                <w:tcPr>
                  <w:tcW w:w="384"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282"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80</w:t>
                  </w:r>
                </w:p>
              </w:tc>
              <w:tc>
                <w:tcPr>
                  <w:tcW w:w="274"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90</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0.005</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0.0042</w:t>
                  </w:r>
                </w:p>
              </w:tc>
              <w:tc>
                <w:tcPr>
                  <w:tcW w:w="245"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DA004</w:t>
                  </w:r>
                </w:p>
              </w:tc>
              <w:tc>
                <w:tcPr>
                  <w:tcW w:w="23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5</w:t>
                  </w:r>
                </w:p>
              </w:tc>
              <w:tc>
                <w:tcPr>
                  <w:tcW w:w="329" w:type="pct"/>
                  <w:vAlign w:val="center"/>
                </w:tcPr>
                <w:p>
                  <w:pPr>
                    <w:spacing w:line="280" w:lineRule="exact"/>
                    <w:jc w:val="center"/>
                    <w:rPr>
                      <w:rFonts w:ascii="仿宋" w:hAnsi="仿宋" w:eastAsia="仿宋" w:cs="仿宋"/>
                      <w:szCs w:val="21"/>
                    </w:rPr>
                  </w:pPr>
                  <w:r>
                    <w:rPr>
                      <w:rFonts w:hint="eastAsia" w:ascii="仿宋" w:hAnsi="仿宋" w:eastAsia="仿宋" w:cs="仿宋"/>
                      <w:bCs/>
                      <w:spacing w:val="-20"/>
                      <w:szCs w:val="21"/>
                    </w:rPr>
                    <w:t>喷漆、烘干工序</w:t>
                  </w:r>
                </w:p>
              </w:tc>
              <w:tc>
                <w:tcPr>
                  <w:tcW w:w="309"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bCs/>
                      <w:color w:val="auto"/>
                      <w:spacing w:val="-20"/>
                      <w:sz w:val="21"/>
                      <w:szCs w:val="21"/>
                    </w:rPr>
                    <w:t>喷漆、烘干</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6.49</w:t>
                  </w:r>
                </w:p>
              </w:tc>
              <w:tc>
                <w:tcPr>
                  <w:tcW w:w="384" w:type="pc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270</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w:t>
                  </w:r>
                </w:p>
              </w:tc>
              <w:tc>
                <w:tcPr>
                  <w:tcW w:w="394" w:type="pct"/>
                  <w:vMerge w:val="restar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sz w:val="18"/>
                      <w:szCs w:val="18"/>
                    </w:rPr>
                    <w:t>10000</w:t>
                  </w:r>
                  <w:r>
                    <w:rPr>
                      <w:rFonts w:hint="eastAsia" w:ascii="仿宋" w:hAnsi="仿宋" w:eastAsia="仿宋" w:cs="仿宋"/>
                      <w:kern w:val="0"/>
                      <w:szCs w:val="21"/>
                    </w:rPr>
                    <w:t>m</w:t>
                  </w:r>
                  <w:r>
                    <w:rPr>
                      <w:rFonts w:hint="eastAsia" w:ascii="仿宋" w:hAnsi="仿宋" w:eastAsia="仿宋" w:cs="仿宋"/>
                      <w:kern w:val="0"/>
                      <w:szCs w:val="21"/>
                      <w:vertAlign w:val="superscript"/>
                    </w:rPr>
                    <w:t>3</w:t>
                  </w:r>
                  <w:r>
                    <w:rPr>
                      <w:rFonts w:hint="eastAsia" w:ascii="仿宋" w:hAnsi="仿宋" w:eastAsia="仿宋" w:cs="仿宋"/>
                      <w:kern w:val="0"/>
                      <w:szCs w:val="21"/>
                    </w:rPr>
                    <w:t>/h</w:t>
                  </w:r>
                </w:p>
              </w:tc>
              <w:tc>
                <w:tcPr>
                  <w:tcW w:w="282"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95</w:t>
                  </w:r>
                </w:p>
              </w:tc>
              <w:tc>
                <w:tcPr>
                  <w:tcW w:w="274"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90</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0.649</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27</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0.27</w:t>
                  </w:r>
                </w:p>
              </w:tc>
              <w:tc>
                <w:tcPr>
                  <w:tcW w:w="245" w:type="pct"/>
                  <w:vMerge w:val="restart"/>
                  <w:vAlign w:val="center"/>
                </w:tcPr>
                <w:p>
                  <w:pPr>
                    <w:autoSpaceDE w:val="0"/>
                    <w:autoSpaceDN w:val="0"/>
                    <w:adjustRightInd w:val="0"/>
                    <w:spacing w:line="240" w:lineRule="exact"/>
                    <w:jc w:val="center"/>
                    <w:rPr>
                      <w:rFonts w:ascii="仿宋" w:hAnsi="仿宋" w:eastAsia="仿宋" w:cs="仿宋"/>
                      <w:sz w:val="18"/>
                      <w:szCs w:val="18"/>
                    </w:rPr>
                  </w:pPr>
                  <w:r>
                    <w:rPr>
                      <w:rFonts w:hint="eastAsia" w:ascii="仿宋" w:hAnsi="仿宋" w:eastAsia="仿宋" w:cs="仿宋"/>
                      <w:sz w:val="18"/>
                      <w:szCs w:val="18"/>
                    </w:rPr>
                    <w:t>DA005</w:t>
                  </w:r>
                </w:p>
              </w:tc>
              <w:tc>
                <w:tcPr>
                  <w:tcW w:w="237" w:type="pct"/>
                  <w:vMerge w:val="restar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329" w:type="pct"/>
                  <w:vAlign w:val="center"/>
                </w:tcPr>
                <w:p>
                  <w:pPr>
                    <w:spacing w:line="280" w:lineRule="exact"/>
                    <w:jc w:val="center"/>
                    <w:rPr>
                      <w:rFonts w:ascii="仿宋" w:hAnsi="仿宋" w:eastAsia="仿宋" w:cs="仿宋"/>
                      <w:szCs w:val="21"/>
                    </w:rPr>
                  </w:pPr>
                  <w:r>
                    <w:rPr>
                      <w:rFonts w:hint="eastAsia" w:ascii="仿宋" w:hAnsi="仿宋" w:eastAsia="仿宋" w:cs="仿宋"/>
                      <w:bCs/>
                      <w:spacing w:val="-20"/>
                      <w:szCs w:val="21"/>
                    </w:rPr>
                    <w:t>喷漆、烘干工序</w:t>
                  </w:r>
                </w:p>
              </w:tc>
              <w:tc>
                <w:tcPr>
                  <w:tcW w:w="309"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bCs/>
                      <w:color w:val="auto"/>
                      <w:spacing w:val="-20"/>
                      <w:sz w:val="21"/>
                      <w:szCs w:val="21"/>
                    </w:rPr>
                    <w:t>喷漆、烘干</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非甲烷总烃</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9.273</w:t>
                  </w:r>
                </w:p>
              </w:tc>
              <w:tc>
                <w:tcPr>
                  <w:tcW w:w="384" w:type="pc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386</w:t>
                  </w:r>
                </w:p>
              </w:tc>
              <w:tc>
                <w:tcPr>
                  <w:tcW w:w="274"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有组织</w:t>
                  </w:r>
                </w:p>
              </w:tc>
              <w:tc>
                <w:tcPr>
                  <w:tcW w:w="394" w:type="pct"/>
                  <w:vMerge w:val="continue"/>
                  <w:vAlign w:val="center"/>
                </w:tcPr>
                <w:p>
                  <w:pPr>
                    <w:autoSpaceDE w:val="0"/>
                    <w:autoSpaceDN w:val="0"/>
                    <w:adjustRightInd w:val="0"/>
                    <w:snapToGrid w:val="0"/>
                    <w:spacing w:line="300" w:lineRule="exact"/>
                    <w:jc w:val="center"/>
                    <w:rPr>
                      <w:rFonts w:ascii="仿宋" w:hAnsi="仿宋" w:eastAsia="仿宋" w:cs="仿宋"/>
                      <w:kern w:val="0"/>
                      <w:szCs w:val="21"/>
                    </w:rPr>
                  </w:pPr>
                </w:p>
              </w:tc>
              <w:tc>
                <w:tcPr>
                  <w:tcW w:w="282"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95</w:t>
                  </w:r>
                </w:p>
              </w:tc>
              <w:tc>
                <w:tcPr>
                  <w:tcW w:w="274"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90</w:t>
                  </w:r>
                </w:p>
              </w:tc>
              <w:tc>
                <w:tcPr>
                  <w:tcW w:w="315"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0.927</w:t>
                  </w:r>
                </w:p>
              </w:tc>
              <w:tc>
                <w:tcPr>
                  <w:tcW w:w="391" w:type="pc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38.6</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0.386</w:t>
                  </w:r>
                </w:p>
              </w:tc>
              <w:tc>
                <w:tcPr>
                  <w:tcW w:w="245" w:type="pct"/>
                  <w:vMerge w:val="continue"/>
                  <w:vAlign w:val="center"/>
                </w:tcPr>
                <w:p>
                  <w:pPr>
                    <w:autoSpaceDE w:val="0"/>
                    <w:autoSpaceDN w:val="0"/>
                    <w:adjustRightInd w:val="0"/>
                    <w:spacing w:line="240" w:lineRule="exact"/>
                    <w:jc w:val="center"/>
                    <w:rPr>
                      <w:rFonts w:ascii="仿宋" w:hAnsi="仿宋" w:eastAsia="仿宋" w:cs="仿宋"/>
                      <w:sz w:val="18"/>
                      <w:szCs w:val="18"/>
                    </w:rPr>
                  </w:pPr>
                </w:p>
              </w:tc>
              <w:tc>
                <w:tcPr>
                  <w:tcW w:w="237" w:type="pct"/>
                  <w:vMerge w:val="continue"/>
                  <w:vAlign w:val="center"/>
                </w:tcPr>
                <w:p>
                  <w:pPr>
                    <w:autoSpaceDE w:val="0"/>
                    <w:autoSpaceDN w:val="0"/>
                    <w:adjustRightInd w:val="0"/>
                    <w:spacing w:line="240" w:lineRule="exact"/>
                    <w:jc w:val="center"/>
                    <w:rPr>
                      <w:rFonts w:ascii="仿宋" w:hAnsi="仿宋" w:eastAsia="仿宋" w:cs="仿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6</w:t>
                  </w:r>
                </w:p>
              </w:tc>
              <w:tc>
                <w:tcPr>
                  <w:tcW w:w="329" w:type="pct"/>
                  <w:vAlign w:val="center"/>
                </w:tcPr>
                <w:p>
                  <w:pPr>
                    <w:autoSpaceDE w:val="0"/>
                    <w:autoSpaceDN w:val="0"/>
                    <w:adjustRightInd w:val="0"/>
                    <w:spacing w:line="240" w:lineRule="exact"/>
                    <w:jc w:val="center"/>
                    <w:rPr>
                      <w:rFonts w:ascii="仿宋" w:hAnsi="仿宋" w:eastAsia="仿宋" w:cs="仿宋"/>
                      <w:szCs w:val="21"/>
                    </w:rPr>
                  </w:pPr>
                  <w:r>
                    <w:rPr>
                      <w:rFonts w:ascii="仿宋" w:hAnsi="仿宋" w:eastAsia="仿宋" w:cs="仿宋"/>
                      <w:spacing w:val="-10"/>
                      <w:szCs w:val="21"/>
                    </w:rPr>
                    <w:t>焊接</w:t>
                  </w:r>
                  <w:r>
                    <w:rPr>
                      <w:rFonts w:hint="eastAsia" w:ascii="仿宋" w:hAnsi="仿宋" w:eastAsia="仿宋" w:cs="仿宋"/>
                      <w:spacing w:val="-10"/>
                      <w:szCs w:val="21"/>
                    </w:rPr>
                    <w:t>工序</w:t>
                  </w:r>
                </w:p>
              </w:tc>
              <w:tc>
                <w:tcPr>
                  <w:tcW w:w="309" w:type="pct"/>
                  <w:vAlign w:val="center"/>
                </w:tcPr>
                <w:p>
                  <w:pPr>
                    <w:autoSpaceDE w:val="0"/>
                    <w:autoSpaceDN w:val="0"/>
                    <w:adjustRightInd w:val="0"/>
                    <w:spacing w:line="240" w:lineRule="exact"/>
                    <w:jc w:val="center"/>
                    <w:rPr>
                      <w:rFonts w:ascii="仿宋" w:hAnsi="仿宋" w:eastAsia="仿宋" w:cs="仿宋"/>
                      <w:szCs w:val="21"/>
                    </w:rPr>
                  </w:pPr>
                  <w:r>
                    <w:rPr>
                      <w:rFonts w:ascii="仿宋" w:hAnsi="仿宋" w:eastAsia="仿宋" w:cs="仿宋"/>
                      <w:spacing w:val="-10"/>
                      <w:szCs w:val="21"/>
                    </w:rPr>
                    <w:t>焊接</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0.025</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无组织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82"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0.025</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≤1.0</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0.01</w:t>
                  </w:r>
                </w:p>
              </w:tc>
              <w:tc>
                <w:tcPr>
                  <w:tcW w:w="24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3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7</w:t>
                  </w:r>
                </w:p>
              </w:tc>
              <w:tc>
                <w:tcPr>
                  <w:tcW w:w="329" w:type="pct"/>
                  <w:vAlign w:val="center"/>
                </w:tcPr>
                <w:p>
                  <w:pPr>
                    <w:pStyle w:val="2"/>
                    <w:jc w:val="center"/>
                    <w:rPr>
                      <w:rFonts w:ascii="仿宋" w:hAnsi="仿宋" w:eastAsia="仿宋" w:cs="仿宋"/>
                      <w:spacing w:val="-10"/>
                      <w:szCs w:val="21"/>
                    </w:rPr>
                  </w:pPr>
                  <w:r>
                    <w:rPr>
                      <w:rFonts w:hint="eastAsia" w:ascii="仿宋" w:hAnsi="仿宋" w:eastAsia="仿宋" w:cs="仿宋"/>
                      <w:spacing w:val="-10"/>
                      <w:sz w:val="20"/>
                      <w:szCs w:val="20"/>
                    </w:rPr>
                    <w:t>打磨</w:t>
                  </w:r>
                  <w:r>
                    <w:rPr>
                      <w:rFonts w:hint="eastAsia" w:ascii="仿宋" w:hAnsi="仿宋" w:eastAsia="仿宋" w:cs="仿宋"/>
                      <w:color w:val="auto"/>
                      <w:spacing w:val="-10"/>
                      <w:sz w:val="21"/>
                      <w:szCs w:val="21"/>
                    </w:rPr>
                    <w:t>工序</w:t>
                  </w:r>
                </w:p>
              </w:tc>
              <w:tc>
                <w:tcPr>
                  <w:tcW w:w="309" w:type="pct"/>
                  <w:vAlign w:val="center"/>
                </w:tcPr>
                <w:p>
                  <w:pPr>
                    <w:pStyle w:val="2"/>
                    <w:jc w:val="center"/>
                    <w:rPr>
                      <w:rFonts w:ascii="仿宋" w:hAnsi="仿宋" w:eastAsia="仿宋" w:cs="仿宋"/>
                      <w:spacing w:val="-10"/>
                      <w:szCs w:val="21"/>
                    </w:rPr>
                  </w:pPr>
                  <w:r>
                    <w:rPr>
                      <w:rFonts w:hint="eastAsia" w:ascii="仿宋" w:hAnsi="仿宋" w:eastAsia="仿宋" w:cs="仿宋"/>
                      <w:spacing w:val="-10"/>
                      <w:sz w:val="20"/>
                      <w:szCs w:val="20"/>
                    </w:rPr>
                    <w:t>打磨</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0.1</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无组织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82"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90</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可行</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0.01</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≤1.0</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0.004</w:t>
                  </w:r>
                </w:p>
              </w:tc>
              <w:tc>
                <w:tcPr>
                  <w:tcW w:w="24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3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8</w:t>
                  </w:r>
                </w:p>
              </w:tc>
              <w:tc>
                <w:tcPr>
                  <w:tcW w:w="329" w:type="pct"/>
                  <w:vMerge w:val="restart"/>
                  <w:vAlign w:val="center"/>
                </w:tcPr>
                <w:p>
                  <w:pPr>
                    <w:spacing w:line="280" w:lineRule="exact"/>
                    <w:jc w:val="center"/>
                    <w:rPr>
                      <w:rFonts w:ascii="仿宋" w:hAnsi="仿宋" w:eastAsia="仿宋" w:cs="仿宋"/>
                      <w:szCs w:val="21"/>
                    </w:rPr>
                  </w:pPr>
                  <w:r>
                    <w:rPr>
                      <w:rFonts w:hint="eastAsia" w:ascii="仿宋" w:hAnsi="仿宋" w:eastAsia="仿宋" w:cs="仿宋"/>
                      <w:bCs/>
                      <w:spacing w:val="-20"/>
                      <w:szCs w:val="21"/>
                    </w:rPr>
                    <w:t>喷漆、烘干工序</w:t>
                  </w:r>
                </w:p>
              </w:tc>
              <w:tc>
                <w:tcPr>
                  <w:tcW w:w="309" w:type="pct"/>
                  <w:vMerge w:val="restart"/>
                  <w:vAlign w:val="center"/>
                </w:tcPr>
                <w:p>
                  <w:pPr>
                    <w:spacing w:line="280" w:lineRule="exact"/>
                    <w:jc w:val="center"/>
                    <w:rPr>
                      <w:rFonts w:ascii="仿宋" w:hAnsi="仿宋" w:eastAsia="仿宋" w:cs="仿宋"/>
                      <w:szCs w:val="21"/>
                    </w:rPr>
                  </w:pPr>
                  <w:r>
                    <w:rPr>
                      <w:rFonts w:hint="eastAsia" w:ascii="仿宋" w:hAnsi="仿宋" w:eastAsia="仿宋" w:cs="仿宋"/>
                      <w:bCs/>
                      <w:spacing w:val="-20"/>
                      <w:szCs w:val="21"/>
                    </w:rPr>
                    <w:t>喷漆、烘干</w:t>
                  </w: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PM10</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0.342</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无组织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82"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0.342</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≤1.0</w:t>
                  </w:r>
                </w:p>
              </w:tc>
              <w:tc>
                <w:tcPr>
                  <w:tcW w:w="430" w:type="pct"/>
                  <w:vAlign w:val="center"/>
                </w:tcPr>
                <w:p>
                  <w:pPr>
                    <w:autoSpaceDE w:val="0"/>
                    <w:autoSpaceDN w:val="0"/>
                    <w:adjustRightInd w:val="0"/>
                    <w:spacing w:line="300" w:lineRule="exact"/>
                    <w:jc w:val="center"/>
                    <w:rPr>
                      <w:rFonts w:ascii="仿宋" w:hAnsi="仿宋" w:eastAsia="仿宋" w:cs="仿宋"/>
                      <w:szCs w:val="21"/>
                    </w:rPr>
                  </w:pPr>
                  <w:r>
                    <w:rPr>
                      <w:rFonts w:hint="eastAsia" w:ascii="仿宋" w:hAnsi="仿宋" w:eastAsia="仿宋" w:cs="仿宋"/>
                      <w:szCs w:val="21"/>
                    </w:rPr>
                    <w:t>0.14</w:t>
                  </w:r>
                </w:p>
              </w:tc>
              <w:tc>
                <w:tcPr>
                  <w:tcW w:w="24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3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329" w:type="pct"/>
                  <w:vMerge w:val="continue"/>
                  <w:vAlign w:val="center"/>
                </w:tcPr>
                <w:p>
                  <w:pPr>
                    <w:autoSpaceDE w:val="0"/>
                    <w:autoSpaceDN w:val="0"/>
                    <w:adjustRightInd w:val="0"/>
                    <w:spacing w:line="240" w:lineRule="exact"/>
                    <w:jc w:val="center"/>
                    <w:rPr>
                      <w:rFonts w:ascii="仿宋" w:hAnsi="仿宋" w:eastAsia="仿宋" w:cs="仿宋"/>
                      <w:szCs w:val="21"/>
                    </w:rPr>
                  </w:pPr>
                </w:p>
              </w:tc>
              <w:tc>
                <w:tcPr>
                  <w:tcW w:w="309" w:type="pct"/>
                  <w:vMerge w:val="continue"/>
                  <w:vAlign w:val="center"/>
                </w:tcPr>
                <w:p>
                  <w:pPr>
                    <w:pStyle w:val="2"/>
                    <w:spacing w:line="240" w:lineRule="exact"/>
                    <w:jc w:val="center"/>
                    <w:rPr>
                      <w:rFonts w:ascii="仿宋" w:hAnsi="仿宋" w:eastAsia="仿宋" w:cs="仿宋"/>
                      <w:color w:val="auto"/>
                      <w:sz w:val="21"/>
                      <w:szCs w:val="21"/>
                    </w:rPr>
                  </w:pPr>
                </w:p>
              </w:tc>
              <w:tc>
                <w:tcPr>
                  <w:tcW w:w="24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非甲烷总烃</w:t>
                  </w:r>
                </w:p>
              </w:tc>
              <w:tc>
                <w:tcPr>
                  <w:tcW w:w="365"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0.488</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无组织</w:t>
                  </w:r>
                </w:p>
              </w:tc>
              <w:tc>
                <w:tcPr>
                  <w:tcW w:w="39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82"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7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31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366"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0.488</w:t>
                  </w:r>
                </w:p>
              </w:tc>
              <w:tc>
                <w:tcPr>
                  <w:tcW w:w="39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bCs/>
                      <w:color w:val="auto"/>
                      <w:sz w:val="21"/>
                      <w:szCs w:val="21"/>
                    </w:rPr>
                    <w:t>≤2.0</w:t>
                  </w:r>
                </w:p>
              </w:tc>
              <w:tc>
                <w:tcPr>
                  <w:tcW w:w="430"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0.203</w:t>
                  </w:r>
                </w:p>
              </w:tc>
              <w:tc>
                <w:tcPr>
                  <w:tcW w:w="24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37"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达标</w:t>
                  </w:r>
                </w:p>
              </w:tc>
            </w:tr>
          </w:tbl>
          <w:p>
            <w:pPr>
              <w:spacing w:line="360" w:lineRule="auto"/>
              <w:ind w:firstLine="472" w:firstLineChars="200"/>
              <w:rPr>
                <w:sz w:val="24"/>
              </w:rPr>
            </w:pPr>
            <w:r>
              <w:rPr>
                <w:rFonts w:hint="eastAsia"/>
                <w:sz w:val="24"/>
              </w:rPr>
              <w:t xml:space="preserve">2、废气有组织排放口、无组织排放基本情况及监测要求 </w:t>
            </w:r>
          </w:p>
          <w:p>
            <w:pPr>
              <w:spacing w:line="360" w:lineRule="auto"/>
              <w:ind w:firstLine="472" w:firstLineChars="200"/>
              <w:rPr>
                <w:sz w:val="24"/>
              </w:rPr>
            </w:pPr>
            <w:r>
              <w:rPr>
                <w:rFonts w:hint="eastAsia" w:hAnsi="宋体"/>
                <w:sz w:val="24"/>
                <w:szCs w:val="24"/>
              </w:rPr>
              <w:t>本项目废气</w:t>
            </w:r>
            <w:r>
              <w:rPr>
                <w:rFonts w:hint="eastAsia"/>
                <w:sz w:val="24"/>
              </w:rPr>
              <w:t>有组织排放口、无组织排放基本情况及监测要求见下表：</w:t>
            </w:r>
          </w:p>
          <w:p>
            <w:pPr>
              <w:spacing w:line="360" w:lineRule="auto"/>
              <w:ind w:firstLine="472" w:firstLineChars="200"/>
              <w:jc w:val="center"/>
              <w:rPr>
                <w:b/>
                <w:bCs/>
                <w:sz w:val="24"/>
              </w:rPr>
            </w:pPr>
            <w:r>
              <w:rPr>
                <w:rFonts w:hint="eastAsia"/>
                <w:b/>
                <w:bCs/>
                <w:sz w:val="24"/>
              </w:rPr>
              <w:t>表4-2 废气有组织排放口、无组织排放基本情况及监测要求一览表（</w:t>
            </w:r>
            <w:r>
              <w:rPr>
                <w:b/>
                <w:bCs/>
                <w:sz w:val="24"/>
                <w:szCs w:val="24"/>
              </w:rPr>
              <w:t>正常情况</w:t>
            </w:r>
            <w:r>
              <w:rPr>
                <w:rFonts w:hint="eastAsia"/>
                <w:b/>
                <w:bCs/>
                <w:sz w:val="24"/>
              </w:rPr>
              <w:t>）</w:t>
            </w:r>
          </w:p>
          <w:tbl>
            <w:tblPr>
              <w:tblStyle w:val="29"/>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571"/>
              <w:gridCol w:w="183"/>
              <w:gridCol w:w="542"/>
              <w:gridCol w:w="735"/>
              <w:gridCol w:w="1203"/>
              <w:gridCol w:w="1200"/>
              <w:gridCol w:w="712"/>
              <w:gridCol w:w="714"/>
              <w:gridCol w:w="812"/>
              <w:gridCol w:w="412"/>
              <w:gridCol w:w="2015"/>
              <w:gridCol w:w="937"/>
              <w:gridCol w:w="1020"/>
              <w:gridCol w:w="539"/>
              <w:gridCol w:w="544"/>
              <w:gridCol w:w="7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gridSpan w:val="17"/>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有组织排放口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284" w:type="pct"/>
                  <w:gridSpan w:val="2"/>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排放口名称</w:t>
                  </w:r>
                </w:p>
              </w:tc>
              <w:tc>
                <w:tcPr>
                  <w:tcW w:w="204"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排放口编号</w:t>
                  </w:r>
                </w:p>
              </w:tc>
              <w:tc>
                <w:tcPr>
                  <w:tcW w:w="277"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污染物 </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种类</w:t>
                  </w:r>
                </w:p>
              </w:tc>
              <w:tc>
                <w:tcPr>
                  <w:tcW w:w="905" w:type="pct"/>
                  <w:gridSpan w:val="2"/>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排放口地理坐标</w:t>
                  </w:r>
                </w:p>
              </w:tc>
              <w:tc>
                <w:tcPr>
                  <w:tcW w:w="268" w:type="pct"/>
                  <w:vMerge w:val="restart"/>
                  <w:vAlign w:val="center"/>
                </w:tcPr>
                <w:p>
                  <w:pPr>
                    <w:widowControl/>
                    <w:spacing w:line="240" w:lineRule="exact"/>
                    <w:jc w:val="center"/>
                    <w:rPr>
                      <w:rFonts w:ascii="仿宋" w:hAnsi="仿宋" w:eastAsia="仿宋" w:cs="仿宋"/>
                      <w:szCs w:val="21"/>
                    </w:rPr>
                  </w:pPr>
                  <w:r>
                    <w:rPr>
                      <w:rFonts w:hint="eastAsia" w:ascii="仿宋" w:hAnsi="仿宋" w:eastAsia="仿宋" w:cs="仿宋"/>
                      <w:kern w:val="0"/>
                      <w:szCs w:val="21"/>
                    </w:rPr>
                    <w:t>排气筒高度（m）</w:t>
                  </w:r>
                </w:p>
              </w:tc>
              <w:tc>
                <w:tcPr>
                  <w:tcW w:w="269" w:type="pct"/>
                  <w:vMerge w:val="restart"/>
                  <w:vAlign w:val="center"/>
                </w:tcPr>
                <w:p>
                  <w:pPr>
                    <w:widowControl/>
                    <w:spacing w:line="240" w:lineRule="exact"/>
                    <w:jc w:val="center"/>
                    <w:rPr>
                      <w:rFonts w:ascii="仿宋" w:hAnsi="仿宋" w:eastAsia="仿宋" w:cs="仿宋"/>
                    </w:rPr>
                  </w:pPr>
                  <w:r>
                    <w:rPr>
                      <w:rFonts w:hint="eastAsia" w:ascii="仿宋" w:hAnsi="仿宋" w:eastAsia="仿宋" w:cs="仿宋"/>
                      <w:kern w:val="0"/>
                      <w:szCs w:val="21"/>
                    </w:rPr>
                    <w:t>排气筒出口内</w:t>
                  </w:r>
                </w:p>
                <w:p>
                  <w:pPr>
                    <w:widowControl/>
                    <w:spacing w:line="240" w:lineRule="exact"/>
                    <w:jc w:val="center"/>
                    <w:rPr>
                      <w:rFonts w:ascii="仿宋" w:hAnsi="仿宋" w:eastAsia="仿宋" w:cs="仿宋"/>
                      <w:szCs w:val="21"/>
                    </w:rPr>
                  </w:pPr>
                  <w:r>
                    <w:rPr>
                      <w:rFonts w:hint="eastAsia" w:ascii="仿宋" w:hAnsi="仿宋" w:eastAsia="仿宋" w:cs="仿宋"/>
                      <w:kern w:val="0"/>
                      <w:szCs w:val="21"/>
                    </w:rPr>
                    <w:t>径（m）</w:t>
                  </w:r>
                </w:p>
              </w:tc>
              <w:tc>
                <w:tcPr>
                  <w:tcW w:w="306" w:type="pct"/>
                  <w:vMerge w:val="restart"/>
                  <w:vAlign w:val="center"/>
                </w:tcPr>
                <w:p>
                  <w:pPr>
                    <w:widowControl/>
                    <w:spacing w:line="240" w:lineRule="exact"/>
                    <w:jc w:val="center"/>
                    <w:rPr>
                      <w:rFonts w:ascii="仿宋" w:hAnsi="仿宋" w:eastAsia="仿宋" w:cs="仿宋"/>
                      <w:szCs w:val="21"/>
                    </w:rPr>
                  </w:pPr>
                  <w:r>
                    <w:rPr>
                      <w:rFonts w:hint="eastAsia" w:ascii="仿宋" w:hAnsi="仿宋" w:eastAsia="仿宋" w:cs="仿宋"/>
                      <w:kern w:val="0"/>
                      <w:szCs w:val="21"/>
                    </w:rPr>
                    <w:t>排气温度（℃）</w:t>
                  </w:r>
                </w:p>
              </w:tc>
              <w:tc>
                <w:tcPr>
                  <w:tcW w:w="155" w:type="pct"/>
                  <w:vMerge w:val="restart"/>
                  <w:vAlign w:val="center"/>
                </w:tcPr>
                <w:p>
                  <w:pPr>
                    <w:widowControl/>
                    <w:spacing w:line="240" w:lineRule="exact"/>
                    <w:jc w:val="center"/>
                    <w:rPr>
                      <w:rFonts w:ascii="仿宋" w:hAnsi="仿宋" w:eastAsia="仿宋" w:cs="仿宋"/>
                      <w:szCs w:val="21"/>
                    </w:rPr>
                  </w:pPr>
                  <w:r>
                    <w:rPr>
                      <w:rFonts w:hint="eastAsia" w:ascii="仿宋" w:hAnsi="仿宋" w:eastAsia="仿宋" w:cs="仿宋"/>
                      <w:kern w:val="0"/>
                      <w:szCs w:val="21"/>
                    </w:rPr>
                    <w:t>排放口类 型</w:t>
                  </w:r>
                </w:p>
              </w:tc>
              <w:tc>
                <w:tcPr>
                  <w:tcW w:w="1496" w:type="pct"/>
                  <w:gridSpan w:val="3"/>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排放标准</w:t>
                  </w:r>
                </w:p>
              </w:tc>
              <w:tc>
                <w:tcPr>
                  <w:tcW w:w="681" w:type="pct"/>
                  <w:gridSpan w:val="3"/>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284" w:type="pct"/>
                  <w:gridSpan w:val="2"/>
                  <w:vMerge w:val="continue"/>
                  <w:vAlign w:val="center"/>
                </w:tcPr>
                <w:p>
                  <w:pPr>
                    <w:pStyle w:val="2"/>
                    <w:spacing w:line="240" w:lineRule="exact"/>
                    <w:jc w:val="center"/>
                    <w:rPr>
                      <w:rFonts w:ascii="仿宋" w:hAnsi="仿宋" w:eastAsia="仿宋" w:cs="仿宋"/>
                      <w:color w:val="auto"/>
                      <w:sz w:val="21"/>
                      <w:szCs w:val="21"/>
                    </w:rPr>
                  </w:pPr>
                </w:p>
              </w:tc>
              <w:tc>
                <w:tcPr>
                  <w:tcW w:w="204" w:type="pct"/>
                  <w:vMerge w:val="continue"/>
                  <w:vAlign w:val="center"/>
                </w:tcPr>
                <w:p>
                  <w:pPr>
                    <w:pStyle w:val="2"/>
                    <w:spacing w:line="240" w:lineRule="exact"/>
                    <w:jc w:val="center"/>
                    <w:rPr>
                      <w:rFonts w:ascii="仿宋" w:hAnsi="仿宋" w:eastAsia="仿宋" w:cs="仿宋"/>
                      <w:color w:val="auto"/>
                      <w:sz w:val="21"/>
                      <w:szCs w:val="21"/>
                    </w:rPr>
                  </w:pPr>
                </w:p>
              </w:tc>
              <w:tc>
                <w:tcPr>
                  <w:tcW w:w="277" w:type="pct"/>
                  <w:vMerge w:val="continue"/>
                  <w:vAlign w:val="center"/>
                </w:tcPr>
                <w:p>
                  <w:pPr>
                    <w:pStyle w:val="2"/>
                    <w:spacing w:line="240" w:lineRule="exact"/>
                    <w:jc w:val="center"/>
                    <w:rPr>
                      <w:rFonts w:ascii="仿宋" w:hAnsi="仿宋" w:eastAsia="仿宋" w:cs="仿宋"/>
                      <w:color w:val="auto"/>
                      <w:sz w:val="21"/>
                      <w:szCs w:val="21"/>
                    </w:rPr>
                  </w:pPr>
                </w:p>
              </w:tc>
              <w:tc>
                <w:tcPr>
                  <w:tcW w:w="453" w:type="pct"/>
                  <w:vAlign w:val="center"/>
                </w:tcPr>
                <w:p>
                  <w:pPr>
                    <w:widowControl/>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kern w:val="0"/>
                      <w:szCs w:val="21"/>
                    </w:rPr>
                    <w:t>经度</w:t>
                  </w:r>
                </w:p>
              </w:tc>
              <w:tc>
                <w:tcPr>
                  <w:tcW w:w="452" w:type="pct"/>
                  <w:vAlign w:val="center"/>
                </w:tcPr>
                <w:p>
                  <w:pPr>
                    <w:widowControl/>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kern w:val="0"/>
                      <w:szCs w:val="21"/>
                    </w:rPr>
                    <w:t>纬度</w:t>
                  </w:r>
                </w:p>
              </w:tc>
              <w:tc>
                <w:tcPr>
                  <w:tcW w:w="268" w:type="pct"/>
                  <w:vMerge w:val="continue"/>
                  <w:vAlign w:val="center"/>
                </w:tcPr>
                <w:p>
                  <w:pPr>
                    <w:pStyle w:val="2"/>
                    <w:spacing w:line="240" w:lineRule="exact"/>
                    <w:jc w:val="center"/>
                    <w:rPr>
                      <w:rFonts w:ascii="仿宋" w:hAnsi="仿宋" w:eastAsia="仿宋" w:cs="仿宋"/>
                      <w:color w:val="auto"/>
                      <w:sz w:val="21"/>
                      <w:szCs w:val="21"/>
                    </w:rPr>
                  </w:pPr>
                </w:p>
              </w:tc>
              <w:tc>
                <w:tcPr>
                  <w:tcW w:w="269" w:type="pct"/>
                  <w:vMerge w:val="continue"/>
                  <w:vAlign w:val="center"/>
                </w:tcPr>
                <w:p>
                  <w:pPr>
                    <w:pStyle w:val="2"/>
                    <w:spacing w:line="240" w:lineRule="exact"/>
                    <w:jc w:val="center"/>
                    <w:rPr>
                      <w:rFonts w:ascii="仿宋" w:hAnsi="仿宋" w:eastAsia="仿宋" w:cs="仿宋"/>
                      <w:color w:val="auto"/>
                      <w:sz w:val="21"/>
                      <w:szCs w:val="21"/>
                    </w:rPr>
                  </w:pPr>
                </w:p>
              </w:tc>
              <w:tc>
                <w:tcPr>
                  <w:tcW w:w="306" w:type="pct"/>
                  <w:vMerge w:val="continue"/>
                  <w:vAlign w:val="center"/>
                </w:tcPr>
                <w:p>
                  <w:pPr>
                    <w:pStyle w:val="2"/>
                    <w:spacing w:line="240" w:lineRule="exact"/>
                    <w:jc w:val="center"/>
                    <w:rPr>
                      <w:rFonts w:ascii="仿宋" w:hAnsi="仿宋" w:eastAsia="仿宋" w:cs="仿宋"/>
                      <w:color w:val="auto"/>
                      <w:sz w:val="21"/>
                      <w:szCs w:val="21"/>
                    </w:rPr>
                  </w:pPr>
                </w:p>
              </w:tc>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759"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名称</w:t>
                  </w:r>
                </w:p>
              </w:tc>
              <w:tc>
                <w:tcPr>
                  <w:tcW w:w="35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浓度限值</w:t>
                  </w:r>
                  <w:r>
                    <w:rPr>
                      <w:rFonts w:hint="eastAsia" w:ascii="仿宋" w:hAnsi="仿宋" w:eastAsia="仿宋" w:cs="仿宋"/>
                      <w:color w:val="auto"/>
                      <w:sz w:val="18"/>
                      <w:szCs w:val="18"/>
                    </w:rPr>
                    <w:t>(mg/m</w:t>
                  </w:r>
                  <w:r>
                    <w:rPr>
                      <w:rFonts w:hint="eastAsia" w:ascii="仿宋" w:hAnsi="仿宋" w:eastAsia="仿宋" w:cs="仿宋"/>
                      <w:color w:val="auto"/>
                      <w:sz w:val="18"/>
                      <w:szCs w:val="18"/>
                      <w:vertAlign w:val="superscript"/>
                    </w:rPr>
                    <w:t>3</w:t>
                  </w:r>
                  <w:r>
                    <w:rPr>
                      <w:rFonts w:hint="eastAsia" w:ascii="仿宋" w:hAnsi="仿宋" w:eastAsia="仿宋" w:cs="仿宋"/>
                      <w:color w:val="auto"/>
                      <w:sz w:val="18"/>
                      <w:szCs w:val="18"/>
                    </w:rPr>
                    <w:t xml:space="preserve">) </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排放速率（kg/h）</w:t>
                  </w:r>
                </w:p>
              </w:tc>
              <w:tc>
                <w:tcPr>
                  <w:tcW w:w="20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监测点位</w:t>
                  </w:r>
                </w:p>
              </w:tc>
              <w:tc>
                <w:tcPr>
                  <w:tcW w:w="20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因子</w:t>
                  </w:r>
                </w:p>
              </w:tc>
              <w:tc>
                <w:tcPr>
                  <w:tcW w:w="27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284" w:type="pct"/>
                  <w:gridSpan w:val="2"/>
                  <w:vAlign w:val="center"/>
                </w:tcPr>
                <w:p>
                  <w:pPr>
                    <w:pStyle w:val="2"/>
                    <w:snapToGrid w:val="0"/>
                    <w:spacing w:line="24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食堂</w:t>
                  </w:r>
                </w:p>
              </w:tc>
              <w:tc>
                <w:tcPr>
                  <w:tcW w:w="204"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DA001</w:t>
                  </w:r>
                </w:p>
              </w:tc>
              <w:tc>
                <w:tcPr>
                  <w:tcW w:w="277" w:type="pct"/>
                  <w:vAlign w:val="center"/>
                </w:tcPr>
                <w:p>
                  <w:pPr>
                    <w:pStyle w:val="2"/>
                    <w:spacing w:line="240" w:lineRule="exact"/>
                    <w:jc w:val="center"/>
                    <w:rPr>
                      <w:rFonts w:ascii="仿宋" w:hAnsi="仿宋" w:eastAsia="仿宋" w:cs="仿宋"/>
                      <w:color w:val="auto"/>
                      <w:sz w:val="18"/>
                      <w:szCs w:val="18"/>
                    </w:rPr>
                  </w:pPr>
                </w:p>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21"/>
                      <w:szCs w:val="21"/>
                    </w:rPr>
                    <w:t>油烟</w:t>
                  </w:r>
                </w:p>
              </w:tc>
              <w:tc>
                <w:tcPr>
                  <w:tcW w:w="453" w:type="pct"/>
                  <w:vAlign w:val="center"/>
                </w:tcPr>
                <w:p>
                  <w:pPr>
                    <w:pStyle w:val="2"/>
                    <w:spacing w:line="240" w:lineRule="exact"/>
                    <w:jc w:val="center"/>
                    <w:rPr>
                      <w:rFonts w:eastAsia="仿宋"/>
                      <w:color w:val="auto"/>
                      <w:sz w:val="16"/>
                      <w:szCs w:val="16"/>
                    </w:rPr>
                  </w:pPr>
                  <w:r>
                    <w:rPr>
                      <w:rFonts w:hint="eastAsia" w:eastAsia="仿宋"/>
                      <w:color w:val="auto"/>
                      <w:sz w:val="16"/>
                      <w:szCs w:val="16"/>
                    </w:rPr>
                    <w:t>114°59′38.838″</w:t>
                  </w:r>
                </w:p>
              </w:tc>
              <w:tc>
                <w:tcPr>
                  <w:tcW w:w="452" w:type="pct"/>
                  <w:vAlign w:val="center"/>
                </w:tcPr>
                <w:p>
                  <w:pPr>
                    <w:pStyle w:val="2"/>
                    <w:spacing w:line="240" w:lineRule="exact"/>
                    <w:jc w:val="center"/>
                    <w:rPr>
                      <w:rFonts w:eastAsia="仿宋"/>
                      <w:color w:val="auto"/>
                      <w:sz w:val="16"/>
                      <w:szCs w:val="16"/>
                    </w:rPr>
                  </w:pPr>
                  <w:r>
                    <w:rPr>
                      <w:rFonts w:hint="eastAsia" w:eastAsia="仿宋"/>
                      <w:color w:val="auto"/>
                      <w:sz w:val="16"/>
                      <w:szCs w:val="16"/>
                    </w:rPr>
                    <w:t>36°19′37.825″</w:t>
                  </w:r>
                </w:p>
              </w:tc>
              <w:tc>
                <w:tcPr>
                  <w:tcW w:w="268"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屋顶</w:t>
                  </w:r>
                </w:p>
              </w:tc>
              <w:tc>
                <w:tcPr>
                  <w:tcW w:w="269"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0.3</w:t>
                  </w:r>
                </w:p>
              </w:tc>
              <w:tc>
                <w:tcPr>
                  <w:tcW w:w="306"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20</w:t>
                  </w:r>
                </w:p>
              </w:tc>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一般</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w:t>
                  </w:r>
                </w:p>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口</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759"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《饮食业油烟排放标准》（GB18483-2001）小型标准要求</w:t>
                  </w:r>
                </w:p>
              </w:tc>
              <w:tc>
                <w:tcPr>
                  <w:tcW w:w="35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2.0（最低去除率60%）</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0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排放口</w:t>
                  </w:r>
                </w:p>
              </w:tc>
              <w:tc>
                <w:tcPr>
                  <w:tcW w:w="205" w:type="pct"/>
                  <w:vAlign w:val="center"/>
                </w:tcPr>
                <w:p>
                  <w:pPr>
                    <w:spacing w:line="240" w:lineRule="exact"/>
                    <w:jc w:val="center"/>
                    <w:rPr>
                      <w:rFonts w:ascii="仿宋" w:hAnsi="仿宋" w:eastAsia="仿宋" w:cs="仿宋"/>
                      <w:szCs w:val="21"/>
                    </w:rPr>
                  </w:pPr>
                  <w:r>
                    <w:rPr>
                      <w:rFonts w:hint="eastAsia" w:ascii="仿宋" w:hAnsi="仿宋" w:eastAsia="仿宋" w:cs="仿宋"/>
                      <w:szCs w:val="21"/>
                    </w:rPr>
                    <w:t>油烟</w:t>
                  </w:r>
                </w:p>
              </w:tc>
              <w:tc>
                <w:tcPr>
                  <w:tcW w:w="27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284" w:type="pct"/>
                  <w:gridSpan w:val="2"/>
                  <w:vAlign w:val="center"/>
                </w:tcPr>
                <w:p>
                  <w:pPr>
                    <w:pStyle w:val="2"/>
                    <w:spacing w:line="240" w:lineRule="exact"/>
                    <w:jc w:val="center"/>
                    <w:rPr>
                      <w:rFonts w:ascii="仿宋" w:hAnsi="仿宋" w:eastAsia="仿宋" w:cs="仿宋"/>
                      <w:spacing w:val="-10"/>
                      <w:sz w:val="20"/>
                      <w:szCs w:val="20"/>
                    </w:rPr>
                  </w:pPr>
                  <w:r>
                    <w:rPr>
                      <w:rFonts w:hint="eastAsia" w:ascii="仿宋" w:hAnsi="仿宋" w:eastAsia="仿宋" w:cs="仿宋"/>
                      <w:spacing w:val="-10"/>
                      <w:sz w:val="20"/>
                      <w:szCs w:val="20"/>
                    </w:rPr>
                    <w:t>抛丸</w:t>
                  </w:r>
                </w:p>
                <w:p>
                  <w:pPr>
                    <w:pStyle w:val="2"/>
                    <w:spacing w:line="240" w:lineRule="exact"/>
                    <w:jc w:val="center"/>
                    <w:rPr>
                      <w:rFonts w:ascii="仿宋" w:hAnsi="仿宋" w:eastAsia="仿宋" w:cs="仿宋"/>
                      <w:spacing w:val="-10"/>
                      <w:sz w:val="18"/>
                      <w:szCs w:val="18"/>
                    </w:rPr>
                  </w:pPr>
                  <w:r>
                    <w:rPr>
                      <w:rFonts w:hint="eastAsia" w:ascii="仿宋" w:hAnsi="仿宋" w:eastAsia="仿宋" w:cs="仿宋"/>
                      <w:color w:val="auto"/>
                      <w:spacing w:val="-10"/>
                      <w:sz w:val="21"/>
                      <w:szCs w:val="21"/>
                    </w:rPr>
                    <w:t>工序</w:t>
                  </w:r>
                </w:p>
              </w:tc>
              <w:tc>
                <w:tcPr>
                  <w:tcW w:w="204"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DA002</w:t>
                  </w:r>
                </w:p>
              </w:tc>
              <w:tc>
                <w:tcPr>
                  <w:tcW w:w="277" w:type="pct"/>
                  <w:vAlign w:val="center"/>
                </w:tcPr>
                <w:p>
                  <w:pPr>
                    <w:pStyle w:val="2"/>
                    <w:spacing w:line="240" w:lineRule="exact"/>
                    <w:jc w:val="center"/>
                    <w:rPr>
                      <w:rFonts w:ascii="仿宋" w:hAnsi="仿宋" w:eastAsia="仿宋" w:cs="仿宋"/>
                      <w:color w:val="auto"/>
                      <w:sz w:val="18"/>
                      <w:szCs w:val="18"/>
                    </w:rPr>
                  </w:pPr>
                </w:p>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PM10</w:t>
                  </w:r>
                </w:p>
              </w:tc>
              <w:tc>
                <w:tcPr>
                  <w:tcW w:w="453" w:type="pct"/>
                  <w:vAlign w:val="center"/>
                </w:tcPr>
                <w:p>
                  <w:pPr>
                    <w:pStyle w:val="2"/>
                    <w:spacing w:line="240" w:lineRule="exact"/>
                    <w:jc w:val="center"/>
                    <w:rPr>
                      <w:rFonts w:eastAsia="仿宋"/>
                      <w:color w:val="auto"/>
                      <w:sz w:val="16"/>
                      <w:szCs w:val="16"/>
                    </w:rPr>
                  </w:pPr>
                  <w:r>
                    <w:rPr>
                      <w:rFonts w:hint="eastAsia" w:eastAsia="仿宋"/>
                      <w:color w:val="auto"/>
                      <w:sz w:val="16"/>
                      <w:szCs w:val="16"/>
                    </w:rPr>
                    <w:t>114°59′37.641″</w:t>
                  </w:r>
                </w:p>
              </w:tc>
              <w:tc>
                <w:tcPr>
                  <w:tcW w:w="452" w:type="pct"/>
                  <w:vAlign w:val="center"/>
                </w:tcPr>
                <w:p>
                  <w:pPr>
                    <w:pStyle w:val="2"/>
                    <w:spacing w:line="240" w:lineRule="exact"/>
                    <w:jc w:val="center"/>
                    <w:rPr>
                      <w:rFonts w:eastAsia="仿宋"/>
                      <w:color w:val="auto"/>
                      <w:sz w:val="16"/>
                      <w:szCs w:val="16"/>
                    </w:rPr>
                  </w:pPr>
                  <w:r>
                    <w:rPr>
                      <w:rFonts w:hint="eastAsia" w:eastAsia="仿宋"/>
                      <w:color w:val="auto"/>
                      <w:sz w:val="16"/>
                      <w:szCs w:val="16"/>
                    </w:rPr>
                    <w:t>36°19′34.426″</w:t>
                  </w:r>
                </w:p>
              </w:tc>
              <w:tc>
                <w:tcPr>
                  <w:tcW w:w="268"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15</w:t>
                  </w:r>
                </w:p>
              </w:tc>
              <w:tc>
                <w:tcPr>
                  <w:tcW w:w="269" w:type="pct"/>
                  <w:vAlign w:val="center"/>
                </w:tcPr>
                <w:p>
                  <w:pPr>
                    <w:pStyle w:val="2"/>
                    <w:spacing w:line="240" w:lineRule="exact"/>
                    <w:jc w:val="center"/>
                    <w:rPr>
                      <w:rFonts w:ascii="仿宋" w:hAnsi="仿宋" w:eastAsia="仿宋" w:cs="仿宋"/>
                      <w:color w:val="auto"/>
                      <w:sz w:val="21"/>
                      <w:szCs w:val="21"/>
                    </w:rPr>
                  </w:pPr>
                  <w:r>
                    <w:rPr>
                      <w:rFonts w:hint="eastAsia"/>
                      <w:color w:val="auto"/>
                      <w:sz w:val="21"/>
                      <w:szCs w:val="21"/>
                    </w:rPr>
                    <w:t>0.6</w:t>
                  </w:r>
                </w:p>
              </w:tc>
              <w:tc>
                <w:tcPr>
                  <w:tcW w:w="306"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20</w:t>
                  </w:r>
                </w:p>
              </w:tc>
              <w:tc>
                <w:tcPr>
                  <w:tcW w:w="15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一般</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w:t>
                  </w:r>
                  <w:r>
                    <w:rPr>
                      <w:rFonts w:hint="eastAsia" w:ascii="仿宋" w:hAnsi="仿宋" w:eastAsia="仿宋" w:cs="仿宋"/>
                      <w:szCs w:val="21"/>
                    </w:rPr>
                    <w:t>口</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759"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《大气污染物综合排放标准》（GB16297-1996）表2其他行业颗粒物二级限值标准</w:t>
                  </w:r>
                </w:p>
              </w:tc>
              <w:tc>
                <w:tcPr>
                  <w:tcW w:w="353"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120</w:t>
                  </w:r>
                </w:p>
              </w:tc>
              <w:tc>
                <w:tcPr>
                  <w:tcW w:w="384"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3.5</w:t>
                  </w:r>
                </w:p>
              </w:tc>
              <w:tc>
                <w:tcPr>
                  <w:tcW w:w="20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排放口</w:t>
                  </w:r>
                </w:p>
              </w:tc>
              <w:tc>
                <w:tcPr>
                  <w:tcW w:w="205"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颗粒物</w:t>
                  </w:r>
                </w:p>
              </w:tc>
              <w:tc>
                <w:tcPr>
                  <w:tcW w:w="27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284" w:type="pct"/>
                  <w:gridSpan w:val="2"/>
                  <w:vAlign w:val="center"/>
                </w:tcPr>
                <w:p>
                  <w:pPr>
                    <w:pStyle w:val="2"/>
                    <w:snapToGrid w:val="0"/>
                    <w:spacing w:line="240" w:lineRule="exact"/>
                    <w:jc w:val="center"/>
                    <w:rPr>
                      <w:rFonts w:ascii="仿宋" w:hAnsi="仿宋" w:eastAsia="仿宋" w:cs="仿宋"/>
                      <w:color w:val="auto"/>
                      <w:spacing w:val="-10"/>
                      <w:sz w:val="21"/>
                      <w:szCs w:val="21"/>
                    </w:rPr>
                  </w:pPr>
                  <w:r>
                    <w:rPr>
                      <w:rFonts w:ascii="仿宋" w:hAnsi="仿宋" w:eastAsia="仿宋" w:cs="仿宋"/>
                      <w:color w:val="auto"/>
                      <w:spacing w:val="-10"/>
                      <w:sz w:val="21"/>
                      <w:szCs w:val="21"/>
                    </w:rPr>
                    <w:t>焊接</w:t>
                  </w:r>
                  <w:r>
                    <w:rPr>
                      <w:rFonts w:hint="eastAsia" w:ascii="仿宋" w:hAnsi="仿宋" w:eastAsia="仿宋" w:cs="仿宋"/>
                      <w:color w:val="auto"/>
                      <w:spacing w:val="-10"/>
                      <w:sz w:val="21"/>
                      <w:szCs w:val="21"/>
                    </w:rPr>
                    <w:t>工序</w:t>
                  </w:r>
                </w:p>
              </w:tc>
              <w:tc>
                <w:tcPr>
                  <w:tcW w:w="204"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DA003</w:t>
                  </w:r>
                </w:p>
              </w:tc>
              <w:tc>
                <w:tcPr>
                  <w:tcW w:w="277" w:type="pct"/>
                  <w:vAlign w:val="center"/>
                </w:tcPr>
                <w:p>
                  <w:pPr>
                    <w:pStyle w:val="2"/>
                    <w:spacing w:line="240" w:lineRule="exact"/>
                    <w:jc w:val="center"/>
                    <w:rPr>
                      <w:rFonts w:ascii="仿宋" w:hAnsi="仿宋" w:eastAsia="仿宋" w:cs="仿宋"/>
                      <w:color w:val="auto"/>
                      <w:sz w:val="18"/>
                      <w:szCs w:val="18"/>
                    </w:rPr>
                  </w:pPr>
                </w:p>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PM10</w:t>
                  </w:r>
                </w:p>
              </w:tc>
              <w:tc>
                <w:tcPr>
                  <w:tcW w:w="453" w:type="pct"/>
                  <w:vAlign w:val="center"/>
                </w:tcPr>
                <w:p>
                  <w:pPr>
                    <w:pStyle w:val="2"/>
                    <w:spacing w:line="240" w:lineRule="exact"/>
                    <w:jc w:val="center"/>
                    <w:rPr>
                      <w:rFonts w:eastAsia="仿宋"/>
                      <w:color w:val="auto"/>
                      <w:sz w:val="16"/>
                      <w:szCs w:val="16"/>
                    </w:rPr>
                  </w:pPr>
                  <w:r>
                    <w:rPr>
                      <w:rFonts w:hint="eastAsia" w:eastAsia="仿宋"/>
                      <w:color w:val="auto"/>
                      <w:sz w:val="16"/>
                      <w:szCs w:val="16"/>
                    </w:rPr>
                    <w:t>114°59′41.156″,</w:t>
                  </w:r>
                </w:p>
              </w:tc>
              <w:tc>
                <w:tcPr>
                  <w:tcW w:w="452" w:type="pct"/>
                  <w:vAlign w:val="center"/>
                </w:tcPr>
                <w:p>
                  <w:pPr>
                    <w:pStyle w:val="2"/>
                    <w:spacing w:line="240" w:lineRule="exact"/>
                    <w:jc w:val="center"/>
                    <w:rPr>
                      <w:rFonts w:eastAsia="仿宋"/>
                      <w:color w:val="auto"/>
                      <w:sz w:val="16"/>
                      <w:szCs w:val="16"/>
                    </w:rPr>
                  </w:pPr>
                  <w:r>
                    <w:rPr>
                      <w:rFonts w:hint="eastAsia" w:eastAsia="仿宋"/>
                      <w:color w:val="auto"/>
                      <w:sz w:val="16"/>
                      <w:szCs w:val="16"/>
                    </w:rPr>
                    <w:t>36°19′34.465″</w:t>
                  </w:r>
                </w:p>
              </w:tc>
              <w:tc>
                <w:tcPr>
                  <w:tcW w:w="268"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15</w:t>
                  </w:r>
                </w:p>
              </w:tc>
              <w:tc>
                <w:tcPr>
                  <w:tcW w:w="269" w:type="pct"/>
                  <w:vAlign w:val="center"/>
                </w:tcPr>
                <w:p>
                  <w:pPr>
                    <w:pStyle w:val="2"/>
                    <w:spacing w:line="240" w:lineRule="exact"/>
                    <w:jc w:val="center"/>
                    <w:rPr>
                      <w:color w:val="auto"/>
                      <w:sz w:val="21"/>
                      <w:szCs w:val="21"/>
                    </w:rPr>
                  </w:pPr>
                  <w:r>
                    <w:rPr>
                      <w:rFonts w:hint="eastAsia"/>
                      <w:color w:val="auto"/>
                      <w:sz w:val="21"/>
                      <w:szCs w:val="21"/>
                    </w:rPr>
                    <w:t>0.3</w:t>
                  </w:r>
                </w:p>
              </w:tc>
              <w:tc>
                <w:tcPr>
                  <w:tcW w:w="306"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20</w:t>
                  </w:r>
                </w:p>
              </w:tc>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759" w:type="pct"/>
                  <w:vMerge w:val="continue"/>
                  <w:vAlign w:val="center"/>
                </w:tcPr>
                <w:p>
                  <w:pPr>
                    <w:pStyle w:val="2"/>
                    <w:spacing w:line="240" w:lineRule="exact"/>
                    <w:jc w:val="center"/>
                    <w:rPr>
                      <w:rFonts w:ascii="仿宋" w:hAnsi="仿宋" w:eastAsia="仿宋" w:cs="仿宋"/>
                      <w:color w:val="auto"/>
                      <w:sz w:val="21"/>
                      <w:szCs w:val="21"/>
                    </w:rPr>
                  </w:pPr>
                </w:p>
              </w:tc>
              <w:tc>
                <w:tcPr>
                  <w:tcW w:w="353" w:type="pct"/>
                  <w:vMerge w:val="continue"/>
                  <w:vAlign w:val="center"/>
                </w:tcPr>
                <w:p>
                  <w:pPr>
                    <w:pStyle w:val="2"/>
                    <w:spacing w:line="240" w:lineRule="exact"/>
                    <w:jc w:val="center"/>
                    <w:rPr>
                      <w:rFonts w:ascii="仿宋" w:hAnsi="仿宋" w:eastAsia="仿宋" w:cs="仿宋"/>
                      <w:color w:val="auto"/>
                      <w:sz w:val="21"/>
                      <w:szCs w:val="21"/>
                    </w:rPr>
                  </w:pPr>
                </w:p>
              </w:tc>
              <w:tc>
                <w:tcPr>
                  <w:tcW w:w="384" w:type="pct"/>
                  <w:vMerge w:val="continue"/>
                  <w:vAlign w:val="center"/>
                </w:tcPr>
                <w:p>
                  <w:pPr>
                    <w:pStyle w:val="2"/>
                    <w:spacing w:line="240" w:lineRule="exact"/>
                    <w:jc w:val="center"/>
                    <w:rPr>
                      <w:rFonts w:ascii="仿宋" w:hAnsi="仿宋" w:eastAsia="仿宋" w:cs="仿宋"/>
                      <w:color w:val="auto"/>
                      <w:sz w:val="21"/>
                      <w:szCs w:val="21"/>
                    </w:rPr>
                  </w:pPr>
                </w:p>
              </w:tc>
              <w:tc>
                <w:tcPr>
                  <w:tcW w:w="203"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排放口</w:t>
                  </w:r>
                </w:p>
              </w:tc>
              <w:tc>
                <w:tcPr>
                  <w:tcW w:w="205"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颗粒物</w:t>
                  </w:r>
                </w:p>
              </w:tc>
              <w:tc>
                <w:tcPr>
                  <w:tcW w:w="273"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284" w:type="pct"/>
                  <w:gridSpan w:val="2"/>
                  <w:vAlign w:val="center"/>
                </w:tcPr>
                <w:p>
                  <w:pPr>
                    <w:pStyle w:val="2"/>
                    <w:snapToGrid w:val="0"/>
                    <w:spacing w:line="240" w:lineRule="exact"/>
                    <w:jc w:val="center"/>
                    <w:rPr>
                      <w:rFonts w:ascii="仿宋" w:hAnsi="仿宋" w:eastAsia="仿宋" w:cs="仿宋"/>
                      <w:color w:val="auto"/>
                      <w:spacing w:val="-10"/>
                      <w:sz w:val="21"/>
                      <w:szCs w:val="21"/>
                    </w:rPr>
                  </w:pPr>
                  <w:r>
                    <w:rPr>
                      <w:rFonts w:ascii="仿宋" w:hAnsi="仿宋" w:eastAsia="仿宋" w:cs="仿宋"/>
                      <w:color w:val="auto"/>
                      <w:spacing w:val="-10"/>
                      <w:sz w:val="21"/>
                      <w:szCs w:val="21"/>
                    </w:rPr>
                    <w:t>焊接</w:t>
                  </w:r>
                  <w:r>
                    <w:rPr>
                      <w:rFonts w:hint="eastAsia" w:ascii="仿宋" w:hAnsi="仿宋" w:eastAsia="仿宋" w:cs="仿宋"/>
                      <w:color w:val="auto"/>
                      <w:spacing w:val="-10"/>
                      <w:sz w:val="21"/>
                      <w:szCs w:val="21"/>
                    </w:rPr>
                    <w:t>工序</w:t>
                  </w:r>
                </w:p>
              </w:tc>
              <w:tc>
                <w:tcPr>
                  <w:tcW w:w="204" w:type="pct"/>
                  <w:vAlign w:val="center"/>
                </w:tcPr>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DA004</w:t>
                  </w:r>
                </w:p>
              </w:tc>
              <w:tc>
                <w:tcPr>
                  <w:tcW w:w="277" w:type="pct"/>
                  <w:vAlign w:val="center"/>
                </w:tcPr>
                <w:p>
                  <w:pPr>
                    <w:pStyle w:val="2"/>
                    <w:spacing w:line="240" w:lineRule="exact"/>
                    <w:jc w:val="center"/>
                    <w:rPr>
                      <w:rFonts w:ascii="仿宋" w:hAnsi="仿宋" w:eastAsia="仿宋" w:cs="仿宋"/>
                      <w:color w:val="auto"/>
                      <w:sz w:val="18"/>
                      <w:szCs w:val="18"/>
                    </w:rPr>
                  </w:pPr>
                </w:p>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PM10</w:t>
                  </w:r>
                </w:p>
              </w:tc>
              <w:tc>
                <w:tcPr>
                  <w:tcW w:w="453" w:type="pct"/>
                  <w:vAlign w:val="center"/>
                </w:tcPr>
                <w:p>
                  <w:pPr>
                    <w:pStyle w:val="2"/>
                    <w:spacing w:line="240" w:lineRule="exact"/>
                    <w:jc w:val="center"/>
                    <w:rPr>
                      <w:rFonts w:eastAsia="仿宋"/>
                      <w:color w:val="auto"/>
                      <w:sz w:val="16"/>
                      <w:szCs w:val="16"/>
                    </w:rPr>
                  </w:pPr>
                  <w:r>
                    <w:rPr>
                      <w:rFonts w:hint="eastAsia" w:eastAsia="仿宋"/>
                      <w:color w:val="auto"/>
                      <w:sz w:val="16"/>
                      <w:szCs w:val="16"/>
                    </w:rPr>
                    <w:t>114°59′34.204″</w:t>
                  </w:r>
                </w:p>
              </w:tc>
              <w:tc>
                <w:tcPr>
                  <w:tcW w:w="452" w:type="pct"/>
                  <w:vAlign w:val="center"/>
                </w:tcPr>
                <w:p>
                  <w:pPr>
                    <w:pStyle w:val="2"/>
                    <w:spacing w:line="240" w:lineRule="exact"/>
                    <w:jc w:val="center"/>
                    <w:rPr>
                      <w:rFonts w:eastAsia="仿宋"/>
                      <w:color w:val="auto"/>
                      <w:sz w:val="16"/>
                      <w:szCs w:val="16"/>
                    </w:rPr>
                  </w:pPr>
                  <w:r>
                    <w:rPr>
                      <w:rFonts w:hint="eastAsia" w:eastAsia="仿宋"/>
                      <w:color w:val="auto"/>
                      <w:sz w:val="16"/>
                      <w:szCs w:val="16"/>
                    </w:rPr>
                    <w:t>36°19′34.581″</w:t>
                  </w:r>
                </w:p>
              </w:tc>
              <w:tc>
                <w:tcPr>
                  <w:tcW w:w="268"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15</w:t>
                  </w:r>
                </w:p>
              </w:tc>
              <w:tc>
                <w:tcPr>
                  <w:tcW w:w="269" w:type="pct"/>
                  <w:vAlign w:val="center"/>
                </w:tcPr>
                <w:p>
                  <w:pPr>
                    <w:autoSpaceDE w:val="0"/>
                    <w:autoSpaceDN w:val="0"/>
                    <w:adjustRightInd w:val="0"/>
                    <w:spacing w:line="240" w:lineRule="exact"/>
                    <w:jc w:val="center"/>
                    <w:rPr>
                      <w:rFonts w:ascii="仿宋" w:hAnsi="仿宋" w:eastAsia="仿宋" w:cs="仿宋"/>
                      <w:szCs w:val="21"/>
                    </w:rPr>
                  </w:pPr>
                  <w:r>
                    <w:rPr>
                      <w:rFonts w:hint="eastAsia"/>
                      <w:szCs w:val="21"/>
                    </w:rPr>
                    <w:t>0.3</w:t>
                  </w:r>
                </w:p>
              </w:tc>
              <w:tc>
                <w:tcPr>
                  <w:tcW w:w="306" w:type="pc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20</w:t>
                  </w:r>
                </w:p>
              </w:tc>
              <w:tc>
                <w:tcPr>
                  <w:tcW w:w="155" w:type="pct"/>
                  <w:vMerge w:val="continue"/>
                  <w:vAlign w:val="center"/>
                </w:tcPr>
                <w:p>
                  <w:pPr>
                    <w:autoSpaceDE w:val="0"/>
                    <w:autoSpaceDN w:val="0"/>
                    <w:adjustRightInd w:val="0"/>
                    <w:spacing w:line="240" w:lineRule="exact"/>
                    <w:jc w:val="center"/>
                    <w:rPr>
                      <w:rFonts w:ascii="仿宋" w:hAnsi="仿宋" w:eastAsia="仿宋" w:cs="仿宋"/>
                      <w:szCs w:val="21"/>
                    </w:rPr>
                  </w:pPr>
                </w:p>
              </w:tc>
              <w:tc>
                <w:tcPr>
                  <w:tcW w:w="759" w:type="pct"/>
                  <w:vMerge w:val="continue"/>
                  <w:vAlign w:val="center"/>
                </w:tcPr>
                <w:p>
                  <w:pPr>
                    <w:pStyle w:val="2"/>
                    <w:spacing w:line="240" w:lineRule="exact"/>
                    <w:jc w:val="center"/>
                    <w:rPr>
                      <w:rFonts w:ascii="仿宋" w:hAnsi="仿宋" w:eastAsia="仿宋" w:cs="仿宋"/>
                      <w:color w:val="auto"/>
                      <w:sz w:val="21"/>
                      <w:szCs w:val="21"/>
                    </w:rPr>
                  </w:pPr>
                </w:p>
              </w:tc>
              <w:tc>
                <w:tcPr>
                  <w:tcW w:w="353" w:type="pct"/>
                  <w:vMerge w:val="continue"/>
                  <w:vAlign w:val="center"/>
                </w:tcPr>
                <w:p>
                  <w:pPr>
                    <w:pStyle w:val="2"/>
                    <w:spacing w:line="240" w:lineRule="exact"/>
                    <w:jc w:val="center"/>
                    <w:rPr>
                      <w:rFonts w:ascii="仿宋" w:hAnsi="仿宋" w:eastAsia="仿宋" w:cs="仿宋"/>
                      <w:color w:val="auto"/>
                      <w:sz w:val="21"/>
                      <w:szCs w:val="21"/>
                    </w:rPr>
                  </w:pPr>
                </w:p>
              </w:tc>
              <w:tc>
                <w:tcPr>
                  <w:tcW w:w="384" w:type="pct"/>
                  <w:vMerge w:val="continue"/>
                  <w:vAlign w:val="center"/>
                </w:tcPr>
                <w:p>
                  <w:pPr>
                    <w:pStyle w:val="2"/>
                    <w:spacing w:line="240" w:lineRule="exact"/>
                    <w:jc w:val="center"/>
                    <w:rPr>
                      <w:rFonts w:ascii="仿宋" w:hAnsi="仿宋" w:eastAsia="仿宋" w:cs="仿宋"/>
                      <w:color w:val="auto"/>
                      <w:sz w:val="21"/>
                      <w:szCs w:val="21"/>
                    </w:rPr>
                  </w:pPr>
                </w:p>
              </w:tc>
              <w:tc>
                <w:tcPr>
                  <w:tcW w:w="20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排放口</w:t>
                  </w:r>
                </w:p>
              </w:tc>
              <w:tc>
                <w:tcPr>
                  <w:tcW w:w="205"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颗粒物</w:t>
                  </w:r>
                </w:p>
              </w:tc>
              <w:tc>
                <w:tcPr>
                  <w:tcW w:w="27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5</w:t>
                  </w:r>
                </w:p>
              </w:tc>
              <w:tc>
                <w:tcPr>
                  <w:tcW w:w="284" w:type="pct"/>
                  <w:gridSpan w:val="2"/>
                  <w:vAlign w:val="center"/>
                </w:tcPr>
                <w:p>
                  <w:pPr>
                    <w:spacing w:line="240" w:lineRule="exact"/>
                    <w:jc w:val="center"/>
                    <w:rPr>
                      <w:rFonts w:ascii="仿宋" w:hAnsi="仿宋" w:eastAsia="仿宋" w:cs="仿宋"/>
                      <w:szCs w:val="21"/>
                    </w:rPr>
                  </w:pPr>
                  <w:r>
                    <w:rPr>
                      <w:rFonts w:hint="eastAsia" w:ascii="仿宋" w:hAnsi="仿宋" w:eastAsia="仿宋" w:cs="仿宋"/>
                      <w:bCs/>
                      <w:spacing w:val="-20"/>
                      <w:szCs w:val="21"/>
                    </w:rPr>
                    <w:t>喷漆、烘干工序</w:t>
                  </w:r>
                </w:p>
              </w:tc>
              <w:tc>
                <w:tcPr>
                  <w:tcW w:w="204" w:type="pct"/>
                  <w:vMerge w:val="restart"/>
                  <w:vAlign w:val="center"/>
                </w:tcPr>
                <w:p>
                  <w:pPr>
                    <w:autoSpaceDE w:val="0"/>
                    <w:autoSpaceDN w:val="0"/>
                    <w:adjustRightInd w:val="0"/>
                    <w:spacing w:line="240" w:lineRule="exact"/>
                    <w:jc w:val="center"/>
                    <w:rPr>
                      <w:rFonts w:ascii="仿宋" w:hAnsi="仿宋" w:eastAsia="仿宋" w:cs="仿宋"/>
                      <w:sz w:val="18"/>
                      <w:szCs w:val="18"/>
                    </w:rPr>
                  </w:pPr>
                  <w:r>
                    <w:rPr>
                      <w:rFonts w:hint="eastAsia" w:ascii="仿宋" w:hAnsi="仿宋" w:eastAsia="仿宋" w:cs="仿宋"/>
                      <w:sz w:val="18"/>
                      <w:szCs w:val="18"/>
                    </w:rPr>
                    <w:t>DA005</w:t>
                  </w:r>
                </w:p>
              </w:tc>
              <w:tc>
                <w:tcPr>
                  <w:tcW w:w="277" w:type="pct"/>
                  <w:vAlign w:val="center"/>
                </w:tcPr>
                <w:p>
                  <w:pPr>
                    <w:pStyle w:val="2"/>
                    <w:spacing w:line="240" w:lineRule="exact"/>
                    <w:jc w:val="center"/>
                    <w:rPr>
                      <w:rFonts w:ascii="仿宋" w:hAnsi="仿宋" w:eastAsia="仿宋" w:cs="仿宋"/>
                      <w:color w:val="auto"/>
                      <w:sz w:val="18"/>
                      <w:szCs w:val="18"/>
                    </w:rPr>
                  </w:pPr>
                </w:p>
                <w:p>
                  <w:pPr>
                    <w:pStyle w:val="2"/>
                    <w:spacing w:line="240" w:lineRule="exact"/>
                    <w:jc w:val="center"/>
                    <w:rPr>
                      <w:rFonts w:ascii="仿宋" w:hAnsi="仿宋" w:eastAsia="仿宋" w:cs="仿宋"/>
                      <w:color w:val="auto"/>
                      <w:sz w:val="18"/>
                      <w:szCs w:val="18"/>
                    </w:rPr>
                  </w:pPr>
                  <w:r>
                    <w:rPr>
                      <w:rFonts w:hint="eastAsia" w:ascii="仿宋" w:hAnsi="仿宋" w:eastAsia="仿宋" w:cs="仿宋"/>
                      <w:color w:val="auto"/>
                      <w:sz w:val="18"/>
                      <w:szCs w:val="18"/>
                    </w:rPr>
                    <w:t>PM10</w:t>
                  </w:r>
                </w:p>
              </w:tc>
              <w:tc>
                <w:tcPr>
                  <w:tcW w:w="453" w:type="pct"/>
                  <w:vMerge w:val="restart"/>
                  <w:vAlign w:val="center"/>
                </w:tcPr>
                <w:p>
                  <w:pPr>
                    <w:pStyle w:val="2"/>
                    <w:spacing w:line="240" w:lineRule="exact"/>
                    <w:jc w:val="center"/>
                    <w:rPr>
                      <w:rFonts w:eastAsia="仿宋"/>
                      <w:color w:val="auto"/>
                      <w:sz w:val="16"/>
                      <w:szCs w:val="16"/>
                    </w:rPr>
                  </w:pPr>
                  <w:r>
                    <w:rPr>
                      <w:rFonts w:hint="eastAsia" w:eastAsia="仿宋"/>
                      <w:color w:val="auto"/>
                      <w:sz w:val="16"/>
                      <w:szCs w:val="16"/>
                    </w:rPr>
                    <w:t>114°59′38.761″</w:t>
                  </w:r>
                </w:p>
              </w:tc>
              <w:tc>
                <w:tcPr>
                  <w:tcW w:w="452" w:type="pct"/>
                  <w:vMerge w:val="restart"/>
                  <w:vAlign w:val="center"/>
                </w:tcPr>
                <w:p>
                  <w:pPr>
                    <w:pStyle w:val="2"/>
                    <w:spacing w:line="240" w:lineRule="exact"/>
                    <w:jc w:val="center"/>
                    <w:rPr>
                      <w:rFonts w:eastAsia="仿宋"/>
                      <w:color w:val="auto"/>
                      <w:sz w:val="16"/>
                      <w:szCs w:val="16"/>
                    </w:rPr>
                  </w:pPr>
                  <w:r>
                    <w:rPr>
                      <w:rFonts w:hint="eastAsia" w:eastAsia="仿宋"/>
                      <w:color w:val="auto"/>
                      <w:sz w:val="16"/>
                      <w:szCs w:val="16"/>
                    </w:rPr>
                    <w:t>36°19′35.083″</w:t>
                  </w:r>
                </w:p>
              </w:tc>
              <w:tc>
                <w:tcPr>
                  <w:tcW w:w="268" w:type="pct"/>
                  <w:vMerge w:val="restar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15</w:t>
                  </w:r>
                </w:p>
              </w:tc>
              <w:tc>
                <w:tcPr>
                  <w:tcW w:w="269" w:type="pct"/>
                  <w:vMerge w:val="restart"/>
                  <w:vAlign w:val="center"/>
                </w:tcPr>
                <w:p>
                  <w:pPr>
                    <w:autoSpaceDE w:val="0"/>
                    <w:autoSpaceDN w:val="0"/>
                    <w:adjustRightInd w:val="0"/>
                    <w:spacing w:line="240" w:lineRule="exact"/>
                    <w:jc w:val="center"/>
                    <w:rPr>
                      <w:rFonts w:ascii="仿宋" w:hAnsi="仿宋" w:eastAsia="仿宋" w:cs="仿宋"/>
                      <w:szCs w:val="21"/>
                    </w:rPr>
                  </w:pPr>
                  <w:r>
                    <w:rPr>
                      <w:rFonts w:hint="eastAsia"/>
                      <w:szCs w:val="21"/>
                    </w:rPr>
                    <w:t>0.4</w:t>
                  </w:r>
                </w:p>
              </w:tc>
              <w:tc>
                <w:tcPr>
                  <w:tcW w:w="306" w:type="pct"/>
                  <w:vMerge w:val="restar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Cs w:val="21"/>
                    </w:rPr>
                    <w:t>40</w:t>
                  </w:r>
                </w:p>
              </w:tc>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759" w:type="pct"/>
                  <w:vMerge w:val="continue"/>
                  <w:vAlign w:val="center"/>
                </w:tcPr>
                <w:p>
                  <w:pPr>
                    <w:pStyle w:val="2"/>
                    <w:spacing w:line="240" w:lineRule="exact"/>
                    <w:jc w:val="center"/>
                    <w:rPr>
                      <w:rFonts w:ascii="仿宋" w:hAnsi="仿宋" w:eastAsia="仿宋" w:cs="仿宋"/>
                      <w:color w:val="auto"/>
                      <w:sz w:val="21"/>
                      <w:szCs w:val="21"/>
                    </w:rPr>
                  </w:pPr>
                </w:p>
              </w:tc>
              <w:tc>
                <w:tcPr>
                  <w:tcW w:w="353" w:type="pct"/>
                  <w:vMerge w:val="continue"/>
                  <w:vAlign w:val="center"/>
                </w:tcPr>
                <w:p>
                  <w:pPr>
                    <w:pStyle w:val="2"/>
                    <w:spacing w:line="240" w:lineRule="exact"/>
                    <w:jc w:val="center"/>
                    <w:rPr>
                      <w:rFonts w:ascii="仿宋" w:hAnsi="仿宋" w:eastAsia="仿宋" w:cs="仿宋"/>
                      <w:color w:val="auto"/>
                      <w:sz w:val="21"/>
                      <w:szCs w:val="21"/>
                    </w:rPr>
                  </w:pPr>
                </w:p>
              </w:tc>
              <w:tc>
                <w:tcPr>
                  <w:tcW w:w="384" w:type="pct"/>
                  <w:vMerge w:val="continue"/>
                  <w:vAlign w:val="center"/>
                </w:tcPr>
                <w:p>
                  <w:pPr>
                    <w:pStyle w:val="2"/>
                    <w:spacing w:line="240" w:lineRule="exact"/>
                    <w:jc w:val="center"/>
                    <w:rPr>
                      <w:rFonts w:ascii="仿宋" w:hAnsi="仿宋" w:eastAsia="仿宋" w:cs="仿宋"/>
                      <w:color w:val="auto"/>
                      <w:sz w:val="21"/>
                      <w:szCs w:val="21"/>
                    </w:rPr>
                  </w:pPr>
                </w:p>
              </w:tc>
              <w:tc>
                <w:tcPr>
                  <w:tcW w:w="20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排放口</w:t>
                  </w:r>
                </w:p>
              </w:tc>
              <w:tc>
                <w:tcPr>
                  <w:tcW w:w="205"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颗粒物</w:t>
                  </w:r>
                </w:p>
              </w:tc>
              <w:tc>
                <w:tcPr>
                  <w:tcW w:w="273"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284" w:type="pct"/>
                  <w:gridSpan w:val="2"/>
                  <w:vAlign w:val="center"/>
                </w:tcPr>
                <w:p>
                  <w:pPr>
                    <w:spacing w:line="240" w:lineRule="exact"/>
                    <w:jc w:val="center"/>
                    <w:rPr>
                      <w:rFonts w:ascii="仿宋" w:hAnsi="仿宋" w:eastAsia="仿宋" w:cs="仿宋"/>
                      <w:szCs w:val="21"/>
                    </w:rPr>
                  </w:pPr>
                  <w:r>
                    <w:rPr>
                      <w:rFonts w:hint="eastAsia" w:ascii="仿宋" w:hAnsi="仿宋" w:eastAsia="仿宋" w:cs="仿宋"/>
                      <w:bCs/>
                      <w:spacing w:val="-20"/>
                      <w:szCs w:val="21"/>
                    </w:rPr>
                    <w:t>喷漆、烘干工序</w:t>
                  </w:r>
                </w:p>
              </w:tc>
              <w:tc>
                <w:tcPr>
                  <w:tcW w:w="204" w:type="pct"/>
                  <w:vMerge w:val="continue"/>
                  <w:vAlign w:val="center"/>
                </w:tcPr>
                <w:p>
                  <w:pPr>
                    <w:autoSpaceDE w:val="0"/>
                    <w:autoSpaceDN w:val="0"/>
                    <w:adjustRightInd w:val="0"/>
                    <w:spacing w:line="240" w:lineRule="exact"/>
                    <w:jc w:val="center"/>
                    <w:rPr>
                      <w:rFonts w:ascii="仿宋" w:hAnsi="仿宋" w:eastAsia="仿宋" w:cs="仿宋"/>
                      <w:sz w:val="18"/>
                      <w:szCs w:val="18"/>
                    </w:rPr>
                  </w:pPr>
                </w:p>
              </w:tc>
              <w:tc>
                <w:tcPr>
                  <w:tcW w:w="277" w:type="pct"/>
                  <w:vAlign w:val="center"/>
                </w:tcPr>
                <w:p>
                  <w:pPr>
                    <w:autoSpaceDE w:val="0"/>
                    <w:autoSpaceDN w:val="0"/>
                    <w:adjustRightInd w:val="0"/>
                    <w:spacing w:line="240" w:lineRule="exact"/>
                    <w:jc w:val="center"/>
                    <w:rPr>
                      <w:rFonts w:ascii="仿宋" w:hAnsi="仿宋" w:eastAsia="仿宋" w:cs="仿宋"/>
                      <w:sz w:val="18"/>
                      <w:szCs w:val="18"/>
                    </w:rPr>
                  </w:pPr>
                  <w:r>
                    <w:rPr>
                      <w:rFonts w:hint="eastAsia" w:ascii="仿宋" w:hAnsi="仿宋" w:eastAsia="仿宋" w:cs="仿宋"/>
                      <w:szCs w:val="21"/>
                    </w:rPr>
                    <w:t>非甲烷总烃</w:t>
                  </w:r>
                </w:p>
              </w:tc>
              <w:tc>
                <w:tcPr>
                  <w:tcW w:w="453" w:type="pct"/>
                  <w:vMerge w:val="continue"/>
                  <w:vAlign w:val="center"/>
                </w:tcPr>
                <w:p>
                  <w:pPr>
                    <w:pStyle w:val="2"/>
                    <w:spacing w:line="240" w:lineRule="exact"/>
                    <w:jc w:val="center"/>
                    <w:rPr>
                      <w:rFonts w:eastAsia="仿宋"/>
                      <w:color w:val="auto"/>
                      <w:sz w:val="18"/>
                      <w:szCs w:val="18"/>
                    </w:rPr>
                  </w:pPr>
                </w:p>
              </w:tc>
              <w:tc>
                <w:tcPr>
                  <w:tcW w:w="452" w:type="pct"/>
                  <w:vMerge w:val="continue"/>
                  <w:vAlign w:val="center"/>
                </w:tcPr>
                <w:p>
                  <w:pPr>
                    <w:pStyle w:val="2"/>
                    <w:spacing w:line="240" w:lineRule="exact"/>
                    <w:jc w:val="center"/>
                    <w:rPr>
                      <w:rFonts w:eastAsia="仿宋"/>
                      <w:color w:val="auto"/>
                      <w:sz w:val="18"/>
                      <w:szCs w:val="18"/>
                    </w:rPr>
                  </w:pPr>
                </w:p>
              </w:tc>
              <w:tc>
                <w:tcPr>
                  <w:tcW w:w="268" w:type="pct"/>
                  <w:vMerge w:val="continue"/>
                  <w:vAlign w:val="center"/>
                </w:tcPr>
                <w:p>
                  <w:pPr>
                    <w:autoSpaceDE w:val="0"/>
                    <w:autoSpaceDN w:val="0"/>
                    <w:adjustRightInd w:val="0"/>
                    <w:spacing w:line="240" w:lineRule="exact"/>
                    <w:jc w:val="center"/>
                    <w:rPr>
                      <w:rFonts w:ascii="仿宋" w:hAnsi="仿宋" w:eastAsia="仿宋" w:cs="仿宋"/>
                      <w:szCs w:val="21"/>
                    </w:rPr>
                  </w:pPr>
                </w:p>
              </w:tc>
              <w:tc>
                <w:tcPr>
                  <w:tcW w:w="269" w:type="pct"/>
                  <w:vMerge w:val="continue"/>
                  <w:vAlign w:val="center"/>
                </w:tcPr>
                <w:p>
                  <w:pPr>
                    <w:pStyle w:val="2"/>
                    <w:spacing w:line="240" w:lineRule="exact"/>
                    <w:jc w:val="center"/>
                    <w:rPr>
                      <w:rFonts w:ascii="仿宋" w:hAnsi="仿宋" w:eastAsia="仿宋" w:cs="仿宋"/>
                      <w:color w:val="auto"/>
                      <w:sz w:val="21"/>
                      <w:szCs w:val="21"/>
                    </w:rPr>
                  </w:pPr>
                </w:p>
              </w:tc>
              <w:tc>
                <w:tcPr>
                  <w:tcW w:w="306" w:type="pct"/>
                  <w:vMerge w:val="continue"/>
                  <w:vAlign w:val="center"/>
                </w:tcPr>
                <w:p>
                  <w:pPr>
                    <w:autoSpaceDE w:val="0"/>
                    <w:autoSpaceDN w:val="0"/>
                    <w:adjustRightInd w:val="0"/>
                    <w:spacing w:line="240" w:lineRule="exact"/>
                    <w:jc w:val="center"/>
                    <w:rPr>
                      <w:rFonts w:ascii="仿宋" w:hAnsi="仿宋" w:eastAsia="仿宋" w:cs="仿宋"/>
                      <w:szCs w:val="21"/>
                    </w:rPr>
                  </w:pPr>
                </w:p>
              </w:tc>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759"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工业企业挥发性有机物排放控制标准》（DB13/2322-2016）表1中“</w:t>
                  </w:r>
                  <w:r>
                    <w:rPr>
                      <w:rFonts w:hint="eastAsia" w:ascii="仿宋" w:hAnsi="仿宋" w:eastAsia="仿宋" w:cs="仿宋"/>
                      <w:color w:val="auto"/>
                      <w:sz w:val="21"/>
                      <w:szCs w:val="21"/>
                    </w:rPr>
                    <w:t>表面涂装</w:t>
                  </w:r>
                  <w:r>
                    <w:rPr>
                      <w:rFonts w:ascii="仿宋" w:hAnsi="仿宋" w:eastAsia="仿宋" w:cs="仿宋"/>
                      <w:color w:val="auto"/>
                      <w:sz w:val="21"/>
                      <w:szCs w:val="21"/>
                    </w:rPr>
                    <w:t>业”</w:t>
                  </w:r>
                  <w:r>
                    <w:rPr>
                      <w:rFonts w:hint="eastAsia" w:ascii="仿宋" w:hAnsi="仿宋" w:eastAsia="仿宋" w:cs="仿宋"/>
                      <w:color w:val="auto"/>
                      <w:sz w:val="21"/>
                      <w:szCs w:val="21"/>
                    </w:rPr>
                    <w:t>有机废气排放品</w:t>
                  </w:r>
                  <w:r>
                    <w:rPr>
                      <w:rFonts w:ascii="仿宋" w:hAnsi="仿宋" w:eastAsia="仿宋" w:cs="仿宋"/>
                      <w:color w:val="auto"/>
                      <w:sz w:val="21"/>
                      <w:szCs w:val="21"/>
                    </w:rPr>
                    <w:t>限值</w:t>
                  </w:r>
                </w:p>
              </w:tc>
              <w:tc>
                <w:tcPr>
                  <w:tcW w:w="35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60（最低去除率70%）</w:t>
                  </w:r>
                </w:p>
              </w:tc>
              <w:tc>
                <w:tcPr>
                  <w:tcW w:w="384"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p>
              </w:tc>
              <w:tc>
                <w:tcPr>
                  <w:tcW w:w="203" w:type="pct"/>
                  <w:vAlign w:val="center"/>
                </w:tcPr>
                <w:p>
                  <w:pPr>
                    <w:spacing w:line="240" w:lineRule="exact"/>
                    <w:jc w:val="center"/>
                    <w:rPr>
                      <w:rFonts w:ascii="仿宋" w:hAnsi="仿宋" w:eastAsia="仿宋" w:cs="仿宋"/>
                      <w:szCs w:val="21"/>
                    </w:rPr>
                  </w:pPr>
                  <w:r>
                    <w:rPr>
                      <w:rFonts w:hint="eastAsia" w:ascii="仿宋" w:hAnsi="仿宋" w:eastAsia="仿宋" w:cs="仿宋"/>
                      <w:kern w:val="1"/>
                      <w:szCs w:val="21"/>
                    </w:rPr>
                    <w:t>排放口</w:t>
                  </w:r>
                </w:p>
              </w:tc>
              <w:tc>
                <w:tcPr>
                  <w:tcW w:w="205" w:type="pct"/>
                  <w:vAlign w:val="center"/>
                </w:tcPr>
                <w:p>
                  <w:pPr>
                    <w:spacing w:line="240" w:lineRule="exact"/>
                    <w:jc w:val="center"/>
                    <w:rPr>
                      <w:rFonts w:ascii="仿宋" w:hAnsi="仿宋" w:eastAsia="仿宋" w:cs="仿宋"/>
                      <w:kern w:val="1"/>
                      <w:szCs w:val="21"/>
                    </w:rPr>
                  </w:pPr>
                  <w:r>
                    <w:rPr>
                      <w:rFonts w:hint="eastAsia" w:ascii="仿宋" w:hAnsi="仿宋" w:eastAsia="仿宋" w:cs="仿宋"/>
                      <w:szCs w:val="21"/>
                    </w:rPr>
                    <w:t>非甲烷总烃</w:t>
                  </w:r>
                </w:p>
              </w:tc>
              <w:tc>
                <w:tcPr>
                  <w:tcW w:w="273"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17"/>
                  <w:vAlign w:val="center"/>
                </w:tcPr>
                <w:p>
                  <w:pPr>
                    <w:pStyle w:val="2"/>
                    <w:spacing w:line="240" w:lineRule="exact"/>
                    <w:jc w:val="center"/>
                    <w:rPr>
                      <w:rFonts w:ascii="仿宋" w:hAnsi="仿宋" w:eastAsia="仿宋" w:cs="仿宋"/>
                      <w:color w:val="auto"/>
                      <w:kern w:val="1"/>
                      <w:sz w:val="21"/>
                      <w:szCs w:val="21"/>
                    </w:rPr>
                  </w:pPr>
                  <w:r>
                    <w:rPr>
                      <w:rFonts w:hint="eastAsia" w:ascii="仿宋" w:hAnsi="仿宋" w:eastAsia="仿宋" w:cs="仿宋"/>
                      <w:color w:val="auto"/>
                      <w:sz w:val="21"/>
                      <w:szCs w:val="21"/>
                    </w:rPr>
                    <w:t>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215"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产污环节</w:t>
                  </w:r>
                </w:p>
              </w:tc>
              <w:tc>
                <w:tcPr>
                  <w:tcW w:w="273" w:type="pct"/>
                  <w:gridSpan w:val="2"/>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无组织排放编号 </w:t>
                  </w:r>
                </w:p>
              </w:tc>
              <w:tc>
                <w:tcPr>
                  <w:tcW w:w="277" w:type="pct"/>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污染物 </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种类</w:t>
                  </w:r>
                </w:p>
              </w:tc>
              <w:tc>
                <w:tcPr>
                  <w:tcW w:w="1442" w:type="pct"/>
                  <w:gridSpan w:val="4"/>
                  <w:vMerge w:val="restar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主要污染防治措施</w:t>
                  </w:r>
                </w:p>
              </w:tc>
              <w:tc>
                <w:tcPr>
                  <w:tcW w:w="1957" w:type="pct"/>
                  <w:gridSpan w:val="5"/>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排放标准</w:t>
                  </w:r>
                </w:p>
              </w:tc>
              <w:tc>
                <w:tcPr>
                  <w:tcW w:w="681" w:type="pct"/>
                  <w:gridSpan w:val="3"/>
                  <w:vAlign w:val="center"/>
                </w:tcPr>
                <w:p>
                  <w:pPr>
                    <w:pStyle w:val="2"/>
                    <w:spacing w:line="240" w:lineRule="exact"/>
                    <w:jc w:val="center"/>
                    <w:rPr>
                      <w:rFonts w:ascii="仿宋" w:hAnsi="仿宋" w:eastAsia="仿宋" w:cs="仿宋"/>
                      <w:color w:val="auto"/>
                      <w:kern w:val="1"/>
                      <w:sz w:val="21"/>
                      <w:szCs w:val="21"/>
                    </w:rPr>
                  </w:pPr>
                  <w:r>
                    <w:rPr>
                      <w:rFonts w:hint="eastAsia" w:ascii="仿宋" w:hAnsi="仿宋" w:eastAsia="仿宋" w:cs="仿宋"/>
                      <w:color w:val="auto"/>
                      <w:sz w:val="21"/>
                      <w:szCs w:val="21"/>
                    </w:rPr>
                    <w:t>监测要求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 w:type="pct"/>
                  <w:vMerge w:val="continue"/>
                  <w:vAlign w:val="center"/>
                </w:tcPr>
                <w:p>
                  <w:pPr>
                    <w:pStyle w:val="2"/>
                    <w:spacing w:line="240" w:lineRule="exact"/>
                    <w:jc w:val="center"/>
                    <w:rPr>
                      <w:color w:val="auto"/>
                    </w:rPr>
                  </w:pPr>
                </w:p>
              </w:tc>
              <w:tc>
                <w:tcPr>
                  <w:tcW w:w="215" w:type="pct"/>
                  <w:vMerge w:val="continue"/>
                  <w:vAlign w:val="center"/>
                </w:tcPr>
                <w:p>
                  <w:pPr>
                    <w:pStyle w:val="2"/>
                    <w:spacing w:line="240" w:lineRule="exact"/>
                    <w:jc w:val="center"/>
                    <w:rPr>
                      <w:color w:val="auto"/>
                    </w:rPr>
                  </w:pPr>
                </w:p>
              </w:tc>
              <w:tc>
                <w:tcPr>
                  <w:tcW w:w="273" w:type="pct"/>
                  <w:gridSpan w:val="2"/>
                  <w:vMerge w:val="continue"/>
                  <w:vAlign w:val="center"/>
                </w:tcPr>
                <w:p>
                  <w:pPr>
                    <w:pStyle w:val="2"/>
                    <w:spacing w:line="240" w:lineRule="exact"/>
                    <w:jc w:val="center"/>
                    <w:rPr>
                      <w:color w:val="auto"/>
                    </w:rPr>
                  </w:pPr>
                </w:p>
              </w:tc>
              <w:tc>
                <w:tcPr>
                  <w:tcW w:w="277" w:type="pct"/>
                  <w:vMerge w:val="continue"/>
                  <w:vAlign w:val="center"/>
                </w:tcPr>
                <w:p>
                  <w:pPr>
                    <w:pStyle w:val="2"/>
                    <w:spacing w:line="240" w:lineRule="exact"/>
                    <w:jc w:val="center"/>
                    <w:rPr>
                      <w:color w:val="auto"/>
                    </w:rPr>
                  </w:pPr>
                </w:p>
              </w:tc>
              <w:tc>
                <w:tcPr>
                  <w:tcW w:w="1442" w:type="pct"/>
                  <w:gridSpan w:val="4"/>
                  <w:vMerge w:val="continue"/>
                  <w:vAlign w:val="center"/>
                </w:tcPr>
                <w:p>
                  <w:pPr>
                    <w:pStyle w:val="2"/>
                    <w:spacing w:line="240" w:lineRule="exact"/>
                    <w:jc w:val="center"/>
                    <w:rPr>
                      <w:color w:val="auto"/>
                    </w:rPr>
                  </w:pPr>
                </w:p>
              </w:tc>
              <w:tc>
                <w:tcPr>
                  <w:tcW w:w="1220" w:type="pct"/>
                  <w:gridSpan w:val="3"/>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名称</w:t>
                  </w:r>
                </w:p>
              </w:tc>
              <w:tc>
                <w:tcPr>
                  <w:tcW w:w="737" w:type="pct"/>
                  <w:gridSpan w:val="2"/>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浓度限值(mg/m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 xml:space="preserve">) </w:t>
                  </w:r>
                </w:p>
              </w:tc>
              <w:tc>
                <w:tcPr>
                  <w:tcW w:w="20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监测点位</w:t>
                  </w:r>
                </w:p>
              </w:tc>
              <w:tc>
                <w:tcPr>
                  <w:tcW w:w="20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因子</w:t>
                  </w:r>
                </w:p>
              </w:tc>
              <w:tc>
                <w:tcPr>
                  <w:tcW w:w="27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监测</w:t>
                  </w:r>
                </w:p>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 w:type="pct"/>
                  <w:vMerge w:val="restart"/>
                  <w:vAlign w:val="center"/>
                </w:tcPr>
                <w:p>
                  <w:pPr>
                    <w:pStyle w:val="2"/>
                    <w:spacing w:line="240" w:lineRule="exact"/>
                    <w:jc w:val="center"/>
                    <w:rPr>
                      <w:color w:val="auto"/>
                    </w:rPr>
                  </w:pPr>
                  <w:r>
                    <w:rPr>
                      <w:rFonts w:hint="eastAsia" w:ascii="仿宋" w:hAnsi="仿宋" w:eastAsia="仿宋" w:cs="仿宋"/>
                      <w:color w:val="auto"/>
                      <w:sz w:val="21"/>
                      <w:szCs w:val="21"/>
                    </w:rPr>
                    <w:t>1</w:t>
                  </w:r>
                </w:p>
              </w:tc>
              <w:tc>
                <w:tcPr>
                  <w:tcW w:w="215" w:type="pct"/>
                  <w:vMerge w:val="restart"/>
                  <w:vAlign w:val="center"/>
                </w:tcPr>
                <w:p>
                  <w:pPr>
                    <w:spacing w:line="240" w:lineRule="exact"/>
                    <w:jc w:val="center"/>
                    <w:rPr>
                      <w:rFonts w:ascii="仿宋" w:hAnsi="仿宋" w:eastAsia="仿宋" w:cs="仿宋"/>
                    </w:rPr>
                  </w:pPr>
                  <w:r>
                    <w:rPr>
                      <w:rFonts w:hint="eastAsia" w:ascii="仿宋" w:hAnsi="仿宋" w:eastAsia="仿宋" w:cs="仿宋"/>
                      <w:spacing w:val="-10"/>
                      <w:sz w:val="18"/>
                      <w:szCs w:val="18"/>
                    </w:rPr>
                    <w:t>生产车间</w:t>
                  </w:r>
                </w:p>
              </w:tc>
              <w:tc>
                <w:tcPr>
                  <w:tcW w:w="273" w:type="pct"/>
                  <w:gridSpan w:val="2"/>
                  <w:vMerge w:val="restart"/>
                  <w:vAlign w:val="center"/>
                </w:tcPr>
                <w:p>
                  <w:pPr>
                    <w:pStyle w:val="2"/>
                    <w:spacing w:line="240" w:lineRule="exact"/>
                    <w:jc w:val="center"/>
                    <w:rPr>
                      <w:color w:val="auto"/>
                    </w:rPr>
                  </w:pPr>
                  <w:r>
                    <w:rPr>
                      <w:rFonts w:hint="eastAsia" w:ascii="仿宋" w:hAnsi="仿宋" w:eastAsia="仿宋" w:cs="仿宋"/>
                      <w:color w:val="auto"/>
                      <w:sz w:val="21"/>
                      <w:szCs w:val="21"/>
                    </w:rPr>
                    <w:t>厂界</w:t>
                  </w:r>
                </w:p>
              </w:tc>
              <w:tc>
                <w:tcPr>
                  <w:tcW w:w="277" w:type="pct"/>
                  <w:vAlign w:val="center"/>
                </w:tcPr>
                <w:p>
                  <w:pPr>
                    <w:pStyle w:val="2"/>
                    <w:spacing w:line="240" w:lineRule="exact"/>
                    <w:jc w:val="center"/>
                    <w:rPr>
                      <w:color w:val="auto"/>
                    </w:rPr>
                  </w:pPr>
                  <w:r>
                    <w:rPr>
                      <w:rFonts w:hint="eastAsia" w:ascii="仿宋" w:hAnsi="仿宋" w:eastAsia="仿宋" w:cs="仿宋"/>
                      <w:color w:val="auto"/>
                      <w:kern w:val="1"/>
                      <w:sz w:val="21"/>
                      <w:szCs w:val="21"/>
                    </w:rPr>
                    <w:t>颗粒物</w:t>
                  </w:r>
                </w:p>
              </w:tc>
              <w:tc>
                <w:tcPr>
                  <w:tcW w:w="1442" w:type="pct"/>
                  <w:gridSpan w:val="4"/>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车间密闭，打磨工序采用</w:t>
                  </w:r>
                  <w:r>
                    <w:rPr>
                      <w:rFonts w:ascii="仿宋" w:hAnsi="仿宋" w:eastAsia="仿宋" w:cs="仿宋"/>
                      <w:color w:val="auto"/>
                      <w:sz w:val="21"/>
                      <w:szCs w:val="21"/>
                    </w:rPr>
                    <w:t>移动式除尘器</w:t>
                  </w:r>
                </w:p>
              </w:tc>
              <w:tc>
                <w:tcPr>
                  <w:tcW w:w="1220" w:type="pct"/>
                  <w:gridSpan w:val="3"/>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《大气污染物综合排放标准》（GB16297-1996）表2其他行业颗粒物</w:t>
                  </w:r>
                  <w:r>
                    <w:rPr>
                      <w:rFonts w:hint="eastAsia" w:ascii="仿宋" w:hAnsi="仿宋" w:eastAsia="仿宋" w:cs="仿宋"/>
                      <w:bCs/>
                      <w:color w:val="auto"/>
                      <w:sz w:val="21"/>
                      <w:szCs w:val="21"/>
                    </w:rPr>
                    <w:t>无组织监控点浓度限值</w:t>
                  </w:r>
                </w:p>
              </w:tc>
              <w:tc>
                <w:tcPr>
                  <w:tcW w:w="737" w:type="pct"/>
                  <w:gridSpan w:val="2"/>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1.0</w:t>
                  </w:r>
                </w:p>
              </w:tc>
              <w:tc>
                <w:tcPr>
                  <w:tcW w:w="20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厂界</w:t>
                  </w:r>
                </w:p>
              </w:tc>
              <w:tc>
                <w:tcPr>
                  <w:tcW w:w="205"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kern w:val="1"/>
                      <w:sz w:val="21"/>
                      <w:szCs w:val="21"/>
                    </w:rPr>
                    <w:t>颗粒物</w:t>
                  </w:r>
                </w:p>
              </w:tc>
              <w:tc>
                <w:tcPr>
                  <w:tcW w:w="27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kern w:val="1"/>
                      <w:sz w:val="2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 w:type="pct"/>
                  <w:vMerge w:val="continue"/>
                  <w:vAlign w:val="center"/>
                </w:tcPr>
                <w:p>
                  <w:pPr>
                    <w:pStyle w:val="2"/>
                    <w:spacing w:line="240" w:lineRule="exact"/>
                    <w:jc w:val="center"/>
                    <w:rPr>
                      <w:rFonts w:ascii="仿宋" w:hAnsi="仿宋" w:eastAsia="仿宋" w:cs="仿宋"/>
                      <w:color w:val="auto"/>
                      <w:sz w:val="21"/>
                      <w:szCs w:val="21"/>
                    </w:rPr>
                  </w:pPr>
                </w:p>
              </w:tc>
              <w:tc>
                <w:tcPr>
                  <w:tcW w:w="215" w:type="pct"/>
                  <w:vMerge w:val="continue"/>
                  <w:vAlign w:val="center"/>
                </w:tcPr>
                <w:p>
                  <w:pPr>
                    <w:spacing w:line="240" w:lineRule="exact"/>
                    <w:jc w:val="center"/>
                    <w:rPr>
                      <w:rFonts w:ascii="仿宋" w:hAnsi="仿宋" w:eastAsia="仿宋" w:cs="仿宋"/>
                      <w:spacing w:val="-10"/>
                      <w:sz w:val="18"/>
                      <w:szCs w:val="18"/>
                    </w:rPr>
                  </w:pPr>
                </w:p>
              </w:tc>
              <w:tc>
                <w:tcPr>
                  <w:tcW w:w="273" w:type="pct"/>
                  <w:gridSpan w:val="2"/>
                  <w:vMerge w:val="continue"/>
                  <w:vAlign w:val="center"/>
                </w:tcPr>
                <w:p>
                  <w:pPr>
                    <w:pStyle w:val="2"/>
                    <w:spacing w:line="240" w:lineRule="exact"/>
                    <w:jc w:val="center"/>
                    <w:rPr>
                      <w:rFonts w:ascii="仿宋" w:hAnsi="仿宋" w:eastAsia="仿宋" w:cs="仿宋"/>
                      <w:color w:val="auto"/>
                      <w:sz w:val="21"/>
                      <w:szCs w:val="21"/>
                    </w:rPr>
                  </w:pPr>
                </w:p>
              </w:tc>
              <w:tc>
                <w:tcPr>
                  <w:tcW w:w="277" w:type="pct"/>
                  <w:vAlign w:val="center"/>
                </w:tcPr>
                <w:p>
                  <w:pPr>
                    <w:pStyle w:val="2"/>
                    <w:spacing w:line="240" w:lineRule="exact"/>
                    <w:jc w:val="center"/>
                    <w:rPr>
                      <w:rFonts w:ascii="仿宋" w:hAnsi="仿宋" w:eastAsia="仿宋" w:cs="仿宋"/>
                      <w:color w:val="auto"/>
                      <w:kern w:val="1"/>
                      <w:sz w:val="21"/>
                      <w:szCs w:val="21"/>
                    </w:rPr>
                  </w:pPr>
                  <w:r>
                    <w:rPr>
                      <w:rFonts w:hint="eastAsia" w:ascii="仿宋" w:hAnsi="仿宋" w:eastAsia="仿宋" w:cs="仿宋"/>
                      <w:color w:val="auto"/>
                      <w:kern w:val="1"/>
                      <w:sz w:val="21"/>
                      <w:szCs w:val="21"/>
                    </w:rPr>
                    <w:t>非甲烷总烃</w:t>
                  </w:r>
                </w:p>
              </w:tc>
              <w:tc>
                <w:tcPr>
                  <w:tcW w:w="1442" w:type="pct"/>
                  <w:gridSpan w:val="4"/>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车间密闭</w:t>
                  </w:r>
                </w:p>
              </w:tc>
              <w:tc>
                <w:tcPr>
                  <w:tcW w:w="1220" w:type="pct"/>
                  <w:gridSpan w:val="3"/>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工业企业挥发性有机物排放控制标准》（DB13/2322-2016）</w:t>
                  </w:r>
                  <w:r>
                    <w:rPr>
                      <w:rFonts w:hint="eastAsia" w:ascii="仿宋" w:hAnsi="仿宋" w:eastAsia="仿宋" w:cs="仿宋"/>
                      <w:color w:val="auto"/>
                      <w:sz w:val="21"/>
                      <w:szCs w:val="21"/>
                    </w:rPr>
                    <w:t>表2中“其他企业</w:t>
                  </w:r>
                  <w:r>
                    <w:rPr>
                      <w:rFonts w:hint="eastAsia" w:ascii="仿宋" w:hAnsi="仿宋" w:eastAsia="仿宋" w:cs="仿宋"/>
                      <w:color w:val="auto"/>
                      <w:sz w:val="22"/>
                    </w:rPr>
                    <w:t>”</w:t>
                  </w:r>
                  <w:r>
                    <w:rPr>
                      <w:rFonts w:hint="eastAsia" w:ascii="仿宋" w:hAnsi="仿宋" w:eastAsia="仿宋" w:cs="仿宋"/>
                      <w:color w:val="auto"/>
                      <w:sz w:val="20"/>
                      <w:szCs w:val="20"/>
                    </w:rPr>
                    <w:t>的边界大气污染物浓度限值及</w:t>
                  </w:r>
                  <w:r>
                    <w:rPr>
                      <w:rFonts w:ascii="仿宋" w:hAnsi="仿宋" w:eastAsia="仿宋"/>
                      <w:sz w:val="20"/>
                      <w:szCs w:val="20"/>
                    </w:rPr>
                    <w:t>《挥发性有机物无组织排放控制标准》（GB37822-2019）表A.1厂区内VOCs无组织排放限值</w:t>
                  </w:r>
                </w:p>
              </w:tc>
              <w:tc>
                <w:tcPr>
                  <w:tcW w:w="737" w:type="pct"/>
                  <w:gridSpan w:val="2"/>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2.0</w:t>
                  </w:r>
                </w:p>
              </w:tc>
              <w:tc>
                <w:tcPr>
                  <w:tcW w:w="203"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厂界</w:t>
                  </w:r>
                </w:p>
              </w:tc>
              <w:tc>
                <w:tcPr>
                  <w:tcW w:w="205" w:type="pct"/>
                  <w:vAlign w:val="center"/>
                </w:tcPr>
                <w:p>
                  <w:pPr>
                    <w:spacing w:line="240" w:lineRule="exact"/>
                    <w:jc w:val="center"/>
                    <w:rPr>
                      <w:rFonts w:ascii="仿宋" w:hAnsi="仿宋" w:eastAsia="仿宋" w:cs="仿宋"/>
                      <w:kern w:val="1"/>
                      <w:szCs w:val="21"/>
                    </w:rPr>
                  </w:pPr>
                  <w:r>
                    <w:rPr>
                      <w:rFonts w:hint="eastAsia" w:ascii="仿宋" w:hAnsi="仿宋" w:eastAsia="仿宋" w:cs="仿宋"/>
                      <w:szCs w:val="21"/>
                    </w:rPr>
                    <w:t>非甲烷总烃</w:t>
                  </w:r>
                </w:p>
              </w:tc>
              <w:tc>
                <w:tcPr>
                  <w:tcW w:w="273" w:type="pct"/>
                  <w:vAlign w:val="center"/>
                </w:tcPr>
                <w:p>
                  <w:pPr>
                    <w:spacing w:line="240" w:lineRule="exact"/>
                    <w:jc w:val="center"/>
                    <w:rPr>
                      <w:rFonts w:ascii="仿宋" w:hAnsi="仿宋" w:eastAsia="仿宋" w:cs="仿宋"/>
                      <w:kern w:val="1"/>
                      <w:szCs w:val="21"/>
                    </w:rPr>
                  </w:pPr>
                  <w:r>
                    <w:rPr>
                      <w:rFonts w:hint="eastAsia" w:ascii="仿宋" w:hAnsi="仿宋" w:eastAsia="仿宋" w:cs="仿宋"/>
                      <w:kern w:val="1"/>
                      <w:szCs w:val="21"/>
                    </w:rPr>
                    <w:t>1次/年</w:t>
                  </w:r>
                </w:p>
              </w:tc>
            </w:tr>
          </w:tbl>
          <w:p>
            <w:pPr>
              <w:pStyle w:val="97"/>
              <w:adjustRightInd w:val="0"/>
              <w:snapToGrid w:val="0"/>
              <w:spacing w:line="360" w:lineRule="auto"/>
              <w:ind w:firstLine="472" w:firstLineChars="200"/>
              <w:rPr>
                <w:rFonts w:eastAsia="宋体"/>
                <w:b/>
                <w:bCs/>
                <w:szCs w:val="24"/>
              </w:rPr>
            </w:pPr>
            <w:r>
              <w:rPr>
                <w:rFonts w:eastAsia="宋体"/>
                <w:b/>
                <w:bCs/>
                <w:szCs w:val="24"/>
              </w:rPr>
              <w:t>表</w:t>
            </w:r>
            <w:r>
              <w:rPr>
                <w:rFonts w:hint="eastAsia" w:eastAsia="宋体"/>
                <w:b/>
                <w:bCs/>
                <w:szCs w:val="24"/>
              </w:rPr>
              <w:t>4-3</w:t>
            </w:r>
            <w:r>
              <w:rPr>
                <w:rFonts w:eastAsia="宋体"/>
                <w:b/>
                <w:bCs/>
                <w:szCs w:val="24"/>
              </w:rPr>
              <w:t xml:space="preserve">  项目废气污染物排放情况（非正常情况）</w:t>
            </w:r>
          </w:p>
          <w:tbl>
            <w:tblPr>
              <w:tblStyle w:val="28"/>
              <w:tblW w:w="4991"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262"/>
              <w:gridCol w:w="1551"/>
              <w:gridCol w:w="1257"/>
              <w:gridCol w:w="1938"/>
              <w:gridCol w:w="1562"/>
              <w:gridCol w:w="1636"/>
              <w:gridCol w:w="1350"/>
              <w:gridCol w:w="22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 w:type="pct"/>
                  <w:vAlign w:val="center"/>
                </w:tcPr>
                <w:p>
                  <w:pPr>
                    <w:adjustRightInd w:val="0"/>
                    <w:jc w:val="center"/>
                    <w:textAlignment w:val="baseline"/>
                    <w:rPr>
                      <w:rFonts w:ascii="仿宋" w:hAnsi="仿宋" w:eastAsia="仿宋" w:cs="仿宋"/>
                    </w:rPr>
                  </w:pPr>
                  <w:r>
                    <w:rPr>
                      <w:rFonts w:hint="eastAsia" w:ascii="仿宋" w:hAnsi="仿宋" w:eastAsia="仿宋" w:cs="仿宋"/>
                    </w:rPr>
                    <w:t>序号</w:t>
                  </w:r>
                </w:p>
              </w:tc>
              <w:tc>
                <w:tcPr>
                  <w:tcW w:w="476" w:type="pct"/>
                  <w:vAlign w:val="center"/>
                </w:tcPr>
                <w:p>
                  <w:pPr>
                    <w:jc w:val="center"/>
                    <w:rPr>
                      <w:rFonts w:ascii="仿宋" w:hAnsi="仿宋" w:eastAsia="仿宋" w:cs="仿宋"/>
                    </w:rPr>
                  </w:pPr>
                  <w:r>
                    <w:rPr>
                      <w:rFonts w:hint="eastAsia" w:ascii="仿宋" w:hAnsi="仿宋" w:eastAsia="仿宋" w:cs="仿宋"/>
                    </w:rPr>
                    <w:t>污染源</w:t>
                  </w:r>
                </w:p>
              </w:tc>
              <w:tc>
                <w:tcPr>
                  <w:tcW w:w="585" w:type="pct"/>
                  <w:vAlign w:val="center"/>
                </w:tcPr>
                <w:p>
                  <w:pPr>
                    <w:jc w:val="center"/>
                    <w:rPr>
                      <w:rFonts w:ascii="仿宋" w:hAnsi="仿宋" w:eastAsia="仿宋" w:cs="仿宋"/>
                    </w:rPr>
                  </w:pPr>
                  <w:r>
                    <w:rPr>
                      <w:rFonts w:hint="eastAsia" w:ascii="仿宋" w:hAnsi="仿宋" w:eastAsia="仿宋" w:cs="仿宋"/>
                    </w:rPr>
                    <w:t>频次</w:t>
                  </w:r>
                </w:p>
              </w:tc>
              <w:tc>
                <w:tcPr>
                  <w:tcW w:w="474" w:type="pct"/>
                  <w:vAlign w:val="center"/>
                </w:tcPr>
                <w:p>
                  <w:pPr>
                    <w:jc w:val="center"/>
                    <w:rPr>
                      <w:rFonts w:ascii="仿宋" w:hAnsi="仿宋" w:eastAsia="仿宋" w:cs="仿宋"/>
                    </w:rPr>
                  </w:pPr>
                  <w:r>
                    <w:rPr>
                      <w:rFonts w:hint="eastAsia" w:ascii="仿宋" w:hAnsi="仿宋" w:eastAsia="仿宋" w:cs="仿宋"/>
                    </w:rPr>
                    <w:t>污染物</w:t>
                  </w:r>
                </w:p>
              </w:tc>
              <w:tc>
                <w:tcPr>
                  <w:tcW w:w="731" w:type="pct"/>
                  <w:vAlign w:val="center"/>
                </w:tcPr>
                <w:p>
                  <w:pPr>
                    <w:jc w:val="center"/>
                    <w:rPr>
                      <w:rFonts w:ascii="仿宋" w:hAnsi="仿宋" w:eastAsia="仿宋" w:cs="仿宋"/>
                    </w:rPr>
                  </w:pPr>
                  <w:r>
                    <w:rPr>
                      <w:rFonts w:hint="eastAsia" w:ascii="仿宋" w:hAnsi="仿宋" w:eastAsia="仿宋" w:cs="仿宋"/>
                    </w:rPr>
                    <w:t>排放浓度（mg/m</w:t>
                  </w:r>
                  <w:r>
                    <w:rPr>
                      <w:rFonts w:hint="eastAsia" w:ascii="宋体" w:hAnsi="宋体" w:cs="宋体"/>
                    </w:rPr>
                    <w:t>³</w:t>
                  </w:r>
                  <w:r>
                    <w:rPr>
                      <w:rFonts w:hint="eastAsia" w:ascii="仿宋" w:hAnsi="仿宋" w:eastAsia="仿宋" w:cs="仿宋"/>
                    </w:rPr>
                    <w:t>）</w:t>
                  </w:r>
                </w:p>
              </w:tc>
              <w:tc>
                <w:tcPr>
                  <w:tcW w:w="589" w:type="pct"/>
                  <w:vAlign w:val="center"/>
                </w:tcPr>
                <w:p>
                  <w:pPr>
                    <w:jc w:val="center"/>
                    <w:rPr>
                      <w:rFonts w:ascii="仿宋" w:hAnsi="仿宋" w:eastAsia="仿宋" w:cs="仿宋"/>
                    </w:rPr>
                  </w:pPr>
                  <w:r>
                    <w:rPr>
                      <w:rFonts w:hint="eastAsia" w:ascii="仿宋" w:hAnsi="仿宋" w:eastAsia="仿宋" w:cs="仿宋"/>
                    </w:rPr>
                    <w:t>持续时间（h）</w:t>
                  </w:r>
                </w:p>
              </w:tc>
              <w:tc>
                <w:tcPr>
                  <w:tcW w:w="617" w:type="pct"/>
                  <w:vAlign w:val="center"/>
                </w:tcPr>
                <w:p>
                  <w:pPr>
                    <w:jc w:val="center"/>
                    <w:rPr>
                      <w:rFonts w:ascii="仿宋" w:hAnsi="仿宋" w:eastAsia="仿宋" w:cs="仿宋"/>
                    </w:rPr>
                  </w:pPr>
                  <w:r>
                    <w:rPr>
                      <w:rFonts w:hint="eastAsia" w:ascii="仿宋" w:hAnsi="仿宋" w:eastAsia="仿宋" w:cs="仿宋"/>
                    </w:rPr>
                    <w:t>废气量（m</w:t>
                  </w:r>
                  <w:r>
                    <w:rPr>
                      <w:rFonts w:hint="eastAsia" w:ascii="宋体" w:hAnsi="宋体" w:cs="宋体"/>
                    </w:rPr>
                    <w:t>³</w:t>
                  </w:r>
                  <w:r>
                    <w:rPr>
                      <w:rFonts w:hint="eastAsia" w:ascii="仿宋" w:hAnsi="仿宋" w:eastAsia="仿宋" w:cs="仿宋"/>
                    </w:rPr>
                    <w:t>/h）</w:t>
                  </w:r>
                </w:p>
              </w:tc>
              <w:tc>
                <w:tcPr>
                  <w:tcW w:w="509" w:type="pct"/>
                  <w:vAlign w:val="center"/>
                </w:tcPr>
                <w:p>
                  <w:pPr>
                    <w:jc w:val="center"/>
                    <w:rPr>
                      <w:rFonts w:ascii="仿宋" w:hAnsi="仿宋" w:eastAsia="仿宋" w:cs="仿宋"/>
                    </w:rPr>
                  </w:pPr>
                  <w:r>
                    <w:rPr>
                      <w:rFonts w:hint="eastAsia" w:ascii="仿宋" w:hAnsi="仿宋" w:eastAsia="仿宋" w:cs="仿宋"/>
                    </w:rPr>
                    <w:t>排放量kg/a</w:t>
                  </w:r>
                </w:p>
              </w:tc>
              <w:tc>
                <w:tcPr>
                  <w:tcW w:w="857" w:type="pct"/>
                  <w:vAlign w:val="center"/>
                </w:tcPr>
                <w:p>
                  <w:pPr>
                    <w:jc w:val="center"/>
                    <w:rPr>
                      <w:rFonts w:ascii="仿宋" w:hAnsi="仿宋" w:eastAsia="仿宋" w:cs="仿宋"/>
                    </w:rPr>
                  </w:pPr>
                  <w:r>
                    <w:rPr>
                      <w:rFonts w:hint="eastAsia" w:ascii="仿宋" w:hAnsi="仿宋" w:eastAsia="仿宋" w:cs="仿宋"/>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2" w:type="pct"/>
                  <w:vAlign w:val="center"/>
                </w:tcPr>
                <w:p>
                  <w:pPr>
                    <w:pStyle w:val="2"/>
                    <w:spacing w:line="240" w:lineRule="exact"/>
                    <w:jc w:val="center"/>
                    <w:rPr>
                      <w:rFonts w:ascii="仿宋" w:hAnsi="仿宋" w:eastAsia="仿宋" w:cs="仿宋"/>
                      <w:color w:val="auto"/>
                    </w:rPr>
                  </w:pPr>
                  <w:r>
                    <w:rPr>
                      <w:rFonts w:hint="eastAsia" w:ascii="仿宋" w:hAnsi="仿宋" w:eastAsia="仿宋" w:cs="仿宋"/>
                      <w:color w:val="auto"/>
                      <w:sz w:val="21"/>
                      <w:szCs w:val="21"/>
                    </w:rPr>
                    <w:t>1</w:t>
                  </w:r>
                </w:p>
              </w:tc>
              <w:tc>
                <w:tcPr>
                  <w:tcW w:w="476"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18"/>
                      <w:szCs w:val="18"/>
                    </w:rPr>
                    <w:t>DA001</w:t>
                  </w:r>
                </w:p>
              </w:tc>
              <w:tc>
                <w:tcPr>
                  <w:tcW w:w="585" w:type="pct"/>
                  <w:vAlign w:val="center"/>
                </w:tcPr>
                <w:p>
                  <w:pPr>
                    <w:jc w:val="center"/>
                    <w:rPr>
                      <w:rFonts w:ascii="仿宋" w:hAnsi="仿宋" w:eastAsia="仿宋" w:cs="仿宋"/>
                    </w:rPr>
                  </w:pPr>
                  <w:r>
                    <w:rPr>
                      <w:rFonts w:hint="eastAsia" w:ascii="仿宋" w:hAnsi="仿宋" w:eastAsia="仿宋" w:cs="仿宋"/>
                    </w:rPr>
                    <w:t>1次/年</w:t>
                  </w:r>
                </w:p>
              </w:tc>
              <w:tc>
                <w:tcPr>
                  <w:tcW w:w="474" w:type="pct"/>
                  <w:vAlign w:val="center"/>
                </w:tcPr>
                <w:p>
                  <w:pPr>
                    <w:jc w:val="center"/>
                    <w:rPr>
                      <w:rFonts w:ascii="仿宋" w:hAnsi="仿宋" w:eastAsia="仿宋" w:cs="仿宋"/>
                    </w:rPr>
                  </w:pPr>
                  <w:r>
                    <w:rPr>
                      <w:rFonts w:hint="eastAsia" w:ascii="仿宋" w:hAnsi="仿宋" w:eastAsia="仿宋" w:cs="仿宋"/>
                    </w:rPr>
                    <w:t>油烟</w:t>
                  </w:r>
                </w:p>
              </w:tc>
              <w:tc>
                <w:tcPr>
                  <w:tcW w:w="73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pacing w:val="-10"/>
                      <w:sz w:val="21"/>
                      <w:szCs w:val="21"/>
                    </w:rPr>
                    <w:t>2.25</w:t>
                  </w:r>
                </w:p>
              </w:tc>
              <w:tc>
                <w:tcPr>
                  <w:tcW w:w="589" w:type="pct"/>
                  <w:vMerge w:val="restart"/>
                  <w:vAlign w:val="center"/>
                </w:tcPr>
                <w:p>
                  <w:pPr>
                    <w:jc w:val="center"/>
                    <w:rPr>
                      <w:rFonts w:ascii="仿宋" w:hAnsi="仿宋" w:eastAsia="仿宋" w:cs="仿宋"/>
                    </w:rPr>
                  </w:pPr>
                  <w:r>
                    <w:rPr>
                      <w:rFonts w:hint="eastAsia" w:ascii="仿宋" w:hAnsi="仿宋" w:eastAsia="仿宋" w:cs="仿宋"/>
                    </w:rPr>
                    <w:t>1h</w:t>
                  </w:r>
                </w:p>
              </w:tc>
              <w:tc>
                <w:tcPr>
                  <w:tcW w:w="61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6000m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509" w:type="pct"/>
                  <w:vAlign w:val="center"/>
                </w:tcPr>
                <w:p>
                  <w:pPr>
                    <w:widowControl/>
                    <w:jc w:val="center"/>
                    <w:textAlignment w:val="center"/>
                    <w:rPr>
                      <w:rFonts w:ascii="仿宋" w:hAnsi="仿宋" w:eastAsia="仿宋" w:cs="仿宋"/>
                      <w:szCs w:val="21"/>
                    </w:rPr>
                  </w:pPr>
                  <w:r>
                    <w:rPr>
                      <w:rFonts w:hint="eastAsia" w:ascii="仿宋" w:hAnsi="仿宋" w:eastAsia="仿宋" w:cs="仿宋"/>
                      <w:szCs w:val="21"/>
                    </w:rPr>
                    <w:t>0.0135</w:t>
                  </w:r>
                </w:p>
              </w:tc>
              <w:tc>
                <w:tcPr>
                  <w:tcW w:w="857" w:type="pct"/>
                  <w:vMerge w:val="restart"/>
                  <w:vAlign w:val="center"/>
                </w:tcPr>
                <w:p>
                  <w:pPr>
                    <w:adjustRightInd w:val="0"/>
                    <w:jc w:val="center"/>
                    <w:textAlignment w:val="baseline"/>
                    <w:rPr>
                      <w:rFonts w:ascii="仿宋" w:hAnsi="仿宋" w:eastAsia="仿宋" w:cs="仿宋"/>
                    </w:rPr>
                  </w:pPr>
                  <w:r>
                    <w:rPr>
                      <w:rFonts w:hint="eastAsia" w:ascii="仿宋" w:hAnsi="仿宋" w:eastAsia="仿宋" w:cs="仿宋"/>
                    </w:rPr>
                    <w:t>暂停生产设备，立即检修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2" w:type="pct"/>
                  <w:vAlign w:val="center"/>
                </w:tcPr>
                <w:p>
                  <w:pPr>
                    <w:pStyle w:val="2"/>
                    <w:spacing w:line="240" w:lineRule="exact"/>
                    <w:jc w:val="center"/>
                    <w:rPr>
                      <w:rFonts w:ascii="仿宋" w:hAnsi="仿宋" w:eastAsia="仿宋" w:cs="仿宋"/>
                      <w:color w:val="auto"/>
                    </w:rPr>
                  </w:pPr>
                  <w:r>
                    <w:rPr>
                      <w:rFonts w:hint="eastAsia" w:ascii="仿宋" w:hAnsi="仿宋" w:eastAsia="仿宋" w:cs="仿宋"/>
                      <w:color w:val="auto"/>
                      <w:sz w:val="21"/>
                      <w:szCs w:val="21"/>
                    </w:rPr>
                    <w:t>2</w:t>
                  </w:r>
                </w:p>
              </w:tc>
              <w:tc>
                <w:tcPr>
                  <w:tcW w:w="476"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18"/>
                      <w:szCs w:val="18"/>
                    </w:rPr>
                    <w:t>DA002</w:t>
                  </w:r>
                </w:p>
              </w:tc>
              <w:tc>
                <w:tcPr>
                  <w:tcW w:w="585" w:type="pct"/>
                  <w:vAlign w:val="center"/>
                </w:tcPr>
                <w:p>
                  <w:pPr>
                    <w:jc w:val="center"/>
                    <w:rPr>
                      <w:rFonts w:ascii="仿宋" w:hAnsi="仿宋" w:eastAsia="仿宋" w:cs="仿宋"/>
                    </w:rPr>
                  </w:pPr>
                  <w:r>
                    <w:rPr>
                      <w:rFonts w:hint="eastAsia" w:ascii="仿宋" w:hAnsi="仿宋" w:eastAsia="仿宋" w:cs="仿宋"/>
                    </w:rPr>
                    <w:t>1次/年</w:t>
                  </w:r>
                </w:p>
              </w:tc>
              <w:tc>
                <w:tcPr>
                  <w:tcW w:w="474" w:type="pct"/>
                  <w:vAlign w:val="center"/>
                </w:tcPr>
                <w:p>
                  <w:pPr>
                    <w:adjustRightInd w:val="0"/>
                    <w:snapToGrid w:val="0"/>
                    <w:spacing w:line="240" w:lineRule="exact"/>
                    <w:jc w:val="center"/>
                    <w:rPr>
                      <w:rFonts w:ascii="仿宋" w:hAnsi="仿宋" w:eastAsia="仿宋" w:cs="仿宋"/>
                    </w:rPr>
                  </w:pPr>
                  <w:r>
                    <w:rPr>
                      <w:rFonts w:hint="eastAsia" w:ascii="仿宋" w:hAnsi="仿宋" w:eastAsia="仿宋" w:cs="仿宋"/>
                      <w:sz w:val="18"/>
                      <w:szCs w:val="18"/>
                    </w:rPr>
                    <w:t>PM10</w:t>
                  </w:r>
                </w:p>
              </w:tc>
              <w:tc>
                <w:tcPr>
                  <w:tcW w:w="73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11</w:t>
                  </w:r>
                </w:p>
              </w:tc>
              <w:tc>
                <w:tcPr>
                  <w:tcW w:w="589" w:type="pct"/>
                  <w:vMerge w:val="continue"/>
                  <w:vAlign w:val="center"/>
                </w:tcPr>
                <w:p>
                  <w:pPr>
                    <w:jc w:val="center"/>
                    <w:rPr>
                      <w:rFonts w:ascii="仿宋" w:hAnsi="仿宋" w:eastAsia="仿宋" w:cs="仿宋"/>
                    </w:rPr>
                  </w:pPr>
                </w:p>
              </w:tc>
              <w:tc>
                <w:tcPr>
                  <w:tcW w:w="61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509" w:type="pct"/>
                  <w:vAlign w:val="center"/>
                </w:tcPr>
                <w:p>
                  <w:pPr>
                    <w:widowControl/>
                    <w:jc w:val="center"/>
                    <w:textAlignment w:val="center"/>
                    <w:rPr>
                      <w:rFonts w:ascii="仿宋" w:hAnsi="仿宋" w:eastAsia="仿宋" w:cs="仿宋"/>
                      <w:szCs w:val="21"/>
                    </w:rPr>
                  </w:pPr>
                  <w:r>
                    <w:rPr>
                      <w:rFonts w:hint="eastAsia" w:ascii="仿宋" w:hAnsi="仿宋" w:eastAsia="仿宋" w:cs="仿宋"/>
                      <w:szCs w:val="21"/>
                    </w:rPr>
                    <w:t>0.033</w:t>
                  </w:r>
                </w:p>
              </w:tc>
              <w:tc>
                <w:tcPr>
                  <w:tcW w:w="857" w:type="pct"/>
                  <w:vMerge w:val="continue"/>
                  <w:vAlign w:val="center"/>
                </w:tcPr>
                <w:p>
                  <w:pPr>
                    <w:adjustRightInd w:val="0"/>
                    <w:jc w:val="center"/>
                    <w:textAlignment w:val="baseline"/>
                    <w:rPr>
                      <w:rFonts w:ascii="仿宋" w:hAnsi="仿宋" w:eastAsia="仿宋"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2" w:type="pct"/>
                  <w:vAlign w:val="center"/>
                </w:tcPr>
                <w:p>
                  <w:pPr>
                    <w:pStyle w:val="2"/>
                    <w:spacing w:line="240" w:lineRule="exact"/>
                    <w:jc w:val="center"/>
                    <w:rPr>
                      <w:rFonts w:ascii="仿宋" w:hAnsi="仿宋" w:eastAsia="仿宋" w:cs="仿宋"/>
                      <w:color w:val="auto"/>
                    </w:rPr>
                  </w:pPr>
                  <w:r>
                    <w:rPr>
                      <w:rFonts w:hint="eastAsia" w:ascii="仿宋" w:hAnsi="仿宋" w:eastAsia="仿宋" w:cs="仿宋"/>
                      <w:color w:val="auto"/>
                      <w:sz w:val="21"/>
                      <w:szCs w:val="21"/>
                    </w:rPr>
                    <w:t>3</w:t>
                  </w:r>
                </w:p>
              </w:tc>
              <w:tc>
                <w:tcPr>
                  <w:tcW w:w="476"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18"/>
                      <w:szCs w:val="18"/>
                    </w:rPr>
                    <w:t>DA003</w:t>
                  </w:r>
                </w:p>
              </w:tc>
              <w:tc>
                <w:tcPr>
                  <w:tcW w:w="585" w:type="pct"/>
                  <w:vAlign w:val="center"/>
                </w:tcPr>
                <w:p>
                  <w:pPr>
                    <w:jc w:val="center"/>
                    <w:rPr>
                      <w:rFonts w:ascii="仿宋" w:hAnsi="仿宋" w:eastAsia="仿宋" w:cs="仿宋"/>
                    </w:rPr>
                  </w:pPr>
                  <w:r>
                    <w:rPr>
                      <w:rFonts w:hint="eastAsia" w:ascii="仿宋" w:hAnsi="仿宋" w:eastAsia="仿宋" w:cs="仿宋"/>
                    </w:rPr>
                    <w:t>1次/年</w:t>
                  </w:r>
                </w:p>
              </w:tc>
              <w:tc>
                <w:tcPr>
                  <w:tcW w:w="474" w:type="pct"/>
                  <w:vAlign w:val="center"/>
                </w:tcPr>
                <w:p>
                  <w:pPr>
                    <w:adjustRightInd w:val="0"/>
                    <w:snapToGrid w:val="0"/>
                    <w:spacing w:line="240" w:lineRule="exact"/>
                    <w:jc w:val="center"/>
                    <w:rPr>
                      <w:rFonts w:ascii="仿宋" w:hAnsi="仿宋" w:eastAsia="仿宋" w:cs="仿宋"/>
                      <w:sz w:val="18"/>
                      <w:szCs w:val="18"/>
                    </w:rPr>
                  </w:pPr>
                  <w:r>
                    <w:rPr>
                      <w:rFonts w:hint="eastAsia" w:ascii="仿宋" w:hAnsi="仿宋" w:eastAsia="仿宋" w:cs="仿宋"/>
                      <w:sz w:val="18"/>
                      <w:szCs w:val="18"/>
                    </w:rPr>
                    <w:t>PM10</w:t>
                  </w:r>
                </w:p>
              </w:tc>
              <w:tc>
                <w:tcPr>
                  <w:tcW w:w="73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589" w:type="pct"/>
                  <w:vMerge w:val="continue"/>
                  <w:vAlign w:val="center"/>
                </w:tcPr>
                <w:p>
                  <w:pPr>
                    <w:jc w:val="center"/>
                    <w:rPr>
                      <w:rFonts w:ascii="仿宋" w:hAnsi="仿宋" w:eastAsia="仿宋" w:cs="仿宋"/>
                    </w:rPr>
                  </w:pPr>
                </w:p>
              </w:tc>
              <w:tc>
                <w:tcPr>
                  <w:tcW w:w="61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509" w:type="pct"/>
                  <w:vAlign w:val="center"/>
                </w:tcPr>
                <w:p>
                  <w:pPr>
                    <w:widowControl/>
                    <w:jc w:val="center"/>
                    <w:textAlignment w:val="center"/>
                    <w:rPr>
                      <w:rFonts w:ascii="仿宋" w:hAnsi="仿宋" w:eastAsia="仿宋" w:cs="仿宋"/>
                      <w:szCs w:val="21"/>
                    </w:rPr>
                  </w:pPr>
                  <w:r>
                    <w:rPr>
                      <w:rFonts w:hint="eastAsia" w:ascii="仿宋" w:hAnsi="仿宋" w:eastAsia="仿宋" w:cs="仿宋"/>
                      <w:szCs w:val="21"/>
                    </w:rPr>
                    <w:t>0.042</w:t>
                  </w:r>
                </w:p>
              </w:tc>
              <w:tc>
                <w:tcPr>
                  <w:tcW w:w="857" w:type="pct"/>
                  <w:vMerge w:val="continue"/>
                  <w:vAlign w:val="center"/>
                </w:tcPr>
                <w:p>
                  <w:pPr>
                    <w:adjustRightInd w:val="0"/>
                    <w:jc w:val="center"/>
                    <w:textAlignment w:val="baseline"/>
                    <w:rPr>
                      <w:rFonts w:ascii="仿宋" w:hAnsi="仿宋" w:eastAsia="仿宋"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2" w:type="pct"/>
                  <w:vAlign w:val="center"/>
                </w:tcPr>
                <w:p>
                  <w:pPr>
                    <w:pStyle w:val="2"/>
                    <w:spacing w:line="240" w:lineRule="exact"/>
                    <w:jc w:val="center"/>
                    <w:rPr>
                      <w:rFonts w:ascii="仿宋" w:hAnsi="仿宋" w:eastAsia="仿宋" w:cs="仿宋"/>
                      <w:color w:val="auto"/>
                    </w:rPr>
                  </w:pPr>
                  <w:r>
                    <w:rPr>
                      <w:rFonts w:hint="eastAsia" w:ascii="仿宋" w:hAnsi="仿宋" w:eastAsia="仿宋" w:cs="仿宋"/>
                      <w:color w:val="auto"/>
                      <w:sz w:val="21"/>
                      <w:szCs w:val="21"/>
                    </w:rPr>
                    <w:t>4</w:t>
                  </w:r>
                </w:p>
              </w:tc>
              <w:tc>
                <w:tcPr>
                  <w:tcW w:w="476"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18"/>
                      <w:szCs w:val="18"/>
                    </w:rPr>
                    <w:t>DA004</w:t>
                  </w:r>
                </w:p>
              </w:tc>
              <w:tc>
                <w:tcPr>
                  <w:tcW w:w="585" w:type="pct"/>
                  <w:vAlign w:val="center"/>
                </w:tcPr>
                <w:p>
                  <w:pPr>
                    <w:jc w:val="center"/>
                    <w:rPr>
                      <w:rFonts w:ascii="仿宋" w:hAnsi="仿宋" w:eastAsia="仿宋" w:cs="仿宋"/>
                    </w:rPr>
                  </w:pPr>
                  <w:r>
                    <w:rPr>
                      <w:rFonts w:hint="eastAsia" w:ascii="仿宋" w:hAnsi="仿宋" w:eastAsia="仿宋" w:cs="仿宋"/>
                    </w:rPr>
                    <w:t>1次/年</w:t>
                  </w:r>
                </w:p>
              </w:tc>
              <w:tc>
                <w:tcPr>
                  <w:tcW w:w="474" w:type="pct"/>
                  <w:vAlign w:val="center"/>
                </w:tcPr>
                <w:p>
                  <w:pPr>
                    <w:adjustRightInd w:val="0"/>
                    <w:snapToGrid w:val="0"/>
                    <w:spacing w:line="240" w:lineRule="exact"/>
                    <w:jc w:val="center"/>
                    <w:rPr>
                      <w:rFonts w:ascii="仿宋" w:hAnsi="仿宋" w:eastAsia="仿宋" w:cs="仿宋"/>
                    </w:rPr>
                  </w:pPr>
                  <w:r>
                    <w:rPr>
                      <w:rFonts w:hint="eastAsia" w:ascii="仿宋" w:hAnsi="仿宋" w:eastAsia="仿宋" w:cs="仿宋"/>
                      <w:sz w:val="18"/>
                      <w:szCs w:val="18"/>
                    </w:rPr>
                    <w:t>PM10</w:t>
                  </w:r>
                </w:p>
              </w:tc>
              <w:tc>
                <w:tcPr>
                  <w:tcW w:w="731" w:type="pct"/>
                  <w:vAlign w:val="center"/>
                </w:tcPr>
                <w:p>
                  <w:pPr>
                    <w:pStyle w:val="2"/>
                    <w:snapToGrid w:val="0"/>
                    <w:spacing w:line="300" w:lineRule="exact"/>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589" w:type="pct"/>
                  <w:vMerge w:val="continue"/>
                  <w:vAlign w:val="center"/>
                </w:tcPr>
                <w:p>
                  <w:pPr>
                    <w:jc w:val="center"/>
                    <w:rPr>
                      <w:rFonts w:ascii="仿宋" w:hAnsi="仿宋" w:eastAsia="仿宋" w:cs="仿宋"/>
                    </w:rPr>
                  </w:pPr>
                </w:p>
              </w:tc>
              <w:tc>
                <w:tcPr>
                  <w:tcW w:w="617" w:type="pct"/>
                  <w:vAlign w:val="center"/>
                </w:tcPr>
                <w:p>
                  <w:pPr>
                    <w:pStyle w:val="2"/>
                    <w:spacing w:line="240" w:lineRule="exact"/>
                    <w:jc w:val="center"/>
                    <w:rPr>
                      <w:rFonts w:ascii="仿宋" w:hAnsi="仿宋" w:eastAsia="仿宋" w:cs="仿宋"/>
                      <w:color w:val="auto"/>
                      <w:sz w:val="21"/>
                      <w:szCs w:val="21"/>
                    </w:rPr>
                  </w:pPr>
                  <w:r>
                    <w:rPr>
                      <w:rFonts w:hint="eastAsia" w:ascii="仿宋" w:hAnsi="仿宋" w:eastAsia="仿宋" w:cs="仿宋"/>
                      <w:color w:val="auto"/>
                      <w:sz w:val="21"/>
                      <w:szCs w:val="21"/>
                    </w:rPr>
                    <w:t>3000m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509" w:type="pct"/>
                  <w:vAlign w:val="center"/>
                </w:tcPr>
                <w:p>
                  <w:pPr>
                    <w:widowControl/>
                    <w:jc w:val="center"/>
                    <w:textAlignment w:val="center"/>
                    <w:rPr>
                      <w:rFonts w:ascii="仿宋" w:hAnsi="仿宋" w:eastAsia="仿宋" w:cs="仿宋"/>
                      <w:szCs w:val="21"/>
                    </w:rPr>
                  </w:pPr>
                  <w:r>
                    <w:rPr>
                      <w:rFonts w:hint="eastAsia" w:ascii="仿宋" w:hAnsi="仿宋" w:eastAsia="仿宋" w:cs="仿宋"/>
                      <w:szCs w:val="21"/>
                    </w:rPr>
                    <w:t>0.042</w:t>
                  </w:r>
                </w:p>
              </w:tc>
              <w:tc>
                <w:tcPr>
                  <w:tcW w:w="857" w:type="pct"/>
                  <w:vMerge w:val="continue"/>
                  <w:vAlign w:val="center"/>
                </w:tcPr>
                <w:p>
                  <w:pPr>
                    <w:adjustRightInd w:val="0"/>
                    <w:jc w:val="center"/>
                    <w:textAlignment w:val="baseline"/>
                    <w:rPr>
                      <w:rFonts w:ascii="仿宋" w:hAnsi="仿宋" w:eastAsia="仿宋"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2" w:type="pct"/>
                  <w:vMerge w:val="restart"/>
                  <w:vAlign w:val="center"/>
                </w:tcPr>
                <w:p>
                  <w:pPr>
                    <w:pStyle w:val="2"/>
                    <w:spacing w:line="240" w:lineRule="exact"/>
                    <w:jc w:val="center"/>
                    <w:rPr>
                      <w:rFonts w:ascii="仿宋" w:hAnsi="仿宋" w:eastAsia="仿宋" w:cs="仿宋"/>
                      <w:color w:val="auto"/>
                    </w:rPr>
                  </w:pPr>
                  <w:r>
                    <w:rPr>
                      <w:rFonts w:hint="eastAsia" w:ascii="仿宋" w:hAnsi="仿宋" w:eastAsia="仿宋" w:cs="仿宋"/>
                      <w:color w:val="auto"/>
                      <w:sz w:val="21"/>
                      <w:szCs w:val="21"/>
                    </w:rPr>
                    <w:t>5</w:t>
                  </w:r>
                </w:p>
              </w:tc>
              <w:tc>
                <w:tcPr>
                  <w:tcW w:w="476" w:type="pct"/>
                  <w:vMerge w:val="restart"/>
                  <w:vAlign w:val="center"/>
                </w:tcPr>
                <w:p>
                  <w:pPr>
                    <w:autoSpaceDE w:val="0"/>
                    <w:autoSpaceDN w:val="0"/>
                    <w:adjustRightInd w:val="0"/>
                    <w:spacing w:line="240" w:lineRule="exact"/>
                    <w:jc w:val="center"/>
                    <w:rPr>
                      <w:rFonts w:ascii="仿宋" w:hAnsi="仿宋" w:eastAsia="仿宋" w:cs="仿宋"/>
                      <w:szCs w:val="21"/>
                    </w:rPr>
                  </w:pPr>
                  <w:r>
                    <w:rPr>
                      <w:rFonts w:hint="eastAsia" w:ascii="仿宋" w:hAnsi="仿宋" w:eastAsia="仿宋" w:cs="仿宋"/>
                      <w:sz w:val="18"/>
                      <w:szCs w:val="18"/>
                    </w:rPr>
                    <w:t>DA005</w:t>
                  </w:r>
                </w:p>
              </w:tc>
              <w:tc>
                <w:tcPr>
                  <w:tcW w:w="585" w:type="pct"/>
                  <w:vMerge w:val="restart"/>
                  <w:vAlign w:val="center"/>
                </w:tcPr>
                <w:p>
                  <w:pPr>
                    <w:jc w:val="center"/>
                    <w:rPr>
                      <w:rFonts w:ascii="仿宋" w:hAnsi="仿宋" w:eastAsia="仿宋" w:cs="仿宋"/>
                    </w:rPr>
                  </w:pPr>
                  <w:r>
                    <w:rPr>
                      <w:rFonts w:hint="eastAsia" w:ascii="仿宋" w:hAnsi="仿宋" w:eastAsia="仿宋" w:cs="仿宋"/>
                    </w:rPr>
                    <w:t>1次/年</w:t>
                  </w:r>
                </w:p>
              </w:tc>
              <w:tc>
                <w:tcPr>
                  <w:tcW w:w="474" w:type="pct"/>
                  <w:vAlign w:val="center"/>
                </w:tcPr>
                <w:p>
                  <w:pPr>
                    <w:adjustRightInd w:val="0"/>
                    <w:snapToGrid w:val="0"/>
                    <w:spacing w:line="240" w:lineRule="exact"/>
                    <w:jc w:val="center"/>
                    <w:rPr>
                      <w:rFonts w:ascii="仿宋" w:hAnsi="仿宋" w:eastAsia="仿宋" w:cs="仿宋"/>
                      <w:sz w:val="18"/>
                      <w:szCs w:val="18"/>
                    </w:rPr>
                  </w:pPr>
                  <w:r>
                    <w:rPr>
                      <w:rFonts w:hint="eastAsia" w:ascii="仿宋" w:hAnsi="仿宋" w:eastAsia="仿宋" w:cs="仿宋"/>
                      <w:sz w:val="18"/>
                      <w:szCs w:val="18"/>
                    </w:rPr>
                    <w:t>PM10</w:t>
                  </w:r>
                </w:p>
              </w:tc>
              <w:tc>
                <w:tcPr>
                  <w:tcW w:w="731" w:type="pc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ascii="仿宋" w:hAnsi="仿宋" w:eastAsia="仿宋" w:cs="仿宋"/>
                      <w:szCs w:val="21"/>
                    </w:rPr>
                    <w:t>270</w:t>
                  </w:r>
                </w:p>
              </w:tc>
              <w:tc>
                <w:tcPr>
                  <w:tcW w:w="589" w:type="pct"/>
                  <w:vMerge w:val="continue"/>
                  <w:vAlign w:val="center"/>
                </w:tcPr>
                <w:p>
                  <w:pPr>
                    <w:jc w:val="center"/>
                    <w:rPr>
                      <w:rFonts w:ascii="仿宋" w:hAnsi="仿宋" w:eastAsia="仿宋" w:cs="仿宋"/>
                    </w:rPr>
                  </w:pPr>
                </w:p>
              </w:tc>
              <w:tc>
                <w:tcPr>
                  <w:tcW w:w="617" w:type="pct"/>
                  <w:vMerge w:val="restar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sz w:val="18"/>
                      <w:szCs w:val="18"/>
                    </w:rPr>
                    <w:t>10000</w:t>
                  </w:r>
                  <w:r>
                    <w:rPr>
                      <w:rFonts w:hint="eastAsia" w:ascii="仿宋" w:hAnsi="仿宋" w:eastAsia="仿宋" w:cs="仿宋"/>
                      <w:kern w:val="0"/>
                      <w:szCs w:val="21"/>
                    </w:rPr>
                    <w:t>m</w:t>
                  </w:r>
                  <w:r>
                    <w:rPr>
                      <w:rFonts w:hint="eastAsia" w:ascii="仿宋" w:hAnsi="仿宋" w:eastAsia="仿宋" w:cs="仿宋"/>
                      <w:kern w:val="0"/>
                      <w:szCs w:val="21"/>
                      <w:vertAlign w:val="superscript"/>
                    </w:rPr>
                    <w:t>3</w:t>
                  </w:r>
                  <w:r>
                    <w:rPr>
                      <w:rFonts w:hint="eastAsia" w:ascii="仿宋" w:hAnsi="仿宋" w:eastAsia="仿宋" w:cs="仿宋"/>
                      <w:kern w:val="0"/>
                      <w:szCs w:val="21"/>
                    </w:rPr>
                    <w:t>/h</w:t>
                  </w:r>
                </w:p>
              </w:tc>
              <w:tc>
                <w:tcPr>
                  <w:tcW w:w="509" w:type="pct"/>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2.7</w:t>
                  </w:r>
                </w:p>
              </w:tc>
              <w:tc>
                <w:tcPr>
                  <w:tcW w:w="857" w:type="pct"/>
                  <w:vMerge w:val="continue"/>
                  <w:vAlign w:val="center"/>
                </w:tcPr>
                <w:p>
                  <w:pPr>
                    <w:adjustRightInd w:val="0"/>
                    <w:jc w:val="center"/>
                    <w:textAlignment w:val="baseline"/>
                    <w:rPr>
                      <w:rFonts w:ascii="仿宋" w:hAnsi="仿宋" w:eastAsia="仿宋"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2" w:type="pct"/>
                  <w:vMerge w:val="continue"/>
                  <w:vAlign w:val="center"/>
                </w:tcPr>
                <w:p>
                  <w:pPr>
                    <w:pStyle w:val="2"/>
                    <w:spacing w:line="240" w:lineRule="exact"/>
                    <w:jc w:val="center"/>
                    <w:rPr>
                      <w:rFonts w:ascii="仿宋" w:hAnsi="仿宋" w:eastAsia="仿宋" w:cs="仿宋"/>
                      <w:color w:val="auto"/>
                      <w:sz w:val="21"/>
                      <w:szCs w:val="21"/>
                    </w:rPr>
                  </w:pPr>
                </w:p>
              </w:tc>
              <w:tc>
                <w:tcPr>
                  <w:tcW w:w="476" w:type="pct"/>
                  <w:vMerge w:val="continue"/>
                  <w:vAlign w:val="center"/>
                </w:tcPr>
                <w:p>
                  <w:pPr>
                    <w:autoSpaceDE w:val="0"/>
                    <w:autoSpaceDN w:val="0"/>
                    <w:adjustRightInd w:val="0"/>
                    <w:spacing w:line="240" w:lineRule="exact"/>
                    <w:jc w:val="center"/>
                    <w:rPr>
                      <w:rFonts w:ascii="仿宋" w:hAnsi="仿宋" w:eastAsia="仿宋" w:cs="仿宋"/>
                      <w:sz w:val="18"/>
                      <w:szCs w:val="18"/>
                    </w:rPr>
                  </w:pPr>
                </w:p>
              </w:tc>
              <w:tc>
                <w:tcPr>
                  <w:tcW w:w="585" w:type="pct"/>
                  <w:vMerge w:val="continue"/>
                  <w:vAlign w:val="center"/>
                </w:tcPr>
                <w:p>
                  <w:pPr>
                    <w:jc w:val="center"/>
                    <w:rPr>
                      <w:rFonts w:ascii="仿宋" w:hAnsi="仿宋" w:eastAsia="仿宋" w:cs="仿宋"/>
                    </w:rPr>
                  </w:pPr>
                </w:p>
              </w:tc>
              <w:tc>
                <w:tcPr>
                  <w:tcW w:w="474" w:type="pct"/>
                  <w:vAlign w:val="center"/>
                </w:tcPr>
                <w:p>
                  <w:pPr>
                    <w:adjustRightInd w:val="0"/>
                    <w:snapToGrid w:val="0"/>
                    <w:spacing w:line="240" w:lineRule="exact"/>
                    <w:jc w:val="center"/>
                    <w:rPr>
                      <w:rFonts w:ascii="仿宋" w:hAnsi="仿宋" w:eastAsia="仿宋" w:cs="仿宋"/>
                      <w:sz w:val="18"/>
                      <w:szCs w:val="18"/>
                    </w:rPr>
                  </w:pPr>
                  <w:r>
                    <w:rPr>
                      <w:rFonts w:hint="eastAsia" w:ascii="仿宋" w:hAnsi="仿宋" w:eastAsia="仿宋" w:cs="仿宋"/>
                      <w:szCs w:val="21"/>
                    </w:rPr>
                    <w:t>非甲烷总烃</w:t>
                  </w:r>
                </w:p>
              </w:tc>
              <w:tc>
                <w:tcPr>
                  <w:tcW w:w="731" w:type="pct"/>
                  <w:vAlign w:val="center"/>
                </w:tcPr>
                <w:p>
                  <w:pPr>
                    <w:autoSpaceDE w:val="0"/>
                    <w:autoSpaceDN w:val="0"/>
                    <w:adjustRightInd w:val="0"/>
                    <w:snapToGrid w:val="0"/>
                    <w:spacing w:line="300" w:lineRule="exact"/>
                    <w:jc w:val="center"/>
                    <w:rPr>
                      <w:rFonts w:ascii="仿宋" w:hAnsi="仿宋" w:eastAsia="仿宋" w:cs="仿宋"/>
                      <w:szCs w:val="21"/>
                    </w:rPr>
                  </w:pPr>
                  <w:r>
                    <w:rPr>
                      <w:rFonts w:hint="eastAsia" w:ascii="仿宋" w:hAnsi="仿宋" w:eastAsia="仿宋" w:cs="仿宋"/>
                      <w:szCs w:val="21"/>
                    </w:rPr>
                    <w:t>386</w:t>
                  </w:r>
                </w:p>
              </w:tc>
              <w:tc>
                <w:tcPr>
                  <w:tcW w:w="589" w:type="pct"/>
                  <w:vMerge w:val="continue"/>
                  <w:vAlign w:val="center"/>
                </w:tcPr>
                <w:p>
                  <w:pPr>
                    <w:jc w:val="center"/>
                    <w:rPr>
                      <w:rFonts w:ascii="仿宋" w:hAnsi="仿宋" w:eastAsia="仿宋" w:cs="仿宋"/>
                    </w:rPr>
                  </w:pPr>
                </w:p>
              </w:tc>
              <w:tc>
                <w:tcPr>
                  <w:tcW w:w="617" w:type="pct"/>
                  <w:vMerge w:val="continue"/>
                  <w:vAlign w:val="center"/>
                </w:tcPr>
                <w:p>
                  <w:pPr>
                    <w:autoSpaceDE w:val="0"/>
                    <w:autoSpaceDN w:val="0"/>
                    <w:adjustRightInd w:val="0"/>
                    <w:snapToGrid w:val="0"/>
                    <w:spacing w:line="300" w:lineRule="exact"/>
                    <w:jc w:val="center"/>
                    <w:rPr>
                      <w:sz w:val="18"/>
                      <w:szCs w:val="18"/>
                    </w:rPr>
                  </w:pPr>
                </w:p>
              </w:tc>
              <w:tc>
                <w:tcPr>
                  <w:tcW w:w="509" w:type="pct"/>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3.86</w:t>
                  </w:r>
                </w:p>
              </w:tc>
              <w:tc>
                <w:tcPr>
                  <w:tcW w:w="857" w:type="pct"/>
                  <w:vMerge w:val="continue"/>
                  <w:vAlign w:val="center"/>
                </w:tcPr>
                <w:p>
                  <w:pPr>
                    <w:adjustRightInd w:val="0"/>
                    <w:jc w:val="center"/>
                    <w:textAlignment w:val="baseline"/>
                    <w:rPr>
                      <w:rFonts w:ascii="仿宋" w:hAnsi="仿宋" w:eastAsia="仿宋" w:cs="仿宋"/>
                    </w:rPr>
                  </w:pPr>
                </w:p>
              </w:tc>
            </w:tr>
          </w:tbl>
          <w:p>
            <w:pPr>
              <w:spacing w:line="360" w:lineRule="auto"/>
              <w:rPr>
                <w:kern w:val="1"/>
                <w:sz w:val="24"/>
                <w:szCs w:val="24"/>
              </w:rPr>
            </w:pPr>
            <w:r>
              <w:rPr>
                <w:rFonts w:hint="eastAsia"/>
                <w:kern w:val="1"/>
                <w:sz w:val="24"/>
                <w:szCs w:val="24"/>
              </w:rPr>
              <w:t xml:space="preserve">    </w:t>
            </w:r>
            <w:r>
              <w:rPr>
                <w:rFonts w:hint="eastAsia" w:hAnsi="宋体"/>
                <w:sz w:val="24"/>
                <w:szCs w:val="24"/>
              </w:rPr>
              <w:t>3、大气污染物源强核算</w:t>
            </w:r>
          </w:p>
          <w:p>
            <w:pPr>
              <w:spacing w:line="360" w:lineRule="auto"/>
              <w:ind w:firstLine="472" w:firstLineChars="200"/>
              <w:rPr>
                <w:rFonts w:ascii="宋体" w:hAnsi="宋体"/>
                <w:sz w:val="24"/>
              </w:rPr>
            </w:pPr>
            <w:r>
              <w:rPr>
                <w:rFonts w:hint="eastAsia" w:ascii="宋体" w:hAnsi="宋体"/>
                <w:sz w:val="24"/>
              </w:rPr>
              <w:t>（1）食堂油烟</w:t>
            </w:r>
          </w:p>
          <w:p>
            <w:pPr>
              <w:pStyle w:val="2"/>
              <w:spacing w:line="360" w:lineRule="auto"/>
              <w:ind w:firstLine="472" w:firstLineChars="200"/>
              <w:jc w:val="both"/>
              <w:rPr>
                <w:color w:val="auto"/>
              </w:rPr>
            </w:pPr>
            <w:r>
              <w:rPr>
                <w:rFonts w:hAnsi="宋体"/>
                <w:color w:val="auto"/>
              </w:rPr>
              <w:t>项目设置食堂，为职工提供用餐服务，拟设置</w:t>
            </w:r>
            <w:r>
              <w:rPr>
                <w:color w:val="auto"/>
              </w:rPr>
              <w:t>2</w:t>
            </w:r>
            <w:r>
              <w:rPr>
                <w:rFonts w:hAnsi="宋体"/>
                <w:color w:val="auto"/>
              </w:rPr>
              <w:t>个基准灶头，排油烟风机风量为</w:t>
            </w:r>
            <w:r>
              <w:rPr>
                <w:rFonts w:hint="eastAsia"/>
                <w:color w:val="auto"/>
              </w:rPr>
              <w:t>6</w:t>
            </w:r>
            <w:r>
              <w:rPr>
                <w:color w:val="auto"/>
              </w:rPr>
              <w:t>000m</w:t>
            </w:r>
            <w:r>
              <w:rPr>
                <w:color w:val="auto"/>
                <w:vertAlign w:val="superscript"/>
              </w:rPr>
              <w:t>3</w:t>
            </w:r>
            <w:r>
              <w:rPr>
                <w:color w:val="auto"/>
              </w:rPr>
              <w:t>/h</w:t>
            </w:r>
            <w:r>
              <w:rPr>
                <w:rFonts w:hAnsi="宋体"/>
                <w:color w:val="auto"/>
              </w:rPr>
              <w:t>。食物在烹饪、加工过程中将挥发出油脂、有机质及热分解或裂解产物，从而产生油烟废气。年工作</w:t>
            </w:r>
            <w:r>
              <w:rPr>
                <w:color w:val="auto"/>
              </w:rPr>
              <w:t>300</w:t>
            </w:r>
            <w:r>
              <w:rPr>
                <w:rFonts w:hAnsi="宋体"/>
                <w:color w:val="auto"/>
              </w:rPr>
              <w:t>天，每天工作</w:t>
            </w:r>
            <w:r>
              <w:rPr>
                <w:rFonts w:hint="eastAsia"/>
                <w:color w:val="auto"/>
              </w:rPr>
              <w:t>4</w:t>
            </w:r>
            <w:r>
              <w:rPr>
                <w:color w:val="auto"/>
              </w:rPr>
              <w:t>h</w:t>
            </w:r>
            <w:r>
              <w:rPr>
                <w:rFonts w:hAnsi="宋体"/>
                <w:color w:val="auto"/>
              </w:rPr>
              <w:t>，按满负荷计，</w:t>
            </w:r>
            <w:r>
              <w:rPr>
                <w:rFonts w:hint="eastAsia" w:hAnsi="宋体"/>
                <w:color w:val="auto"/>
              </w:rPr>
              <w:t>职工大部分为附近村民，</w:t>
            </w:r>
            <w:r>
              <w:rPr>
                <w:rFonts w:hAnsi="宋体"/>
                <w:color w:val="auto"/>
              </w:rPr>
              <w:t>每日用餐人数</w:t>
            </w:r>
            <w:r>
              <w:rPr>
                <w:rFonts w:hint="eastAsia" w:hAnsi="宋体"/>
                <w:color w:val="auto"/>
              </w:rPr>
              <w:t>约</w:t>
            </w:r>
            <w:r>
              <w:rPr>
                <w:rFonts w:hAnsi="宋体"/>
                <w:color w:val="auto"/>
              </w:rPr>
              <w:t>为</w:t>
            </w:r>
            <w:r>
              <w:rPr>
                <w:rFonts w:hint="eastAsia" w:hAnsi="宋体"/>
                <w:color w:val="auto"/>
              </w:rPr>
              <w:t>6</w:t>
            </w:r>
            <w:r>
              <w:rPr>
                <w:color w:val="auto"/>
              </w:rPr>
              <w:t>0</w:t>
            </w:r>
            <w:r>
              <w:rPr>
                <w:rFonts w:hAnsi="宋体"/>
                <w:color w:val="auto"/>
              </w:rPr>
              <w:t>人，按照人均食用油日用量约</w:t>
            </w:r>
            <w:r>
              <w:rPr>
                <w:color w:val="auto"/>
              </w:rPr>
              <w:t>30g/</w:t>
            </w:r>
            <w:r>
              <w:rPr>
                <w:rFonts w:hAnsi="宋体"/>
                <w:color w:val="auto"/>
              </w:rPr>
              <w:t>人</w:t>
            </w:r>
            <w:r>
              <w:rPr>
                <w:color w:val="auto"/>
              </w:rPr>
              <w:t>·d</w:t>
            </w:r>
            <w:r>
              <w:rPr>
                <w:rFonts w:hAnsi="宋体"/>
                <w:color w:val="auto"/>
              </w:rPr>
              <w:t>计算，一般油烟挥发量平均为</w:t>
            </w:r>
            <w:r>
              <w:rPr>
                <w:color w:val="auto"/>
              </w:rPr>
              <w:t>3%</w:t>
            </w:r>
            <w:r>
              <w:rPr>
                <w:rFonts w:hAnsi="宋体"/>
                <w:color w:val="auto"/>
              </w:rPr>
              <w:t>，则油烟产生量约为</w:t>
            </w:r>
            <w:r>
              <w:rPr>
                <w:rFonts w:hint="eastAsia" w:hAnsi="宋体"/>
                <w:color w:val="auto"/>
              </w:rPr>
              <w:t>0.054</w:t>
            </w:r>
            <w:r>
              <w:rPr>
                <w:color w:val="auto"/>
              </w:rPr>
              <w:t>kg/d</w:t>
            </w:r>
            <w:r>
              <w:rPr>
                <w:rFonts w:hint="eastAsia"/>
                <w:color w:val="auto"/>
              </w:rPr>
              <w:t>（540</w:t>
            </w:r>
            <w:r>
              <w:rPr>
                <w:color w:val="auto"/>
              </w:rPr>
              <w:t>kg/a</w:t>
            </w:r>
            <w:r>
              <w:rPr>
                <w:rFonts w:hint="eastAsia"/>
                <w:color w:val="auto"/>
              </w:rPr>
              <w:t>）</w:t>
            </w:r>
            <w:r>
              <w:rPr>
                <w:rFonts w:hAnsi="宋体"/>
                <w:color w:val="auto"/>
              </w:rPr>
              <w:t>，产生浓度</w:t>
            </w:r>
            <w:r>
              <w:rPr>
                <w:color w:val="auto"/>
              </w:rPr>
              <w:t>2.</w:t>
            </w:r>
            <w:r>
              <w:rPr>
                <w:rFonts w:hint="eastAsia"/>
                <w:color w:val="auto"/>
              </w:rPr>
              <w:t>25</w:t>
            </w:r>
            <w:r>
              <w:rPr>
                <w:color w:val="auto"/>
              </w:rPr>
              <w:t>mg/m</w:t>
            </w:r>
            <w:r>
              <w:rPr>
                <w:color w:val="auto"/>
                <w:vertAlign w:val="superscript"/>
              </w:rPr>
              <w:t>3</w:t>
            </w:r>
            <w:r>
              <w:rPr>
                <w:rFonts w:hAnsi="宋体"/>
                <w:color w:val="auto"/>
              </w:rPr>
              <w:t>。</w:t>
            </w:r>
            <w:r>
              <w:rPr>
                <w:color w:val="auto"/>
              </w:rPr>
              <w:t xml:space="preserve"> </w:t>
            </w:r>
          </w:p>
          <w:p>
            <w:pPr>
              <w:spacing w:line="360" w:lineRule="auto"/>
              <w:ind w:firstLine="472" w:firstLineChars="200"/>
            </w:pPr>
            <w:r>
              <w:rPr>
                <w:rFonts w:hAnsi="宋体"/>
                <w:sz w:val="24"/>
              </w:rPr>
              <w:t>食堂油烟通过由引风机引至国家认证的高效油烟净化器处理后，经专用烟道引至楼顶排放。高效油烟净化器处理效率不低于75%</w:t>
            </w:r>
            <w:r>
              <w:rPr>
                <w:rFonts w:hint="eastAsia" w:hAnsi="宋体"/>
                <w:sz w:val="24"/>
              </w:rPr>
              <w:t>，处理后</w:t>
            </w:r>
            <w:r>
              <w:rPr>
                <w:rFonts w:hAnsi="宋体"/>
                <w:sz w:val="24"/>
              </w:rPr>
              <w:t>引至楼顶排放，</w:t>
            </w:r>
            <w:r>
              <w:rPr>
                <w:rFonts w:hint="eastAsia" w:hAnsi="宋体"/>
                <w:sz w:val="24"/>
                <w:lang w:eastAsia="zh-CN"/>
              </w:rPr>
              <w:t>污染防治</w:t>
            </w:r>
            <w:r>
              <w:rPr>
                <w:rFonts w:hAnsi="宋体"/>
                <w:sz w:val="24"/>
              </w:rPr>
              <w:t>措施可行。</w:t>
            </w:r>
            <w:r>
              <w:rPr>
                <w:rFonts w:hint="eastAsia"/>
                <w:sz w:val="24"/>
                <w:szCs w:val="24"/>
              </w:rPr>
              <w:t>食堂</w:t>
            </w:r>
            <w:r>
              <w:rPr>
                <w:sz w:val="24"/>
                <w:szCs w:val="24"/>
              </w:rPr>
              <w:t>油烟排放浓度为0.</w:t>
            </w:r>
            <w:r>
              <w:rPr>
                <w:rFonts w:hint="eastAsia"/>
                <w:sz w:val="24"/>
                <w:szCs w:val="24"/>
              </w:rPr>
              <w:t>56</w:t>
            </w:r>
            <w:r>
              <w:rPr>
                <w:sz w:val="24"/>
                <w:szCs w:val="24"/>
              </w:rPr>
              <w:t>mg/m</w:t>
            </w:r>
            <w:r>
              <w:rPr>
                <w:sz w:val="24"/>
                <w:szCs w:val="24"/>
                <w:vertAlign w:val="superscript"/>
              </w:rPr>
              <w:t>3</w:t>
            </w:r>
            <w:r>
              <w:rPr>
                <w:sz w:val="24"/>
                <w:szCs w:val="24"/>
              </w:rPr>
              <w:t>，排放量为</w:t>
            </w:r>
            <w:r>
              <w:rPr>
                <w:rFonts w:hint="eastAsia"/>
                <w:sz w:val="24"/>
                <w:szCs w:val="24"/>
              </w:rPr>
              <w:t>135</w:t>
            </w:r>
            <w:r>
              <w:rPr>
                <w:sz w:val="24"/>
                <w:szCs w:val="24"/>
              </w:rPr>
              <w:t>kg/a，符合《饮食业油烟排放标准》（GB18483-2001）小型标准要求，对周围环境不会产生明显影响。</w:t>
            </w:r>
          </w:p>
          <w:p>
            <w:pPr>
              <w:numPr>
                <w:ilvl w:val="0"/>
                <w:numId w:val="6"/>
              </w:numPr>
              <w:spacing w:line="360" w:lineRule="auto"/>
              <w:ind w:firstLine="472" w:firstLineChars="200"/>
              <w:rPr>
                <w:rFonts w:hAnsi="宋体"/>
                <w:sz w:val="24"/>
              </w:rPr>
            </w:pPr>
            <w:r>
              <w:rPr>
                <w:rFonts w:hint="eastAsia" w:hAnsi="宋体"/>
                <w:sz w:val="24"/>
              </w:rPr>
              <w:t>抛丸</w:t>
            </w:r>
            <w:r>
              <w:rPr>
                <w:rFonts w:hAnsi="宋体"/>
                <w:sz w:val="24"/>
              </w:rPr>
              <w:t>废气</w:t>
            </w:r>
          </w:p>
          <w:p>
            <w:pPr>
              <w:spacing w:line="360" w:lineRule="auto"/>
              <w:ind w:firstLine="472" w:firstLineChars="200"/>
              <w:rPr>
                <w:sz w:val="24"/>
              </w:rPr>
            </w:pPr>
            <w:r>
              <w:rPr>
                <w:sz w:val="24"/>
              </w:rPr>
              <w:t>项目对钢结构进行抛丸打磨处理，</w:t>
            </w:r>
            <w:r>
              <w:rPr>
                <w:rFonts w:hint="eastAsia"/>
                <w:sz w:val="24"/>
              </w:rPr>
              <w:t>本</w:t>
            </w:r>
            <w:r>
              <w:rPr>
                <w:sz w:val="24"/>
              </w:rPr>
              <w:t>项目</w:t>
            </w:r>
            <w:r>
              <w:rPr>
                <w:rFonts w:hint="eastAsia"/>
                <w:sz w:val="24"/>
              </w:rPr>
              <w:t>拟购置</w:t>
            </w:r>
            <w:r>
              <w:rPr>
                <w:sz w:val="24"/>
              </w:rPr>
              <w:t>10台抛丸机</w:t>
            </w:r>
            <w:r>
              <w:rPr>
                <w:rFonts w:hint="eastAsia"/>
                <w:sz w:val="24"/>
              </w:rPr>
              <w:t>，集中布置在车间中部的抛丸区，</w:t>
            </w:r>
            <w:r>
              <w:rPr>
                <w:sz w:val="24"/>
              </w:rPr>
              <w:t>该过程产生污染物为</w:t>
            </w:r>
            <w:r>
              <w:rPr>
                <w:rFonts w:hint="eastAsia"/>
                <w:sz w:val="24"/>
              </w:rPr>
              <w:t>颗粒物，每台</w:t>
            </w:r>
            <w:r>
              <w:rPr>
                <w:sz w:val="24"/>
              </w:rPr>
              <w:t>抛丸机自带</w:t>
            </w:r>
            <w:r>
              <w:rPr>
                <w:rFonts w:hint="eastAsia"/>
                <w:sz w:val="24"/>
              </w:rPr>
              <w:t>1套布袋</w:t>
            </w:r>
            <w:r>
              <w:rPr>
                <w:sz w:val="24"/>
              </w:rPr>
              <w:t>除尘器进行除尘</w:t>
            </w:r>
            <w:r>
              <w:rPr>
                <w:rFonts w:hint="eastAsia"/>
                <w:sz w:val="24"/>
              </w:rPr>
              <w:t>，</w:t>
            </w:r>
            <w:r>
              <w:rPr>
                <w:sz w:val="24"/>
              </w:rPr>
              <w:t>收集的粉尘进入集尘槽</w:t>
            </w:r>
            <w:r>
              <w:rPr>
                <w:rFonts w:hint="eastAsia"/>
                <w:sz w:val="24"/>
              </w:rPr>
              <w:t>，</w:t>
            </w:r>
            <w:r>
              <w:rPr>
                <w:sz w:val="24"/>
              </w:rPr>
              <w:t>定期清理</w:t>
            </w:r>
            <w:r>
              <w:rPr>
                <w:rFonts w:hint="eastAsia"/>
                <w:sz w:val="24"/>
              </w:rPr>
              <w:t>。</w:t>
            </w:r>
            <w:r>
              <w:rPr>
                <w:sz w:val="24"/>
              </w:rPr>
              <w:t>除尘</w:t>
            </w:r>
            <w:r>
              <w:rPr>
                <w:rFonts w:hint="eastAsia"/>
                <w:sz w:val="24"/>
              </w:rPr>
              <w:t>后废气由1根15米高排气筒（DA001）外排，集气系统总</w:t>
            </w:r>
            <w:r>
              <w:rPr>
                <w:sz w:val="24"/>
              </w:rPr>
              <w:t>风量为</w:t>
            </w:r>
            <w:r>
              <w:rPr>
                <w:rFonts w:hint="eastAsia"/>
                <w:sz w:val="24"/>
              </w:rPr>
              <w:t>30</w:t>
            </w:r>
            <w:r>
              <w:rPr>
                <w:sz w:val="24"/>
              </w:rPr>
              <w:t>000m</w:t>
            </w:r>
            <w:r>
              <w:rPr>
                <w:sz w:val="24"/>
                <w:vertAlign w:val="superscript"/>
              </w:rPr>
              <w:t>3</w:t>
            </w:r>
            <w:r>
              <w:rPr>
                <w:sz w:val="24"/>
              </w:rPr>
              <w:t>/h</w:t>
            </w:r>
            <w:r>
              <w:rPr>
                <w:rFonts w:hint="eastAsia"/>
                <w:sz w:val="24"/>
              </w:rPr>
              <w:t>。</w:t>
            </w:r>
            <w:r>
              <w:rPr>
                <w:sz w:val="24"/>
              </w:rPr>
              <w:t>根据同类项目调查</w:t>
            </w:r>
            <w:r>
              <w:rPr>
                <w:rFonts w:hint="eastAsia"/>
                <w:sz w:val="24"/>
              </w:rPr>
              <w:t>，</w:t>
            </w:r>
            <w:r>
              <w:rPr>
                <w:sz w:val="24"/>
              </w:rPr>
              <w:t>项目产生的粉尘约为0.005kg/t产品</w:t>
            </w:r>
            <w:r>
              <w:rPr>
                <w:rFonts w:hint="eastAsia"/>
                <w:sz w:val="24"/>
              </w:rPr>
              <w:t>，本项目年产量8万</w:t>
            </w:r>
            <w:r>
              <w:rPr>
                <w:sz w:val="24"/>
              </w:rPr>
              <w:t>t</w:t>
            </w:r>
            <w:r>
              <w:rPr>
                <w:rFonts w:hint="eastAsia"/>
                <w:sz w:val="24"/>
              </w:rPr>
              <w:t>/</w:t>
            </w:r>
            <w:r>
              <w:t>a</w:t>
            </w:r>
            <w:r>
              <w:rPr>
                <w:rFonts w:hint="eastAsia"/>
              </w:rPr>
              <w:t>，</w:t>
            </w:r>
            <w:r>
              <w:rPr>
                <w:sz w:val="24"/>
              </w:rPr>
              <w:t>故本项目产生的粉尘量为</w:t>
            </w:r>
            <w:r>
              <w:rPr>
                <w:rFonts w:hint="eastAsia"/>
                <w:sz w:val="24"/>
              </w:rPr>
              <w:t>0.4</w:t>
            </w:r>
            <w:r>
              <w:rPr>
                <w:sz w:val="24"/>
              </w:rPr>
              <w:t>t</w:t>
            </w:r>
            <w:r>
              <w:rPr>
                <w:rFonts w:hint="eastAsia"/>
                <w:sz w:val="24"/>
              </w:rPr>
              <w:t>/</w:t>
            </w:r>
            <w:r>
              <w:t>a</w:t>
            </w:r>
            <w:r>
              <w:rPr>
                <w:sz w:val="24"/>
              </w:rPr>
              <w:t>(每年生产300天</w:t>
            </w:r>
            <w:r>
              <w:rPr>
                <w:rFonts w:hint="eastAsia"/>
                <w:sz w:val="24"/>
              </w:rPr>
              <w:t>，</w:t>
            </w:r>
            <w:r>
              <w:rPr>
                <w:sz w:val="24"/>
              </w:rPr>
              <w:t>每天运行</w:t>
            </w:r>
            <w:r>
              <w:rPr>
                <w:rFonts w:hint="eastAsia"/>
                <w:sz w:val="24"/>
              </w:rPr>
              <w:t>4</w:t>
            </w:r>
            <w:r>
              <w:rPr>
                <w:sz w:val="24"/>
              </w:rPr>
              <w:t>h)</w:t>
            </w:r>
            <w:r>
              <w:rPr>
                <w:rFonts w:hint="eastAsia"/>
                <w:sz w:val="24"/>
              </w:rPr>
              <w:t>，</w:t>
            </w:r>
            <w:r>
              <w:rPr>
                <w:sz w:val="24"/>
              </w:rPr>
              <w:t>除尘效率为9</w:t>
            </w:r>
            <w:r>
              <w:rPr>
                <w:rFonts w:hint="eastAsia"/>
                <w:sz w:val="24"/>
              </w:rPr>
              <w:t>0</w:t>
            </w:r>
            <w:r>
              <w:rPr>
                <w:sz w:val="24"/>
              </w:rPr>
              <w:t>%</w:t>
            </w:r>
            <w:r>
              <w:rPr>
                <w:rFonts w:hint="eastAsia"/>
                <w:sz w:val="24"/>
              </w:rPr>
              <w:t>，</w:t>
            </w:r>
            <w:r>
              <w:rPr>
                <w:sz w:val="24"/>
              </w:rPr>
              <w:t>则抛丸机排放的粉尘为</w:t>
            </w:r>
            <w:r>
              <w:rPr>
                <w:rFonts w:hint="eastAsia"/>
                <w:sz w:val="24"/>
              </w:rPr>
              <w:t>0.04</w:t>
            </w:r>
            <w:r>
              <w:rPr>
                <w:sz w:val="24"/>
              </w:rPr>
              <w:t>t</w:t>
            </w:r>
            <w:r>
              <w:rPr>
                <w:rFonts w:hint="eastAsia"/>
                <w:sz w:val="24"/>
              </w:rPr>
              <w:t>/</w:t>
            </w:r>
            <w:r>
              <w:t>a</w:t>
            </w:r>
            <w:r>
              <w:rPr>
                <w:rFonts w:hint="eastAsia"/>
              </w:rPr>
              <w:t>（</w:t>
            </w:r>
            <w:r>
              <w:rPr>
                <w:sz w:val="24"/>
              </w:rPr>
              <w:t>0.</w:t>
            </w:r>
            <w:r>
              <w:rPr>
                <w:rFonts w:hint="eastAsia"/>
                <w:sz w:val="24"/>
              </w:rPr>
              <w:t>033</w:t>
            </w:r>
            <w:r>
              <w:rPr>
                <w:sz w:val="24"/>
              </w:rPr>
              <w:t>kg/h</w:t>
            </w:r>
            <w:r>
              <w:rPr>
                <w:rFonts w:hint="eastAsia"/>
              </w:rPr>
              <w:t>）</w:t>
            </w:r>
            <w:r>
              <w:rPr>
                <w:rFonts w:hint="eastAsia"/>
                <w:sz w:val="24"/>
              </w:rPr>
              <w:t>，</w:t>
            </w:r>
            <w:r>
              <w:rPr>
                <w:sz w:val="24"/>
              </w:rPr>
              <w:t>排放浓度为1</w:t>
            </w:r>
            <w:r>
              <w:rPr>
                <w:rFonts w:hint="eastAsia"/>
                <w:sz w:val="24"/>
              </w:rPr>
              <w:t>.</w:t>
            </w:r>
            <w:r>
              <w:rPr>
                <w:sz w:val="24"/>
              </w:rPr>
              <w:t>lmg/m</w:t>
            </w:r>
            <w:r>
              <w:rPr>
                <w:sz w:val="24"/>
                <w:vertAlign w:val="superscript"/>
              </w:rPr>
              <w:t>3</w:t>
            </w:r>
            <w:r>
              <w:rPr>
                <w:rFonts w:hint="eastAsia"/>
                <w:sz w:val="24"/>
              </w:rPr>
              <w:t>，</w:t>
            </w:r>
            <w:r>
              <w:rPr>
                <w:sz w:val="24"/>
              </w:rPr>
              <w:t>处理后浓度《大气污染物综合排放标准(GB16297-1996)中表2</w:t>
            </w:r>
            <w:r>
              <w:rPr>
                <w:rFonts w:hint="eastAsia"/>
                <w:sz w:val="24"/>
              </w:rPr>
              <w:t>其他行业</w:t>
            </w:r>
            <w:r>
              <w:rPr>
                <w:sz w:val="24"/>
              </w:rPr>
              <w:t>排放限值</w:t>
            </w:r>
            <w:r>
              <w:rPr>
                <w:rFonts w:hint="eastAsia"/>
                <w:sz w:val="24"/>
              </w:rPr>
              <w:t>。</w:t>
            </w:r>
          </w:p>
          <w:p>
            <w:pPr>
              <w:spacing w:line="360" w:lineRule="auto"/>
              <w:rPr>
                <w:sz w:val="24"/>
              </w:rPr>
            </w:pPr>
            <w:r>
              <w:rPr>
                <w:sz w:val="24"/>
              </w:rPr>
              <w:t xml:space="preserve">   </w:t>
            </w:r>
            <w:r>
              <w:rPr>
                <w:rFonts w:hint="eastAsia"/>
                <w:sz w:val="24"/>
              </w:rPr>
              <w:t>（3）</w:t>
            </w:r>
            <w:r>
              <w:rPr>
                <w:sz w:val="24"/>
              </w:rPr>
              <w:t>焊接烟尘</w:t>
            </w:r>
          </w:p>
          <w:p>
            <w:pPr>
              <w:spacing w:line="360" w:lineRule="auto"/>
              <w:ind w:firstLine="480"/>
              <w:rPr>
                <w:rFonts w:hAnsi="宋体"/>
                <w:sz w:val="24"/>
              </w:rPr>
            </w:pPr>
            <w:r>
              <w:rPr>
                <w:rFonts w:hint="eastAsia" w:hAnsi="宋体"/>
                <w:sz w:val="24"/>
              </w:rPr>
              <w:t>本项目焊接过程中有一定焊接烟气排放，包括焊接烟尘以及有害气体，本项目</w:t>
            </w:r>
            <w:r>
              <w:rPr>
                <w:sz w:val="24"/>
                <w:szCs w:val="24"/>
              </w:rPr>
              <w:t>拟</w:t>
            </w:r>
            <w:r>
              <w:rPr>
                <w:rFonts w:hint="eastAsia"/>
                <w:sz w:val="24"/>
                <w:szCs w:val="24"/>
              </w:rPr>
              <w:t>在车间东西两侧分别</w:t>
            </w:r>
            <w:r>
              <w:rPr>
                <w:sz w:val="24"/>
                <w:szCs w:val="24"/>
              </w:rPr>
              <w:t>设</w:t>
            </w:r>
            <w:r>
              <w:rPr>
                <w:rFonts w:hint="eastAsia"/>
                <w:sz w:val="24"/>
                <w:szCs w:val="24"/>
              </w:rPr>
              <w:t>置固定</w:t>
            </w:r>
            <w:r>
              <w:rPr>
                <w:bCs/>
                <w:sz w:val="24"/>
                <w:szCs w:val="24"/>
              </w:rPr>
              <w:t>焊接操作平台</w:t>
            </w:r>
            <w:r>
              <w:rPr>
                <w:rFonts w:hint="eastAsia"/>
                <w:bCs/>
                <w:sz w:val="24"/>
                <w:szCs w:val="24"/>
              </w:rPr>
              <w:t>，</w:t>
            </w:r>
            <w:r>
              <w:rPr>
                <w:bCs/>
                <w:sz w:val="24"/>
                <w:szCs w:val="24"/>
              </w:rPr>
              <w:t>拟在</w:t>
            </w:r>
            <w:r>
              <w:rPr>
                <w:rFonts w:hint="eastAsia"/>
                <w:bCs/>
                <w:sz w:val="24"/>
                <w:szCs w:val="24"/>
              </w:rPr>
              <w:t>每个</w:t>
            </w:r>
            <w:r>
              <w:rPr>
                <w:bCs/>
                <w:sz w:val="24"/>
                <w:szCs w:val="24"/>
              </w:rPr>
              <w:t>平台</w:t>
            </w:r>
            <w:r>
              <w:rPr>
                <w:rFonts w:hint="eastAsia"/>
                <w:bCs/>
                <w:sz w:val="24"/>
                <w:szCs w:val="24"/>
              </w:rPr>
              <w:t>上方设置1个</w:t>
            </w:r>
            <w:r>
              <w:rPr>
                <w:bCs/>
                <w:sz w:val="24"/>
                <w:szCs w:val="24"/>
              </w:rPr>
              <w:t>集气罩</w:t>
            </w:r>
            <w:r>
              <w:rPr>
                <w:rFonts w:hint="eastAsia"/>
                <w:bCs/>
                <w:sz w:val="24"/>
                <w:szCs w:val="24"/>
              </w:rPr>
              <w:t>对废气进行收集，收集后东西</w:t>
            </w:r>
            <w:r>
              <w:rPr>
                <w:rFonts w:hint="eastAsia"/>
                <w:sz w:val="24"/>
                <w:szCs w:val="24"/>
              </w:rPr>
              <w:t>两侧各</w:t>
            </w:r>
            <w:r>
              <w:rPr>
                <w:rFonts w:hint="eastAsia"/>
                <w:bCs/>
                <w:sz w:val="24"/>
                <w:szCs w:val="24"/>
              </w:rPr>
              <w:t>送1套袋式除尘器进行处理</w:t>
            </w:r>
            <w:r>
              <w:rPr>
                <w:bCs/>
                <w:sz w:val="24"/>
                <w:szCs w:val="24"/>
              </w:rPr>
              <w:t>，</w:t>
            </w:r>
            <w:r>
              <w:rPr>
                <w:rFonts w:hint="eastAsia"/>
                <w:bCs/>
                <w:sz w:val="24"/>
                <w:szCs w:val="24"/>
              </w:rPr>
              <w:t>各</w:t>
            </w:r>
            <w:r>
              <w:rPr>
                <w:rFonts w:hint="eastAsia"/>
                <w:sz w:val="24"/>
              </w:rPr>
              <w:t>由1根15米高排气筒外排（</w:t>
            </w:r>
            <w:r>
              <w:rPr>
                <w:rFonts w:hint="eastAsia"/>
                <w:bCs/>
                <w:sz w:val="24"/>
                <w:szCs w:val="24"/>
              </w:rPr>
              <w:t>东西</w:t>
            </w:r>
            <w:r>
              <w:rPr>
                <w:rFonts w:hint="eastAsia"/>
                <w:sz w:val="24"/>
                <w:szCs w:val="24"/>
              </w:rPr>
              <w:t>两侧</w:t>
            </w:r>
            <w:r>
              <w:rPr>
                <w:rFonts w:hint="eastAsia"/>
                <w:sz w:val="24"/>
              </w:rPr>
              <w:t>排气筒分别为DA002、DA003）。</w:t>
            </w:r>
          </w:p>
          <w:p>
            <w:pPr>
              <w:spacing w:line="360" w:lineRule="auto"/>
              <w:ind w:firstLine="480"/>
              <w:rPr>
                <w:rFonts w:hAnsi="宋体"/>
                <w:sz w:val="24"/>
              </w:rPr>
            </w:pPr>
            <w:r>
              <w:rPr>
                <w:rFonts w:hint="eastAsia" w:hAnsi="宋体"/>
                <w:sz w:val="24"/>
              </w:rPr>
              <w:t>项目焊丝的使用量为l0t/a，根据《焊接车间环境污染及控制技术进展》资料中有关说明可知焊接材料的发尘量为0~25g/kg，本项目取12.5g/kg计，本项目年耗焊料10t/a，则焊接过程共计产生焊接烟尘约125kg/a（</w:t>
            </w:r>
            <w:r>
              <w:rPr>
                <w:rFonts w:hint="eastAsia"/>
                <w:bCs/>
                <w:sz w:val="24"/>
                <w:szCs w:val="24"/>
              </w:rPr>
              <w:t>东西</w:t>
            </w:r>
            <w:r>
              <w:rPr>
                <w:rFonts w:hint="eastAsia"/>
                <w:sz w:val="24"/>
                <w:szCs w:val="24"/>
              </w:rPr>
              <w:t>两侧焊接区平均各为62.5</w:t>
            </w:r>
            <w:r>
              <w:rPr>
                <w:rFonts w:hint="eastAsia" w:hAnsi="宋体"/>
                <w:sz w:val="24"/>
              </w:rPr>
              <w:t>kg/a）。日生产时间约为4h，年工作日为300d。</w:t>
            </w:r>
            <w:r>
              <w:rPr>
                <w:rFonts w:hint="eastAsia"/>
                <w:bCs/>
                <w:sz w:val="24"/>
                <w:szCs w:val="24"/>
              </w:rPr>
              <w:t>东西</w:t>
            </w:r>
            <w:r>
              <w:rPr>
                <w:rFonts w:hint="eastAsia"/>
                <w:sz w:val="24"/>
                <w:szCs w:val="24"/>
              </w:rPr>
              <w:t>两侧集气系统风机</w:t>
            </w:r>
            <w:r>
              <w:rPr>
                <w:rFonts w:hint="eastAsia" w:hAnsi="宋体"/>
                <w:sz w:val="24"/>
              </w:rPr>
              <w:t>风量均为3000m</w:t>
            </w:r>
            <w:r>
              <w:rPr>
                <w:rFonts w:hint="eastAsia" w:hAnsi="宋体"/>
                <w:sz w:val="24"/>
                <w:vertAlign w:val="superscript"/>
              </w:rPr>
              <w:t>3</w:t>
            </w:r>
            <w:r>
              <w:rPr>
                <w:rFonts w:hint="eastAsia" w:hAnsi="宋体"/>
                <w:sz w:val="24"/>
              </w:rPr>
              <w:t>/h，收集效率80%计，处理效率为90%。</w:t>
            </w:r>
          </w:p>
          <w:p>
            <w:pPr>
              <w:spacing w:line="360" w:lineRule="auto"/>
              <w:ind w:firstLine="480"/>
              <w:rPr>
                <w:bCs/>
                <w:sz w:val="24"/>
              </w:rPr>
            </w:pPr>
            <w:r>
              <w:rPr>
                <w:rFonts w:hint="eastAsia" w:hAnsi="宋体"/>
                <w:sz w:val="24"/>
              </w:rPr>
              <w:t>则焊接</w:t>
            </w:r>
            <w:r>
              <w:rPr>
                <w:rFonts w:hint="eastAsia"/>
                <w:kern w:val="0"/>
                <w:sz w:val="24"/>
              </w:rPr>
              <w:t>烟尘有组织颗粒物产生量为100</w:t>
            </w:r>
            <w:r>
              <w:rPr>
                <w:rFonts w:hint="eastAsia" w:hAnsi="宋体"/>
                <w:sz w:val="24"/>
              </w:rPr>
              <w:t>kg/a</w:t>
            </w:r>
            <w:r>
              <w:rPr>
                <w:rFonts w:hint="eastAsia"/>
                <w:kern w:val="0"/>
                <w:sz w:val="24"/>
              </w:rPr>
              <w:t>（</w:t>
            </w:r>
            <w:r>
              <w:rPr>
                <w:rFonts w:hint="eastAsia"/>
                <w:bCs/>
                <w:sz w:val="24"/>
                <w:szCs w:val="24"/>
              </w:rPr>
              <w:t>东西</w:t>
            </w:r>
            <w:r>
              <w:rPr>
                <w:rFonts w:hint="eastAsia"/>
                <w:sz w:val="24"/>
                <w:szCs w:val="24"/>
              </w:rPr>
              <w:t>两侧焊接区平均各为50</w:t>
            </w:r>
            <w:r>
              <w:rPr>
                <w:rFonts w:hint="eastAsia" w:hAnsi="宋体"/>
                <w:sz w:val="24"/>
              </w:rPr>
              <w:t>kg/a</w:t>
            </w:r>
            <w:r>
              <w:rPr>
                <w:rFonts w:hint="eastAsia"/>
                <w:kern w:val="0"/>
                <w:sz w:val="24"/>
              </w:rPr>
              <w:t>），产生浓度均为14</w:t>
            </w:r>
            <w:r>
              <w:rPr>
                <w:rFonts w:hint="eastAsia"/>
                <w:sz w:val="24"/>
              </w:rPr>
              <w:t>mg/m</w:t>
            </w:r>
            <w:r>
              <w:rPr>
                <w:rFonts w:hint="eastAsia"/>
                <w:sz w:val="24"/>
                <w:vertAlign w:val="superscript"/>
              </w:rPr>
              <w:t>3</w:t>
            </w:r>
            <w:r>
              <w:rPr>
                <w:rFonts w:hint="eastAsia"/>
                <w:sz w:val="24"/>
              </w:rPr>
              <w:t>；</w:t>
            </w:r>
            <w:r>
              <w:rPr>
                <w:rFonts w:hint="eastAsia"/>
                <w:kern w:val="0"/>
                <w:sz w:val="24"/>
              </w:rPr>
              <w:t>有组织颗粒物排放量为10</w:t>
            </w:r>
            <w:r>
              <w:rPr>
                <w:rFonts w:hint="eastAsia" w:hAnsi="宋体"/>
                <w:sz w:val="24"/>
              </w:rPr>
              <w:t>kg/a</w:t>
            </w:r>
            <w:r>
              <w:rPr>
                <w:rFonts w:hint="eastAsia"/>
                <w:kern w:val="0"/>
                <w:sz w:val="24"/>
              </w:rPr>
              <w:t>（</w:t>
            </w:r>
            <w:r>
              <w:rPr>
                <w:rFonts w:hint="eastAsia"/>
                <w:bCs/>
                <w:sz w:val="24"/>
                <w:szCs w:val="24"/>
              </w:rPr>
              <w:t>东西</w:t>
            </w:r>
            <w:r>
              <w:rPr>
                <w:rFonts w:hint="eastAsia"/>
                <w:sz w:val="24"/>
                <w:szCs w:val="24"/>
              </w:rPr>
              <w:t>两侧焊接区平均各为5</w:t>
            </w:r>
            <w:r>
              <w:rPr>
                <w:rFonts w:hint="eastAsia" w:hAnsi="宋体"/>
                <w:sz w:val="24"/>
              </w:rPr>
              <w:t>kg/a</w:t>
            </w:r>
            <w:r>
              <w:rPr>
                <w:rFonts w:hint="eastAsia"/>
                <w:kern w:val="0"/>
                <w:sz w:val="24"/>
              </w:rPr>
              <w:t>），</w:t>
            </w:r>
            <w:r>
              <w:rPr>
                <w:rFonts w:hint="eastAsia"/>
                <w:sz w:val="24"/>
              </w:rPr>
              <w:t>处理后</w:t>
            </w:r>
            <w:r>
              <w:rPr>
                <w:bCs/>
                <w:sz w:val="24"/>
              </w:rPr>
              <w:t>焊接烟尘（颗粒物）</w:t>
            </w:r>
            <w:r>
              <w:rPr>
                <w:rFonts w:hint="eastAsia"/>
                <w:bCs/>
                <w:sz w:val="24"/>
              </w:rPr>
              <w:t>有组织排放速率均为</w:t>
            </w:r>
            <w:r>
              <w:rPr>
                <w:bCs/>
                <w:sz w:val="24"/>
              </w:rPr>
              <w:t>0</w:t>
            </w:r>
            <w:r>
              <w:rPr>
                <w:rFonts w:hint="eastAsia"/>
                <w:bCs/>
                <w:sz w:val="24"/>
              </w:rPr>
              <w:t>.</w:t>
            </w:r>
            <w:r>
              <w:rPr>
                <w:bCs/>
                <w:sz w:val="24"/>
              </w:rPr>
              <w:t>00</w:t>
            </w:r>
            <w:r>
              <w:rPr>
                <w:rFonts w:hint="eastAsia"/>
                <w:bCs/>
                <w:sz w:val="24"/>
              </w:rPr>
              <w:t>42kg/h</w:t>
            </w:r>
            <w:r>
              <w:rPr>
                <w:sz w:val="24"/>
              </w:rPr>
              <w:t>，</w:t>
            </w:r>
            <w:r>
              <w:rPr>
                <w:rFonts w:hint="eastAsia"/>
                <w:sz w:val="24"/>
              </w:rPr>
              <w:t>排放浓度均为1.4mg/m</w:t>
            </w:r>
            <w:r>
              <w:rPr>
                <w:rFonts w:hint="eastAsia"/>
                <w:sz w:val="24"/>
                <w:vertAlign w:val="superscript"/>
              </w:rPr>
              <w:t>3</w:t>
            </w:r>
            <w:r>
              <w:rPr>
                <w:bCs/>
                <w:sz w:val="24"/>
                <w:szCs w:val="24"/>
              </w:rPr>
              <w:t>，</w:t>
            </w:r>
            <w:r>
              <w:rPr>
                <w:rFonts w:hint="eastAsia"/>
                <w:bCs/>
                <w:sz w:val="24"/>
                <w:szCs w:val="24"/>
              </w:rPr>
              <w:t>焊接工序无组织颗粒物排放量为</w:t>
            </w:r>
            <w:r>
              <w:rPr>
                <w:bCs/>
                <w:sz w:val="24"/>
                <w:szCs w:val="24"/>
              </w:rPr>
              <w:t>25kg/a</w:t>
            </w:r>
            <w:r>
              <w:rPr>
                <w:rFonts w:hint="eastAsia"/>
                <w:bCs/>
                <w:sz w:val="24"/>
                <w:szCs w:val="24"/>
              </w:rPr>
              <w:t>，经预测，</w:t>
            </w:r>
            <w:r>
              <w:rPr>
                <w:sz w:val="24"/>
              </w:rPr>
              <w:t>满足《大气污染物综合排放标准》</w:t>
            </w:r>
            <w:r>
              <w:rPr>
                <w:sz w:val="24"/>
                <w:szCs w:val="24"/>
              </w:rPr>
              <w:t>（GB 16297</w:t>
            </w:r>
            <w:r>
              <w:rPr>
                <w:rFonts w:hint="eastAsia"/>
                <w:sz w:val="24"/>
                <w:szCs w:val="24"/>
              </w:rPr>
              <w:t>-</w:t>
            </w:r>
            <w:r>
              <w:rPr>
                <w:sz w:val="24"/>
                <w:szCs w:val="24"/>
              </w:rPr>
              <w:t>1996）</w:t>
            </w:r>
            <w:r>
              <w:rPr>
                <w:sz w:val="24"/>
              </w:rPr>
              <w:t>表2中</w:t>
            </w:r>
            <w:r>
              <w:rPr>
                <w:rFonts w:hint="eastAsia"/>
                <w:bCs/>
                <w:sz w:val="24"/>
              </w:rPr>
              <w:t>颗粒物二级标准要求和</w:t>
            </w:r>
            <w:r>
              <w:rPr>
                <w:rFonts w:hint="eastAsia" w:hAnsi="宋体"/>
                <w:sz w:val="24"/>
              </w:rPr>
              <w:t>无组织排放监控点浓度限值</w:t>
            </w:r>
            <w:r>
              <w:rPr>
                <w:rFonts w:hint="eastAsia"/>
                <w:bCs/>
                <w:sz w:val="24"/>
              </w:rPr>
              <w:t>。</w:t>
            </w:r>
          </w:p>
          <w:p>
            <w:pPr>
              <w:spacing w:line="360" w:lineRule="auto"/>
              <w:ind w:firstLine="480"/>
            </w:pPr>
            <w:r>
              <w:rPr>
                <w:rFonts w:hint="eastAsia"/>
                <w:sz w:val="24"/>
              </w:rPr>
              <w:t>（4）</w:t>
            </w:r>
            <w:r>
              <w:rPr>
                <w:rFonts w:hint="eastAsia"/>
                <w:sz w:val="24"/>
                <w:szCs w:val="24"/>
              </w:rPr>
              <w:t>打磨粉尘：根据有关资料推荐的经验排放系数，打磨工序产生的颗粒物按原料量的0.1‰计算，根据建设单位提供资料，本项目需打磨原料量约为1000</w:t>
            </w:r>
            <w:r>
              <w:rPr>
                <w:rFonts w:hint="eastAsia" w:hAnsi="宋体"/>
                <w:sz w:val="24"/>
              </w:rPr>
              <w:t>t/</w:t>
            </w:r>
            <w:r>
              <w:rPr>
                <w:rFonts w:hint="eastAsia"/>
                <w:sz w:val="24"/>
                <w:szCs w:val="24"/>
              </w:rPr>
              <w:t>a，则颗粒物产生量预计为</w:t>
            </w:r>
            <w:r>
              <w:rPr>
                <w:rFonts w:hint="eastAsia"/>
                <w:kern w:val="0"/>
                <w:sz w:val="24"/>
              </w:rPr>
              <w:t>0.1</w:t>
            </w:r>
            <w:r>
              <w:rPr>
                <w:rFonts w:hint="eastAsia" w:hAnsi="宋体"/>
                <w:sz w:val="24"/>
              </w:rPr>
              <w:t>t/a</w:t>
            </w:r>
            <w:r>
              <w:rPr>
                <w:rFonts w:hint="eastAsia"/>
                <w:sz w:val="24"/>
                <w:szCs w:val="24"/>
              </w:rPr>
              <w:t>，通过配套设置的移动式除尘器进行处理，处理后废气无组织排放，工作时间按每年2400h 计算，处理效率90%，则机加工过程无组织颗粒物排放量为0.01</w:t>
            </w:r>
            <w:r>
              <w:rPr>
                <w:rFonts w:hint="eastAsia" w:hAnsi="宋体"/>
                <w:sz w:val="24"/>
              </w:rPr>
              <w:t>t/a</w:t>
            </w:r>
            <w:r>
              <w:rPr>
                <w:rFonts w:hint="eastAsia"/>
                <w:sz w:val="24"/>
                <w:szCs w:val="24"/>
              </w:rPr>
              <w:t>。经</w:t>
            </w:r>
            <w:r>
              <w:rPr>
                <w:rFonts w:hint="eastAsia" w:hAnsi="宋体"/>
                <w:sz w:val="24"/>
              </w:rPr>
              <w:t>预测，厂界颗粒物浓度</w:t>
            </w:r>
            <w:r>
              <w:rPr>
                <w:sz w:val="24"/>
              </w:rPr>
              <w:t>满足</w:t>
            </w:r>
            <w:r>
              <w:rPr>
                <w:rFonts w:hint="eastAsia" w:hAnsi="宋体"/>
                <w:sz w:val="24"/>
              </w:rPr>
              <w:t>《大气污染物综合排放标准(GB16297-1996)中表2无组织排放监控点浓度限值。</w:t>
            </w:r>
          </w:p>
          <w:p>
            <w:pPr>
              <w:spacing w:line="360" w:lineRule="auto"/>
              <w:ind w:firstLine="472" w:firstLineChars="200"/>
              <w:rPr>
                <w:color w:val="000000" w:themeColor="text1"/>
                <w:kern w:val="0"/>
                <w:sz w:val="24"/>
                <w:szCs w:val="24"/>
              </w:rPr>
            </w:pPr>
            <w:r>
              <w:rPr>
                <w:rFonts w:hint="eastAsia"/>
                <w:kern w:val="1"/>
                <w:sz w:val="24"/>
                <w:szCs w:val="24"/>
              </w:rPr>
              <w:t>（5）</w:t>
            </w:r>
            <w:r>
              <w:rPr>
                <w:rFonts w:hint="eastAsia"/>
                <w:color w:val="000000" w:themeColor="text1"/>
                <w:kern w:val="0"/>
                <w:sz w:val="24"/>
                <w:szCs w:val="24"/>
              </w:rPr>
              <w:t>喷漆、烘干废气</w:t>
            </w:r>
          </w:p>
          <w:p>
            <w:pPr>
              <w:tabs>
                <w:tab w:val="left" w:pos="586"/>
              </w:tabs>
              <w:spacing w:line="360" w:lineRule="auto"/>
              <w:ind w:left="115" w:leftChars="56" w:firstLine="465" w:firstLineChars="197"/>
              <w:rPr>
                <w:kern w:val="0"/>
                <w:sz w:val="24"/>
                <w:szCs w:val="24"/>
              </w:rPr>
            </w:pPr>
            <w:r>
              <w:rPr>
                <w:rFonts w:hint="eastAsia"/>
                <w:kern w:val="0"/>
                <w:sz w:val="24"/>
                <w:szCs w:val="24"/>
              </w:rPr>
              <w:t>项目设置1座密闭喷漆房，喷漆、烘干均在喷漆房内作业，每天运行8 h。项目喷漆采用水性漆，水性漆喷漆、烘干过程中的废气主要为漆雾、非甲烷总烃。项目使用水性漆</w:t>
            </w:r>
            <w:r>
              <w:rPr>
                <w:rFonts w:hint="eastAsia"/>
                <w:color w:val="000000" w:themeColor="text1"/>
                <w:sz w:val="24"/>
              </w:rPr>
              <w:t>97.61</w:t>
            </w:r>
            <w:r>
              <w:rPr>
                <w:rFonts w:hint="eastAsia"/>
                <w:kern w:val="0"/>
                <w:sz w:val="24"/>
                <w:szCs w:val="24"/>
              </w:rPr>
              <w:t>t/a（固份70%）。喷漆过程中漆料按70%固态不挥发组分附着在工件上，10%固态不挥发组分在喷漆过程中细化为漆雾，20%固态不挥发组分在喷漆过程中沉降为漆渣；烘干过程中会产生烘干废气，挥发性组分在烘干过程中挥发</w:t>
            </w:r>
            <w:r>
              <w:rPr>
                <w:rFonts w:hint="eastAsia"/>
                <w:color w:val="000000" w:themeColor="text1"/>
                <w:kern w:val="0"/>
                <w:sz w:val="24"/>
                <w:szCs w:val="24"/>
              </w:rPr>
              <w:t>。</w:t>
            </w:r>
            <w:r>
              <w:rPr>
                <w:rFonts w:hint="eastAsia"/>
                <w:kern w:val="0"/>
                <w:sz w:val="24"/>
                <w:szCs w:val="24"/>
              </w:rPr>
              <w:t>项目水漆中固份为68.327t/a，则漆雾产生量为6.832t/a，漆渣产生量为13.665t/a</w:t>
            </w:r>
            <w:r>
              <w:rPr>
                <w:rFonts w:hint="eastAsia"/>
                <w:sz w:val="24"/>
              </w:rPr>
              <w:t>；</w:t>
            </w:r>
            <w:r>
              <w:rPr>
                <w:rFonts w:hint="eastAsia"/>
                <w:kern w:val="0"/>
                <w:sz w:val="24"/>
                <w:szCs w:val="24"/>
              </w:rPr>
              <w:t xml:space="preserve">项目水漆中挥发份占比10%，为4.88t/a（非甲烷总烃计）。 </w:t>
            </w:r>
          </w:p>
          <w:p>
            <w:pPr>
              <w:spacing w:line="360" w:lineRule="auto"/>
              <w:ind w:firstLine="480"/>
              <w:rPr>
                <w:kern w:val="0"/>
                <w:sz w:val="24"/>
                <w:szCs w:val="24"/>
              </w:rPr>
            </w:pPr>
            <w:r>
              <w:rPr>
                <w:rFonts w:hint="eastAsia"/>
                <w:kern w:val="0"/>
                <w:sz w:val="24"/>
                <w:szCs w:val="24"/>
              </w:rPr>
              <w:t>本次环评要求建设单位对喷漆室、烘干室采用密闭抽风形式，</w:t>
            </w:r>
            <w:r>
              <w:rPr>
                <w:rFonts w:hint="eastAsia"/>
                <w:color w:val="FF0000"/>
                <w:sz w:val="24"/>
                <w:szCs w:val="24"/>
              </w:rPr>
              <w:t>漆室采用上送风下抽风，漆雾捕集装置在喷漆室的下方，适用于大中型工件。喷漆房废气处理以水作为介质，采用上送风下抽风的方式，使漆雾与水在喷漆室下部充分混合的水帘装置， 新鲜空气通过送风管道系统送入水旋喷漆室室体顶部的均压室，经均流调节器和过滤层后，以0.45 m/ s的端而风速均匀地送入室体内，自上而下，将工件置入具有一定风速的均流层中，</w:t>
            </w:r>
            <w:r>
              <w:rPr>
                <w:rFonts w:hint="eastAsia"/>
                <w:b/>
                <w:bCs/>
                <w:color w:val="FF0000"/>
                <w:sz w:val="24"/>
                <w:szCs w:val="24"/>
              </w:rPr>
              <w:t> </w:t>
            </w:r>
            <w:r>
              <w:rPr>
                <w:rFonts w:hint="eastAsia"/>
                <w:color w:val="FF0000"/>
                <w:sz w:val="24"/>
                <w:szCs w:val="24"/>
              </w:rPr>
              <w:t>使飞溅的废漆雾压入喷漆室水帘装置，水在高速气流的冲击下被雾化后和废漆雾充分混合，</w:t>
            </w:r>
            <w:r>
              <w:rPr>
                <w:rFonts w:hint="eastAsia"/>
                <w:b/>
                <w:bCs/>
                <w:color w:val="FF0000"/>
                <w:sz w:val="24"/>
                <w:szCs w:val="24"/>
              </w:rPr>
              <w:t> </w:t>
            </w:r>
            <w:r>
              <w:rPr>
                <w:rFonts w:hint="eastAsia"/>
                <w:color w:val="FF0000"/>
                <w:sz w:val="24"/>
                <w:szCs w:val="24"/>
              </w:rPr>
              <w:t>从而使漆雾被吸引到水中而带走。</w:t>
            </w:r>
            <w:r>
              <w:rPr>
                <w:rFonts w:hint="eastAsia"/>
                <w:color w:val="000000" w:themeColor="text1"/>
                <w:kern w:val="0"/>
                <w:sz w:val="24"/>
                <w:szCs w:val="24"/>
              </w:rPr>
              <w:t>考虑开门关门时会有少量废气无组织排放，废气捕集率按95%计，</w:t>
            </w:r>
            <w:r>
              <w:rPr>
                <w:rFonts w:hint="eastAsia"/>
                <w:color w:val="FF0000"/>
                <w:kern w:val="0"/>
                <w:sz w:val="24"/>
                <w:szCs w:val="24"/>
              </w:rPr>
              <w:t>废气捕集后</w:t>
            </w:r>
            <w:r>
              <w:rPr>
                <w:color w:val="FF0000"/>
                <w:kern w:val="0"/>
                <w:sz w:val="24"/>
                <w:szCs w:val="24"/>
              </w:rPr>
              <w:t>漆雾首先经</w:t>
            </w:r>
            <w:r>
              <w:rPr>
                <w:rFonts w:hint="eastAsia"/>
                <w:color w:val="FF0000"/>
                <w:kern w:val="0"/>
                <w:sz w:val="24"/>
                <w:szCs w:val="24"/>
              </w:rPr>
              <w:t>水帘装置</w:t>
            </w:r>
            <w:r>
              <w:rPr>
                <w:color w:val="FF0000"/>
                <w:kern w:val="0"/>
                <w:sz w:val="24"/>
                <w:szCs w:val="24"/>
              </w:rPr>
              <w:t>后</w:t>
            </w:r>
            <w:r>
              <w:rPr>
                <w:rFonts w:hint="eastAsia"/>
                <w:color w:val="FF0000"/>
                <w:kern w:val="0"/>
                <w:sz w:val="24"/>
                <w:szCs w:val="24"/>
              </w:rPr>
              <w:t>，再经引风系统引入室外的</w:t>
            </w:r>
            <w:r>
              <w:rPr>
                <w:color w:val="FF0000"/>
                <w:kern w:val="0"/>
                <w:sz w:val="24"/>
                <w:szCs w:val="24"/>
              </w:rPr>
              <w:t>1套</w:t>
            </w:r>
            <w:r>
              <w:rPr>
                <w:rFonts w:hint="eastAsia"/>
                <w:color w:val="FF0000"/>
                <w:kern w:val="0"/>
                <w:sz w:val="24"/>
                <w:szCs w:val="24"/>
              </w:rPr>
              <w:t>“催化燃烧”</w:t>
            </w:r>
            <w:r>
              <w:rPr>
                <w:color w:val="FF0000"/>
                <w:kern w:val="0"/>
                <w:sz w:val="24"/>
                <w:szCs w:val="24"/>
              </w:rPr>
              <w:t>装置进行处理</w:t>
            </w:r>
            <w:r>
              <w:rPr>
                <w:rFonts w:hint="eastAsia"/>
                <w:color w:val="FF0000"/>
                <w:kern w:val="0"/>
                <w:sz w:val="24"/>
                <w:szCs w:val="24"/>
              </w:rPr>
              <w:t>；烘干废气经烘干室顶部的引风系统引入室外的</w:t>
            </w:r>
            <w:r>
              <w:rPr>
                <w:color w:val="FF0000"/>
                <w:kern w:val="0"/>
                <w:sz w:val="24"/>
                <w:szCs w:val="24"/>
              </w:rPr>
              <w:t>1套</w:t>
            </w:r>
            <w:r>
              <w:rPr>
                <w:rFonts w:hint="eastAsia"/>
                <w:color w:val="FF0000"/>
                <w:kern w:val="0"/>
                <w:sz w:val="24"/>
                <w:szCs w:val="24"/>
              </w:rPr>
              <w:t>“催化燃烧”</w:t>
            </w:r>
            <w:r>
              <w:rPr>
                <w:color w:val="FF0000"/>
                <w:kern w:val="0"/>
                <w:sz w:val="24"/>
                <w:szCs w:val="24"/>
              </w:rPr>
              <w:t>装置进行处理</w:t>
            </w:r>
            <w:r>
              <w:rPr>
                <w:rFonts w:hint="eastAsia"/>
                <w:color w:val="FF0000"/>
                <w:kern w:val="0"/>
                <w:sz w:val="24"/>
                <w:szCs w:val="24"/>
              </w:rPr>
              <w:t>。喷漆室、烘干室有机废气共用1套“催化燃烧”</w:t>
            </w:r>
            <w:r>
              <w:rPr>
                <w:color w:val="FF0000"/>
                <w:kern w:val="0"/>
                <w:sz w:val="24"/>
                <w:szCs w:val="24"/>
              </w:rPr>
              <w:t>装置进行处理</w:t>
            </w:r>
            <w:r>
              <w:rPr>
                <w:rFonts w:hint="eastAsia"/>
                <w:color w:val="FF0000"/>
                <w:kern w:val="0"/>
                <w:sz w:val="24"/>
                <w:szCs w:val="24"/>
              </w:rPr>
              <w:t>后，经1根15m高排气筒排放。</w:t>
            </w:r>
            <w:r>
              <w:rPr>
                <w:rFonts w:hint="eastAsia"/>
                <w:kern w:val="0"/>
                <w:sz w:val="24"/>
                <w:szCs w:val="24"/>
              </w:rPr>
              <w:t>处理效率90%，风量10000m</w:t>
            </w:r>
            <w:r>
              <w:rPr>
                <w:rFonts w:hint="eastAsia"/>
                <w:kern w:val="0"/>
                <w:sz w:val="24"/>
                <w:szCs w:val="24"/>
                <w:vertAlign w:val="superscript"/>
              </w:rPr>
              <w:t>3</w:t>
            </w:r>
            <w:r>
              <w:rPr>
                <w:rFonts w:hint="eastAsia"/>
                <w:kern w:val="0"/>
                <w:sz w:val="24"/>
                <w:szCs w:val="24"/>
              </w:rPr>
              <w:t>/h。</w:t>
            </w:r>
          </w:p>
          <w:p>
            <w:pPr>
              <w:spacing w:line="360" w:lineRule="auto"/>
              <w:ind w:firstLine="480"/>
              <w:rPr>
                <w:color w:val="000000" w:themeColor="text1"/>
                <w:sz w:val="24"/>
              </w:rPr>
            </w:pPr>
            <w:r>
              <w:rPr>
                <w:rFonts w:hint="eastAsia"/>
                <w:kern w:val="0"/>
                <w:sz w:val="24"/>
                <w:szCs w:val="24"/>
              </w:rPr>
              <w:t>非甲烷总烃</w:t>
            </w:r>
            <w:r>
              <w:rPr>
                <w:rFonts w:hint="eastAsia"/>
                <w:sz w:val="24"/>
              </w:rPr>
              <w:t>、颗粒物的有组织产生量分别为9.273t/a、6.49</w:t>
            </w:r>
            <w:r>
              <w:rPr>
                <w:rFonts w:hint="eastAsia"/>
                <w:color w:val="000000" w:themeColor="text1"/>
                <w:sz w:val="24"/>
              </w:rPr>
              <w:t>t/a，</w:t>
            </w:r>
            <w:r>
              <w:rPr>
                <w:rFonts w:hint="eastAsia"/>
                <w:kern w:val="0"/>
                <w:sz w:val="24"/>
                <w:szCs w:val="24"/>
              </w:rPr>
              <w:t>非甲烷总烃</w:t>
            </w:r>
            <w:r>
              <w:rPr>
                <w:rFonts w:hint="eastAsia"/>
                <w:sz w:val="24"/>
              </w:rPr>
              <w:t>、颗粒物的有组织</w:t>
            </w:r>
            <w:r>
              <w:rPr>
                <w:rFonts w:hint="eastAsia"/>
                <w:color w:val="000000" w:themeColor="text1"/>
                <w:sz w:val="24"/>
              </w:rPr>
              <w:t>排放量分别为</w:t>
            </w:r>
            <w:r>
              <w:rPr>
                <w:rFonts w:hint="eastAsia"/>
                <w:sz w:val="24"/>
              </w:rPr>
              <w:t>0.927t/a（排放速率为0.386</w:t>
            </w:r>
            <w:r>
              <w:rPr>
                <w:rFonts w:hint="eastAsia"/>
                <w:color w:val="000000" w:themeColor="text1"/>
                <w:sz w:val="24"/>
              </w:rPr>
              <w:t>kg/h，排放浓度为</w:t>
            </w:r>
            <w:r>
              <w:rPr>
                <w:rFonts w:hint="eastAsia"/>
                <w:sz w:val="24"/>
              </w:rPr>
              <w:t>38.6</w:t>
            </w:r>
            <w:r>
              <w:rPr>
                <w:rFonts w:hint="eastAsia"/>
                <w:color w:val="000000" w:themeColor="text1"/>
                <w:sz w:val="24"/>
              </w:rPr>
              <w:t>mg/m</w:t>
            </w:r>
            <w:r>
              <w:rPr>
                <w:rFonts w:hint="eastAsia"/>
                <w:color w:val="000000" w:themeColor="text1"/>
                <w:sz w:val="24"/>
                <w:vertAlign w:val="superscript"/>
              </w:rPr>
              <w:t>3</w:t>
            </w:r>
            <w:r>
              <w:rPr>
                <w:rFonts w:hint="eastAsia"/>
                <w:color w:val="000000" w:themeColor="text1"/>
                <w:sz w:val="24"/>
              </w:rPr>
              <w:t>）、</w:t>
            </w:r>
            <w:r>
              <w:rPr>
                <w:rFonts w:hint="eastAsia"/>
                <w:sz w:val="24"/>
              </w:rPr>
              <w:t>0.649t/a（排放速率为0.27kg/h，排放浓度为27mg</w:t>
            </w:r>
            <w:r>
              <w:rPr>
                <w:rFonts w:hint="eastAsia"/>
                <w:color w:val="000000" w:themeColor="text1"/>
                <w:sz w:val="24"/>
              </w:rPr>
              <w:t>/m</w:t>
            </w:r>
            <w:r>
              <w:rPr>
                <w:rFonts w:hint="eastAsia"/>
                <w:color w:val="000000" w:themeColor="text1"/>
                <w:sz w:val="24"/>
                <w:vertAlign w:val="superscript"/>
              </w:rPr>
              <w:t>3</w:t>
            </w:r>
            <w:r>
              <w:rPr>
                <w:rFonts w:hint="eastAsia"/>
                <w:color w:val="000000" w:themeColor="text1"/>
                <w:sz w:val="24"/>
              </w:rPr>
              <w:t>），</w:t>
            </w:r>
            <w:r>
              <w:rPr>
                <w:rFonts w:hint="eastAsia"/>
                <w:kern w:val="0"/>
                <w:sz w:val="24"/>
                <w:szCs w:val="24"/>
              </w:rPr>
              <w:t>非甲烷总烃</w:t>
            </w:r>
            <w:r>
              <w:rPr>
                <w:rFonts w:hint="eastAsia"/>
                <w:sz w:val="24"/>
              </w:rPr>
              <w:t>、颗粒物的无组织排放量分别为0.488</w:t>
            </w:r>
            <w:r>
              <w:rPr>
                <w:rFonts w:hint="eastAsia"/>
                <w:color w:val="000000" w:themeColor="text1"/>
                <w:sz w:val="24"/>
              </w:rPr>
              <w:t>t/a(</w:t>
            </w:r>
            <w:r>
              <w:rPr>
                <w:rFonts w:hint="eastAsia"/>
                <w:sz w:val="24"/>
              </w:rPr>
              <w:t>0.203</w:t>
            </w:r>
            <w:r>
              <w:rPr>
                <w:rFonts w:hint="eastAsia"/>
                <w:color w:val="000000" w:themeColor="text1"/>
                <w:sz w:val="24"/>
              </w:rPr>
              <w:t>kg/h)、</w:t>
            </w:r>
            <w:r>
              <w:rPr>
                <w:rFonts w:hint="eastAsia"/>
                <w:sz w:val="24"/>
              </w:rPr>
              <w:t>0.342</w:t>
            </w:r>
            <w:r>
              <w:rPr>
                <w:rFonts w:hint="eastAsia"/>
                <w:color w:val="000000" w:themeColor="text1"/>
                <w:sz w:val="24"/>
              </w:rPr>
              <w:t>t/a(</w:t>
            </w:r>
            <w:r>
              <w:rPr>
                <w:rFonts w:hint="eastAsia"/>
                <w:sz w:val="24"/>
              </w:rPr>
              <w:t>0.14</w:t>
            </w:r>
            <w:r>
              <w:rPr>
                <w:rFonts w:hint="eastAsia"/>
                <w:color w:val="000000" w:themeColor="text1"/>
                <w:sz w:val="24"/>
              </w:rPr>
              <w:t>kg/h)。非甲烷总烃排放浓度可满足《</w:t>
            </w:r>
            <w:r>
              <w:rPr>
                <w:color w:val="000000" w:themeColor="text1"/>
                <w:sz w:val="24"/>
              </w:rPr>
              <w:t>工业企业挥发性有机物排放控制标准》（DB13/2322-2016）表1中“</w:t>
            </w:r>
            <w:r>
              <w:rPr>
                <w:rFonts w:hint="eastAsia"/>
                <w:color w:val="000000" w:themeColor="text1"/>
                <w:sz w:val="24"/>
              </w:rPr>
              <w:t>表面涂装</w:t>
            </w:r>
            <w:r>
              <w:rPr>
                <w:color w:val="000000" w:themeColor="text1"/>
                <w:sz w:val="24"/>
              </w:rPr>
              <w:t>业”</w:t>
            </w:r>
            <w:r>
              <w:rPr>
                <w:rFonts w:hint="eastAsia"/>
                <w:color w:val="000000" w:themeColor="text1"/>
                <w:sz w:val="24"/>
              </w:rPr>
              <w:t>有机废气排放品</w:t>
            </w:r>
            <w:r>
              <w:rPr>
                <w:color w:val="000000" w:themeColor="text1"/>
                <w:sz w:val="24"/>
              </w:rPr>
              <w:t>限值</w:t>
            </w:r>
            <w:r>
              <w:rPr>
                <w:rFonts w:hint="eastAsia"/>
                <w:color w:val="000000" w:themeColor="text1"/>
                <w:sz w:val="24"/>
              </w:rPr>
              <w:t>及表2中“其他企业”的边界大气污染物浓度限值及</w:t>
            </w:r>
            <w:r>
              <w:rPr>
                <w:color w:val="000000"/>
                <w:sz w:val="24"/>
              </w:rPr>
              <w:t>《挥发性有机物无组织排放控制标准》（GB37822-2019）表A.1厂区内VOCs无组织排放限值</w:t>
            </w:r>
            <w:r>
              <w:rPr>
                <w:rFonts w:hint="eastAsia"/>
                <w:color w:val="000000" w:themeColor="text1"/>
                <w:sz w:val="24"/>
              </w:rPr>
              <w:t>；</w:t>
            </w:r>
            <w:r>
              <w:rPr>
                <w:rFonts w:hint="eastAsia"/>
                <w:kern w:val="0"/>
                <w:sz w:val="24"/>
                <w:szCs w:val="24"/>
              </w:rPr>
              <w:t>颗粒物</w:t>
            </w:r>
            <w:r>
              <w:rPr>
                <w:rFonts w:hint="eastAsia"/>
                <w:color w:val="000000" w:themeColor="text1"/>
                <w:sz w:val="24"/>
              </w:rPr>
              <w:t>排放浓度、排放速率可满足</w:t>
            </w:r>
            <w:r>
              <w:rPr>
                <w:kern w:val="0"/>
                <w:sz w:val="24"/>
                <w:szCs w:val="24"/>
              </w:rPr>
              <w:t>《大气污染物综合排放标准》（GB16297-1996）表2二级标准</w:t>
            </w:r>
            <w:r>
              <w:rPr>
                <w:rFonts w:hint="eastAsia"/>
                <w:kern w:val="0"/>
                <w:sz w:val="24"/>
                <w:szCs w:val="24"/>
              </w:rPr>
              <w:t>及</w:t>
            </w:r>
            <w:r>
              <w:rPr>
                <w:rFonts w:hint="eastAsia" w:hAnsi="宋体"/>
                <w:sz w:val="24"/>
              </w:rPr>
              <w:t>表2无组织排放监控点浓度限值</w:t>
            </w:r>
            <w:r>
              <w:rPr>
                <w:kern w:val="0"/>
                <w:sz w:val="24"/>
                <w:szCs w:val="24"/>
              </w:rPr>
              <w:t>。</w:t>
            </w:r>
          </w:p>
          <w:p>
            <w:pPr>
              <w:spacing w:line="360" w:lineRule="auto"/>
              <w:ind w:firstLine="472" w:firstLineChars="200"/>
            </w:pPr>
            <w:r>
              <w:rPr>
                <w:rFonts w:hint="eastAsia"/>
                <w:sz w:val="24"/>
                <w:szCs w:val="24"/>
              </w:rPr>
              <w:t>项目区</w:t>
            </w:r>
            <w:r>
              <w:rPr>
                <w:sz w:val="24"/>
                <w:szCs w:val="24"/>
              </w:rPr>
              <w:t>环境空气PM10</w:t>
            </w:r>
            <w:r>
              <w:rPr>
                <w:rFonts w:hint="eastAsia"/>
                <w:sz w:val="24"/>
                <w:szCs w:val="24"/>
              </w:rPr>
              <w:t>、</w:t>
            </w:r>
            <w:r>
              <w:rPr>
                <w:sz w:val="24"/>
                <w:szCs w:val="24"/>
              </w:rPr>
              <w:t>PM2.5是主要污染物</w:t>
            </w:r>
            <w:r>
              <w:rPr>
                <w:rFonts w:hint="eastAsia"/>
                <w:sz w:val="24"/>
                <w:szCs w:val="24"/>
              </w:rPr>
              <w:t>，</w:t>
            </w:r>
            <w:r>
              <w:rPr>
                <w:sz w:val="24"/>
                <w:szCs w:val="24"/>
              </w:rPr>
              <w:t>为不达标区。</w:t>
            </w:r>
            <w:r>
              <w:rPr>
                <w:rFonts w:hint="eastAsia"/>
                <w:sz w:val="24"/>
                <w:szCs w:val="24"/>
              </w:rPr>
              <w:t>魏县</w:t>
            </w:r>
            <w:r>
              <w:rPr>
                <w:sz w:val="24"/>
                <w:szCs w:val="24"/>
              </w:rPr>
              <w:t>逐步推行“煤改气”计划及雾霾综合治理工程，随着区域内各类大气污染治理工程的推进，区域内环境中颗粒物能够得到有效控制，区域内环境将有所改善。</w:t>
            </w:r>
            <w:r>
              <w:rPr>
                <w:rFonts w:hint="eastAsia"/>
                <w:sz w:val="24"/>
                <w:szCs w:val="24"/>
              </w:rPr>
              <w:t>本</w:t>
            </w:r>
            <w:r>
              <w:rPr>
                <w:rFonts w:hint="eastAsia"/>
                <w:sz w:val="24"/>
                <w:lang w:val="zh-CN"/>
              </w:rPr>
              <w:t>项目污染物（颗粒物、非甲烷总烃）达标排放，</w:t>
            </w:r>
            <w:r>
              <w:rPr>
                <w:rFonts w:hint="eastAsia"/>
                <w:sz w:val="24"/>
              </w:rPr>
              <w:t xml:space="preserve"> 经预测，</w:t>
            </w:r>
            <w:r>
              <w:rPr>
                <w:sz w:val="24"/>
              </w:rPr>
              <w:t>项目实施后废气污染物的贡献浓度较低，且出现最大地面质量浓度的距离较近，影响范围小，</w:t>
            </w:r>
            <w:r>
              <w:rPr>
                <w:rFonts w:hint="eastAsia"/>
                <w:sz w:val="24"/>
              </w:rPr>
              <w:t>项目</w:t>
            </w:r>
            <w:r>
              <w:rPr>
                <w:sz w:val="24"/>
              </w:rPr>
              <w:t>实施后不会对周围环境空气质量产生明显不利影响</w:t>
            </w:r>
            <w:r>
              <w:rPr>
                <w:rFonts w:hint="eastAsia"/>
                <w:sz w:val="24"/>
              </w:rPr>
              <w:t xml:space="preserve">，环境影响可以接受。 </w:t>
            </w:r>
          </w:p>
          <w:p>
            <w:pPr>
              <w:spacing w:line="360" w:lineRule="auto"/>
              <w:ind w:firstLine="472" w:firstLineChars="200"/>
              <w:rPr>
                <w:b/>
                <w:bCs/>
                <w:kern w:val="1"/>
                <w:sz w:val="24"/>
                <w:szCs w:val="24"/>
              </w:rPr>
            </w:pPr>
            <w:r>
              <w:rPr>
                <w:rFonts w:hint="eastAsia"/>
                <w:b/>
                <w:bCs/>
                <w:kern w:val="1"/>
                <w:sz w:val="24"/>
                <w:szCs w:val="24"/>
              </w:rPr>
              <w:t>二</w:t>
            </w:r>
            <w:r>
              <w:rPr>
                <w:b/>
                <w:bCs/>
                <w:kern w:val="1"/>
                <w:sz w:val="24"/>
                <w:szCs w:val="24"/>
              </w:rPr>
              <w:t>、水环境影响分析</w:t>
            </w:r>
          </w:p>
          <w:p>
            <w:pPr>
              <w:spacing w:line="360" w:lineRule="auto"/>
              <w:ind w:firstLine="482"/>
              <w:rPr>
                <w:kern w:val="1"/>
                <w:sz w:val="24"/>
                <w:szCs w:val="24"/>
              </w:rPr>
            </w:pPr>
            <w:r>
              <w:rPr>
                <w:rFonts w:hint="eastAsia"/>
                <w:kern w:val="1"/>
                <w:sz w:val="24"/>
                <w:szCs w:val="24"/>
              </w:rPr>
              <w:t>1、地表水环境影响分析</w:t>
            </w:r>
          </w:p>
          <w:p>
            <w:pPr>
              <w:spacing w:line="360" w:lineRule="auto"/>
              <w:ind w:firstLine="472" w:firstLineChars="200"/>
              <w:rPr>
                <w:sz w:val="24"/>
                <w:szCs w:val="24"/>
              </w:rPr>
            </w:pPr>
            <w:r>
              <w:rPr>
                <w:rFonts w:hAnsi="宋体"/>
                <w:sz w:val="24"/>
                <w:szCs w:val="24"/>
              </w:rPr>
              <w:t>本项目</w:t>
            </w:r>
            <w:r>
              <w:rPr>
                <w:rFonts w:hAnsi="宋体"/>
                <w:bCs/>
                <w:sz w:val="24"/>
                <w:szCs w:val="24"/>
              </w:rPr>
              <w:t>无生产废水</w:t>
            </w:r>
            <w:r>
              <w:rPr>
                <w:rFonts w:hint="eastAsia" w:hAnsi="宋体"/>
                <w:bCs/>
                <w:sz w:val="24"/>
                <w:szCs w:val="24"/>
              </w:rPr>
              <w:t>，</w:t>
            </w:r>
            <w:r>
              <w:rPr>
                <w:rFonts w:hAnsi="宋体"/>
                <w:sz w:val="24"/>
                <w:szCs w:val="24"/>
              </w:rPr>
              <w:t>生活废水产生量为</w:t>
            </w:r>
            <w:r>
              <w:rPr>
                <w:rFonts w:hint="eastAsia"/>
                <w:sz w:val="24"/>
                <w:szCs w:val="24"/>
              </w:rPr>
              <w:t>7488</w:t>
            </w:r>
            <w:r>
              <w:rPr>
                <w:sz w:val="24"/>
                <w:szCs w:val="24"/>
              </w:rPr>
              <w:t>m</w:t>
            </w:r>
            <w:r>
              <w:rPr>
                <w:sz w:val="24"/>
                <w:szCs w:val="24"/>
                <w:vertAlign w:val="superscript"/>
              </w:rPr>
              <w:t>3</w:t>
            </w:r>
            <w:r>
              <w:rPr>
                <w:sz w:val="24"/>
                <w:szCs w:val="24"/>
              </w:rPr>
              <w:t>/a</w:t>
            </w:r>
            <w:r>
              <w:rPr>
                <w:rFonts w:hAnsi="宋体"/>
                <w:sz w:val="24"/>
                <w:szCs w:val="24"/>
              </w:rPr>
              <w:t>，主要污染物为COD、</w:t>
            </w:r>
            <w:r>
              <w:rPr>
                <w:rFonts w:hint="eastAsia" w:hAnsi="宋体"/>
                <w:sz w:val="24"/>
                <w:szCs w:val="24"/>
              </w:rPr>
              <w:t>BOD</w:t>
            </w:r>
            <w:r>
              <w:rPr>
                <w:rFonts w:hint="eastAsia" w:hAnsi="宋体"/>
                <w:sz w:val="24"/>
                <w:szCs w:val="24"/>
                <w:vertAlign w:val="subscript"/>
              </w:rPr>
              <w:t>5</w:t>
            </w:r>
            <w:r>
              <w:rPr>
                <w:rFonts w:hAnsi="宋体"/>
                <w:sz w:val="24"/>
                <w:szCs w:val="24"/>
              </w:rPr>
              <w:t>、SS、氨氮</w:t>
            </w:r>
            <w:r>
              <w:rPr>
                <w:rFonts w:hint="eastAsia" w:hAnsi="宋体"/>
                <w:sz w:val="24"/>
                <w:szCs w:val="24"/>
              </w:rPr>
              <w:t>、动植物油、LAS，产生</w:t>
            </w:r>
            <w:r>
              <w:rPr>
                <w:rFonts w:hAnsi="宋体"/>
                <w:bCs/>
                <w:sz w:val="24"/>
                <w:szCs w:val="24"/>
              </w:rPr>
              <w:t>浓度分别为</w:t>
            </w:r>
            <w:r>
              <w:rPr>
                <w:rFonts w:hint="eastAsia" w:hAnsi="宋体"/>
                <w:sz w:val="24"/>
                <w:szCs w:val="24"/>
              </w:rPr>
              <w:t>35</w:t>
            </w:r>
            <w:r>
              <w:rPr>
                <w:rFonts w:hAnsi="宋体"/>
                <w:sz w:val="24"/>
                <w:szCs w:val="24"/>
              </w:rPr>
              <w:t>0mg/L、</w:t>
            </w:r>
            <w:r>
              <w:rPr>
                <w:rFonts w:hint="eastAsia" w:hAnsi="宋体"/>
                <w:sz w:val="24"/>
                <w:szCs w:val="24"/>
              </w:rPr>
              <w:t>25</w:t>
            </w:r>
            <w:r>
              <w:rPr>
                <w:rFonts w:hAnsi="宋体"/>
                <w:sz w:val="24"/>
                <w:szCs w:val="24"/>
              </w:rPr>
              <w:t>0mg/L、2</w:t>
            </w:r>
            <w:r>
              <w:rPr>
                <w:rFonts w:hint="eastAsia" w:hAnsi="宋体"/>
                <w:sz w:val="24"/>
                <w:szCs w:val="24"/>
              </w:rPr>
              <w:t>00</w:t>
            </w:r>
            <w:r>
              <w:rPr>
                <w:rFonts w:hAnsi="宋体"/>
                <w:sz w:val="24"/>
                <w:szCs w:val="24"/>
              </w:rPr>
              <w:t>mg/L、</w:t>
            </w:r>
            <w:r>
              <w:rPr>
                <w:rFonts w:hint="eastAsia" w:hAnsi="宋体"/>
                <w:sz w:val="24"/>
                <w:szCs w:val="24"/>
              </w:rPr>
              <w:t>3</w:t>
            </w:r>
            <w:r>
              <w:rPr>
                <w:rFonts w:hAnsi="宋体"/>
                <w:sz w:val="24"/>
                <w:szCs w:val="24"/>
              </w:rPr>
              <w:t>5mg/L</w:t>
            </w:r>
            <w:r>
              <w:rPr>
                <w:rFonts w:hint="eastAsia" w:hAnsi="宋体"/>
                <w:sz w:val="24"/>
                <w:szCs w:val="24"/>
              </w:rPr>
              <w:t>、7</w:t>
            </w:r>
            <w:r>
              <w:rPr>
                <w:rFonts w:hAnsi="宋体"/>
                <w:sz w:val="24"/>
                <w:szCs w:val="24"/>
              </w:rPr>
              <w:t>mg/L</w:t>
            </w:r>
            <w:r>
              <w:rPr>
                <w:rFonts w:hint="eastAsia" w:hAnsi="宋体"/>
                <w:sz w:val="24"/>
                <w:szCs w:val="24"/>
              </w:rPr>
              <w:t>、6</w:t>
            </w:r>
            <w:r>
              <w:rPr>
                <w:rFonts w:hAnsi="宋体"/>
                <w:sz w:val="24"/>
                <w:szCs w:val="24"/>
              </w:rPr>
              <w:t>mg/L，</w:t>
            </w:r>
            <w:r>
              <w:rPr>
                <w:rFonts w:hint="eastAsia" w:hAnsi="宋体"/>
                <w:sz w:val="24"/>
                <w:szCs w:val="24"/>
              </w:rPr>
              <w:t>产生</w:t>
            </w:r>
            <w:r>
              <w:rPr>
                <w:rFonts w:hAnsi="宋体"/>
                <w:bCs/>
                <w:sz w:val="24"/>
                <w:szCs w:val="24"/>
              </w:rPr>
              <w:t>量分别为</w:t>
            </w:r>
            <w:r>
              <w:rPr>
                <w:rFonts w:hint="eastAsia" w:hAnsi="宋体"/>
                <w:bCs/>
                <w:sz w:val="24"/>
                <w:szCs w:val="24"/>
              </w:rPr>
              <w:t>2.62</w:t>
            </w:r>
            <w:r>
              <w:rPr>
                <w:rFonts w:hAnsi="宋体"/>
                <w:bCs/>
                <w:sz w:val="24"/>
                <w:szCs w:val="24"/>
              </w:rPr>
              <w:t>t/a、</w:t>
            </w:r>
            <w:r>
              <w:rPr>
                <w:rFonts w:hint="eastAsia" w:hAnsi="宋体"/>
                <w:bCs/>
                <w:sz w:val="24"/>
                <w:szCs w:val="24"/>
              </w:rPr>
              <w:t>1.87</w:t>
            </w:r>
            <w:r>
              <w:rPr>
                <w:rFonts w:hAnsi="宋体"/>
                <w:bCs/>
                <w:sz w:val="24"/>
                <w:szCs w:val="24"/>
              </w:rPr>
              <w:t>t/a、</w:t>
            </w:r>
            <w:r>
              <w:rPr>
                <w:rFonts w:hint="eastAsia" w:hAnsi="宋体"/>
                <w:bCs/>
                <w:sz w:val="24"/>
                <w:szCs w:val="24"/>
              </w:rPr>
              <w:t>1.5</w:t>
            </w:r>
            <w:r>
              <w:rPr>
                <w:rFonts w:hAnsi="宋体"/>
                <w:bCs/>
                <w:sz w:val="24"/>
                <w:szCs w:val="24"/>
              </w:rPr>
              <w:t>t/a、0.</w:t>
            </w:r>
            <w:r>
              <w:rPr>
                <w:rFonts w:hint="eastAsia" w:hAnsi="宋体"/>
                <w:bCs/>
                <w:sz w:val="24"/>
                <w:szCs w:val="24"/>
              </w:rPr>
              <w:t>26</w:t>
            </w:r>
            <w:r>
              <w:rPr>
                <w:rFonts w:hAnsi="宋体"/>
                <w:bCs/>
                <w:sz w:val="24"/>
                <w:szCs w:val="24"/>
              </w:rPr>
              <w:t>t/a</w:t>
            </w:r>
            <w:r>
              <w:rPr>
                <w:rFonts w:hint="eastAsia" w:hAnsi="宋体"/>
                <w:bCs/>
                <w:sz w:val="24"/>
                <w:szCs w:val="24"/>
              </w:rPr>
              <w:t>、0.075</w:t>
            </w:r>
            <w:r>
              <w:rPr>
                <w:rFonts w:hAnsi="宋体"/>
                <w:bCs/>
                <w:sz w:val="24"/>
                <w:szCs w:val="24"/>
              </w:rPr>
              <w:t>t/a</w:t>
            </w:r>
            <w:r>
              <w:rPr>
                <w:rFonts w:hint="eastAsia" w:hAnsi="宋体"/>
                <w:bCs/>
                <w:sz w:val="24"/>
                <w:szCs w:val="24"/>
              </w:rPr>
              <w:t>、0.045</w:t>
            </w:r>
            <w:r>
              <w:rPr>
                <w:rFonts w:hAnsi="宋体"/>
                <w:bCs/>
                <w:sz w:val="24"/>
                <w:szCs w:val="24"/>
              </w:rPr>
              <w:t>t/a</w:t>
            </w:r>
            <w:r>
              <w:rPr>
                <w:rFonts w:hAnsi="宋体"/>
                <w:sz w:val="24"/>
                <w:szCs w:val="24"/>
              </w:rPr>
              <w:t>。</w:t>
            </w:r>
            <w:r>
              <w:rPr>
                <w:rFonts w:hint="eastAsia" w:hAnsi="宋体"/>
                <w:sz w:val="24"/>
                <w:szCs w:val="24"/>
              </w:rPr>
              <w:t>食堂废水</w:t>
            </w:r>
            <w:r>
              <w:rPr>
                <w:rFonts w:hAnsi="宋体"/>
                <w:sz w:val="24"/>
                <w:szCs w:val="24"/>
              </w:rPr>
              <w:t>经厂内隔油池处理、生活废水</w:t>
            </w:r>
            <w:r>
              <w:rPr>
                <w:rFonts w:hint="eastAsia" w:hAnsi="宋体"/>
                <w:sz w:val="24"/>
                <w:szCs w:val="24"/>
              </w:rPr>
              <w:t>经</w:t>
            </w:r>
            <w:r>
              <w:rPr>
                <w:rFonts w:hAnsi="宋体"/>
                <w:sz w:val="24"/>
                <w:szCs w:val="24"/>
              </w:rPr>
              <w:t>化粪池处理后经管网进入</w:t>
            </w:r>
            <w:r>
              <w:rPr>
                <w:rFonts w:hint="eastAsia" w:hAnsi="宋体"/>
                <w:sz w:val="24"/>
                <w:szCs w:val="24"/>
              </w:rPr>
              <w:t>魏县开发区污水处理厂</w:t>
            </w:r>
            <w:r>
              <w:rPr>
                <w:rFonts w:hAnsi="宋体"/>
                <w:sz w:val="24"/>
                <w:szCs w:val="24"/>
              </w:rPr>
              <w:t>进一步处理。</w:t>
            </w:r>
          </w:p>
          <w:p>
            <w:pPr>
              <w:spacing w:line="360" w:lineRule="auto"/>
              <w:ind w:firstLine="472" w:firstLineChars="200"/>
              <w:rPr>
                <w:rFonts w:ascii="宋体" w:hAnsi="宋体" w:cs="宋体"/>
                <w:kern w:val="1"/>
                <w:sz w:val="24"/>
                <w:szCs w:val="24"/>
              </w:rPr>
            </w:pPr>
            <w:r>
              <w:rPr>
                <w:rFonts w:hAnsi="宋体"/>
                <w:sz w:val="24"/>
                <w:szCs w:val="24"/>
              </w:rPr>
              <w:t>生活废</w:t>
            </w:r>
            <w:r>
              <w:rPr>
                <w:rFonts w:hint="eastAsia" w:hAnsi="宋体"/>
                <w:sz w:val="24"/>
                <w:szCs w:val="24"/>
              </w:rPr>
              <w:t>水中污染物</w:t>
            </w:r>
            <w:r>
              <w:rPr>
                <w:rFonts w:hAnsi="宋体"/>
                <w:sz w:val="24"/>
                <w:szCs w:val="24"/>
              </w:rPr>
              <w:t>COD、</w:t>
            </w:r>
            <w:r>
              <w:rPr>
                <w:rFonts w:hint="eastAsia" w:hAnsi="宋体"/>
                <w:sz w:val="24"/>
                <w:szCs w:val="24"/>
              </w:rPr>
              <w:t>BOD</w:t>
            </w:r>
            <w:r>
              <w:rPr>
                <w:rFonts w:hint="eastAsia" w:hAnsi="宋体"/>
                <w:sz w:val="24"/>
                <w:szCs w:val="24"/>
                <w:vertAlign w:val="subscript"/>
              </w:rPr>
              <w:t>5</w:t>
            </w:r>
            <w:r>
              <w:rPr>
                <w:rFonts w:hAnsi="宋体"/>
                <w:sz w:val="24"/>
                <w:szCs w:val="24"/>
              </w:rPr>
              <w:t>、SS、氨氮</w:t>
            </w:r>
            <w:r>
              <w:rPr>
                <w:rFonts w:hint="eastAsia" w:hAnsi="宋体"/>
                <w:sz w:val="24"/>
                <w:szCs w:val="24"/>
              </w:rPr>
              <w:t>、动植物油、LAS</w:t>
            </w:r>
            <w:r>
              <w:rPr>
                <w:rFonts w:hint="eastAsia" w:hAnsi="宋体"/>
                <w:bCs/>
                <w:sz w:val="24"/>
                <w:szCs w:val="24"/>
              </w:rPr>
              <w:t>排放</w:t>
            </w:r>
            <w:r>
              <w:rPr>
                <w:rFonts w:hAnsi="宋体"/>
                <w:bCs/>
                <w:sz w:val="24"/>
                <w:szCs w:val="24"/>
              </w:rPr>
              <w:t>浓度分别为</w:t>
            </w:r>
            <w:r>
              <w:rPr>
                <w:rFonts w:hint="eastAsia" w:hAnsi="宋体"/>
                <w:sz w:val="24"/>
                <w:szCs w:val="24"/>
              </w:rPr>
              <w:t>35</w:t>
            </w:r>
            <w:r>
              <w:rPr>
                <w:rFonts w:hAnsi="宋体"/>
                <w:sz w:val="24"/>
                <w:szCs w:val="24"/>
              </w:rPr>
              <w:t>0mg/L、</w:t>
            </w:r>
            <w:r>
              <w:rPr>
                <w:rFonts w:hint="eastAsia" w:hAnsi="宋体"/>
                <w:sz w:val="24"/>
                <w:szCs w:val="24"/>
              </w:rPr>
              <w:t>25</w:t>
            </w:r>
            <w:r>
              <w:rPr>
                <w:rFonts w:hAnsi="宋体"/>
                <w:sz w:val="24"/>
                <w:szCs w:val="24"/>
              </w:rPr>
              <w:t>0mg/L、2</w:t>
            </w:r>
            <w:r>
              <w:rPr>
                <w:rFonts w:hint="eastAsia" w:hAnsi="宋体"/>
                <w:sz w:val="24"/>
                <w:szCs w:val="24"/>
              </w:rPr>
              <w:t>00</w:t>
            </w:r>
            <w:r>
              <w:rPr>
                <w:rFonts w:hAnsi="宋体"/>
                <w:sz w:val="24"/>
                <w:szCs w:val="24"/>
              </w:rPr>
              <w:t>mg/L、</w:t>
            </w:r>
            <w:r>
              <w:rPr>
                <w:rFonts w:hint="eastAsia" w:hAnsi="宋体"/>
                <w:sz w:val="24"/>
                <w:szCs w:val="24"/>
              </w:rPr>
              <w:t>3</w:t>
            </w:r>
            <w:r>
              <w:rPr>
                <w:rFonts w:hAnsi="宋体"/>
                <w:sz w:val="24"/>
                <w:szCs w:val="24"/>
              </w:rPr>
              <w:t>5mg/L</w:t>
            </w:r>
            <w:r>
              <w:rPr>
                <w:rFonts w:hint="eastAsia" w:hAnsi="宋体"/>
                <w:sz w:val="24"/>
                <w:szCs w:val="24"/>
              </w:rPr>
              <w:t>、7</w:t>
            </w:r>
            <w:r>
              <w:rPr>
                <w:rFonts w:hAnsi="宋体"/>
                <w:sz w:val="24"/>
                <w:szCs w:val="24"/>
              </w:rPr>
              <w:t>mg/L</w:t>
            </w:r>
            <w:r>
              <w:rPr>
                <w:rFonts w:hint="eastAsia" w:hAnsi="宋体"/>
                <w:sz w:val="24"/>
                <w:szCs w:val="24"/>
              </w:rPr>
              <w:t>、6</w:t>
            </w:r>
            <w:r>
              <w:rPr>
                <w:rFonts w:hAnsi="宋体"/>
                <w:sz w:val="24"/>
                <w:szCs w:val="24"/>
              </w:rPr>
              <w:t>mg/L，</w:t>
            </w:r>
            <w:r>
              <w:rPr>
                <w:rFonts w:hAnsi="宋体"/>
                <w:bCs/>
                <w:sz w:val="24"/>
                <w:szCs w:val="24"/>
              </w:rPr>
              <w:t>排放量分别为</w:t>
            </w:r>
            <w:r>
              <w:rPr>
                <w:rFonts w:hint="eastAsia" w:hAnsi="宋体"/>
                <w:bCs/>
                <w:sz w:val="24"/>
                <w:szCs w:val="24"/>
              </w:rPr>
              <w:t>2.62</w:t>
            </w:r>
            <w:r>
              <w:rPr>
                <w:rFonts w:hAnsi="宋体"/>
                <w:bCs/>
                <w:sz w:val="24"/>
                <w:szCs w:val="24"/>
              </w:rPr>
              <w:t>t/a、</w:t>
            </w:r>
            <w:r>
              <w:rPr>
                <w:rFonts w:hint="eastAsia" w:hAnsi="宋体"/>
                <w:bCs/>
                <w:sz w:val="24"/>
                <w:szCs w:val="24"/>
              </w:rPr>
              <w:t>1.87</w:t>
            </w:r>
            <w:r>
              <w:rPr>
                <w:rFonts w:hAnsi="宋体"/>
                <w:bCs/>
                <w:sz w:val="24"/>
                <w:szCs w:val="24"/>
              </w:rPr>
              <w:t>t/a、</w:t>
            </w:r>
            <w:r>
              <w:rPr>
                <w:rFonts w:hint="eastAsia" w:hAnsi="宋体"/>
                <w:bCs/>
                <w:sz w:val="24"/>
                <w:szCs w:val="24"/>
              </w:rPr>
              <w:t>1.5</w:t>
            </w:r>
            <w:r>
              <w:rPr>
                <w:rFonts w:hAnsi="宋体"/>
                <w:bCs/>
                <w:sz w:val="24"/>
                <w:szCs w:val="24"/>
              </w:rPr>
              <w:t>t/a、0.</w:t>
            </w:r>
            <w:r>
              <w:rPr>
                <w:rFonts w:hint="eastAsia" w:hAnsi="宋体"/>
                <w:bCs/>
                <w:sz w:val="24"/>
                <w:szCs w:val="24"/>
              </w:rPr>
              <w:t>26</w:t>
            </w:r>
            <w:r>
              <w:rPr>
                <w:rFonts w:hAnsi="宋体"/>
                <w:bCs/>
                <w:sz w:val="24"/>
                <w:szCs w:val="24"/>
              </w:rPr>
              <w:t>t/a</w:t>
            </w:r>
            <w:r>
              <w:rPr>
                <w:rFonts w:hint="eastAsia" w:hAnsi="宋体"/>
                <w:bCs/>
                <w:sz w:val="24"/>
                <w:szCs w:val="24"/>
              </w:rPr>
              <w:t>、0.052</w:t>
            </w:r>
            <w:r>
              <w:rPr>
                <w:rFonts w:hAnsi="宋体"/>
                <w:bCs/>
                <w:sz w:val="24"/>
                <w:szCs w:val="24"/>
              </w:rPr>
              <w:t>t/a</w:t>
            </w:r>
            <w:r>
              <w:rPr>
                <w:rFonts w:hint="eastAsia" w:hAnsi="宋体"/>
                <w:bCs/>
                <w:sz w:val="24"/>
                <w:szCs w:val="24"/>
              </w:rPr>
              <w:t>、0.045</w:t>
            </w:r>
            <w:r>
              <w:rPr>
                <w:rFonts w:hAnsi="宋体"/>
                <w:bCs/>
                <w:sz w:val="24"/>
                <w:szCs w:val="24"/>
              </w:rPr>
              <w:t>t/a</w:t>
            </w:r>
            <w:r>
              <w:rPr>
                <w:rFonts w:hint="eastAsia" w:hAnsi="宋体"/>
                <w:bCs/>
                <w:sz w:val="24"/>
                <w:szCs w:val="24"/>
              </w:rPr>
              <w:t>，</w:t>
            </w:r>
            <w:r>
              <w:rPr>
                <w:rFonts w:hAnsi="宋体"/>
                <w:sz w:val="24"/>
                <w:szCs w:val="24"/>
              </w:rPr>
              <w:t>经污水管网进入</w:t>
            </w:r>
            <w:r>
              <w:rPr>
                <w:rFonts w:hint="eastAsia" w:hAnsi="宋体"/>
                <w:sz w:val="24"/>
                <w:szCs w:val="24"/>
              </w:rPr>
              <w:t>魏县开发区污水处理厂</w:t>
            </w:r>
            <w:r>
              <w:rPr>
                <w:rFonts w:hAnsi="宋体"/>
                <w:sz w:val="24"/>
                <w:szCs w:val="24"/>
              </w:rPr>
              <w:t>进一步处理。满足</w:t>
            </w:r>
            <w:r>
              <w:rPr>
                <w:rFonts w:hint="eastAsia" w:ascii="宋体" w:hAnsi="宋体" w:cs="宋体"/>
                <w:kern w:val="1"/>
                <w:sz w:val="24"/>
                <w:szCs w:val="24"/>
              </w:rPr>
              <w:t>《污水综合排放标准》</w:t>
            </w:r>
            <w:r>
              <w:rPr>
                <w:rFonts w:hAnsi="宋体"/>
                <w:kern w:val="1"/>
                <w:sz w:val="24"/>
                <w:szCs w:val="24"/>
              </w:rPr>
              <w:t>（</w:t>
            </w:r>
            <w:r>
              <w:rPr>
                <w:kern w:val="1"/>
                <w:sz w:val="24"/>
                <w:szCs w:val="24"/>
              </w:rPr>
              <w:t>GB8978-1996</w:t>
            </w:r>
            <w:r>
              <w:rPr>
                <w:rFonts w:hAnsi="宋体"/>
                <w:kern w:val="1"/>
                <w:sz w:val="24"/>
                <w:szCs w:val="24"/>
              </w:rPr>
              <w:t>）表</w:t>
            </w:r>
            <w:r>
              <w:rPr>
                <w:kern w:val="1"/>
                <w:sz w:val="24"/>
                <w:szCs w:val="24"/>
              </w:rPr>
              <w:t>4</w:t>
            </w:r>
            <w:r>
              <w:rPr>
                <w:rFonts w:hint="eastAsia" w:ascii="宋体" w:hAnsi="宋体" w:cs="宋体"/>
                <w:kern w:val="1"/>
                <w:sz w:val="24"/>
                <w:szCs w:val="24"/>
              </w:rPr>
              <w:t>中三级标准，同时满足魏县开发区污水处理厂进水水质要求。</w:t>
            </w:r>
          </w:p>
          <w:p>
            <w:pPr>
              <w:spacing w:line="360" w:lineRule="auto"/>
              <w:ind w:firstLine="472" w:firstLineChars="200"/>
              <w:rPr>
                <w:rFonts w:ascii="宋体" w:hAnsi="宋体" w:cs="宋体"/>
                <w:kern w:val="1"/>
                <w:sz w:val="24"/>
                <w:szCs w:val="24"/>
              </w:rPr>
            </w:pPr>
            <w:r>
              <w:rPr>
                <w:kern w:val="1"/>
                <w:sz w:val="24"/>
                <w:szCs w:val="24"/>
              </w:rPr>
              <w:t>魏县经济开发区工业污水处理厂位于东区南部，分两期进行建设，一期设计污水处理量为1.5万m</w:t>
            </w:r>
            <w:r>
              <w:rPr>
                <w:kern w:val="1"/>
                <w:sz w:val="24"/>
                <w:szCs w:val="24"/>
                <w:vertAlign w:val="superscript"/>
              </w:rPr>
              <w:t>3</w:t>
            </w:r>
            <w:r>
              <w:rPr>
                <w:kern w:val="1"/>
                <w:sz w:val="24"/>
                <w:szCs w:val="24"/>
              </w:rPr>
              <w:t>/d，二期设计污水处理量为3.0万m</w:t>
            </w:r>
            <w:r>
              <w:rPr>
                <w:kern w:val="1"/>
                <w:sz w:val="24"/>
                <w:szCs w:val="24"/>
                <w:vertAlign w:val="superscript"/>
              </w:rPr>
              <w:t>3</w:t>
            </w:r>
            <w:r>
              <w:rPr>
                <w:kern w:val="1"/>
                <w:sz w:val="24"/>
                <w:szCs w:val="24"/>
              </w:rPr>
              <w:t>/d。目前一期工程已正式投入使用，设计处理能力1.5万吨/日，实际处理能力为1.3万吨/日，本项目位于魏县经济开发区内，项目废水排入污水处理厂处理可行。</w:t>
            </w:r>
          </w:p>
          <w:p>
            <w:pPr>
              <w:spacing w:line="360" w:lineRule="auto"/>
              <w:ind w:firstLine="472" w:firstLineChars="200"/>
              <w:rPr>
                <w:sz w:val="24"/>
                <w:szCs w:val="24"/>
              </w:rPr>
            </w:pPr>
            <w:r>
              <w:rPr>
                <w:rFonts w:hint="eastAsia"/>
                <w:sz w:val="24"/>
                <w:szCs w:val="24"/>
              </w:rPr>
              <w:t>2、地下水</w:t>
            </w:r>
            <w:r>
              <w:rPr>
                <w:sz w:val="24"/>
                <w:szCs w:val="24"/>
              </w:rPr>
              <w:t>环境影响</w:t>
            </w:r>
            <w:r>
              <w:rPr>
                <w:rFonts w:hint="eastAsia"/>
                <w:sz w:val="24"/>
                <w:szCs w:val="24"/>
              </w:rPr>
              <w:t>分析</w:t>
            </w:r>
          </w:p>
          <w:p>
            <w:pPr>
              <w:spacing w:line="360" w:lineRule="auto"/>
              <w:ind w:firstLine="482"/>
              <w:rPr>
                <w:kern w:val="1"/>
                <w:sz w:val="24"/>
                <w:szCs w:val="24"/>
              </w:rPr>
            </w:pPr>
            <w:r>
              <w:rPr>
                <w:rFonts w:hint="eastAsia"/>
                <w:kern w:val="1"/>
                <w:sz w:val="24"/>
                <w:szCs w:val="24"/>
              </w:rPr>
              <w:t>本项目地下水污染源主要是</w:t>
            </w:r>
            <w:r>
              <w:rPr>
                <w:bCs/>
                <w:sz w:val="24"/>
                <w:szCs w:val="24"/>
              </w:rPr>
              <w:t>防渗</w:t>
            </w:r>
            <w:r>
              <w:rPr>
                <w:rFonts w:hAnsi="宋体"/>
                <w:sz w:val="24"/>
                <w:szCs w:val="24"/>
              </w:rPr>
              <w:t>隔油池</w:t>
            </w:r>
            <w:r>
              <w:rPr>
                <w:rFonts w:hint="eastAsia" w:hAnsiTheme="minorEastAsia" w:eastAsiaTheme="minorEastAsia"/>
                <w:bCs/>
                <w:sz w:val="24"/>
                <w:szCs w:val="24"/>
              </w:rPr>
              <w:t>、</w:t>
            </w:r>
            <w:r>
              <w:rPr>
                <w:rFonts w:hint="eastAsia"/>
                <w:bCs/>
                <w:sz w:val="24"/>
                <w:szCs w:val="24"/>
              </w:rPr>
              <w:t>化粪池、喷漆房、危废间</w:t>
            </w:r>
            <w:r>
              <w:rPr>
                <w:rFonts w:hint="eastAsia"/>
                <w:kern w:val="1"/>
                <w:sz w:val="24"/>
                <w:szCs w:val="24"/>
              </w:rPr>
              <w:t>防渗层破损导致</w:t>
            </w:r>
            <w:r>
              <w:rPr>
                <w:rFonts w:hint="eastAsia"/>
                <w:sz w:val="24"/>
              </w:rPr>
              <w:t>污染</w:t>
            </w:r>
            <w:r>
              <w:rPr>
                <w:rFonts w:hint="eastAsia"/>
                <w:bCs/>
                <w:sz w:val="24"/>
                <w:szCs w:val="24"/>
              </w:rPr>
              <w:t>物水性漆、COD、石油类</w:t>
            </w:r>
            <w:r>
              <w:rPr>
                <w:rFonts w:hint="eastAsia"/>
                <w:kern w:val="1"/>
                <w:sz w:val="24"/>
                <w:szCs w:val="24"/>
              </w:rPr>
              <w:t>泄漏渗入地下，对地下水环境造成影响。</w:t>
            </w:r>
          </w:p>
          <w:p>
            <w:pPr>
              <w:spacing w:line="360" w:lineRule="auto"/>
              <w:ind w:firstLine="482"/>
              <w:rPr>
                <w:kern w:val="1"/>
                <w:sz w:val="24"/>
                <w:szCs w:val="24"/>
              </w:rPr>
            </w:pPr>
            <w:r>
              <w:rPr>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kern w:val="1"/>
                <w:sz w:val="24"/>
                <w:szCs w:val="24"/>
              </w:rPr>
            </w:pPr>
            <w:r>
              <w:rPr>
                <w:kern w:val="1"/>
                <w:sz w:val="24"/>
                <w:szCs w:val="24"/>
              </w:rPr>
              <w:t>(1)源头控制措施</w:t>
            </w:r>
          </w:p>
          <w:p>
            <w:pPr>
              <w:spacing w:line="360" w:lineRule="auto"/>
              <w:ind w:firstLine="482"/>
              <w:rPr>
                <w:kern w:val="1"/>
                <w:sz w:val="24"/>
                <w:szCs w:val="24"/>
              </w:rPr>
            </w:pPr>
            <w:r>
              <w:rPr>
                <w:rFonts w:hint="eastAsia"/>
                <w:kern w:val="1"/>
                <w:sz w:val="24"/>
                <w:szCs w:val="24"/>
              </w:rPr>
              <w:t>提高清洁生产水平，减少污染物产生量；喷漆房</w:t>
            </w:r>
            <w:r>
              <w:rPr>
                <w:rFonts w:hint="eastAsia" w:hAnsiTheme="minorEastAsia" w:eastAsiaTheme="minorEastAsia"/>
                <w:bCs/>
                <w:sz w:val="24"/>
                <w:szCs w:val="24"/>
              </w:rPr>
              <w:t>、隔油池、</w:t>
            </w:r>
            <w:r>
              <w:rPr>
                <w:rFonts w:hint="eastAsia"/>
                <w:bCs/>
                <w:sz w:val="24"/>
                <w:szCs w:val="24"/>
              </w:rPr>
              <w:t>化粪池、危废间</w:t>
            </w:r>
            <w:r>
              <w:rPr>
                <w:rFonts w:hint="eastAsia"/>
                <w:kern w:val="1"/>
                <w:sz w:val="24"/>
                <w:szCs w:val="24"/>
              </w:rPr>
              <w:t>的维护和管理，防止水性漆、废水、</w:t>
            </w:r>
            <w:r>
              <w:rPr>
                <w:rFonts w:hint="eastAsia"/>
                <w:bCs/>
                <w:sz w:val="24"/>
                <w:szCs w:val="24"/>
              </w:rPr>
              <w:t>危废</w:t>
            </w:r>
            <w:r>
              <w:rPr>
                <w:rFonts w:hint="eastAsia"/>
                <w:kern w:val="1"/>
                <w:sz w:val="24"/>
                <w:szCs w:val="24"/>
              </w:rPr>
              <w:t>的跑、冒、滴、漏和非正常排放，将污染物泄漏的环境风险事故降到最低限度。</w:t>
            </w:r>
          </w:p>
          <w:p>
            <w:pPr>
              <w:spacing w:line="360" w:lineRule="auto"/>
              <w:ind w:firstLine="482"/>
              <w:rPr>
                <w:kern w:val="1"/>
                <w:sz w:val="24"/>
                <w:szCs w:val="24"/>
              </w:rPr>
            </w:pPr>
            <w:r>
              <w:rPr>
                <w:kern w:val="1"/>
                <w:sz w:val="24"/>
                <w:szCs w:val="24"/>
              </w:rPr>
              <w:t>(2)分区防控措施</w:t>
            </w:r>
          </w:p>
          <w:p>
            <w:pPr>
              <w:spacing w:line="360" w:lineRule="auto"/>
              <w:ind w:firstLine="482"/>
              <w:rPr>
                <w:bCs/>
                <w:sz w:val="24"/>
                <w:szCs w:val="24"/>
              </w:rPr>
            </w:pPr>
            <w:r>
              <w:rPr>
                <w:rFonts w:hint="eastAsia"/>
                <w:kern w:val="1"/>
                <w:sz w:val="24"/>
                <w:szCs w:val="24"/>
              </w:rPr>
              <w:t>根据《环境影响评价技术导则 地下水环境》(HJ610-2016)及《危险废物贮存污染控制标准》(GB18597-2001)及修改单(2013 年第 36 号)的要求，本评价要求采取如下</w:t>
            </w:r>
            <w:r>
              <w:rPr>
                <w:sz w:val="24"/>
              </w:rPr>
              <w:t>分区防渗措施</w:t>
            </w:r>
            <w:r>
              <w:rPr>
                <w:rFonts w:hint="eastAsia"/>
                <w:sz w:val="24"/>
              </w:rPr>
              <w:t>：</w:t>
            </w:r>
          </w:p>
          <w:p>
            <w:pPr>
              <w:spacing w:line="360" w:lineRule="auto"/>
              <w:ind w:firstLine="482"/>
              <w:rPr>
                <w:kern w:val="1"/>
                <w:sz w:val="24"/>
                <w:szCs w:val="24"/>
              </w:rPr>
            </w:pPr>
            <w:r>
              <w:rPr>
                <w:sz w:val="24"/>
              </w:rPr>
              <w:t>厂区</w:t>
            </w:r>
            <w:r>
              <w:rPr>
                <w:bCs/>
                <w:sz w:val="24"/>
                <w:szCs w:val="24"/>
              </w:rPr>
              <w:t>分为</w:t>
            </w:r>
            <w:r>
              <w:rPr>
                <w:rFonts w:hint="eastAsia"/>
                <w:bCs/>
                <w:sz w:val="24"/>
                <w:szCs w:val="24"/>
              </w:rPr>
              <w:t>重点防渗区、</w:t>
            </w:r>
            <w:r>
              <w:rPr>
                <w:bCs/>
                <w:sz w:val="24"/>
                <w:szCs w:val="24"/>
              </w:rPr>
              <w:t>一般防渗区和简单防渗区</w:t>
            </w:r>
            <w:r>
              <w:rPr>
                <w:rFonts w:hint="eastAsia"/>
                <w:bCs/>
                <w:sz w:val="24"/>
                <w:szCs w:val="24"/>
              </w:rPr>
              <w:t>，重点防渗区为喷漆房、危废暂存间；</w:t>
            </w:r>
            <w:r>
              <w:rPr>
                <w:bCs/>
                <w:sz w:val="24"/>
                <w:szCs w:val="24"/>
              </w:rPr>
              <w:t>一般防渗区包括</w:t>
            </w:r>
            <w:r>
              <w:rPr>
                <w:rFonts w:hAnsi="宋体"/>
                <w:sz w:val="24"/>
                <w:szCs w:val="24"/>
              </w:rPr>
              <w:t>隔油池</w:t>
            </w:r>
            <w:r>
              <w:rPr>
                <w:rFonts w:hint="eastAsia" w:hAnsiTheme="minorEastAsia" w:eastAsiaTheme="minorEastAsia"/>
                <w:bCs/>
                <w:sz w:val="24"/>
                <w:szCs w:val="24"/>
              </w:rPr>
              <w:t>、</w:t>
            </w:r>
            <w:r>
              <w:rPr>
                <w:rFonts w:hint="eastAsia" w:eastAsiaTheme="minorEastAsia"/>
                <w:bCs/>
                <w:sz w:val="24"/>
                <w:szCs w:val="24"/>
              </w:rPr>
              <w:t>化粪池</w:t>
            </w:r>
            <w:r>
              <w:rPr>
                <w:bCs/>
                <w:sz w:val="24"/>
                <w:szCs w:val="24"/>
              </w:rPr>
              <w:t>等公辅工程区</w:t>
            </w:r>
            <w:r>
              <w:rPr>
                <w:rFonts w:hint="eastAsia"/>
                <w:bCs/>
                <w:sz w:val="24"/>
                <w:szCs w:val="24"/>
              </w:rPr>
              <w:t>；</w:t>
            </w:r>
            <w:r>
              <w:rPr>
                <w:bCs/>
                <w:sz w:val="24"/>
                <w:szCs w:val="24"/>
              </w:rPr>
              <w:t>简单防治区包括</w:t>
            </w:r>
            <w:r>
              <w:rPr>
                <w:rFonts w:hint="eastAsia"/>
                <w:bCs/>
                <w:sz w:val="24"/>
                <w:szCs w:val="24"/>
              </w:rPr>
              <w:t>车间地面、厂区道路、办公区等</w:t>
            </w:r>
            <w:r>
              <w:rPr>
                <w:bCs/>
                <w:sz w:val="24"/>
                <w:szCs w:val="24"/>
              </w:rPr>
              <w:t>。</w:t>
            </w:r>
          </w:p>
          <w:p>
            <w:pPr>
              <w:spacing w:line="360" w:lineRule="auto"/>
              <w:ind w:firstLine="482"/>
              <w:rPr>
                <w:kern w:val="1"/>
                <w:sz w:val="24"/>
                <w:szCs w:val="24"/>
              </w:rPr>
            </w:pPr>
            <w:r>
              <w:rPr>
                <w:rFonts w:hint="eastAsia"/>
                <w:kern w:val="1"/>
                <w:sz w:val="24"/>
                <w:szCs w:val="24"/>
              </w:rPr>
              <w:t>重点防渗区：</w:t>
            </w:r>
            <w:r>
              <w:rPr>
                <w:rFonts w:hint="eastAsia"/>
                <w:bCs/>
                <w:sz w:val="24"/>
                <w:szCs w:val="24"/>
              </w:rPr>
              <w:t>喷漆房、</w:t>
            </w:r>
            <w:r>
              <w:rPr>
                <w:rFonts w:hint="eastAsia"/>
                <w:kern w:val="1"/>
                <w:sz w:val="24"/>
                <w:szCs w:val="24"/>
              </w:rPr>
              <w:t>危险废物暂存间地面地面基础必须防渗处理，防渗层为至少1米厚粘土层(渗透系数≤10</w:t>
            </w:r>
            <w:r>
              <w:rPr>
                <w:rFonts w:hint="eastAsia"/>
                <w:kern w:val="1"/>
                <w:sz w:val="24"/>
                <w:szCs w:val="24"/>
                <w:vertAlign w:val="superscript"/>
              </w:rPr>
              <w:t>-7</w:t>
            </w:r>
            <w:r>
              <w:rPr>
                <w:rFonts w:hint="eastAsia"/>
                <w:kern w:val="1"/>
                <w:sz w:val="24"/>
                <w:szCs w:val="24"/>
              </w:rPr>
              <w:t>cm/s)，或 2 毫米厚高密度聚乙烯，或至少2 毫米厚的其它人工材料，表面刷环氧树脂漆，渗透系数≤10</w:t>
            </w:r>
            <w:r>
              <w:rPr>
                <w:rFonts w:hint="eastAsia"/>
                <w:kern w:val="1"/>
                <w:sz w:val="24"/>
                <w:szCs w:val="24"/>
                <w:vertAlign w:val="superscript"/>
              </w:rPr>
              <w:t>-10</w:t>
            </w:r>
            <w:r>
              <w:rPr>
                <w:rFonts w:hint="eastAsia"/>
                <w:kern w:val="1"/>
                <w:sz w:val="24"/>
                <w:szCs w:val="24"/>
              </w:rPr>
              <w:t>cm/s，且做到表面无裂隙，并设置堵截泄漏的裙角，同时设置泄漏液体的收集装置。</w:t>
            </w:r>
          </w:p>
          <w:p>
            <w:pPr>
              <w:spacing w:line="360" w:lineRule="auto"/>
              <w:ind w:firstLine="482"/>
              <w:rPr>
                <w:kern w:val="1"/>
                <w:sz w:val="24"/>
                <w:szCs w:val="24"/>
              </w:rPr>
            </w:pPr>
            <w:r>
              <w:rPr>
                <w:rFonts w:hint="eastAsia"/>
                <w:kern w:val="1"/>
                <w:sz w:val="24"/>
                <w:szCs w:val="24"/>
              </w:rPr>
              <w:t>一般防渗区：</w:t>
            </w:r>
            <w:r>
              <w:rPr>
                <w:rFonts w:hAnsi="宋体"/>
                <w:sz w:val="24"/>
                <w:szCs w:val="24"/>
              </w:rPr>
              <w:t>隔油池</w:t>
            </w:r>
            <w:r>
              <w:rPr>
                <w:rFonts w:hint="eastAsia" w:hAnsiTheme="minorEastAsia" w:eastAsiaTheme="minorEastAsia"/>
                <w:bCs/>
                <w:sz w:val="24"/>
                <w:szCs w:val="24"/>
              </w:rPr>
              <w:t>和</w:t>
            </w:r>
            <w:r>
              <w:rPr>
                <w:rFonts w:hint="eastAsia" w:eastAsiaTheme="minorEastAsia"/>
                <w:bCs/>
                <w:sz w:val="24"/>
                <w:szCs w:val="24"/>
              </w:rPr>
              <w:t>化粪池的池体池壁均</w:t>
            </w:r>
            <w:r>
              <w:rPr>
                <w:rFonts w:hint="eastAsia"/>
                <w:kern w:val="1"/>
                <w:sz w:val="24"/>
                <w:szCs w:val="24"/>
              </w:rPr>
              <w:t>采用耐酸、防酸水泥硬化，并采用防水材料进行防渗处理，使渗透系数低于10</w:t>
            </w:r>
            <w:r>
              <w:rPr>
                <w:rFonts w:hint="eastAsia"/>
                <w:kern w:val="1"/>
                <w:sz w:val="24"/>
                <w:szCs w:val="24"/>
                <w:vertAlign w:val="superscript"/>
              </w:rPr>
              <w:t>-7</w:t>
            </w:r>
            <w:r>
              <w:rPr>
                <w:rFonts w:hint="eastAsia"/>
                <w:kern w:val="1"/>
                <w:sz w:val="24"/>
                <w:szCs w:val="24"/>
              </w:rPr>
              <w:t xml:space="preserve">cm/s。 </w:t>
            </w:r>
          </w:p>
          <w:p>
            <w:pPr>
              <w:spacing w:line="360" w:lineRule="auto"/>
              <w:ind w:firstLine="482"/>
              <w:rPr>
                <w:kern w:val="1"/>
                <w:sz w:val="24"/>
                <w:szCs w:val="24"/>
              </w:rPr>
            </w:pPr>
            <w:r>
              <w:rPr>
                <w:rFonts w:hint="eastAsia"/>
                <w:kern w:val="1"/>
                <w:sz w:val="24"/>
                <w:szCs w:val="24"/>
              </w:rPr>
              <w:t>简单防渗区：其余空地除绿地外，全部做水泥硬化处理。</w:t>
            </w:r>
          </w:p>
          <w:p>
            <w:pPr>
              <w:spacing w:line="360" w:lineRule="auto"/>
              <w:ind w:firstLine="482"/>
              <w:rPr>
                <w:kern w:val="1"/>
                <w:sz w:val="24"/>
                <w:szCs w:val="24"/>
              </w:rPr>
            </w:pPr>
            <w:r>
              <w:rPr>
                <w:kern w:val="1"/>
                <w:sz w:val="24"/>
                <w:szCs w:val="24"/>
              </w:rPr>
              <w:t>因此，项目营运期间不会对周围水环境产生明显影响。</w:t>
            </w:r>
          </w:p>
          <w:p>
            <w:pPr>
              <w:spacing w:line="360" w:lineRule="auto"/>
              <w:ind w:firstLine="480"/>
              <w:rPr>
                <w:b/>
                <w:bCs/>
                <w:kern w:val="1"/>
                <w:sz w:val="24"/>
                <w:szCs w:val="24"/>
              </w:rPr>
            </w:pPr>
            <w:r>
              <w:rPr>
                <w:rFonts w:hint="eastAsia"/>
                <w:b/>
                <w:bCs/>
                <w:kern w:val="1"/>
                <w:sz w:val="24"/>
                <w:szCs w:val="24"/>
              </w:rPr>
              <w:t>三</w:t>
            </w:r>
            <w:r>
              <w:rPr>
                <w:b/>
                <w:bCs/>
                <w:kern w:val="1"/>
                <w:sz w:val="24"/>
                <w:szCs w:val="24"/>
              </w:rPr>
              <w:t>、声环境影响分析</w:t>
            </w:r>
          </w:p>
          <w:p>
            <w:pPr>
              <w:spacing w:line="360" w:lineRule="auto"/>
              <w:ind w:firstLine="480"/>
              <w:rPr>
                <w:rFonts w:hAnsi="宋体"/>
                <w:bCs/>
                <w:sz w:val="24"/>
              </w:rPr>
            </w:pPr>
            <w:r>
              <w:rPr>
                <w:rFonts w:hint="eastAsia"/>
                <w:kern w:val="1"/>
                <w:sz w:val="24"/>
                <w:szCs w:val="24"/>
              </w:rPr>
              <w:t>1、</w:t>
            </w:r>
            <w:r>
              <w:rPr>
                <w:rFonts w:hint="eastAsia" w:hAnsi="宋体"/>
                <w:bCs/>
                <w:sz w:val="24"/>
              </w:rPr>
              <w:t>噪声源及源强：</w:t>
            </w:r>
          </w:p>
          <w:p>
            <w:pPr>
              <w:spacing w:line="360" w:lineRule="auto"/>
              <w:ind w:firstLine="480"/>
              <w:rPr>
                <w:rFonts w:hAnsi="宋体"/>
                <w:bCs/>
                <w:sz w:val="24"/>
              </w:rPr>
            </w:pPr>
            <w:r>
              <w:rPr>
                <w:rFonts w:hint="eastAsia"/>
                <w:kern w:val="1"/>
                <w:sz w:val="24"/>
                <w:szCs w:val="24"/>
              </w:rPr>
              <w:t>本项目</w:t>
            </w:r>
            <w:r>
              <w:rPr>
                <w:kern w:val="1"/>
                <w:sz w:val="24"/>
                <w:szCs w:val="24"/>
              </w:rPr>
              <w:t>噪声</w:t>
            </w:r>
            <w:r>
              <w:rPr>
                <w:rFonts w:hint="eastAsia"/>
                <w:kern w:val="1"/>
                <w:sz w:val="24"/>
                <w:szCs w:val="24"/>
              </w:rPr>
              <w:t>源</w:t>
            </w:r>
            <w:r>
              <w:rPr>
                <w:kern w:val="1"/>
                <w:sz w:val="24"/>
                <w:szCs w:val="24"/>
              </w:rPr>
              <w:t>主要为</w:t>
            </w:r>
            <w:r>
              <w:rPr>
                <w:spacing w:val="-6"/>
                <w:sz w:val="24"/>
                <w:szCs w:val="24"/>
              </w:rPr>
              <w:t>切割机、焊机、</w:t>
            </w:r>
            <w:r>
              <w:rPr>
                <w:rFonts w:hint="eastAsia"/>
                <w:spacing w:val="-6"/>
                <w:sz w:val="24"/>
                <w:szCs w:val="24"/>
              </w:rPr>
              <w:t>机加工设备</w:t>
            </w:r>
            <w:r>
              <w:rPr>
                <w:kern w:val="1"/>
                <w:sz w:val="24"/>
                <w:szCs w:val="24"/>
              </w:rPr>
              <w:t>等设备运行产生的噪声，噪声源强为</w:t>
            </w:r>
            <w:r>
              <w:rPr>
                <w:rFonts w:hint="eastAsia"/>
                <w:kern w:val="1"/>
                <w:sz w:val="24"/>
                <w:szCs w:val="24"/>
              </w:rPr>
              <w:t>8</w:t>
            </w:r>
            <w:r>
              <w:rPr>
                <w:kern w:val="1"/>
                <w:sz w:val="24"/>
                <w:szCs w:val="24"/>
              </w:rPr>
              <w:t>0-</w:t>
            </w:r>
            <w:r>
              <w:rPr>
                <w:rFonts w:hint="eastAsia"/>
                <w:kern w:val="1"/>
                <w:sz w:val="24"/>
                <w:szCs w:val="24"/>
              </w:rPr>
              <w:t>90</w:t>
            </w:r>
            <w:r>
              <w:rPr>
                <w:kern w:val="1"/>
                <w:sz w:val="24"/>
                <w:szCs w:val="24"/>
              </w:rPr>
              <w:t>dB(A)</w:t>
            </w:r>
            <w:r>
              <w:rPr>
                <w:rFonts w:hint="eastAsia"/>
                <w:kern w:val="1"/>
                <w:sz w:val="24"/>
                <w:szCs w:val="24"/>
              </w:rPr>
              <w:t>，</w:t>
            </w:r>
            <w:r>
              <w:rPr>
                <w:rFonts w:hint="eastAsia" w:hAnsi="宋体"/>
                <w:bCs/>
                <w:sz w:val="24"/>
              </w:rPr>
              <w:t>主要设备噪声源及源强见下表4-4。</w:t>
            </w:r>
          </w:p>
          <w:p>
            <w:pPr>
              <w:spacing w:line="360" w:lineRule="auto"/>
              <w:ind w:firstLine="472" w:firstLineChars="200"/>
              <w:jc w:val="center"/>
              <w:rPr>
                <w:rFonts w:hAnsi="宋体"/>
                <w:bCs/>
                <w:sz w:val="24"/>
              </w:rPr>
            </w:pPr>
            <w:r>
              <w:rPr>
                <w:b/>
                <w:sz w:val="24"/>
              </w:rPr>
              <w:t>表</w:t>
            </w:r>
            <w:r>
              <w:rPr>
                <w:rFonts w:hint="eastAsia"/>
                <w:b/>
                <w:sz w:val="24"/>
              </w:rPr>
              <w:t>4-4 项目主要噪声源及源强一览表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01"/>
              <w:gridCol w:w="1345"/>
              <w:gridCol w:w="1985"/>
              <w:gridCol w:w="1843"/>
              <w:gridCol w:w="1843"/>
              <w:gridCol w:w="1275"/>
              <w:gridCol w:w="1418"/>
              <w:gridCol w:w="14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restart"/>
                  <w:tcBorders>
                    <w:tl2br w:val="nil"/>
                    <w:tr2bl w:val="nil"/>
                  </w:tcBorders>
                  <w:vAlign w:val="center"/>
                </w:tcPr>
                <w:p>
                  <w:pPr>
                    <w:snapToGrid w:val="0"/>
                    <w:spacing w:line="240" w:lineRule="exact"/>
                    <w:ind w:right="113"/>
                    <w:jc w:val="center"/>
                    <w:rPr>
                      <w:b/>
                      <w:szCs w:val="21"/>
                    </w:rPr>
                  </w:pPr>
                  <w:r>
                    <w:rPr>
                      <w:b/>
                      <w:szCs w:val="21"/>
                    </w:rPr>
                    <w:t>序号</w:t>
                  </w:r>
                </w:p>
              </w:tc>
              <w:tc>
                <w:tcPr>
                  <w:tcW w:w="527" w:type="pct"/>
                  <w:vMerge w:val="restart"/>
                  <w:tcBorders>
                    <w:tl2br w:val="nil"/>
                    <w:tr2bl w:val="nil"/>
                  </w:tcBorders>
                  <w:vAlign w:val="center"/>
                </w:tcPr>
                <w:p>
                  <w:pPr>
                    <w:snapToGrid w:val="0"/>
                    <w:spacing w:line="240" w:lineRule="exact"/>
                    <w:ind w:right="113"/>
                    <w:jc w:val="center"/>
                    <w:rPr>
                      <w:b/>
                      <w:szCs w:val="21"/>
                    </w:rPr>
                  </w:pPr>
                  <w:r>
                    <w:rPr>
                      <w:b/>
                      <w:szCs w:val="21"/>
                    </w:rPr>
                    <w:t>噪声源</w:t>
                  </w:r>
                </w:p>
              </w:tc>
              <w:tc>
                <w:tcPr>
                  <w:tcW w:w="506" w:type="pct"/>
                  <w:vMerge w:val="restart"/>
                  <w:tcBorders>
                    <w:tl2br w:val="nil"/>
                    <w:tr2bl w:val="nil"/>
                  </w:tcBorders>
                  <w:vAlign w:val="center"/>
                </w:tcPr>
                <w:p>
                  <w:pPr>
                    <w:snapToGrid w:val="0"/>
                    <w:spacing w:line="240" w:lineRule="exact"/>
                    <w:ind w:right="113"/>
                    <w:jc w:val="center"/>
                    <w:rPr>
                      <w:b/>
                      <w:szCs w:val="21"/>
                    </w:rPr>
                  </w:pPr>
                  <w:r>
                    <w:rPr>
                      <w:b/>
                      <w:szCs w:val="21"/>
                    </w:rPr>
                    <w:t>台数(台)</w:t>
                  </w:r>
                </w:p>
              </w:tc>
              <w:tc>
                <w:tcPr>
                  <w:tcW w:w="747" w:type="pct"/>
                  <w:vMerge w:val="restart"/>
                  <w:tcBorders>
                    <w:tl2br w:val="nil"/>
                    <w:tr2bl w:val="nil"/>
                  </w:tcBorders>
                  <w:vAlign w:val="center"/>
                </w:tcPr>
                <w:p>
                  <w:pPr>
                    <w:snapToGrid w:val="0"/>
                    <w:spacing w:line="240" w:lineRule="exact"/>
                    <w:ind w:right="113"/>
                    <w:jc w:val="center"/>
                    <w:rPr>
                      <w:b/>
                      <w:szCs w:val="21"/>
                    </w:rPr>
                  </w:pPr>
                  <w:r>
                    <w:rPr>
                      <w:b/>
                      <w:szCs w:val="21"/>
                    </w:rPr>
                    <w:t>降噪措施</w:t>
                  </w:r>
                </w:p>
              </w:tc>
              <w:tc>
                <w:tcPr>
                  <w:tcW w:w="1388" w:type="pct"/>
                  <w:gridSpan w:val="2"/>
                  <w:tcBorders>
                    <w:tl2br w:val="nil"/>
                    <w:tr2bl w:val="nil"/>
                  </w:tcBorders>
                  <w:vAlign w:val="center"/>
                </w:tcPr>
                <w:p>
                  <w:pPr>
                    <w:snapToGrid w:val="0"/>
                    <w:spacing w:line="240" w:lineRule="exact"/>
                    <w:ind w:right="113"/>
                    <w:jc w:val="center"/>
                    <w:rPr>
                      <w:b/>
                      <w:szCs w:val="21"/>
                    </w:rPr>
                  </w:pPr>
                  <w:r>
                    <w:rPr>
                      <w:b/>
                      <w:szCs w:val="21"/>
                    </w:rPr>
                    <w:t>噪声值dB(A)</w:t>
                  </w:r>
                </w:p>
              </w:tc>
              <w:tc>
                <w:tcPr>
                  <w:tcW w:w="480" w:type="pct"/>
                  <w:vMerge w:val="restart"/>
                  <w:tcBorders>
                    <w:tl2br w:val="nil"/>
                    <w:tr2bl w:val="nil"/>
                  </w:tcBorders>
                  <w:vAlign w:val="center"/>
                </w:tcPr>
                <w:p>
                  <w:pPr>
                    <w:snapToGrid w:val="0"/>
                    <w:spacing w:line="240" w:lineRule="exact"/>
                    <w:ind w:right="113"/>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持续时间</w:t>
                  </w:r>
                </w:p>
              </w:tc>
              <w:tc>
                <w:tcPr>
                  <w:tcW w:w="534" w:type="pct"/>
                  <w:vMerge w:val="restart"/>
                  <w:tcBorders>
                    <w:tl2br w:val="nil"/>
                    <w:tr2bl w:val="nil"/>
                  </w:tcBorders>
                  <w:vAlign w:val="center"/>
                </w:tcPr>
                <w:p>
                  <w:pPr>
                    <w:spacing w:line="24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bCs/>
                      <w:kern w:val="1"/>
                      <w:szCs w:val="21"/>
                    </w:rPr>
                    <w:t>监测点位</w:t>
                  </w:r>
                </w:p>
              </w:tc>
              <w:tc>
                <w:tcPr>
                  <w:tcW w:w="558" w:type="pct"/>
                  <w:vMerge w:val="restart"/>
                  <w:tcBorders>
                    <w:tl2br w:val="nil"/>
                    <w:tr2bl w:val="nil"/>
                  </w:tcBorders>
                  <w:vAlign w:val="center"/>
                </w:tcPr>
                <w:p>
                  <w:pPr>
                    <w:spacing w:line="24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bCs/>
                      <w:kern w:val="1"/>
                      <w:szCs w:val="21"/>
                    </w:rPr>
                    <w:t>监测因子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continue"/>
                  <w:tcBorders>
                    <w:tl2br w:val="nil"/>
                    <w:tr2bl w:val="nil"/>
                  </w:tcBorders>
                  <w:vAlign w:val="center"/>
                </w:tcPr>
                <w:p>
                  <w:pPr>
                    <w:snapToGrid w:val="0"/>
                    <w:spacing w:line="240" w:lineRule="exact"/>
                    <w:ind w:right="113"/>
                    <w:jc w:val="center"/>
                    <w:rPr>
                      <w:b/>
                      <w:szCs w:val="21"/>
                    </w:rPr>
                  </w:pPr>
                </w:p>
              </w:tc>
              <w:tc>
                <w:tcPr>
                  <w:tcW w:w="527" w:type="pct"/>
                  <w:vMerge w:val="continue"/>
                  <w:tcBorders>
                    <w:tl2br w:val="nil"/>
                    <w:tr2bl w:val="nil"/>
                  </w:tcBorders>
                  <w:vAlign w:val="center"/>
                </w:tcPr>
                <w:p>
                  <w:pPr>
                    <w:snapToGrid w:val="0"/>
                    <w:spacing w:line="240" w:lineRule="exact"/>
                    <w:ind w:right="113"/>
                    <w:jc w:val="center"/>
                    <w:rPr>
                      <w:b/>
                      <w:szCs w:val="21"/>
                    </w:rPr>
                  </w:pPr>
                </w:p>
              </w:tc>
              <w:tc>
                <w:tcPr>
                  <w:tcW w:w="506" w:type="pct"/>
                  <w:vMerge w:val="continue"/>
                  <w:tcBorders>
                    <w:tl2br w:val="nil"/>
                    <w:tr2bl w:val="nil"/>
                  </w:tcBorders>
                  <w:vAlign w:val="center"/>
                </w:tcPr>
                <w:p>
                  <w:pPr>
                    <w:snapToGrid w:val="0"/>
                    <w:spacing w:line="240" w:lineRule="exact"/>
                    <w:ind w:right="113"/>
                    <w:jc w:val="center"/>
                    <w:rPr>
                      <w:b/>
                      <w:szCs w:val="21"/>
                    </w:rPr>
                  </w:pPr>
                </w:p>
              </w:tc>
              <w:tc>
                <w:tcPr>
                  <w:tcW w:w="747" w:type="pct"/>
                  <w:vMerge w:val="continue"/>
                  <w:tcBorders>
                    <w:tl2br w:val="nil"/>
                    <w:tr2bl w:val="nil"/>
                  </w:tcBorders>
                  <w:vAlign w:val="center"/>
                </w:tcPr>
                <w:p>
                  <w:pPr>
                    <w:snapToGrid w:val="0"/>
                    <w:spacing w:line="240" w:lineRule="exact"/>
                    <w:ind w:right="113"/>
                    <w:jc w:val="center"/>
                    <w:rPr>
                      <w:b/>
                      <w:szCs w:val="21"/>
                    </w:rPr>
                  </w:pPr>
                </w:p>
              </w:tc>
              <w:tc>
                <w:tcPr>
                  <w:tcW w:w="694" w:type="pct"/>
                  <w:tcBorders>
                    <w:tl2br w:val="nil"/>
                    <w:tr2bl w:val="nil"/>
                  </w:tcBorders>
                  <w:vAlign w:val="center"/>
                </w:tcPr>
                <w:p>
                  <w:pPr>
                    <w:snapToGrid w:val="0"/>
                    <w:spacing w:line="240" w:lineRule="exact"/>
                    <w:ind w:right="113"/>
                    <w:jc w:val="center"/>
                    <w:rPr>
                      <w:b/>
                      <w:szCs w:val="21"/>
                    </w:rPr>
                  </w:pPr>
                  <w:r>
                    <w:rPr>
                      <w:b/>
                      <w:szCs w:val="21"/>
                    </w:rPr>
                    <w:t>降噪前</w:t>
                  </w:r>
                </w:p>
              </w:tc>
              <w:tc>
                <w:tcPr>
                  <w:tcW w:w="694" w:type="pct"/>
                  <w:tcBorders>
                    <w:tl2br w:val="nil"/>
                    <w:tr2bl w:val="nil"/>
                  </w:tcBorders>
                  <w:vAlign w:val="center"/>
                </w:tcPr>
                <w:p>
                  <w:pPr>
                    <w:snapToGrid w:val="0"/>
                    <w:spacing w:line="240" w:lineRule="exact"/>
                    <w:ind w:right="113"/>
                    <w:jc w:val="center"/>
                    <w:rPr>
                      <w:b/>
                      <w:szCs w:val="21"/>
                    </w:rPr>
                  </w:pPr>
                  <w:r>
                    <w:rPr>
                      <w:b/>
                      <w:szCs w:val="21"/>
                    </w:rPr>
                    <w:t>降噪后</w:t>
                  </w:r>
                </w:p>
              </w:tc>
              <w:tc>
                <w:tcPr>
                  <w:tcW w:w="480" w:type="pct"/>
                  <w:vMerge w:val="continue"/>
                  <w:tcBorders>
                    <w:tl2br w:val="nil"/>
                    <w:tr2bl w:val="nil"/>
                  </w:tcBorders>
                </w:tcPr>
                <w:p>
                  <w:pPr>
                    <w:snapToGrid w:val="0"/>
                    <w:spacing w:line="240" w:lineRule="exact"/>
                    <w:ind w:right="113"/>
                    <w:jc w:val="center"/>
                    <w:rPr>
                      <w:b/>
                      <w:szCs w:val="21"/>
                    </w:rPr>
                  </w:pPr>
                </w:p>
              </w:tc>
              <w:tc>
                <w:tcPr>
                  <w:tcW w:w="534" w:type="pct"/>
                  <w:vMerge w:val="continue"/>
                  <w:tcBorders>
                    <w:tl2br w:val="nil"/>
                    <w:tr2bl w:val="nil"/>
                  </w:tcBorders>
                </w:tcPr>
                <w:p>
                  <w:pPr>
                    <w:snapToGrid w:val="0"/>
                    <w:spacing w:line="240" w:lineRule="exact"/>
                    <w:ind w:right="113"/>
                    <w:jc w:val="center"/>
                    <w:rPr>
                      <w:b/>
                      <w:szCs w:val="21"/>
                    </w:rPr>
                  </w:pPr>
                </w:p>
              </w:tc>
              <w:tc>
                <w:tcPr>
                  <w:tcW w:w="558" w:type="pct"/>
                  <w:vMerge w:val="continue"/>
                  <w:tcBorders>
                    <w:tl2br w:val="nil"/>
                    <w:tr2bl w:val="nil"/>
                  </w:tcBorders>
                </w:tcPr>
                <w:p>
                  <w:pPr>
                    <w:snapToGrid w:val="0"/>
                    <w:spacing w:line="240" w:lineRule="exact"/>
                    <w:ind w:right="113"/>
                    <w:jc w:val="center"/>
                    <w:rPr>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1</w:t>
                  </w:r>
                </w:p>
              </w:tc>
              <w:tc>
                <w:tcPr>
                  <w:tcW w:w="527" w:type="pct"/>
                  <w:tcBorders>
                    <w:tl2br w:val="nil"/>
                    <w:tr2bl w:val="nil"/>
                  </w:tcBorders>
                  <w:vAlign w:val="center"/>
                </w:tcPr>
                <w:p>
                  <w:pPr>
                    <w:spacing w:line="240" w:lineRule="exact"/>
                    <w:jc w:val="center"/>
                    <w:rPr>
                      <w:szCs w:val="21"/>
                    </w:rPr>
                  </w:pPr>
                  <w:r>
                    <w:rPr>
                      <w:kern w:val="0"/>
                      <w:szCs w:val="21"/>
                    </w:rPr>
                    <w:t>切割机</w:t>
                  </w:r>
                </w:p>
              </w:tc>
              <w:tc>
                <w:tcPr>
                  <w:tcW w:w="506" w:type="pct"/>
                  <w:tcBorders>
                    <w:tl2br w:val="nil"/>
                    <w:tr2bl w:val="nil"/>
                  </w:tcBorders>
                  <w:vAlign w:val="center"/>
                </w:tcPr>
                <w:p>
                  <w:pPr>
                    <w:spacing w:line="240" w:lineRule="exact"/>
                    <w:jc w:val="center"/>
                    <w:rPr>
                      <w:szCs w:val="21"/>
                    </w:rPr>
                  </w:pPr>
                  <w:r>
                    <w:rPr>
                      <w:rFonts w:hint="eastAsia"/>
                      <w:szCs w:val="21"/>
                    </w:rPr>
                    <w:t>16</w:t>
                  </w:r>
                </w:p>
              </w:tc>
              <w:tc>
                <w:tcPr>
                  <w:tcW w:w="747" w:type="pct"/>
                  <w:vMerge w:val="restart"/>
                  <w:tcBorders>
                    <w:tl2br w:val="nil"/>
                    <w:tr2bl w:val="nil"/>
                  </w:tcBorders>
                  <w:vAlign w:val="center"/>
                </w:tcPr>
                <w:p>
                  <w:pPr>
                    <w:snapToGrid w:val="0"/>
                    <w:spacing w:line="240" w:lineRule="exact"/>
                    <w:ind w:right="113"/>
                    <w:jc w:val="center"/>
                    <w:rPr>
                      <w:szCs w:val="21"/>
                    </w:rPr>
                  </w:pPr>
                  <w:r>
                    <w:rPr>
                      <w:szCs w:val="21"/>
                    </w:rPr>
                    <w:t>选用低噪设备，建筑隔声降噪</w:t>
                  </w:r>
                  <w:r>
                    <w:rPr>
                      <w:rFonts w:hint="eastAsia"/>
                      <w:szCs w:val="21"/>
                    </w:rPr>
                    <w:t>3</w:t>
                  </w:r>
                  <w:r>
                    <w:rPr>
                      <w:szCs w:val="21"/>
                    </w:rPr>
                    <w:t>0dB(A)</w:t>
                  </w:r>
                </w:p>
              </w:tc>
              <w:tc>
                <w:tcPr>
                  <w:tcW w:w="694" w:type="pct"/>
                  <w:tcBorders>
                    <w:tl2br w:val="nil"/>
                    <w:tr2bl w:val="nil"/>
                  </w:tcBorders>
                  <w:vAlign w:val="center"/>
                </w:tcPr>
                <w:p>
                  <w:pPr>
                    <w:spacing w:line="240" w:lineRule="exact"/>
                    <w:jc w:val="center"/>
                    <w:rPr>
                      <w:szCs w:val="21"/>
                    </w:rPr>
                  </w:pPr>
                  <w:r>
                    <w:rPr>
                      <w:rFonts w:hint="eastAsia"/>
                      <w:szCs w:val="21"/>
                    </w:rPr>
                    <w:t>80</w:t>
                  </w:r>
                  <w:r>
                    <w:rPr>
                      <w:szCs w:val="21"/>
                    </w:rPr>
                    <w:t>～</w:t>
                  </w:r>
                  <w:r>
                    <w:rPr>
                      <w:rFonts w:hint="eastAsia"/>
                      <w:szCs w:val="21"/>
                    </w:rPr>
                    <w:t>85</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50</w:t>
                  </w:r>
                  <w:r>
                    <w:rPr>
                      <w:szCs w:val="21"/>
                    </w:rPr>
                    <w:t>～</w:t>
                  </w:r>
                  <w:r>
                    <w:rPr>
                      <w:rFonts w:hint="eastAsia"/>
                      <w:szCs w:val="21"/>
                    </w:rPr>
                    <w:t>55</w:t>
                  </w:r>
                </w:p>
              </w:tc>
              <w:tc>
                <w:tcPr>
                  <w:tcW w:w="480" w:type="pct"/>
                  <w:vMerge w:val="restart"/>
                  <w:tcBorders>
                    <w:tl2br w:val="nil"/>
                    <w:tr2bl w:val="nil"/>
                  </w:tcBorders>
                  <w:vAlign w:val="center"/>
                </w:tcPr>
                <w:p>
                  <w:pPr>
                    <w:widowControl/>
                    <w:spacing w:line="240" w:lineRule="exact"/>
                    <w:jc w:val="center"/>
                    <w:textAlignment w:val="center"/>
                    <w:rPr>
                      <w:rFonts w:eastAsiaTheme="minorEastAsia"/>
                      <w:szCs w:val="21"/>
                    </w:rPr>
                  </w:pPr>
                  <w:r>
                    <w:rPr>
                      <w:rFonts w:eastAsiaTheme="minorEastAsia"/>
                      <w:szCs w:val="21"/>
                    </w:rPr>
                    <w:t>8</w:t>
                  </w:r>
                  <w:r>
                    <w:rPr>
                      <w:rFonts w:hAnsiTheme="minorEastAsia" w:eastAsiaTheme="minorEastAsia"/>
                      <w:szCs w:val="21"/>
                    </w:rPr>
                    <w:t>：</w:t>
                  </w:r>
                  <w:r>
                    <w:rPr>
                      <w:rFonts w:eastAsiaTheme="minorEastAsia"/>
                      <w:szCs w:val="21"/>
                    </w:rPr>
                    <w:t>00~12</w:t>
                  </w:r>
                  <w:r>
                    <w:rPr>
                      <w:rFonts w:hAnsiTheme="minorEastAsia" w:eastAsiaTheme="minorEastAsia"/>
                      <w:szCs w:val="21"/>
                    </w:rPr>
                    <w:t>：</w:t>
                  </w:r>
                  <w:r>
                    <w:rPr>
                      <w:rFonts w:eastAsiaTheme="minorEastAsia"/>
                      <w:szCs w:val="21"/>
                    </w:rPr>
                    <w:t>00</w:t>
                  </w:r>
                  <w:r>
                    <w:rPr>
                      <w:rFonts w:hAnsiTheme="minorEastAsia" w:eastAsiaTheme="minorEastAsia"/>
                      <w:szCs w:val="21"/>
                    </w:rPr>
                    <w:t>，</w:t>
                  </w:r>
                  <w:r>
                    <w:rPr>
                      <w:rFonts w:eastAsiaTheme="minorEastAsia"/>
                      <w:szCs w:val="21"/>
                    </w:rPr>
                    <w:t>14</w:t>
                  </w:r>
                  <w:r>
                    <w:rPr>
                      <w:rFonts w:hAnsiTheme="minorEastAsia" w:eastAsiaTheme="minorEastAsia"/>
                      <w:szCs w:val="21"/>
                    </w:rPr>
                    <w:t>：</w:t>
                  </w:r>
                  <w:r>
                    <w:rPr>
                      <w:rFonts w:eastAsiaTheme="minorEastAsia"/>
                      <w:szCs w:val="21"/>
                    </w:rPr>
                    <w:t>00~18</w:t>
                  </w:r>
                  <w:r>
                    <w:rPr>
                      <w:rFonts w:hAnsiTheme="minorEastAsia" w:eastAsiaTheme="minorEastAsia"/>
                      <w:szCs w:val="21"/>
                    </w:rPr>
                    <w:t>：</w:t>
                  </w:r>
                  <w:r>
                    <w:rPr>
                      <w:rFonts w:eastAsiaTheme="minorEastAsia"/>
                      <w:szCs w:val="21"/>
                    </w:rPr>
                    <w:t xml:space="preserve">00 </w:t>
                  </w:r>
                </w:p>
              </w:tc>
              <w:tc>
                <w:tcPr>
                  <w:tcW w:w="534" w:type="pct"/>
                  <w:vMerge w:val="restart"/>
                  <w:tcBorders>
                    <w:tl2br w:val="nil"/>
                    <w:tr2bl w:val="nil"/>
                  </w:tcBorders>
                  <w:vAlign w:val="center"/>
                </w:tcPr>
                <w:p>
                  <w:pPr>
                    <w:spacing w:line="240" w:lineRule="exact"/>
                    <w:jc w:val="center"/>
                    <w:rPr>
                      <w:rFonts w:eastAsiaTheme="minorEastAsia"/>
                      <w:szCs w:val="21"/>
                    </w:rPr>
                  </w:pPr>
                  <w:r>
                    <w:rPr>
                      <w:rFonts w:hAnsiTheme="minorEastAsia" w:eastAsiaTheme="minorEastAsia"/>
                      <w:kern w:val="1"/>
                      <w:szCs w:val="21"/>
                    </w:rPr>
                    <w:t>边界外</w:t>
                  </w:r>
                  <w:r>
                    <w:rPr>
                      <w:rFonts w:eastAsiaTheme="minorEastAsia"/>
                      <w:kern w:val="1"/>
                      <w:szCs w:val="21"/>
                    </w:rPr>
                    <w:t>1</w:t>
                  </w:r>
                  <w:r>
                    <w:rPr>
                      <w:rFonts w:hAnsiTheme="minorEastAsia" w:eastAsiaTheme="minorEastAsia"/>
                      <w:kern w:val="1"/>
                      <w:szCs w:val="21"/>
                    </w:rPr>
                    <w:t>米</w:t>
                  </w:r>
                </w:p>
              </w:tc>
              <w:tc>
                <w:tcPr>
                  <w:tcW w:w="558" w:type="pct"/>
                  <w:vMerge w:val="restart"/>
                  <w:tcBorders>
                    <w:tl2br w:val="nil"/>
                    <w:tr2bl w:val="nil"/>
                  </w:tcBorders>
                  <w:vAlign w:val="center"/>
                </w:tcPr>
                <w:p>
                  <w:pPr>
                    <w:spacing w:line="240" w:lineRule="exact"/>
                    <w:jc w:val="center"/>
                    <w:rPr>
                      <w:rFonts w:eastAsiaTheme="minorEastAsia"/>
                      <w:szCs w:val="21"/>
                    </w:rPr>
                  </w:pPr>
                  <w:r>
                    <w:rPr>
                      <w:rFonts w:hAnsiTheme="minorEastAsia" w:eastAsiaTheme="minorEastAsia"/>
                      <w:kern w:val="1"/>
                      <w:szCs w:val="21"/>
                    </w:rPr>
                    <w:t>等效连续</w:t>
                  </w:r>
                  <w:r>
                    <w:rPr>
                      <w:rFonts w:eastAsiaTheme="minorEastAsia"/>
                      <w:kern w:val="1"/>
                      <w:szCs w:val="21"/>
                    </w:rPr>
                    <w:t>A</w:t>
                  </w:r>
                  <w:r>
                    <w:rPr>
                      <w:rFonts w:hAnsiTheme="minorEastAsia" w:eastAsiaTheme="minorEastAsia"/>
                      <w:kern w:val="1"/>
                      <w:szCs w:val="21"/>
                    </w:rPr>
                    <w:t>声级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2</w:t>
                  </w:r>
                </w:p>
              </w:tc>
              <w:tc>
                <w:tcPr>
                  <w:tcW w:w="527" w:type="pct"/>
                  <w:tcBorders>
                    <w:tl2br w:val="nil"/>
                    <w:tr2bl w:val="nil"/>
                  </w:tcBorders>
                  <w:vAlign w:val="center"/>
                </w:tcPr>
                <w:p>
                  <w:pPr>
                    <w:spacing w:line="240" w:lineRule="exact"/>
                    <w:jc w:val="center"/>
                    <w:rPr>
                      <w:szCs w:val="21"/>
                    </w:rPr>
                  </w:pPr>
                  <w:r>
                    <w:rPr>
                      <w:rFonts w:hint="eastAsia"/>
                      <w:kern w:val="0"/>
                      <w:szCs w:val="21"/>
                    </w:rPr>
                    <w:t>坡</w:t>
                  </w:r>
                  <w:r>
                    <w:rPr>
                      <w:kern w:val="0"/>
                      <w:szCs w:val="21"/>
                    </w:rPr>
                    <w:t>口机</w:t>
                  </w:r>
                </w:p>
              </w:tc>
              <w:tc>
                <w:tcPr>
                  <w:tcW w:w="506" w:type="pct"/>
                  <w:tcBorders>
                    <w:tl2br w:val="nil"/>
                    <w:tr2bl w:val="nil"/>
                  </w:tcBorders>
                  <w:vAlign w:val="center"/>
                </w:tcPr>
                <w:p>
                  <w:pPr>
                    <w:spacing w:line="240" w:lineRule="exact"/>
                    <w:jc w:val="center"/>
                    <w:rPr>
                      <w:szCs w:val="21"/>
                    </w:rPr>
                  </w:pPr>
                  <w:r>
                    <w:rPr>
                      <w:rFonts w:hint="eastAsia"/>
                      <w:szCs w:val="21"/>
                    </w:rPr>
                    <w:t>10</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80</w:t>
                  </w:r>
                  <w:r>
                    <w:rPr>
                      <w:szCs w:val="21"/>
                    </w:rPr>
                    <w:t>～</w:t>
                  </w:r>
                  <w:r>
                    <w:rPr>
                      <w:rFonts w:hint="eastAsia"/>
                      <w:szCs w:val="21"/>
                    </w:rPr>
                    <w:t>85</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50</w:t>
                  </w:r>
                  <w:r>
                    <w:rPr>
                      <w:szCs w:val="21"/>
                    </w:rPr>
                    <w:t>～</w:t>
                  </w:r>
                  <w:r>
                    <w:rPr>
                      <w:rFonts w:hint="eastAsia"/>
                      <w:szCs w:val="21"/>
                    </w:rPr>
                    <w:t>55</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3</w:t>
                  </w:r>
                </w:p>
              </w:tc>
              <w:tc>
                <w:tcPr>
                  <w:tcW w:w="527" w:type="pct"/>
                  <w:tcBorders>
                    <w:tl2br w:val="nil"/>
                    <w:tr2bl w:val="nil"/>
                  </w:tcBorders>
                  <w:vAlign w:val="center"/>
                </w:tcPr>
                <w:p>
                  <w:pPr>
                    <w:spacing w:line="240" w:lineRule="exact"/>
                    <w:jc w:val="center"/>
                    <w:rPr>
                      <w:szCs w:val="21"/>
                    </w:rPr>
                  </w:pPr>
                  <w:r>
                    <w:rPr>
                      <w:kern w:val="0"/>
                      <w:szCs w:val="21"/>
                    </w:rPr>
                    <w:t>电焊机</w:t>
                  </w:r>
                </w:p>
              </w:tc>
              <w:tc>
                <w:tcPr>
                  <w:tcW w:w="506" w:type="pct"/>
                  <w:tcBorders>
                    <w:tl2br w:val="nil"/>
                    <w:tr2bl w:val="nil"/>
                  </w:tcBorders>
                  <w:vAlign w:val="center"/>
                </w:tcPr>
                <w:p>
                  <w:pPr>
                    <w:spacing w:line="240" w:lineRule="exact"/>
                    <w:jc w:val="center"/>
                    <w:rPr>
                      <w:szCs w:val="21"/>
                    </w:rPr>
                  </w:pPr>
                  <w:r>
                    <w:rPr>
                      <w:rFonts w:hint="eastAsia"/>
                      <w:szCs w:val="21"/>
                    </w:rPr>
                    <w:t>48</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65</w:t>
                  </w:r>
                  <w:r>
                    <w:rPr>
                      <w:szCs w:val="21"/>
                    </w:rPr>
                    <w:t>～</w:t>
                  </w:r>
                  <w:r>
                    <w:rPr>
                      <w:rFonts w:hint="eastAsia"/>
                      <w:szCs w:val="21"/>
                    </w:rPr>
                    <w:t>70</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35</w:t>
                  </w:r>
                  <w:r>
                    <w:rPr>
                      <w:szCs w:val="21"/>
                    </w:rPr>
                    <w:t>～</w:t>
                  </w:r>
                  <w:r>
                    <w:rPr>
                      <w:rFonts w:hint="eastAsia"/>
                      <w:szCs w:val="21"/>
                    </w:rPr>
                    <w:t>40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4</w:t>
                  </w:r>
                </w:p>
              </w:tc>
              <w:tc>
                <w:tcPr>
                  <w:tcW w:w="527" w:type="pct"/>
                  <w:tcBorders>
                    <w:tl2br w:val="nil"/>
                    <w:tr2bl w:val="nil"/>
                  </w:tcBorders>
                  <w:vAlign w:val="center"/>
                </w:tcPr>
                <w:p>
                  <w:pPr>
                    <w:spacing w:line="240" w:lineRule="exact"/>
                    <w:jc w:val="center"/>
                    <w:rPr>
                      <w:szCs w:val="21"/>
                    </w:rPr>
                  </w:pPr>
                  <w:r>
                    <w:rPr>
                      <w:kern w:val="0"/>
                      <w:szCs w:val="21"/>
                    </w:rPr>
                    <w:t>抛丸机</w:t>
                  </w:r>
                </w:p>
              </w:tc>
              <w:tc>
                <w:tcPr>
                  <w:tcW w:w="506" w:type="pct"/>
                  <w:tcBorders>
                    <w:tl2br w:val="nil"/>
                    <w:tr2bl w:val="nil"/>
                  </w:tcBorders>
                  <w:vAlign w:val="center"/>
                </w:tcPr>
                <w:p>
                  <w:pPr>
                    <w:spacing w:line="240" w:lineRule="exact"/>
                    <w:jc w:val="center"/>
                    <w:rPr>
                      <w:szCs w:val="21"/>
                    </w:rPr>
                  </w:pPr>
                  <w:r>
                    <w:rPr>
                      <w:rFonts w:hint="eastAsia"/>
                      <w:szCs w:val="21"/>
                    </w:rPr>
                    <w:t>10</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85</w:t>
                  </w:r>
                  <w:r>
                    <w:rPr>
                      <w:szCs w:val="21"/>
                    </w:rPr>
                    <w:t>～</w:t>
                  </w:r>
                  <w:r>
                    <w:rPr>
                      <w:rFonts w:hint="eastAsia"/>
                      <w:szCs w:val="21"/>
                    </w:rPr>
                    <w:t>90</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55</w:t>
                  </w:r>
                  <w:r>
                    <w:rPr>
                      <w:szCs w:val="21"/>
                    </w:rPr>
                    <w:t>～</w:t>
                  </w:r>
                  <w:r>
                    <w:rPr>
                      <w:rFonts w:hint="eastAsia"/>
                      <w:szCs w:val="21"/>
                    </w:rPr>
                    <w:t>60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5</w:t>
                  </w:r>
                </w:p>
              </w:tc>
              <w:tc>
                <w:tcPr>
                  <w:tcW w:w="527" w:type="pct"/>
                  <w:tcBorders>
                    <w:tl2br w:val="nil"/>
                    <w:tr2bl w:val="nil"/>
                  </w:tcBorders>
                  <w:vAlign w:val="center"/>
                </w:tcPr>
                <w:p>
                  <w:pPr>
                    <w:spacing w:line="240" w:lineRule="exact"/>
                    <w:jc w:val="center"/>
                    <w:rPr>
                      <w:szCs w:val="21"/>
                    </w:rPr>
                  </w:pPr>
                  <w:r>
                    <w:rPr>
                      <w:kern w:val="0"/>
                      <w:szCs w:val="21"/>
                    </w:rPr>
                    <w:t>校直机</w:t>
                  </w:r>
                </w:p>
              </w:tc>
              <w:tc>
                <w:tcPr>
                  <w:tcW w:w="506" w:type="pct"/>
                  <w:tcBorders>
                    <w:tl2br w:val="nil"/>
                    <w:tr2bl w:val="nil"/>
                  </w:tcBorders>
                  <w:vAlign w:val="center"/>
                </w:tcPr>
                <w:p>
                  <w:pPr>
                    <w:spacing w:line="240" w:lineRule="exact"/>
                    <w:jc w:val="center"/>
                    <w:rPr>
                      <w:szCs w:val="21"/>
                    </w:rPr>
                  </w:pPr>
                  <w:r>
                    <w:rPr>
                      <w:rFonts w:hint="eastAsia"/>
                      <w:szCs w:val="21"/>
                    </w:rPr>
                    <w:t>8</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75</w:t>
                  </w:r>
                  <w:r>
                    <w:rPr>
                      <w:szCs w:val="21"/>
                    </w:rPr>
                    <w:t>～</w:t>
                  </w:r>
                  <w:r>
                    <w:rPr>
                      <w:rFonts w:hint="eastAsia"/>
                      <w:szCs w:val="21"/>
                    </w:rPr>
                    <w:t>80</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45</w:t>
                  </w:r>
                  <w:r>
                    <w:rPr>
                      <w:szCs w:val="21"/>
                    </w:rPr>
                    <w:t>～</w:t>
                  </w:r>
                  <w:r>
                    <w:rPr>
                      <w:rFonts w:hint="eastAsia"/>
                      <w:szCs w:val="21"/>
                    </w:rPr>
                    <w:t>50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6</w:t>
                  </w:r>
                </w:p>
              </w:tc>
              <w:tc>
                <w:tcPr>
                  <w:tcW w:w="527" w:type="pct"/>
                  <w:tcBorders>
                    <w:tl2br w:val="nil"/>
                    <w:tr2bl w:val="nil"/>
                  </w:tcBorders>
                  <w:vAlign w:val="center"/>
                </w:tcPr>
                <w:p>
                  <w:pPr>
                    <w:widowControl/>
                    <w:jc w:val="center"/>
                    <w:textAlignment w:val="center"/>
                    <w:rPr>
                      <w:szCs w:val="21"/>
                    </w:rPr>
                  </w:pPr>
                  <w:r>
                    <w:rPr>
                      <w:kern w:val="0"/>
                      <w:szCs w:val="21"/>
                    </w:rPr>
                    <w:t>辊压机</w:t>
                  </w:r>
                </w:p>
              </w:tc>
              <w:tc>
                <w:tcPr>
                  <w:tcW w:w="506" w:type="pct"/>
                  <w:tcBorders>
                    <w:tl2br w:val="nil"/>
                    <w:tr2bl w:val="nil"/>
                  </w:tcBorders>
                  <w:vAlign w:val="center"/>
                </w:tcPr>
                <w:p>
                  <w:pPr>
                    <w:spacing w:line="240" w:lineRule="exact"/>
                    <w:jc w:val="center"/>
                    <w:rPr>
                      <w:szCs w:val="21"/>
                    </w:rPr>
                  </w:pPr>
                  <w:r>
                    <w:rPr>
                      <w:rFonts w:hint="eastAsia"/>
                      <w:szCs w:val="21"/>
                    </w:rPr>
                    <w:t>6</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75</w:t>
                  </w:r>
                  <w:r>
                    <w:rPr>
                      <w:szCs w:val="21"/>
                    </w:rPr>
                    <w:t>～</w:t>
                  </w:r>
                  <w:r>
                    <w:rPr>
                      <w:rFonts w:hint="eastAsia"/>
                      <w:szCs w:val="21"/>
                    </w:rPr>
                    <w:t>80</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45</w:t>
                  </w:r>
                  <w:r>
                    <w:rPr>
                      <w:szCs w:val="21"/>
                    </w:rPr>
                    <w:t>～</w:t>
                  </w:r>
                  <w:r>
                    <w:rPr>
                      <w:rFonts w:hint="eastAsia"/>
                      <w:szCs w:val="21"/>
                    </w:rPr>
                    <w:t>50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7</w:t>
                  </w:r>
                </w:p>
              </w:tc>
              <w:tc>
                <w:tcPr>
                  <w:tcW w:w="527" w:type="pct"/>
                  <w:tcBorders>
                    <w:tl2br w:val="nil"/>
                    <w:tr2bl w:val="nil"/>
                  </w:tcBorders>
                  <w:vAlign w:val="center"/>
                </w:tcPr>
                <w:p>
                  <w:pPr>
                    <w:widowControl/>
                    <w:jc w:val="center"/>
                    <w:rPr>
                      <w:szCs w:val="21"/>
                    </w:rPr>
                  </w:pPr>
                  <w:r>
                    <w:rPr>
                      <w:kern w:val="0"/>
                      <w:szCs w:val="21"/>
                    </w:rPr>
                    <w:t>角磨机</w:t>
                  </w:r>
                </w:p>
              </w:tc>
              <w:tc>
                <w:tcPr>
                  <w:tcW w:w="506" w:type="pct"/>
                  <w:tcBorders>
                    <w:tl2br w:val="nil"/>
                    <w:tr2bl w:val="nil"/>
                  </w:tcBorders>
                  <w:vAlign w:val="center"/>
                </w:tcPr>
                <w:p>
                  <w:pPr>
                    <w:spacing w:line="240" w:lineRule="exact"/>
                    <w:jc w:val="center"/>
                    <w:rPr>
                      <w:szCs w:val="21"/>
                    </w:rPr>
                  </w:pPr>
                  <w:r>
                    <w:rPr>
                      <w:szCs w:val="21"/>
                    </w:rPr>
                    <w:t>1</w:t>
                  </w:r>
                  <w:r>
                    <w:rPr>
                      <w:rFonts w:hint="eastAsia"/>
                      <w:szCs w:val="21"/>
                    </w:rPr>
                    <w:t>0</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75</w:t>
                  </w:r>
                  <w:r>
                    <w:rPr>
                      <w:szCs w:val="21"/>
                    </w:rPr>
                    <w:t>～</w:t>
                  </w:r>
                  <w:r>
                    <w:rPr>
                      <w:rFonts w:hint="eastAsia"/>
                      <w:szCs w:val="21"/>
                    </w:rPr>
                    <w:t>80</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45</w:t>
                  </w:r>
                  <w:r>
                    <w:rPr>
                      <w:szCs w:val="21"/>
                    </w:rPr>
                    <w:t>～</w:t>
                  </w:r>
                  <w:r>
                    <w:rPr>
                      <w:rFonts w:hint="eastAsia"/>
                      <w:szCs w:val="21"/>
                    </w:rPr>
                    <w:t>50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8</w:t>
                  </w:r>
                </w:p>
              </w:tc>
              <w:tc>
                <w:tcPr>
                  <w:tcW w:w="527" w:type="pct"/>
                  <w:tcBorders>
                    <w:tl2br w:val="nil"/>
                    <w:tr2bl w:val="nil"/>
                  </w:tcBorders>
                  <w:vAlign w:val="center"/>
                </w:tcPr>
                <w:p>
                  <w:pPr>
                    <w:widowControl/>
                    <w:jc w:val="center"/>
                    <w:rPr>
                      <w:szCs w:val="21"/>
                    </w:rPr>
                  </w:pPr>
                  <w:r>
                    <w:rPr>
                      <w:kern w:val="0"/>
                      <w:szCs w:val="21"/>
                    </w:rPr>
                    <w:t>车床</w:t>
                  </w:r>
                </w:p>
              </w:tc>
              <w:tc>
                <w:tcPr>
                  <w:tcW w:w="506" w:type="pct"/>
                  <w:tcBorders>
                    <w:tl2br w:val="nil"/>
                    <w:tr2bl w:val="nil"/>
                  </w:tcBorders>
                  <w:vAlign w:val="center"/>
                </w:tcPr>
                <w:p>
                  <w:pPr>
                    <w:spacing w:line="240" w:lineRule="exact"/>
                    <w:jc w:val="center"/>
                    <w:rPr>
                      <w:szCs w:val="21"/>
                    </w:rPr>
                  </w:pPr>
                  <w:r>
                    <w:rPr>
                      <w:szCs w:val="21"/>
                    </w:rPr>
                    <w:t>1</w:t>
                  </w:r>
                  <w:r>
                    <w:rPr>
                      <w:rFonts w:hint="eastAsia"/>
                      <w:szCs w:val="21"/>
                    </w:rPr>
                    <w:t>0</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75</w:t>
                  </w:r>
                  <w:r>
                    <w:rPr>
                      <w:szCs w:val="21"/>
                    </w:rPr>
                    <w:t>～</w:t>
                  </w:r>
                  <w:r>
                    <w:rPr>
                      <w:rFonts w:hint="eastAsia"/>
                      <w:szCs w:val="21"/>
                    </w:rPr>
                    <w:t>80</w:t>
                  </w:r>
                </w:p>
              </w:tc>
              <w:tc>
                <w:tcPr>
                  <w:tcW w:w="694" w:type="pct"/>
                  <w:tcBorders>
                    <w:tl2br w:val="nil"/>
                    <w:tr2bl w:val="nil"/>
                  </w:tcBorders>
                </w:tcPr>
                <w:p>
                  <w:pPr>
                    <w:jc w:val="center"/>
                  </w:pPr>
                  <w:r>
                    <w:rPr>
                      <w:rFonts w:hint="eastAsia"/>
                      <w:szCs w:val="21"/>
                    </w:rPr>
                    <w:t>45</w:t>
                  </w:r>
                  <w:r>
                    <w:rPr>
                      <w:szCs w:val="21"/>
                    </w:rPr>
                    <w:t>～</w:t>
                  </w:r>
                  <w:r>
                    <w:rPr>
                      <w:rFonts w:hint="eastAsia"/>
                      <w:szCs w:val="21"/>
                    </w:rPr>
                    <w:t>50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szCs w:val="21"/>
                    </w:rPr>
                    <w:t>9</w:t>
                  </w:r>
                </w:p>
              </w:tc>
              <w:tc>
                <w:tcPr>
                  <w:tcW w:w="527" w:type="pct"/>
                  <w:tcBorders>
                    <w:tl2br w:val="nil"/>
                    <w:tr2bl w:val="nil"/>
                  </w:tcBorders>
                  <w:vAlign w:val="center"/>
                </w:tcPr>
                <w:p>
                  <w:pPr>
                    <w:widowControl/>
                    <w:jc w:val="center"/>
                    <w:rPr>
                      <w:szCs w:val="21"/>
                    </w:rPr>
                  </w:pPr>
                  <w:r>
                    <w:rPr>
                      <w:kern w:val="0"/>
                      <w:szCs w:val="21"/>
                    </w:rPr>
                    <w:t>钻床</w:t>
                  </w:r>
                </w:p>
              </w:tc>
              <w:tc>
                <w:tcPr>
                  <w:tcW w:w="506" w:type="pct"/>
                  <w:tcBorders>
                    <w:tl2br w:val="nil"/>
                    <w:tr2bl w:val="nil"/>
                  </w:tcBorders>
                  <w:vAlign w:val="center"/>
                </w:tcPr>
                <w:p>
                  <w:pPr>
                    <w:spacing w:line="240" w:lineRule="exact"/>
                    <w:jc w:val="center"/>
                    <w:rPr>
                      <w:szCs w:val="21"/>
                    </w:rPr>
                  </w:pPr>
                  <w:r>
                    <w:rPr>
                      <w:szCs w:val="21"/>
                    </w:rPr>
                    <w:t>1</w:t>
                  </w:r>
                  <w:r>
                    <w:rPr>
                      <w:rFonts w:hint="eastAsia"/>
                      <w:szCs w:val="21"/>
                    </w:rPr>
                    <w:t>0</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75</w:t>
                  </w:r>
                  <w:r>
                    <w:rPr>
                      <w:szCs w:val="21"/>
                    </w:rPr>
                    <w:t>～</w:t>
                  </w:r>
                  <w:r>
                    <w:rPr>
                      <w:rFonts w:hint="eastAsia"/>
                      <w:szCs w:val="21"/>
                    </w:rPr>
                    <w:t>80</w:t>
                  </w:r>
                </w:p>
              </w:tc>
              <w:tc>
                <w:tcPr>
                  <w:tcW w:w="694" w:type="pct"/>
                  <w:tcBorders>
                    <w:tl2br w:val="nil"/>
                    <w:tr2bl w:val="nil"/>
                  </w:tcBorders>
                </w:tcPr>
                <w:p>
                  <w:pPr>
                    <w:jc w:val="center"/>
                  </w:pPr>
                  <w:r>
                    <w:rPr>
                      <w:rFonts w:hint="eastAsia"/>
                      <w:szCs w:val="21"/>
                    </w:rPr>
                    <w:t>45</w:t>
                  </w:r>
                  <w:r>
                    <w:rPr>
                      <w:szCs w:val="21"/>
                    </w:rPr>
                    <w:t>～</w:t>
                  </w:r>
                  <w:r>
                    <w:rPr>
                      <w:rFonts w:hint="eastAsia"/>
                      <w:szCs w:val="21"/>
                    </w:rPr>
                    <w:t>50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rFonts w:hint="eastAsia"/>
                      <w:szCs w:val="21"/>
                    </w:rPr>
                    <w:t>10</w:t>
                  </w:r>
                </w:p>
              </w:tc>
              <w:tc>
                <w:tcPr>
                  <w:tcW w:w="527" w:type="pct"/>
                  <w:tcBorders>
                    <w:tl2br w:val="nil"/>
                    <w:tr2bl w:val="nil"/>
                  </w:tcBorders>
                  <w:vAlign w:val="center"/>
                </w:tcPr>
                <w:p>
                  <w:pPr>
                    <w:widowControl/>
                    <w:jc w:val="center"/>
                    <w:rPr>
                      <w:rFonts w:ascii="宋体" w:hAnsi="宋体" w:cs="宋体"/>
                      <w:color w:val="000000"/>
                      <w:kern w:val="0"/>
                      <w:sz w:val="24"/>
                      <w:szCs w:val="24"/>
                    </w:rPr>
                  </w:pPr>
                  <w:r>
                    <w:rPr>
                      <w:rFonts w:hint="eastAsia" w:ascii="宋体" w:hAnsi="宋体" w:cs="宋体"/>
                      <w:kern w:val="0"/>
                      <w:szCs w:val="21"/>
                    </w:rPr>
                    <w:t>磨床</w:t>
                  </w:r>
                </w:p>
              </w:tc>
              <w:tc>
                <w:tcPr>
                  <w:tcW w:w="506" w:type="pct"/>
                  <w:tcBorders>
                    <w:tl2br w:val="nil"/>
                    <w:tr2bl w:val="nil"/>
                  </w:tcBorders>
                  <w:vAlign w:val="center"/>
                </w:tcPr>
                <w:p>
                  <w:pPr>
                    <w:spacing w:line="240" w:lineRule="exact"/>
                    <w:jc w:val="center"/>
                    <w:rPr>
                      <w:szCs w:val="21"/>
                    </w:rPr>
                  </w:pPr>
                  <w:r>
                    <w:rPr>
                      <w:szCs w:val="21"/>
                    </w:rPr>
                    <w:t>1</w:t>
                  </w:r>
                  <w:r>
                    <w:rPr>
                      <w:rFonts w:hint="eastAsia"/>
                      <w:szCs w:val="21"/>
                    </w:rPr>
                    <w:t>0</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pacing w:line="240" w:lineRule="exact"/>
                    <w:jc w:val="center"/>
                    <w:rPr>
                      <w:szCs w:val="21"/>
                    </w:rPr>
                  </w:pPr>
                  <w:r>
                    <w:rPr>
                      <w:rFonts w:hint="eastAsia"/>
                      <w:szCs w:val="21"/>
                    </w:rPr>
                    <w:t>75</w:t>
                  </w:r>
                  <w:r>
                    <w:rPr>
                      <w:szCs w:val="21"/>
                    </w:rPr>
                    <w:t>～</w:t>
                  </w:r>
                  <w:r>
                    <w:rPr>
                      <w:rFonts w:hint="eastAsia"/>
                      <w:szCs w:val="21"/>
                    </w:rPr>
                    <w:t>80</w:t>
                  </w:r>
                </w:p>
              </w:tc>
              <w:tc>
                <w:tcPr>
                  <w:tcW w:w="694" w:type="pct"/>
                  <w:tcBorders>
                    <w:tl2br w:val="nil"/>
                    <w:tr2bl w:val="nil"/>
                  </w:tcBorders>
                </w:tcPr>
                <w:p>
                  <w:pPr>
                    <w:jc w:val="center"/>
                  </w:pPr>
                  <w:r>
                    <w:rPr>
                      <w:rFonts w:hint="eastAsia"/>
                      <w:szCs w:val="21"/>
                    </w:rPr>
                    <w:t>45</w:t>
                  </w:r>
                  <w:r>
                    <w:rPr>
                      <w:szCs w:val="21"/>
                    </w:rPr>
                    <w:t>～</w:t>
                  </w:r>
                  <w:r>
                    <w:rPr>
                      <w:rFonts w:hint="eastAsia"/>
                      <w:szCs w:val="21"/>
                    </w:rPr>
                    <w:t>50</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rFonts w:hint="eastAsia"/>
                      <w:szCs w:val="21"/>
                    </w:rPr>
                    <w:t>11</w:t>
                  </w:r>
                </w:p>
              </w:tc>
              <w:tc>
                <w:tcPr>
                  <w:tcW w:w="527" w:type="pct"/>
                  <w:tcBorders>
                    <w:tl2br w:val="nil"/>
                    <w:tr2bl w:val="nil"/>
                  </w:tcBorders>
                  <w:vAlign w:val="center"/>
                </w:tcPr>
                <w:p>
                  <w:pPr>
                    <w:widowControl/>
                    <w:jc w:val="center"/>
                    <w:textAlignment w:val="center"/>
                    <w:rPr>
                      <w:rFonts w:ascii="宋体" w:hAnsi="宋体" w:cs="宋体"/>
                      <w:color w:val="000000"/>
                      <w:kern w:val="0"/>
                      <w:sz w:val="24"/>
                      <w:szCs w:val="24"/>
                    </w:rPr>
                  </w:pPr>
                  <w:r>
                    <w:rPr>
                      <w:kern w:val="0"/>
                      <w:szCs w:val="21"/>
                    </w:rPr>
                    <w:t>桥式起重机</w:t>
                  </w:r>
                </w:p>
              </w:tc>
              <w:tc>
                <w:tcPr>
                  <w:tcW w:w="506" w:type="pct"/>
                  <w:tcBorders>
                    <w:tl2br w:val="nil"/>
                    <w:tr2bl w:val="nil"/>
                  </w:tcBorders>
                  <w:vAlign w:val="center"/>
                </w:tcPr>
                <w:p>
                  <w:pPr>
                    <w:pStyle w:val="95"/>
                    <w:widowControl w:val="0"/>
                    <w:spacing w:before="0" w:beforeAutospacing="0" w:after="0" w:afterAutospacing="0" w:line="240" w:lineRule="exact"/>
                    <w:rPr>
                      <w:rFonts w:ascii="Times New Roman" w:hAnsi="Times New Roman"/>
                      <w:kern w:val="2"/>
                      <w:sz w:val="21"/>
                      <w:szCs w:val="21"/>
                    </w:rPr>
                  </w:pPr>
                  <w:r>
                    <w:rPr>
                      <w:rFonts w:hint="eastAsia" w:ascii="Times New Roman" w:hAnsi="Times New Roman"/>
                      <w:kern w:val="2"/>
                      <w:sz w:val="21"/>
                      <w:szCs w:val="21"/>
                    </w:rPr>
                    <w:t>6</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8</w:t>
                  </w:r>
                  <w:r>
                    <w:rPr>
                      <w:szCs w:val="21"/>
                    </w:rPr>
                    <w:t>0～</w:t>
                  </w:r>
                  <w:r>
                    <w:rPr>
                      <w:rFonts w:hint="eastAsia"/>
                      <w:szCs w:val="21"/>
                    </w:rPr>
                    <w:t>8</w:t>
                  </w:r>
                  <w:r>
                    <w:rPr>
                      <w:szCs w:val="21"/>
                    </w:rPr>
                    <w:t>5</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5</w:t>
                  </w:r>
                  <w:r>
                    <w:rPr>
                      <w:szCs w:val="21"/>
                    </w:rPr>
                    <w:t>0～</w:t>
                  </w:r>
                  <w:r>
                    <w:rPr>
                      <w:rFonts w:hint="eastAsia"/>
                      <w:szCs w:val="21"/>
                    </w:rPr>
                    <w:t>5</w:t>
                  </w:r>
                  <w:r>
                    <w:rPr>
                      <w:szCs w:val="21"/>
                    </w:rPr>
                    <w:t>5</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tcBorders>
                    <w:tl2br w:val="nil"/>
                    <w:tr2bl w:val="nil"/>
                  </w:tcBorders>
                  <w:vAlign w:val="center"/>
                </w:tcPr>
                <w:p>
                  <w:pPr>
                    <w:snapToGrid w:val="0"/>
                    <w:spacing w:line="240" w:lineRule="exact"/>
                    <w:ind w:right="113"/>
                    <w:jc w:val="center"/>
                    <w:rPr>
                      <w:szCs w:val="21"/>
                    </w:rPr>
                  </w:pPr>
                  <w:r>
                    <w:rPr>
                      <w:rFonts w:hint="eastAsia"/>
                      <w:szCs w:val="21"/>
                    </w:rPr>
                    <w:t>12</w:t>
                  </w:r>
                </w:p>
              </w:tc>
              <w:tc>
                <w:tcPr>
                  <w:tcW w:w="527" w:type="pct"/>
                  <w:tcBorders>
                    <w:tl2br w:val="nil"/>
                    <w:tr2bl w:val="nil"/>
                  </w:tcBorders>
                  <w:vAlign w:val="center"/>
                </w:tcPr>
                <w:p>
                  <w:pPr>
                    <w:widowControl/>
                    <w:jc w:val="center"/>
                    <w:textAlignment w:val="center"/>
                    <w:rPr>
                      <w:kern w:val="0"/>
                      <w:szCs w:val="21"/>
                    </w:rPr>
                  </w:pPr>
                  <w:r>
                    <w:rPr>
                      <w:rFonts w:hint="eastAsia"/>
                      <w:kern w:val="0"/>
                      <w:szCs w:val="21"/>
                    </w:rPr>
                    <w:t>喷漆房</w:t>
                  </w:r>
                </w:p>
              </w:tc>
              <w:tc>
                <w:tcPr>
                  <w:tcW w:w="506" w:type="pct"/>
                  <w:tcBorders>
                    <w:tl2br w:val="nil"/>
                    <w:tr2bl w:val="nil"/>
                  </w:tcBorders>
                  <w:vAlign w:val="center"/>
                </w:tcPr>
                <w:p>
                  <w:pPr>
                    <w:pStyle w:val="95"/>
                    <w:widowControl w:val="0"/>
                    <w:spacing w:before="0" w:beforeAutospacing="0" w:after="0" w:afterAutospacing="0" w:line="240" w:lineRule="exact"/>
                    <w:rPr>
                      <w:rFonts w:ascii="Times New Roman" w:hAnsi="Times New Roman"/>
                      <w:kern w:val="2"/>
                      <w:sz w:val="21"/>
                      <w:szCs w:val="21"/>
                    </w:rPr>
                  </w:pPr>
                  <w:r>
                    <w:rPr>
                      <w:rFonts w:hint="eastAsia" w:ascii="Times New Roman" w:hAnsi="Times New Roman"/>
                      <w:kern w:val="2"/>
                      <w:sz w:val="21"/>
                      <w:szCs w:val="21"/>
                    </w:rPr>
                    <w:t>1</w:t>
                  </w:r>
                </w:p>
              </w:tc>
              <w:tc>
                <w:tcPr>
                  <w:tcW w:w="747" w:type="pct"/>
                  <w:vMerge w:val="continue"/>
                  <w:tcBorders>
                    <w:tl2br w:val="nil"/>
                    <w:tr2bl w:val="nil"/>
                  </w:tcBorders>
                  <w:vAlign w:val="center"/>
                </w:tcPr>
                <w:p>
                  <w:pPr>
                    <w:snapToGrid w:val="0"/>
                    <w:spacing w:line="240" w:lineRule="exact"/>
                    <w:ind w:right="113"/>
                    <w:jc w:val="center"/>
                    <w:rPr>
                      <w:szCs w:val="21"/>
                    </w:rPr>
                  </w:pP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8</w:t>
                  </w:r>
                  <w:r>
                    <w:rPr>
                      <w:szCs w:val="21"/>
                    </w:rPr>
                    <w:t>0～</w:t>
                  </w:r>
                  <w:r>
                    <w:rPr>
                      <w:rFonts w:hint="eastAsia"/>
                      <w:szCs w:val="21"/>
                    </w:rPr>
                    <w:t>8</w:t>
                  </w:r>
                  <w:r>
                    <w:rPr>
                      <w:szCs w:val="21"/>
                    </w:rPr>
                    <w:t>5</w:t>
                  </w:r>
                </w:p>
              </w:tc>
              <w:tc>
                <w:tcPr>
                  <w:tcW w:w="694" w:type="pct"/>
                  <w:tcBorders>
                    <w:tl2br w:val="nil"/>
                    <w:tr2bl w:val="nil"/>
                  </w:tcBorders>
                  <w:vAlign w:val="center"/>
                </w:tcPr>
                <w:p>
                  <w:pPr>
                    <w:snapToGrid w:val="0"/>
                    <w:spacing w:line="240" w:lineRule="exact"/>
                    <w:ind w:right="113"/>
                    <w:jc w:val="center"/>
                    <w:rPr>
                      <w:szCs w:val="21"/>
                    </w:rPr>
                  </w:pPr>
                  <w:r>
                    <w:rPr>
                      <w:rFonts w:hint="eastAsia"/>
                      <w:szCs w:val="21"/>
                    </w:rPr>
                    <w:t>5</w:t>
                  </w:r>
                  <w:r>
                    <w:rPr>
                      <w:szCs w:val="21"/>
                    </w:rPr>
                    <w:t>0～</w:t>
                  </w:r>
                  <w:r>
                    <w:rPr>
                      <w:rFonts w:hint="eastAsia"/>
                      <w:szCs w:val="21"/>
                    </w:rPr>
                    <w:t>5</w:t>
                  </w:r>
                  <w:r>
                    <w:rPr>
                      <w:szCs w:val="21"/>
                    </w:rPr>
                    <w:t>5</w:t>
                  </w:r>
                </w:p>
              </w:tc>
              <w:tc>
                <w:tcPr>
                  <w:tcW w:w="480" w:type="pct"/>
                  <w:vMerge w:val="continue"/>
                  <w:tcBorders>
                    <w:tl2br w:val="nil"/>
                    <w:tr2bl w:val="nil"/>
                  </w:tcBorders>
                </w:tcPr>
                <w:p>
                  <w:pPr>
                    <w:snapToGrid w:val="0"/>
                    <w:spacing w:line="240" w:lineRule="exact"/>
                    <w:ind w:right="113"/>
                    <w:jc w:val="center"/>
                    <w:rPr>
                      <w:szCs w:val="21"/>
                    </w:rPr>
                  </w:pPr>
                </w:p>
              </w:tc>
              <w:tc>
                <w:tcPr>
                  <w:tcW w:w="534" w:type="pct"/>
                  <w:vMerge w:val="continue"/>
                  <w:tcBorders>
                    <w:tl2br w:val="nil"/>
                    <w:tr2bl w:val="nil"/>
                  </w:tcBorders>
                </w:tcPr>
                <w:p>
                  <w:pPr>
                    <w:snapToGrid w:val="0"/>
                    <w:spacing w:line="240" w:lineRule="exact"/>
                    <w:ind w:right="113"/>
                    <w:jc w:val="center"/>
                    <w:rPr>
                      <w:szCs w:val="21"/>
                    </w:rPr>
                  </w:pPr>
                </w:p>
              </w:tc>
              <w:tc>
                <w:tcPr>
                  <w:tcW w:w="558" w:type="pct"/>
                  <w:vMerge w:val="continue"/>
                  <w:tcBorders>
                    <w:tl2br w:val="nil"/>
                    <w:tr2bl w:val="nil"/>
                  </w:tcBorders>
                </w:tcPr>
                <w:p>
                  <w:pPr>
                    <w:snapToGrid w:val="0"/>
                    <w:spacing w:line="240" w:lineRule="exact"/>
                    <w:ind w:right="113"/>
                    <w:jc w:val="center"/>
                    <w:rPr>
                      <w:szCs w:val="21"/>
                    </w:rPr>
                  </w:pPr>
                </w:p>
              </w:tc>
            </w:tr>
          </w:tbl>
          <w:p>
            <w:pPr>
              <w:spacing w:line="360" w:lineRule="auto"/>
              <w:ind w:firstLine="472" w:firstLineChars="200"/>
              <w:rPr>
                <w:kern w:val="1"/>
                <w:sz w:val="24"/>
                <w:szCs w:val="24"/>
              </w:rPr>
            </w:pPr>
            <w:r>
              <w:rPr>
                <w:rFonts w:hAnsi="宋体"/>
                <w:bCs/>
                <w:sz w:val="24"/>
              </w:rPr>
              <w:t>项目生产</w:t>
            </w:r>
            <w:r>
              <w:rPr>
                <w:rFonts w:hint="eastAsia" w:hAnsi="宋体"/>
                <w:bCs/>
                <w:sz w:val="24"/>
              </w:rPr>
              <w:t>设备</w:t>
            </w:r>
            <w:r>
              <w:rPr>
                <w:rFonts w:hAnsi="宋体"/>
                <w:bCs/>
                <w:sz w:val="24"/>
              </w:rPr>
              <w:t>性能优良，</w:t>
            </w:r>
            <w:r>
              <w:rPr>
                <w:rFonts w:hAnsi="宋体"/>
                <w:bCs/>
                <w:color w:val="FF0000"/>
                <w:sz w:val="24"/>
              </w:rPr>
              <w:t>均在密闭</w:t>
            </w:r>
            <w:r>
              <w:rPr>
                <w:rFonts w:hint="eastAsia" w:hAnsi="宋体"/>
                <w:bCs/>
                <w:color w:val="FF0000"/>
                <w:sz w:val="24"/>
              </w:rPr>
              <w:t>车间</w:t>
            </w:r>
            <w:r>
              <w:rPr>
                <w:rFonts w:hAnsi="宋体"/>
                <w:bCs/>
                <w:color w:val="FF0000"/>
                <w:sz w:val="24"/>
              </w:rPr>
              <w:t>内作业，</w:t>
            </w:r>
            <w:r>
              <w:rPr>
                <w:rFonts w:hint="eastAsia" w:hAnsi="宋体"/>
                <w:bCs/>
                <w:color w:val="FF0000"/>
                <w:sz w:val="24"/>
              </w:rPr>
              <w:t>高噪声设备位于中南部，远</w:t>
            </w:r>
            <w:r>
              <w:rPr>
                <w:rFonts w:hAnsi="宋体"/>
                <w:bCs/>
                <w:color w:val="FF0000"/>
                <w:sz w:val="24"/>
              </w:rPr>
              <w:t>离</w:t>
            </w:r>
            <w:r>
              <w:rPr>
                <w:rFonts w:hint="eastAsia" w:hAnsi="宋体"/>
                <w:bCs/>
                <w:color w:val="FF0000"/>
                <w:sz w:val="24"/>
              </w:rPr>
              <w:t>敏感目标。</w:t>
            </w:r>
            <w:r>
              <w:rPr>
                <w:rFonts w:hint="eastAsia" w:hAnsi="宋体"/>
                <w:bCs/>
                <w:sz w:val="24"/>
              </w:rPr>
              <w:t>通过选用低噪声设备、</w:t>
            </w:r>
            <w:r>
              <w:rPr>
                <w:rFonts w:hAnsi="宋体"/>
                <w:bCs/>
                <w:sz w:val="24"/>
              </w:rPr>
              <w:t>加装减震基础、</w:t>
            </w:r>
            <w:r>
              <w:rPr>
                <w:rFonts w:hint="eastAsia" w:hAnsi="宋体"/>
                <w:bCs/>
                <w:sz w:val="24"/>
              </w:rPr>
              <w:t>厂房</w:t>
            </w:r>
            <w:r>
              <w:rPr>
                <w:rFonts w:hAnsi="宋体"/>
                <w:bCs/>
                <w:sz w:val="24"/>
              </w:rPr>
              <w:t>隔声等措施降噪</w:t>
            </w:r>
            <w:r>
              <w:rPr>
                <w:rFonts w:hint="eastAsia" w:hAnsi="宋体"/>
                <w:bCs/>
                <w:sz w:val="24"/>
              </w:rPr>
              <w:t>3</w:t>
            </w:r>
            <w:r>
              <w:rPr>
                <w:rFonts w:hAnsi="宋体"/>
                <w:bCs/>
                <w:sz w:val="24"/>
              </w:rPr>
              <w:t>0dB(A)</w:t>
            </w:r>
            <w:r>
              <w:rPr>
                <w:rFonts w:hint="eastAsia" w:hAnsi="宋体"/>
                <w:bCs/>
                <w:sz w:val="24"/>
              </w:rPr>
              <w:t>，</w:t>
            </w:r>
            <w:r>
              <w:rPr>
                <w:kern w:val="1"/>
                <w:sz w:val="24"/>
                <w:szCs w:val="24"/>
              </w:rPr>
              <w:t>再经距离衰减后，</w:t>
            </w:r>
            <w:r>
              <w:rPr>
                <w:rFonts w:hint="eastAsia"/>
                <w:bCs/>
                <w:sz w:val="24"/>
                <w:szCs w:val="24"/>
              </w:rPr>
              <w:t>本项目</w:t>
            </w:r>
            <w:r>
              <w:rPr>
                <w:kern w:val="1"/>
                <w:sz w:val="24"/>
                <w:szCs w:val="24"/>
              </w:rPr>
              <w:t>厂界噪声满足《工业企业厂界环境噪声排放标准》（GB12348-2008）</w:t>
            </w:r>
            <w:r>
              <w:rPr>
                <w:rFonts w:hint="eastAsia"/>
                <w:kern w:val="1"/>
                <w:sz w:val="24"/>
                <w:szCs w:val="24"/>
              </w:rPr>
              <w:t>3类</w:t>
            </w:r>
            <w:r>
              <w:rPr>
                <w:kern w:val="1"/>
                <w:sz w:val="24"/>
                <w:szCs w:val="24"/>
              </w:rPr>
              <w:t>标准要求。</w:t>
            </w:r>
          </w:p>
          <w:p>
            <w:pPr>
              <w:spacing w:line="360" w:lineRule="auto"/>
              <w:ind w:firstLine="472" w:firstLineChars="200"/>
              <w:rPr>
                <w:kern w:val="1"/>
                <w:sz w:val="24"/>
                <w:szCs w:val="24"/>
              </w:rPr>
            </w:pPr>
            <w:r>
              <w:rPr>
                <w:kern w:val="1"/>
                <w:sz w:val="24"/>
                <w:szCs w:val="24"/>
              </w:rPr>
              <w:t>综上所述，</w:t>
            </w:r>
            <w:r>
              <w:rPr>
                <w:rFonts w:hint="eastAsia"/>
                <w:kern w:val="1"/>
                <w:sz w:val="24"/>
                <w:szCs w:val="24"/>
              </w:rPr>
              <w:t>本项目</w:t>
            </w:r>
            <w:r>
              <w:rPr>
                <w:kern w:val="1"/>
                <w:sz w:val="24"/>
                <w:szCs w:val="24"/>
              </w:rPr>
              <w:t>不会对周围声环境产生明显影响。</w:t>
            </w:r>
          </w:p>
          <w:p>
            <w:pPr>
              <w:spacing w:line="360" w:lineRule="auto"/>
              <w:ind w:firstLine="472" w:firstLineChars="200"/>
              <w:rPr>
                <w:b/>
                <w:bCs/>
                <w:kern w:val="1"/>
                <w:sz w:val="24"/>
                <w:szCs w:val="24"/>
              </w:rPr>
            </w:pPr>
            <w:r>
              <w:rPr>
                <w:b/>
                <w:bCs/>
                <w:kern w:val="1"/>
                <w:sz w:val="24"/>
                <w:szCs w:val="24"/>
              </w:rPr>
              <w:t>四、固体废物环境影响分析</w:t>
            </w:r>
          </w:p>
          <w:p>
            <w:pPr>
              <w:overflowPunct w:val="0"/>
              <w:adjustRightInd w:val="0"/>
              <w:snapToGrid w:val="0"/>
              <w:spacing w:line="360" w:lineRule="auto"/>
              <w:ind w:firstLine="472" w:firstLineChars="200"/>
              <w:rPr>
                <w:sz w:val="24"/>
                <w:szCs w:val="24"/>
              </w:rPr>
            </w:pPr>
            <w:r>
              <w:rPr>
                <w:rFonts w:hint="eastAsia"/>
                <w:sz w:val="24"/>
                <w:szCs w:val="24"/>
              </w:rPr>
              <w:t>1、固体废物产生及处置情况</w:t>
            </w:r>
          </w:p>
          <w:p>
            <w:pPr>
              <w:pStyle w:val="9"/>
              <w:spacing w:line="360" w:lineRule="auto"/>
              <w:rPr>
                <w:szCs w:val="24"/>
              </w:rPr>
            </w:pPr>
            <w:r>
              <w:rPr>
                <w:rFonts w:hint="eastAsia"/>
                <w:szCs w:val="24"/>
              </w:rPr>
              <w:t>本项目</w:t>
            </w:r>
            <w:r>
              <w:rPr>
                <w:szCs w:val="24"/>
              </w:rPr>
              <w:t>固体废物主要为</w:t>
            </w:r>
            <w:r>
              <w:rPr>
                <w:rFonts w:hint="eastAsia"/>
                <w:szCs w:val="24"/>
              </w:rPr>
              <w:t>切割、机加工过程产生的边角料和金属废料、含油废抹布、废切削液、废液压油、焊接过程产生的焊渣、除尘器收集的除尘灰，喷漆产生的废漆渣、</w:t>
            </w:r>
            <w:r>
              <w:rPr>
                <w:rFonts w:hint="eastAsia"/>
                <w:color w:val="FF0000"/>
                <w:szCs w:val="24"/>
              </w:rPr>
              <w:t>废漆桶、</w:t>
            </w:r>
            <w:r>
              <w:rPr>
                <w:szCs w:val="24"/>
              </w:rPr>
              <w:t>职工生活产生的生活垃圾。</w:t>
            </w:r>
          </w:p>
          <w:p>
            <w:pPr>
              <w:pStyle w:val="9"/>
              <w:spacing w:line="360" w:lineRule="auto"/>
              <w:rPr>
                <w:szCs w:val="24"/>
              </w:rPr>
            </w:pPr>
            <w:r>
              <w:rPr>
                <w:szCs w:val="24"/>
              </w:rPr>
              <w:t>项目固体废物产生及处置情况见表</w:t>
            </w:r>
            <w:r>
              <w:rPr>
                <w:rFonts w:hint="eastAsia"/>
                <w:szCs w:val="24"/>
              </w:rPr>
              <w:t>4-5</w:t>
            </w:r>
            <w:r>
              <w:rPr>
                <w:szCs w:val="24"/>
              </w:rPr>
              <w:t>。</w:t>
            </w:r>
          </w:p>
          <w:p>
            <w:pPr>
              <w:pStyle w:val="9"/>
              <w:spacing w:line="360" w:lineRule="auto"/>
              <w:jc w:val="center"/>
              <w:rPr>
                <w:b/>
                <w:bCs/>
                <w:szCs w:val="24"/>
              </w:rPr>
            </w:pPr>
            <w:r>
              <w:rPr>
                <w:b/>
                <w:bCs/>
                <w:szCs w:val="24"/>
              </w:rPr>
              <w:t>表</w:t>
            </w:r>
            <w:r>
              <w:rPr>
                <w:rFonts w:hint="eastAsia"/>
                <w:b/>
                <w:bCs/>
                <w:szCs w:val="24"/>
              </w:rPr>
              <w:t xml:space="preserve">4-5   </w:t>
            </w:r>
            <w:r>
              <w:rPr>
                <w:b/>
                <w:bCs/>
                <w:szCs w:val="24"/>
              </w:rPr>
              <w:t>项目固体废物产生及处置情况</w:t>
            </w:r>
          </w:p>
          <w:tbl>
            <w:tblPr>
              <w:tblStyle w:val="28"/>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59"/>
              <w:gridCol w:w="1479"/>
              <w:gridCol w:w="2006"/>
              <w:gridCol w:w="1648"/>
              <w:gridCol w:w="1075"/>
              <w:gridCol w:w="3140"/>
              <w:gridCol w:w="18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 w:type="pct"/>
                  <w:vAlign w:val="center"/>
                </w:tcPr>
                <w:p>
                  <w:pPr>
                    <w:spacing w:line="240" w:lineRule="exact"/>
                    <w:jc w:val="center"/>
                    <w:rPr>
                      <w:b/>
                      <w:kern w:val="1"/>
                      <w:szCs w:val="21"/>
                    </w:rPr>
                  </w:pPr>
                  <w:r>
                    <w:rPr>
                      <w:b/>
                      <w:kern w:val="1"/>
                      <w:szCs w:val="21"/>
                    </w:rPr>
                    <w:t>编号</w:t>
                  </w:r>
                </w:p>
              </w:tc>
              <w:tc>
                <w:tcPr>
                  <w:tcW w:w="474" w:type="pct"/>
                  <w:vAlign w:val="center"/>
                </w:tcPr>
                <w:p>
                  <w:pPr>
                    <w:spacing w:line="240" w:lineRule="exact"/>
                    <w:jc w:val="center"/>
                    <w:rPr>
                      <w:b/>
                      <w:kern w:val="1"/>
                      <w:szCs w:val="21"/>
                    </w:rPr>
                  </w:pPr>
                  <w:r>
                    <w:rPr>
                      <w:rFonts w:hint="eastAsia"/>
                      <w:b/>
                      <w:kern w:val="1"/>
                      <w:szCs w:val="21"/>
                    </w:rPr>
                    <w:t>产生环节</w:t>
                  </w:r>
                </w:p>
              </w:tc>
              <w:tc>
                <w:tcPr>
                  <w:tcW w:w="557" w:type="pct"/>
                  <w:vAlign w:val="center"/>
                </w:tcPr>
                <w:p>
                  <w:pPr>
                    <w:spacing w:line="240" w:lineRule="exact"/>
                    <w:jc w:val="center"/>
                    <w:rPr>
                      <w:b/>
                      <w:kern w:val="1"/>
                      <w:szCs w:val="21"/>
                    </w:rPr>
                  </w:pPr>
                  <w:r>
                    <w:rPr>
                      <w:b/>
                      <w:kern w:val="1"/>
                      <w:szCs w:val="21"/>
                    </w:rPr>
                    <w:t>固废</w:t>
                  </w:r>
                </w:p>
                <w:p>
                  <w:pPr>
                    <w:spacing w:line="240" w:lineRule="exact"/>
                    <w:jc w:val="center"/>
                    <w:rPr>
                      <w:b/>
                      <w:kern w:val="1"/>
                      <w:szCs w:val="21"/>
                    </w:rPr>
                  </w:pPr>
                  <w:r>
                    <w:rPr>
                      <w:b/>
                      <w:kern w:val="1"/>
                      <w:szCs w:val="21"/>
                    </w:rPr>
                    <w:t>名称</w:t>
                  </w:r>
                </w:p>
              </w:tc>
              <w:tc>
                <w:tcPr>
                  <w:tcW w:w="756" w:type="pct"/>
                  <w:vAlign w:val="center"/>
                </w:tcPr>
                <w:p>
                  <w:pPr>
                    <w:spacing w:line="240" w:lineRule="exact"/>
                    <w:jc w:val="center"/>
                    <w:rPr>
                      <w:b/>
                      <w:kern w:val="1"/>
                      <w:szCs w:val="21"/>
                    </w:rPr>
                  </w:pPr>
                  <w:r>
                    <w:rPr>
                      <w:b/>
                      <w:kern w:val="1"/>
                      <w:szCs w:val="21"/>
                    </w:rPr>
                    <w:t>主要成分</w:t>
                  </w:r>
                </w:p>
              </w:tc>
              <w:tc>
                <w:tcPr>
                  <w:tcW w:w="621" w:type="pct"/>
                  <w:vAlign w:val="center"/>
                </w:tcPr>
                <w:p>
                  <w:pPr>
                    <w:spacing w:line="240" w:lineRule="exact"/>
                    <w:jc w:val="center"/>
                    <w:rPr>
                      <w:b/>
                      <w:kern w:val="1"/>
                      <w:szCs w:val="21"/>
                    </w:rPr>
                  </w:pPr>
                  <w:r>
                    <w:rPr>
                      <w:b/>
                      <w:kern w:val="1"/>
                      <w:szCs w:val="21"/>
                    </w:rPr>
                    <w:t>产生量</w:t>
                  </w:r>
                </w:p>
              </w:tc>
              <w:tc>
                <w:tcPr>
                  <w:tcW w:w="405" w:type="pct"/>
                  <w:vAlign w:val="center"/>
                </w:tcPr>
                <w:p>
                  <w:pPr>
                    <w:adjustRightInd w:val="0"/>
                    <w:snapToGrid w:val="0"/>
                    <w:jc w:val="center"/>
                    <w:rPr>
                      <w:b/>
                      <w:bCs/>
                      <w:kern w:val="1"/>
                      <w:szCs w:val="21"/>
                    </w:rPr>
                  </w:pPr>
                  <w:r>
                    <w:rPr>
                      <w:b/>
                      <w:bCs/>
                      <w:szCs w:val="21"/>
                    </w:rPr>
                    <w:t>性质</w:t>
                  </w:r>
                </w:p>
              </w:tc>
              <w:tc>
                <w:tcPr>
                  <w:tcW w:w="1183" w:type="pct"/>
                  <w:vAlign w:val="center"/>
                </w:tcPr>
                <w:p>
                  <w:pPr>
                    <w:adjustRightInd w:val="0"/>
                    <w:snapToGrid w:val="0"/>
                    <w:jc w:val="center"/>
                    <w:rPr>
                      <w:b/>
                      <w:bCs/>
                      <w:kern w:val="1"/>
                      <w:szCs w:val="21"/>
                    </w:rPr>
                  </w:pPr>
                  <w:r>
                    <w:rPr>
                      <w:b/>
                      <w:bCs/>
                      <w:szCs w:val="21"/>
                    </w:rPr>
                    <w:t>危险固废编号</w:t>
                  </w:r>
                </w:p>
              </w:tc>
              <w:tc>
                <w:tcPr>
                  <w:tcW w:w="711" w:type="pct"/>
                  <w:vAlign w:val="center"/>
                </w:tcPr>
                <w:p>
                  <w:pPr>
                    <w:adjustRightInd w:val="0"/>
                    <w:snapToGrid w:val="0"/>
                    <w:jc w:val="center"/>
                    <w:rPr>
                      <w:b/>
                      <w:bCs/>
                      <w:kern w:val="1"/>
                      <w:szCs w:val="21"/>
                    </w:rPr>
                  </w:pPr>
                  <w:r>
                    <w:rPr>
                      <w:b/>
                      <w:bCs/>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 w:type="pct"/>
                  <w:vAlign w:val="center"/>
                </w:tcPr>
                <w:p>
                  <w:pPr>
                    <w:spacing w:line="300" w:lineRule="exact"/>
                    <w:jc w:val="center"/>
                    <w:rPr>
                      <w:kern w:val="1"/>
                      <w:szCs w:val="21"/>
                    </w:rPr>
                  </w:pPr>
                  <w:r>
                    <w:rPr>
                      <w:rFonts w:hint="eastAsia"/>
                      <w:kern w:val="1"/>
                      <w:szCs w:val="21"/>
                    </w:rPr>
                    <w:t>1</w:t>
                  </w:r>
                </w:p>
              </w:tc>
              <w:tc>
                <w:tcPr>
                  <w:tcW w:w="474" w:type="pct"/>
                  <w:vAlign w:val="center"/>
                </w:tcPr>
                <w:p>
                  <w:pPr>
                    <w:spacing w:line="300" w:lineRule="exact"/>
                    <w:jc w:val="center"/>
                    <w:rPr>
                      <w:kern w:val="1"/>
                      <w:szCs w:val="21"/>
                    </w:rPr>
                  </w:pPr>
                  <w:r>
                    <w:rPr>
                      <w:rFonts w:hint="eastAsia"/>
                      <w:kern w:val="1"/>
                      <w:szCs w:val="21"/>
                    </w:rPr>
                    <w:t>职工生活</w:t>
                  </w:r>
                </w:p>
              </w:tc>
              <w:tc>
                <w:tcPr>
                  <w:tcW w:w="557" w:type="pct"/>
                  <w:vAlign w:val="center"/>
                </w:tcPr>
                <w:p>
                  <w:pPr>
                    <w:spacing w:line="300" w:lineRule="exact"/>
                    <w:jc w:val="center"/>
                    <w:rPr>
                      <w:kern w:val="1"/>
                      <w:szCs w:val="21"/>
                    </w:rPr>
                  </w:pPr>
                  <w:r>
                    <w:rPr>
                      <w:kern w:val="1"/>
                      <w:szCs w:val="21"/>
                    </w:rPr>
                    <w:t>生活垃圾</w:t>
                  </w:r>
                </w:p>
              </w:tc>
              <w:tc>
                <w:tcPr>
                  <w:tcW w:w="756" w:type="pct"/>
                  <w:vAlign w:val="center"/>
                </w:tcPr>
                <w:p>
                  <w:pPr>
                    <w:spacing w:line="300" w:lineRule="exact"/>
                    <w:jc w:val="center"/>
                    <w:rPr>
                      <w:kern w:val="1"/>
                      <w:szCs w:val="21"/>
                    </w:rPr>
                  </w:pPr>
                  <w:r>
                    <w:rPr>
                      <w:rFonts w:hint="eastAsia"/>
                      <w:kern w:val="1"/>
                      <w:szCs w:val="21"/>
                    </w:rPr>
                    <w:t>废纸、废塑料等</w:t>
                  </w:r>
                </w:p>
              </w:tc>
              <w:tc>
                <w:tcPr>
                  <w:tcW w:w="621" w:type="pct"/>
                  <w:vAlign w:val="center"/>
                </w:tcPr>
                <w:p>
                  <w:pPr>
                    <w:spacing w:line="300" w:lineRule="exact"/>
                    <w:jc w:val="center"/>
                    <w:rPr>
                      <w:kern w:val="1"/>
                      <w:szCs w:val="21"/>
                    </w:rPr>
                  </w:pPr>
                  <w:r>
                    <w:rPr>
                      <w:rFonts w:hint="eastAsia"/>
                      <w:kern w:val="1"/>
                      <w:szCs w:val="21"/>
                    </w:rPr>
                    <w:t>39t/a</w:t>
                  </w:r>
                </w:p>
              </w:tc>
              <w:tc>
                <w:tcPr>
                  <w:tcW w:w="405" w:type="pct"/>
                  <w:vMerge w:val="restart"/>
                  <w:vAlign w:val="center"/>
                </w:tcPr>
                <w:p>
                  <w:pPr>
                    <w:spacing w:line="240" w:lineRule="exact"/>
                    <w:jc w:val="center"/>
                    <w:rPr>
                      <w:kern w:val="1"/>
                      <w:szCs w:val="21"/>
                    </w:rPr>
                  </w:pPr>
                  <w:r>
                    <w:rPr>
                      <w:kern w:val="1"/>
                      <w:szCs w:val="21"/>
                    </w:rPr>
                    <w:t>一般固废</w:t>
                  </w:r>
                </w:p>
              </w:tc>
              <w:tc>
                <w:tcPr>
                  <w:tcW w:w="1183" w:type="pct"/>
                  <w:vAlign w:val="center"/>
                </w:tcPr>
                <w:p>
                  <w:pPr>
                    <w:spacing w:line="240" w:lineRule="exact"/>
                    <w:jc w:val="center"/>
                    <w:rPr>
                      <w:kern w:val="1"/>
                      <w:szCs w:val="21"/>
                    </w:rPr>
                  </w:pPr>
                  <w:r>
                    <w:rPr>
                      <w:kern w:val="1"/>
                      <w:szCs w:val="21"/>
                    </w:rPr>
                    <w:t>/</w:t>
                  </w:r>
                </w:p>
              </w:tc>
              <w:tc>
                <w:tcPr>
                  <w:tcW w:w="711" w:type="pct"/>
                  <w:vAlign w:val="center"/>
                </w:tcPr>
                <w:p>
                  <w:pPr>
                    <w:spacing w:line="240" w:lineRule="exact"/>
                    <w:jc w:val="center"/>
                    <w:rPr>
                      <w:kern w:val="1"/>
                      <w:szCs w:val="21"/>
                    </w:rPr>
                  </w:pPr>
                  <w:r>
                    <w:rPr>
                      <w:kern w:val="1"/>
                      <w:szCs w:val="21"/>
                    </w:rPr>
                    <w:t>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 w:type="pct"/>
                  <w:vAlign w:val="center"/>
                </w:tcPr>
                <w:p>
                  <w:pPr>
                    <w:spacing w:line="300" w:lineRule="exact"/>
                    <w:jc w:val="center"/>
                    <w:rPr>
                      <w:kern w:val="1"/>
                      <w:szCs w:val="21"/>
                    </w:rPr>
                  </w:pPr>
                  <w:r>
                    <w:rPr>
                      <w:rFonts w:hint="eastAsia"/>
                      <w:kern w:val="1"/>
                      <w:szCs w:val="21"/>
                    </w:rPr>
                    <w:t>2</w:t>
                  </w:r>
                </w:p>
              </w:tc>
              <w:tc>
                <w:tcPr>
                  <w:tcW w:w="474" w:type="pct"/>
                  <w:vAlign w:val="center"/>
                </w:tcPr>
                <w:p>
                  <w:pPr>
                    <w:spacing w:line="300" w:lineRule="exact"/>
                    <w:jc w:val="center"/>
                    <w:rPr>
                      <w:kern w:val="1"/>
                      <w:szCs w:val="21"/>
                    </w:rPr>
                  </w:pPr>
                  <w:r>
                    <w:rPr>
                      <w:kern w:val="1"/>
                      <w:szCs w:val="21"/>
                    </w:rPr>
                    <w:t>机加工</w:t>
                  </w:r>
                </w:p>
              </w:tc>
              <w:tc>
                <w:tcPr>
                  <w:tcW w:w="557" w:type="pct"/>
                  <w:vAlign w:val="center"/>
                </w:tcPr>
                <w:p>
                  <w:pPr>
                    <w:spacing w:line="300" w:lineRule="exact"/>
                    <w:jc w:val="center"/>
                    <w:rPr>
                      <w:kern w:val="1"/>
                      <w:szCs w:val="21"/>
                    </w:rPr>
                  </w:pPr>
                  <w:r>
                    <w:rPr>
                      <w:rFonts w:hint="eastAsia"/>
                      <w:kern w:val="1"/>
                      <w:szCs w:val="21"/>
                    </w:rPr>
                    <w:t>含油抹布</w:t>
                  </w:r>
                </w:p>
              </w:tc>
              <w:tc>
                <w:tcPr>
                  <w:tcW w:w="756" w:type="pct"/>
                  <w:vAlign w:val="center"/>
                </w:tcPr>
                <w:p>
                  <w:pPr>
                    <w:spacing w:line="300" w:lineRule="exact"/>
                    <w:jc w:val="center"/>
                    <w:rPr>
                      <w:kern w:val="1"/>
                      <w:szCs w:val="21"/>
                    </w:rPr>
                  </w:pPr>
                  <w:r>
                    <w:rPr>
                      <w:rFonts w:hint="eastAsia"/>
                      <w:kern w:val="1"/>
                      <w:szCs w:val="21"/>
                    </w:rPr>
                    <w:t>矿物油、纤维</w:t>
                  </w:r>
                </w:p>
              </w:tc>
              <w:tc>
                <w:tcPr>
                  <w:tcW w:w="621" w:type="pct"/>
                  <w:vAlign w:val="center"/>
                </w:tcPr>
                <w:p>
                  <w:pPr>
                    <w:spacing w:line="300" w:lineRule="exact"/>
                    <w:jc w:val="center"/>
                    <w:rPr>
                      <w:kern w:val="1"/>
                      <w:szCs w:val="21"/>
                    </w:rPr>
                  </w:pPr>
                  <w:r>
                    <w:rPr>
                      <w:rFonts w:hint="eastAsia"/>
                      <w:kern w:val="1"/>
                      <w:szCs w:val="21"/>
                    </w:rPr>
                    <w:t>0.01 t/a</w:t>
                  </w:r>
                </w:p>
              </w:tc>
              <w:tc>
                <w:tcPr>
                  <w:tcW w:w="405" w:type="pct"/>
                  <w:vMerge w:val="continue"/>
                  <w:vAlign w:val="center"/>
                </w:tcPr>
                <w:p>
                  <w:pPr>
                    <w:spacing w:line="240" w:lineRule="exact"/>
                    <w:jc w:val="center"/>
                    <w:rPr>
                      <w:kern w:val="1"/>
                      <w:szCs w:val="21"/>
                    </w:rPr>
                  </w:pPr>
                </w:p>
              </w:tc>
              <w:tc>
                <w:tcPr>
                  <w:tcW w:w="1183" w:type="pct"/>
                  <w:vAlign w:val="center"/>
                </w:tcPr>
                <w:p>
                  <w:pPr>
                    <w:spacing w:line="240" w:lineRule="exact"/>
                    <w:jc w:val="center"/>
                    <w:rPr>
                      <w:kern w:val="1"/>
                      <w:szCs w:val="21"/>
                    </w:rPr>
                  </w:pPr>
                  <w:r>
                    <w:rPr>
                      <w:rFonts w:hint="eastAsia"/>
                      <w:kern w:val="1"/>
                      <w:szCs w:val="21"/>
                    </w:rPr>
                    <w:t>HW49/900-041-49</w:t>
                  </w:r>
                </w:p>
              </w:tc>
              <w:tc>
                <w:tcPr>
                  <w:tcW w:w="711" w:type="pct"/>
                  <w:vAlign w:val="center"/>
                </w:tcPr>
                <w:p>
                  <w:pPr>
                    <w:spacing w:line="240" w:lineRule="exact"/>
                    <w:jc w:val="center"/>
                    <w:rPr>
                      <w:kern w:val="1"/>
                      <w:szCs w:val="21"/>
                    </w:rPr>
                  </w:pPr>
                  <w:r>
                    <w:rPr>
                      <w:rFonts w:hint="eastAsia"/>
                      <w:kern w:val="1"/>
                      <w:szCs w:val="21"/>
                    </w:rPr>
                    <w:t>全过程</w:t>
                  </w:r>
                  <w:r>
                    <w:rPr>
                      <w:kern w:val="1"/>
                      <w:szCs w:val="21"/>
                    </w:rPr>
                    <w:t>豁免，由环卫部门清运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2" w:type="pct"/>
                  <w:vAlign w:val="center"/>
                </w:tcPr>
                <w:p>
                  <w:pPr>
                    <w:spacing w:line="300" w:lineRule="exact"/>
                    <w:jc w:val="center"/>
                    <w:rPr>
                      <w:kern w:val="1"/>
                      <w:szCs w:val="21"/>
                    </w:rPr>
                  </w:pPr>
                  <w:r>
                    <w:rPr>
                      <w:rFonts w:hint="eastAsia"/>
                      <w:kern w:val="1"/>
                      <w:szCs w:val="21"/>
                    </w:rPr>
                    <w:t>3</w:t>
                  </w:r>
                </w:p>
              </w:tc>
              <w:tc>
                <w:tcPr>
                  <w:tcW w:w="474" w:type="pct"/>
                  <w:vAlign w:val="center"/>
                </w:tcPr>
                <w:p>
                  <w:pPr>
                    <w:spacing w:line="300" w:lineRule="exact"/>
                    <w:jc w:val="center"/>
                    <w:rPr>
                      <w:szCs w:val="21"/>
                    </w:rPr>
                  </w:pPr>
                  <w:r>
                    <w:rPr>
                      <w:rFonts w:hint="eastAsia"/>
                      <w:kern w:val="1"/>
                      <w:szCs w:val="21"/>
                    </w:rPr>
                    <w:t>机加工</w:t>
                  </w:r>
                </w:p>
              </w:tc>
              <w:tc>
                <w:tcPr>
                  <w:tcW w:w="557" w:type="pct"/>
                  <w:vAlign w:val="center"/>
                </w:tcPr>
                <w:p>
                  <w:pPr>
                    <w:spacing w:line="300" w:lineRule="exact"/>
                    <w:jc w:val="center"/>
                    <w:rPr>
                      <w:szCs w:val="21"/>
                    </w:rPr>
                  </w:pPr>
                  <w:r>
                    <w:rPr>
                      <w:rFonts w:hint="eastAsia"/>
                      <w:kern w:val="1"/>
                      <w:szCs w:val="21"/>
                    </w:rPr>
                    <w:t>下角料和金属废料</w:t>
                  </w:r>
                </w:p>
              </w:tc>
              <w:tc>
                <w:tcPr>
                  <w:tcW w:w="756" w:type="pct"/>
                  <w:vAlign w:val="center"/>
                </w:tcPr>
                <w:p>
                  <w:pPr>
                    <w:spacing w:line="300" w:lineRule="exact"/>
                    <w:jc w:val="center"/>
                    <w:rPr>
                      <w:szCs w:val="21"/>
                    </w:rPr>
                  </w:pPr>
                  <w:r>
                    <w:rPr>
                      <w:rFonts w:hint="eastAsia"/>
                      <w:kern w:val="1"/>
                      <w:szCs w:val="21"/>
                    </w:rPr>
                    <w:t>金属</w:t>
                  </w:r>
                </w:p>
              </w:tc>
              <w:tc>
                <w:tcPr>
                  <w:tcW w:w="621" w:type="pct"/>
                  <w:vAlign w:val="center"/>
                </w:tcPr>
                <w:p>
                  <w:pPr>
                    <w:spacing w:line="300" w:lineRule="exact"/>
                    <w:jc w:val="center"/>
                    <w:rPr>
                      <w:kern w:val="1"/>
                      <w:szCs w:val="21"/>
                    </w:rPr>
                  </w:pPr>
                  <w:r>
                    <w:rPr>
                      <w:rFonts w:hint="eastAsia"/>
                      <w:kern w:val="1"/>
                      <w:szCs w:val="21"/>
                    </w:rPr>
                    <w:t>2400t/a</w:t>
                  </w:r>
                </w:p>
              </w:tc>
              <w:tc>
                <w:tcPr>
                  <w:tcW w:w="405" w:type="pct"/>
                  <w:vMerge w:val="continue"/>
                  <w:vAlign w:val="center"/>
                </w:tcPr>
                <w:p>
                  <w:pPr>
                    <w:spacing w:line="240" w:lineRule="exact"/>
                    <w:jc w:val="center"/>
                    <w:rPr>
                      <w:kern w:val="1"/>
                      <w:szCs w:val="21"/>
                    </w:rPr>
                  </w:pPr>
                </w:p>
              </w:tc>
              <w:tc>
                <w:tcPr>
                  <w:tcW w:w="1183" w:type="pct"/>
                  <w:vAlign w:val="center"/>
                </w:tcPr>
                <w:p>
                  <w:pPr>
                    <w:spacing w:line="240" w:lineRule="exact"/>
                    <w:jc w:val="center"/>
                    <w:rPr>
                      <w:kern w:val="1"/>
                      <w:szCs w:val="21"/>
                    </w:rPr>
                  </w:pPr>
                  <w:r>
                    <w:rPr>
                      <w:rFonts w:hint="eastAsia"/>
                      <w:kern w:val="1"/>
                      <w:szCs w:val="21"/>
                    </w:rPr>
                    <w:t>/</w:t>
                  </w:r>
                </w:p>
              </w:tc>
              <w:tc>
                <w:tcPr>
                  <w:tcW w:w="711" w:type="pct"/>
                  <w:vMerge w:val="restart"/>
                  <w:vAlign w:val="center"/>
                </w:tcPr>
                <w:p>
                  <w:pPr>
                    <w:spacing w:line="240" w:lineRule="exact"/>
                    <w:jc w:val="center"/>
                    <w:rPr>
                      <w:kern w:val="1"/>
                      <w:szCs w:val="21"/>
                    </w:rPr>
                  </w:pPr>
                  <w:r>
                    <w:rPr>
                      <w:kern w:val="1"/>
                      <w:szCs w:val="21"/>
                    </w:rPr>
                    <w:t>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2" w:type="pct"/>
                  <w:vAlign w:val="center"/>
                </w:tcPr>
                <w:p>
                  <w:pPr>
                    <w:spacing w:line="300" w:lineRule="exact"/>
                    <w:jc w:val="center"/>
                    <w:rPr>
                      <w:kern w:val="1"/>
                      <w:szCs w:val="21"/>
                    </w:rPr>
                  </w:pPr>
                  <w:r>
                    <w:rPr>
                      <w:rFonts w:hint="eastAsia"/>
                      <w:kern w:val="1"/>
                      <w:szCs w:val="21"/>
                    </w:rPr>
                    <w:t>4</w:t>
                  </w:r>
                </w:p>
              </w:tc>
              <w:tc>
                <w:tcPr>
                  <w:tcW w:w="474" w:type="pct"/>
                  <w:vAlign w:val="center"/>
                </w:tcPr>
                <w:p>
                  <w:pPr>
                    <w:spacing w:line="300" w:lineRule="exact"/>
                    <w:jc w:val="center"/>
                    <w:rPr>
                      <w:szCs w:val="21"/>
                    </w:rPr>
                  </w:pPr>
                  <w:r>
                    <w:rPr>
                      <w:rFonts w:hint="eastAsia"/>
                      <w:szCs w:val="21"/>
                    </w:rPr>
                    <w:t>除尘器</w:t>
                  </w:r>
                </w:p>
              </w:tc>
              <w:tc>
                <w:tcPr>
                  <w:tcW w:w="557" w:type="pct"/>
                  <w:vAlign w:val="center"/>
                </w:tcPr>
                <w:p>
                  <w:pPr>
                    <w:spacing w:line="300" w:lineRule="exact"/>
                    <w:jc w:val="center"/>
                    <w:rPr>
                      <w:szCs w:val="21"/>
                    </w:rPr>
                  </w:pPr>
                  <w:r>
                    <w:rPr>
                      <w:rFonts w:hint="eastAsia"/>
                      <w:kern w:val="1"/>
                      <w:szCs w:val="21"/>
                    </w:rPr>
                    <w:t>除尘灰</w:t>
                  </w:r>
                </w:p>
              </w:tc>
              <w:tc>
                <w:tcPr>
                  <w:tcW w:w="756" w:type="pct"/>
                  <w:vAlign w:val="center"/>
                </w:tcPr>
                <w:p>
                  <w:pPr>
                    <w:spacing w:line="300" w:lineRule="exact"/>
                    <w:jc w:val="center"/>
                    <w:rPr>
                      <w:szCs w:val="21"/>
                    </w:rPr>
                  </w:pPr>
                  <w:r>
                    <w:rPr>
                      <w:rFonts w:hint="eastAsia"/>
                      <w:kern w:val="1"/>
                      <w:szCs w:val="21"/>
                    </w:rPr>
                    <w:t>金属粉尘</w:t>
                  </w:r>
                </w:p>
              </w:tc>
              <w:tc>
                <w:tcPr>
                  <w:tcW w:w="621" w:type="pct"/>
                  <w:vAlign w:val="center"/>
                </w:tcPr>
                <w:p>
                  <w:pPr>
                    <w:spacing w:line="300" w:lineRule="exact"/>
                    <w:jc w:val="center"/>
                    <w:rPr>
                      <w:kern w:val="1"/>
                      <w:szCs w:val="21"/>
                    </w:rPr>
                  </w:pPr>
                  <w:r>
                    <w:rPr>
                      <w:rFonts w:hint="eastAsia"/>
                      <w:kern w:val="1"/>
                      <w:szCs w:val="21"/>
                    </w:rPr>
                    <w:t>6.291t/a</w:t>
                  </w:r>
                </w:p>
              </w:tc>
              <w:tc>
                <w:tcPr>
                  <w:tcW w:w="405" w:type="pct"/>
                  <w:vMerge w:val="continue"/>
                  <w:vAlign w:val="center"/>
                </w:tcPr>
                <w:p>
                  <w:pPr>
                    <w:spacing w:line="240" w:lineRule="exact"/>
                    <w:jc w:val="center"/>
                    <w:rPr>
                      <w:kern w:val="1"/>
                      <w:szCs w:val="21"/>
                    </w:rPr>
                  </w:pPr>
                </w:p>
              </w:tc>
              <w:tc>
                <w:tcPr>
                  <w:tcW w:w="1183" w:type="pct"/>
                  <w:vAlign w:val="center"/>
                </w:tcPr>
                <w:p>
                  <w:pPr>
                    <w:spacing w:line="240" w:lineRule="exact"/>
                    <w:jc w:val="center"/>
                    <w:rPr>
                      <w:kern w:val="1"/>
                      <w:szCs w:val="21"/>
                    </w:rPr>
                  </w:pPr>
                  <w:r>
                    <w:rPr>
                      <w:rFonts w:hint="eastAsia"/>
                      <w:kern w:val="1"/>
                      <w:szCs w:val="21"/>
                    </w:rPr>
                    <w:t>/</w:t>
                  </w:r>
                </w:p>
              </w:tc>
              <w:tc>
                <w:tcPr>
                  <w:tcW w:w="711" w:type="pct"/>
                  <w:vMerge w:val="continue"/>
                  <w:vAlign w:val="center"/>
                </w:tcPr>
                <w:p>
                  <w:pPr>
                    <w:spacing w:line="240" w:lineRule="exact"/>
                    <w:jc w:val="center"/>
                    <w:rPr>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2" w:type="pct"/>
                  <w:vAlign w:val="center"/>
                </w:tcPr>
                <w:p>
                  <w:pPr>
                    <w:spacing w:line="300" w:lineRule="exact"/>
                    <w:jc w:val="center"/>
                    <w:rPr>
                      <w:kern w:val="1"/>
                      <w:szCs w:val="21"/>
                    </w:rPr>
                  </w:pPr>
                  <w:r>
                    <w:rPr>
                      <w:rFonts w:hint="eastAsia"/>
                      <w:kern w:val="1"/>
                      <w:szCs w:val="21"/>
                    </w:rPr>
                    <w:t>5</w:t>
                  </w:r>
                </w:p>
              </w:tc>
              <w:tc>
                <w:tcPr>
                  <w:tcW w:w="474" w:type="pct"/>
                  <w:vAlign w:val="center"/>
                </w:tcPr>
                <w:p>
                  <w:pPr>
                    <w:spacing w:line="300" w:lineRule="exact"/>
                    <w:jc w:val="center"/>
                    <w:rPr>
                      <w:szCs w:val="21"/>
                    </w:rPr>
                  </w:pPr>
                  <w:r>
                    <w:rPr>
                      <w:rFonts w:hint="eastAsia"/>
                      <w:kern w:val="1"/>
                      <w:szCs w:val="21"/>
                    </w:rPr>
                    <w:t>焊接</w:t>
                  </w:r>
                </w:p>
              </w:tc>
              <w:tc>
                <w:tcPr>
                  <w:tcW w:w="557" w:type="pct"/>
                  <w:vAlign w:val="center"/>
                </w:tcPr>
                <w:p>
                  <w:pPr>
                    <w:spacing w:line="300" w:lineRule="exact"/>
                    <w:jc w:val="center"/>
                    <w:rPr>
                      <w:szCs w:val="21"/>
                    </w:rPr>
                  </w:pPr>
                  <w:r>
                    <w:rPr>
                      <w:rFonts w:hint="eastAsia"/>
                      <w:kern w:val="1"/>
                      <w:szCs w:val="21"/>
                    </w:rPr>
                    <w:t>焊渣</w:t>
                  </w:r>
                </w:p>
              </w:tc>
              <w:tc>
                <w:tcPr>
                  <w:tcW w:w="756" w:type="pct"/>
                  <w:vAlign w:val="center"/>
                </w:tcPr>
                <w:p>
                  <w:pPr>
                    <w:spacing w:line="300" w:lineRule="exact"/>
                    <w:jc w:val="center"/>
                    <w:rPr>
                      <w:szCs w:val="21"/>
                    </w:rPr>
                  </w:pPr>
                  <w:r>
                    <w:rPr>
                      <w:rFonts w:hint="eastAsia"/>
                      <w:kern w:val="1"/>
                      <w:szCs w:val="21"/>
                    </w:rPr>
                    <w:t>焊材</w:t>
                  </w:r>
                </w:p>
              </w:tc>
              <w:tc>
                <w:tcPr>
                  <w:tcW w:w="621" w:type="pct"/>
                  <w:vAlign w:val="center"/>
                </w:tcPr>
                <w:p>
                  <w:pPr>
                    <w:spacing w:line="300" w:lineRule="exact"/>
                    <w:jc w:val="center"/>
                    <w:rPr>
                      <w:szCs w:val="21"/>
                    </w:rPr>
                  </w:pPr>
                  <w:r>
                    <w:rPr>
                      <w:rFonts w:hint="eastAsia"/>
                      <w:kern w:val="1"/>
                      <w:szCs w:val="21"/>
                    </w:rPr>
                    <w:t>1t/a</w:t>
                  </w:r>
                </w:p>
              </w:tc>
              <w:tc>
                <w:tcPr>
                  <w:tcW w:w="405" w:type="pct"/>
                  <w:vMerge w:val="continue"/>
                  <w:vAlign w:val="center"/>
                </w:tcPr>
                <w:p>
                  <w:pPr>
                    <w:spacing w:line="240" w:lineRule="exact"/>
                    <w:jc w:val="center"/>
                    <w:rPr>
                      <w:kern w:val="1"/>
                      <w:szCs w:val="21"/>
                    </w:rPr>
                  </w:pPr>
                </w:p>
              </w:tc>
              <w:tc>
                <w:tcPr>
                  <w:tcW w:w="1183" w:type="pct"/>
                  <w:vAlign w:val="center"/>
                </w:tcPr>
                <w:p>
                  <w:pPr>
                    <w:spacing w:line="240" w:lineRule="exact"/>
                    <w:jc w:val="center"/>
                    <w:rPr>
                      <w:kern w:val="1"/>
                      <w:szCs w:val="21"/>
                    </w:rPr>
                  </w:pPr>
                  <w:r>
                    <w:rPr>
                      <w:rFonts w:hint="eastAsia"/>
                      <w:kern w:val="1"/>
                      <w:szCs w:val="21"/>
                    </w:rPr>
                    <w:t>/</w:t>
                  </w:r>
                </w:p>
              </w:tc>
              <w:tc>
                <w:tcPr>
                  <w:tcW w:w="711" w:type="pct"/>
                  <w:vMerge w:val="continue"/>
                  <w:vAlign w:val="center"/>
                </w:tcPr>
                <w:p>
                  <w:pPr>
                    <w:spacing w:line="240" w:lineRule="exact"/>
                    <w:jc w:val="center"/>
                    <w:rPr>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2" w:type="pct"/>
                  <w:vAlign w:val="center"/>
                </w:tcPr>
                <w:p>
                  <w:pPr>
                    <w:spacing w:line="300" w:lineRule="exact"/>
                    <w:jc w:val="center"/>
                    <w:rPr>
                      <w:kern w:val="1"/>
                      <w:szCs w:val="21"/>
                    </w:rPr>
                  </w:pPr>
                  <w:r>
                    <w:rPr>
                      <w:rFonts w:hint="eastAsia"/>
                      <w:kern w:val="1"/>
                      <w:szCs w:val="21"/>
                    </w:rPr>
                    <w:t>6</w:t>
                  </w:r>
                </w:p>
              </w:tc>
              <w:tc>
                <w:tcPr>
                  <w:tcW w:w="474" w:type="pct"/>
                  <w:vAlign w:val="center"/>
                </w:tcPr>
                <w:p>
                  <w:pPr>
                    <w:spacing w:line="300" w:lineRule="exact"/>
                    <w:jc w:val="center"/>
                    <w:rPr>
                      <w:kern w:val="1"/>
                      <w:szCs w:val="21"/>
                    </w:rPr>
                  </w:pPr>
                  <w:r>
                    <w:rPr>
                      <w:rFonts w:hint="eastAsia"/>
                      <w:kern w:val="1"/>
                      <w:szCs w:val="21"/>
                    </w:rPr>
                    <w:t>喷漆</w:t>
                  </w:r>
                </w:p>
              </w:tc>
              <w:tc>
                <w:tcPr>
                  <w:tcW w:w="557" w:type="pct"/>
                  <w:vAlign w:val="center"/>
                </w:tcPr>
                <w:p>
                  <w:pPr>
                    <w:jc w:val="center"/>
                    <w:rPr>
                      <w:kern w:val="1"/>
                      <w:szCs w:val="21"/>
                    </w:rPr>
                  </w:pPr>
                  <w:r>
                    <w:rPr>
                      <w:rFonts w:hint="eastAsia"/>
                      <w:szCs w:val="21"/>
                    </w:rPr>
                    <w:t>废漆渣</w:t>
                  </w:r>
                </w:p>
              </w:tc>
              <w:tc>
                <w:tcPr>
                  <w:tcW w:w="756" w:type="pct"/>
                  <w:vAlign w:val="center"/>
                </w:tcPr>
                <w:p>
                  <w:pPr>
                    <w:jc w:val="center"/>
                    <w:rPr>
                      <w:szCs w:val="21"/>
                    </w:rPr>
                  </w:pPr>
                  <w:r>
                    <w:rPr>
                      <w:rFonts w:hint="eastAsia"/>
                      <w:szCs w:val="21"/>
                    </w:rPr>
                    <w:t>水性漆</w:t>
                  </w:r>
                </w:p>
              </w:tc>
              <w:tc>
                <w:tcPr>
                  <w:tcW w:w="621" w:type="pct"/>
                  <w:vAlign w:val="center"/>
                </w:tcPr>
                <w:p>
                  <w:pPr>
                    <w:spacing w:line="300" w:lineRule="exact"/>
                    <w:jc w:val="center"/>
                    <w:rPr>
                      <w:kern w:val="1"/>
                      <w:szCs w:val="21"/>
                    </w:rPr>
                  </w:pPr>
                  <w:r>
                    <w:rPr>
                      <w:rFonts w:hint="eastAsia"/>
                      <w:kern w:val="1"/>
                      <w:szCs w:val="21"/>
                    </w:rPr>
                    <w:t>13.665t/a</w:t>
                  </w:r>
                </w:p>
              </w:tc>
              <w:tc>
                <w:tcPr>
                  <w:tcW w:w="405" w:type="pct"/>
                  <w:vMerge w:val="continue"/>
                  <w:vAlign w:val="center"/>
                </w:tcPr>
                <w:p>
                  <w:pPr>
                    <w:spacing w:line="240" w:lineRule="exact"/>
                    <w:jc w:val="center"/>
                    <w:rPr>
                      <w:kern w:val="1"/>
                      <w:szCs w:val="21"/>
                    </w:rPr>
                  </w:pPr>
                </w:p>
              </w:tc>
              <w:tc>
                <w:tcPr>
                  <w:tcW w:w="1183" w:type="pct"/>
                  <w:vAlign w:val="center"/>
                </w:tcPr>
                <w:p>
                  <w:pPr>
                    <w:spacing w:line="240" w:lineRule="exact"/>
                    <w:jc w:val="center"/>
                    <w:rPr>
                      <w:kern w:val="1"/>
                      <w:szCs w:val="21"/>
                    </w:rPr>
                  </w:pPr>
                  <w:r>
                    <w:rPr>
                      <w:rFonts w:hint="eastAsia"/>
                      <w:kern w:val="1"/>
                      <w:szCs w:val="21"/>
                    </w:rPr>
                    <w:t>/</w:t>
                  </w:r>
                </w:p>
              </w:tc>
              <w:tc>
                <w:tcPr>
                  <w:tcW w:w="711" w:type="pct"/>
                  <w:vMerge w:val="restart"/>
                  <w:vAlign w:val="center"/>
                </w:tcPr>
                <w:p>
                  <w:pPr>
                    <w:spacing w:line="240" w:lineRule="exact"/>
                    <w:jc w:val="center"/>
                    <w:rPr>
                      <w:color w:val="0070C0"/>
                      <w:kern w:val="1"/>
                      <w:szCs w:val="21"/>
                    </w:rPr>
                  </w:pPr>
                  <w:r>
                    <w:rPr>
                      <w:rFonts w:hint="eastAsia"/>
                      <w:color w:val="0070C0"/>
                      <w:kern w:val="1"/>
                      <w:szCs w:val="21"/>
                    </w:rPr>
                    <w:t>由厂家回收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2" w:type="pct"/>
                  <w:vAlign w:val="center"/>
                </w:tcPr>
                <w:p>
                  <w:pPr>
                    <w:spacing w:line="300" w:lineRule="exact"/>
                    <w:jc w:val="center"/>
                    <w:rPr>
                      <w:color w:val="FF0000"/>
                      <w:kern w:val="1"/>
                      <w:szCs w:val="21"/>
                    </w:rPr>
                  </w:pPr>
                  <w:r>
                    <w:rPr>
                      <w:rFonts w:hint="eastAsia"/>
                      <w:color w:val="FF0000"/>
                      <w:kern w:val="1"/>
                      <w:szCs w:val="21"/>
                    </w:rPr>
                    <w:t>7</w:t>
                  </w:r>
                </w:p>
              </w:tc>
              <w:tc>
                <w:tcPr>
                  <w:tcW w:w="474" w:type="pct"/>
                  <w:vAlign w:val="center"/>
                </w:tcPr>
                <w:p>
                  <w:pPr>
                    <w:spacing w:line="300" w:lineRule="exact"/>
                    <w:jc w:val="center"/>
                    <w:rPr>
                      <w:color w:val="FF0000"/>
                      <w:kern w:val="1"/>
                      <w:szCs w:val="21"/>
                    </w:rPr>
                  </w:pPr>
                  <w:r>
                    <w:rPr>
                      <w:rFonts w:hint="eastAsia"/>
                      <w:color w:val="FF0000"/>
                      <w:kern w:val="1"/>
                      <w:szCs w:val="21"/>
                    </w:rPr>
                    <w:t>喷漆</w:t>
                  </w:r>
                </w:p>
              </w:tc>
              <w:tc>
                <w:tcPr>
                  <w:tcW w:w="557" w:type="pct"/>
                  <w:vAlign w:val="center"/>
                </w:tcPr>
                <w:p>
                  <w:pPr>
                    <w:jc w:val="center"/>
                    <w:rPr>
                      <w:color w:val="FF0000"/>
                      <w:szCs w:val="21"/>
                    </w:rPr>
                  </w:pPr>
                  <w:r>
                    <w:rPr>
                      <w:rFonts w:hint="eastAsia"/>
                      <w:color w:val="FF0000"/>
                      <w:szCs w:val="21"/>
                    </w:rPr>
                    <w:t>废漆桶</w:t>
                  </w:r>
                </w:p>
              </w:tc>
              <w:tc>
                <w:tcPr>
                  <w:tcW w:w="756" w:type="pct"/>
                  <w:vAlign w:val="center"/>
                </w:tcPr>
                <w:p>
                  <w:pPr>
                    <w:jc w:val="center"/>
                    <w:rPr>
                      <w:color w:val="FF0000"/>
                      <w:szCs w:val="21"/>
                    </w:rPr>
                  </w:pPr>
                  <w:r>
                    <w:rPr>
                      <w:rFonts w:hint="eastAsia"/>
                      <w:color w:val="FF0000"/>
                      <w:szCs w:val="21"/>
                    </w:rPr>
                    <w:t>水性漆</w:t>
                  </w:r>
                </w:p>
              </w:tc>
              <w:tc>
                <w:tcPr>
                  <w:tcW w:w="621" w:type="pct"/>
                  <w:vAlign w:val="center"/>
                </w:tcPr>
                <w:p>
                  <w:pPr>
                    <w:spacing w:line="300" w:lineRule="exact"/>
                    <w:jc w:val="center"/>
                    <w:rPr>
                      <w:color w:val="FF0000"/>
                      <w:kern w:val="1"/>
                      <w:szCs w:val="21"/>
                    </w:rPr>
                  </w:pPr>
                  <w:r>
                    <w:rPr>
                      <w:rFonts w:hint="eastAsia"/>
                      <w:color w:val="FF0000"/>
                      <w:kern w:val="1"/>
                      <w:szCs w:val="21"/>
                    </w:rPr>
                    <w:t>9.5t/a</w:t>
                  </w:r>
                </w:p>
              </w:tc>
              <w:tc>
                <w:tcPr>
                  <w:tcW w:w="405" w:type="pct"/>
                  <w:vMerge w:val="continue"/>
                  <w:vAlign w:val="center"/>
                </w:tcPr>
                <w:p>
                  <w:pPr>
                    <w:spacing w:line="240" w:lineRule="exact"/>
                    <w:jc w:val="center"/>
                    <w:rPr>
                      <w:kern w:val="1"/>
                      <w:szCs w:val="21"/>
                    </w:rPr>
                  </w:pPr>
                </w:p>
              </w:tc>
              <w:tc>
                <w:tcPr>
                  <w:tcW w:w="1183" w:type="pct"/>
                  <w:vAlign w:val="center"/>
                </w:tcPr>
                <w:p>
                  <w:pPr>
                    <w:spacing w:line="240" w:lineRule="exact"/>
                    <w:jc w:val="center"/>
                    <w:rPr>
                      <w:kern w:val="1"/>
                      <w:szCs w:val="21"/>
                    </w:rPr>
                  </w:pPr>
                  <w:r>
                    <w:rPr>
                      <w:rFonts w:hint="eastAsia"/>
                      <w:kern w:val="1"/>
                      <w:szCs w:val="21"/>
                    </w:rPr>
                    <w:t>/</w:t>
                  </w:r>
                </w:p>
              </w:tc>
              <w:tc>
                <w:tcPr>
                  <w:tcW w:w="711" w:type="pct"/>
                  <w:vMerge w:val="continue"/>
                  <w:vAlign w:val="center"/>
                </w:tcPr>
                <w:p>
                  <w:pPr>
                    <w:spacing w:line="240" w:lineRule="exact"/>
                    <w:jc w:val="center"/>
                    <w:rPr>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2" w:type="pct"/>
                  <w:vAlign w:val="center"/>
                </w:tcPr>
                <w:p>
                  <w:pPr>
                    <w:spacing w:line="300" w:lineRule="exact"/>
                    <w:jc w:val="center"/>
                    <w:rPr>
                      <w:kern w:val="1"/>
                      <w:szCs w:val="21"/>
                    </w:rPr>
                  </w:pPr>
                  <w:r>
                    <w:rPr>
                      <w:rFonts w:hint="eastAsia"/>
                      <w:kern w:val="1"/>
                      <w:szCs w:val="21"/>
                    </w:rPr>
                    <w:t>8</w:t>
                  </w:r>
                </w:p>
              </w:tc>
              <w:tc>
                <w:tcPr>
                  <w:tcW w:w="474" w:type="pct"/>
                  <w:vAlign w:val="center"/>
                </w:tcPr>
                <w:p>
                  <w:pPr>
                    <w:spacing w:line="300" w:lineRule="exact"/>
                    <w:jc w:val="center"/>
                    <w:rPr>
                      <w:szCs w:val="21"/>
                    </w:rPr>
                  </w:pPr>
                  <w:r>
                    <w:rPr>
                      <w:rFonts w:hint="eastAsia"/>
                      <w:kern w:val="1"/>
                      <w:szCs w:val="21"/>
                    </w:rPr>
                    <w:t>机加工</w:t>
                  </w:r>
                </w:p>
              </w:tc>
              <w:tc>
                <w:tcPr>
                  <w:tcW w:w="557" w:type="pct"/>
                  <w:vAlign w:val="center"/>
                </w:tcPr>
                <w:p>
                  <w:pPr>
                    <w:spacing w:line="300" w:lineRule="exact"/>
                    <w:jc w:val="center"/>
                    <w:rPr>
                      <w:szCs w:val="21"/>
                    </w:rPr>
                  </w:pPr>
                  <w:r>
                    <w:rPr>
                      <w:rFonts w:hint="eastAsia"/>
                      <w:kern w:val="1"/>
                      <w:szCs w:val="21"/>
                    </w:rPr>
                    <w:t>废切削液</w:t>
                  </w:r>
                </w:p>
              </w:tc>
              <w:tc>
                <w:tcPr>
                  <w:tcW w:w="756" w:type="pct"/>
                  <w:vAlign w:val="center"/>
                </w:tcPr>
                <w:p>
                  <w:pPr>
                    <w:spacing w:line="300" w:lineRule="exact"/>
                    <w:jc w:val="center"/>
                    <w:rPr>
                      <w:szCs w:val="21"/>
                    </w:rPr>
                  </w:pPr>
                  <w:r>
                    <w:rPr>
                      <w:rFonts w:hint="eastAsia"/>
                      <w:szCs w:val="21"/>
                    </w:rPr>
                    <w:t>烃/水混合物</w:t>
                  </w:r>
                </w:p>
              </w:tc>
              <w:tc>
                <w:tcPr>
                  <w:tcW w:w="621" w:type="pct"/>
                  <w:vAlign w:val="center"/>
                </w:tcPr>
                <w:p>
                  <w:pPr>
                    <w:spacing w:line="300" w:lineRule="exact"/>
                    <w:jc w:val="center"/>
                    <w:rPr>
                      <w:szCs w:val="21"/>
                    </w:rPr>
                  </w:pPr>
                  <w:r>
                    <w:rPr>
                      <w:rFonts w:hint="eastAsia"/>
                      <w:kern w:val="1"/>
                      <w:szCs w:val="21"/>
                    </w:rPr>
                    <w:t>0.01t/a</w:t>
                  </w:r>
                </w:p>
              </w:tc>
              <w:tc>
                <w:tcPr>
                  <w:tcW w:w="405" w:type="pct"/>
                  <w:vMerge w:val="restart"/>
                  <w:vAlign w:val="center"/>
                </w:tcPr>
                <w:p>
                  <w:pPr>
                    <w:spacing w:line="240" w:lineRule="exact"/>
                    <w:jc w:val="center"/>
                    <w:rPr>
                      <w:kern w:val="1"/>
                      <w:szCs w:val="21"/>
                    </w:rPr>
                  </w:pPr>
                  <w:r>
                    <w:rPr>
                      <w:rFonts w:hint="eastAsia"/>
                      <w:kern w:val="1"/>
                      <w:szCs w:val="21"/>
                    </w:rPr>
                    <w:t>危废</w:t>
                  </w:r>
                </w:p>
              </w:tc>
              <w:tc>
                <w:tcPr>
                  <w:tcW w:w="1183" w:type="pct"/>
                  <w:vAlign w:val="center"/>
                </w:tcPr>
                <w:p>
                  <w:pPr>
                    <w:spacing w:line="240" w:lineRule="exact"/>
                    <w:jc w:val="center"/>
                    <w:rPr>
                      <w:kern w:val="1"/>
                      <w:szCs w:val="21"/>
                    </w:rPr>
                  </w:pPr>
                  <w:r>
                    <w:rPr>
                      <w:rFonts w:hint="eastAsia"/>
                      <w:kern w:val="1"/>
                      <w:szCs w:val="21"/>
                    </w:rPr>
                    <w:t>HW09/900-006-09</w:t>
                  </w:r>
                </w:p>
              </w:tc>
              <w:tc>
                <w:tcPr>
                  <w:tcW w:w="711" w:type="pct"/>
                  <w:vAlign w:val="center"/>
                </w:tcPr>
                <w:p>
                  <w:pPr>
                    <w:spacing w:line="240" w:lineRule="exact"/>
                    <w:jc w:val="center"/>
                    <w:rPr>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2" w:type="pct"/>
                  <w:vAlign w:val="center"/>
                </w:tcPr>
                <w:p>
                  <w:pPr>
                    <w:spacing w:line="300" w:lineRule="exact"/>
                    <w:jc w:val="center"/>
                    <w:rPr>
                      <w:kern w:val="1"/>
                      <w:szCs w:val="21"/>
                    </w:rPr>
                  </w:pPr>
                  <w:r>
                    <w:rPr>
                      <w:rFonts w:hint="eastAsia"/>
                      <w:kern w:val="1"/>
                      <w:szCs w:val="21"/>
                    </w:rPr>
                    <w:t>9</w:t>
                  </w:r>
                </w:p>
              </w:tc>
              <w:tc>
                <w:tcPr>
                  <w:tcW w:w="474" w:type="pct"/>
                  <w:vAlign w:val="center"/>
                </w:tcPr>
                <w:p>
                  <w:pPr>
                    <w:spacing w:line="300" w:lineRule="exact"/>
                    <w:jc w:val="center"/>
                    <w:rPr>
                      <w:kern w:val="1"/>
                      <w:szCs w:val="21"/>
                    </w:rPr>
                  </w:pPr>
                  <w:r>
                    <w:rPr>
                      <w:rFonts w:hint="eastAsia"/>
                      <w:kern w:val="1"/>
                      <w:szCs w:val="21"/>
                    </w:rPr>
                    <w:t>液压设备</w:t>
                  </w:r>
                  <w:r>
                    <w:rPr>
                      <w:kern w:val="1"/>
                      <w:szCs w:val="21"/>
                    </w:rPr>
                    <w:t xml:space="preserve">  </w:t>
                  </w:r>
                </w:p>
              </w:tc>
              <w:tc>
                <w:tcPr>
                  <w:tcW w:w="557" w:type="pct"/>
                  <w:vAlign w:val="center"/>
                </w:tcPr>
                <w:p>
                  <w:pPr>
                    <w:spacing w:line="300" w:lineRule="exact"/>
                    <w:jc w:val="center"/>
                    <w:rPr>
                      <w:szCs w:val="21"/>
                    </w:rPr>
                  </w:pPr>
                  <w:r>
                    <w:rPr>
                      <w:rFonts w:hint="eastAsia"/>
                      <w:kern w:val="1"/>
                      <w:szCs w:val="21"/>
                    </w:rPr>
                    <w:t>废液压油</w:t>
                  </w:r>
                </w:p>
              </w:tc>
              <w:tc>
                <w:tcPr>
                  <w:tcW w:w="756" w:type="pct"/>
                  <w:vAlign w:val="center"/>
                </w:tcPr>
                <w:p>
                  <w:pPr>
                    <w:spacing w:line="300" w:lineRule="exact"/>
                    <w:jc w:val="center"/>
                    <w:rPr>
                      <w:szCs w:val="21"/>
                    </w:rPr>
                  </w:pPr>
                  <w:r>
                    <w:rPr>
                      <w:rFonts w:hint="eastAsia"/>
                      <w:kern w:val="1"/>
                      <w:szCs w:val="21"/>
                    </w:rPr>
                    <w:t>废矿物油</w:t>
                  </w:r>
                </w:p>
              </w:tc>
              <w:tc>
                <w:tcPr>
                  <w:tcW w:w="621" w:type="pct"/>
                  <w:vAlign w:val="center"/>
                </w:tcPr>
                <w:p>
                  <w:pPr>
                    <w:spacing w:line="300" w:lineRule="exact"/>
                    <w:jc w:val="center"/>
                    <w:rPr>
                      <w:szCs w:val="21"/>
                    </w:rPr>
                  </w:pPr>
                  <w:r>
                    <w:rPr>
                      <w:rFonts w:hint="eastAsia"/>
                      <w:kern w:val="1"/>
                      <w:szCs w:val="21"/>
                    </w:rPr>
                    <w:t>0.05t/a</w:t>
                  </w:r>
                </w:p>
              </w:tc>
              <w:tc>
                <w:tcPr>
                  <w:tcW w:w="405" w:type="pct"/>
                  <w:vMerge w:val="continue"/>
                  <w:vAlign w:val="center"/>
                </w:tcPr>
                <w:p>
                  <w:pPr>
                    <w:spacing w:line="240" w:lineRule="exact"/>
                    <w:jc w:val="center"/>
                    <w:rPr>
                      <w:kern w:val="1"/>
                      <w:szCs w:val="21"/>
                    </w:rPr>
                  </w:pPr>
                </w:p>
              </w:tc>
              <w:tc>
                <w:tcPr>
                  <w:tcW w:w="1183" w:type="pct"/>
                  <w:vAlign w:val="center"/>
                </w:tcPr>
                <w:p>
                  <w:pPr>
                    <w:spacing w:line="300" w:lineRule="exact"/>
                    <w:jc w:val="center"/>
                    <w:rPr>
                      <w:kern w:val="1"/>
                      <w:szCs w:val="21"/>
                    </w:rPr>
                  </w:pPr>
                  <w:r>
                    <w:rPr>
                      <w:rFonts w:hint="eastAsia"/>
                      <w:kern w:val="1"/>
                      <w:szCs w:val="21"/>
                    </w:rPr>
                    <w:t>HW08/900-218-08</w:t>
                  </w:r>
                </w:p>
              </w:tc>
              <w:tc>
                <w:tcPr>
                  <w:tcW w:w="711" w:type="pct"/>
                  <w:vAlign w:val="center"/>
                </w:tcPr>
                <w:p>
                  <w:pPr>
                    <w:spacing w:line="240" w:lineRule="exact"/>
                    <w:jc w:val="center"/>
                    <w:rPr>
                      <w:kern w:val="1"/>
                      <w:szCs w:val="21"/>
                    </w:rPr>
                  </w:pPr>
                </w:p>
              </w:tc>
            </w:tr>
          </w:tbl>
          <w:p>
            <w:pPr>
              <w:autoSpaceDE w:val="0"/>
              <w:autoSpaceDN w:val="0"/>
              <w:adjustRightInd w:val="0"/>
              <w:snapToGrid w:val="0"/>
              <w:spacing w:line="360" w:lineRule="auto"/>
              <w:ind w:firstLine="472" w:firstLineChars="200"/>
              <w:jc w:val="left"/>
              <w:rPr>
                <w:kern w:val="0"/>
                <w:sz w:val="24"/>
                <w:szCs w:val="24"/>
              </w:rPr>
            </w:pPr>
            <w:r>
              <w:rPr>
                <w:kern w:val="0"/>
                <w:sz w:val="24"/>
                <w:szCs w:val="24"/>
              </w:rPr>
              <w:t>由上表可知，</w:t>
            </w:r>
            <w:r>
              <w:rPr>
                <w:rFonts w:hint="eastAsia"/>
                <w:kern w:val="0"/>
                <w:sz w:val="24"/>
                <w:szCs w:val="24"/>
              </w:rPr>
              <w:t>本项目</w:t>
            </w:r>
            <w:r>
              <w:rPr>
                <w:kern w:val="0"/>
                <w:sz w:val="24"/>
                <w:szCs w:val="24"/>
              </w:rPr>
              <w:t>固体废物均得到合理的处理处置，不会对周围环境产生影响。</w:t>
            </w:r>
          </w:p>
          <w:p>
            <w:pPr>
              <w:autoSpaceDE w:val="0"/>
              <w:autoSpaceDN w:val="0"/>
              <w:adjustRightInd w:val="0"/>
              <w:snapToGrid w:val="0"/>
              <w:spacing w:line="360" w:lineRule="auto"/>
              <w:ind w:firstLine="463" w:firstLineChars="196"/>
              <w:jc w:val="left"/>
              <w:rPr>
                <w:kern w:val="0"/>
                <w:sz w:val="24"/>
                <w:szCs w:val="24"/>
              </w:rPr>
            </w:pPr>
            <w:r>
              <w:rPr>
                <w:b/>
                <w:bCs/>
                <w:kern w:val="0"/>
                <w:sz w:val="24"/>
                <w:szCs w:val="24"/>
              </w:rPr>
              <w:t>2、</w:t>
            </w:r>
            <w:r>
              <w:rPr>
                <w:kern w:val="0"/>
                <w:sz w:val="24"/>
                <w:szCs w:val="24"/>
              </w:rPr>
              <w:t>一般固废暂存要求</w:t>
            </w:r>
          </w:p>
          <w:p>
            <w:pPr>
              <w:autoSpaceDE w:val="0"/>
              <w:autoSpaceDN w:val="0"/>
              <w:adjustRightInd w:val="0"/>
              <w:snapToGrid w:val="0"/>
              <w:spacing w:line="360" w:lineRule="auto"/>
              <w:ind w:firstLine="472" w:firstLineChars="200"/>
              <w:rPr>
                <w:kern w:val="0"/>
                <w:sz w:val="24"/>
                <w:szCs w:val="24"/>
              </w:rPr>
            </w:pPr>
            <w:r>
              <w:rPr>
                <w:rFonts w:hint="eastAsia"/>
                <w:kern w:val="0"/>
                <w:sz w:val="24"/>
                <w:szCs w:val="24"/>
              </w:rPr>
              <w:t>本项目</w:t>
            </w:r>
            <w:r>
              <w:rPr>
                <w:kern w:val="0"/>
                <w:sz w:val="24"/>
                <w:szCs w:val="24"/>
              </w:rPr>
              <w:t>各类废物分类收集、定点堆放在厂房一般固废暂存区，除尘灰</w:t>
            </w:r>
            <w:r>
              <w:rPr>
                <w:rFonts w:hint="eastAsia"/>
                <w:kern w:val="0"/>
                <w:sz w:val="24"/>
                <w:szCs w:val="24"/>
              </w:rPr>
              <w:t>、边角料和金属废料</w:t>
            </w:r>
            <w:r>
              <w:rPr>
                <w:kern w:val="0"/>
                <w:sz w:val="24"/>
                <w:szCs w:val="24"/>
              </w:rPr>
              <w:t>定期外售</w:t>
            </w:r>
            <w:r>
              <w:rPr>
                <w:rFonts w:hint="eastAsia"/>
                <w:kern w:val="0"/>
                <w:sz w:val="24"/>
                <w:szCs w:val="24"/>
              </w:rPr>
              <w:t>，废漆渣、废漆桶由厂家回收</w:t>
            </w:r>
            <w:r>
              <w:rPr>
                <w:kern w:val="0"/>
                <w:sz w:val="24"/>
                <w:szCs w:val="24"/>
              </w:rPr>
              <w:t>。按照《环境保护图形标志-固体废物贮存（处置）场》（GB15562.2-1995）的规定设置环境保护标志，采取防扬散、防流失、防渗漏等措施。禁止危险废物和生活垃圾混入一般工业固体废物贮存场。</w:t>
            </w:r>
          </w:p>
          <w:p>
            <w:pPr>
              <w:autoSpaceDE w:val="0"/>
              <w:autoSpaceDN w:val="0"/>
              <w:adjustRightInd w:val="0"/>
              <w:snapToGrid w:val="0"/>
              <w:spacing w:line="360" w:lineRule="auto"/>
              <w:ind w:firstLine="463" w:firstLineChars="196"/>
              <w:jc w:val="left"/>
              <w:rPr>
                <w:kern w:val="0"/>
                <w:sz w:val="24"/>
                <w:szCs w:val="24"/>
              </w:rPr>
            </w:pPr>
            <w:r>
              <w:rPr>
                <w:b/>
                <w:bCs/>
                <w:kern w:val="0"/>
                <w:sz w:val="24"/>
                <w:szCs w:val="24"/>
              </w:rPr>
              <w:t>3、</w:t>
            </w:r>
            <w:r>
              <w:rPr>
                <w:kern w:val="0"/>
                <w:sz w:val="24"/>
                <w:szCs w:val="24"/>
              </w:rPr>
              <w:t>危险废物环境影响分析</w:t>
            </w:r>
          </w:p>
          <w:p>
            <w:pPr>
              <w:autoSpaceDE w:val="0"/>
              <w:autoSpaceDN w:val="0"/>
              <w:adjustRightInd w:val="0"/>
              <w:snapToGrid w:val="0"/>
              <w:spacing w:line="360" w:lineRule="auto"/>
              <w:ind w:firstLine="472" w:firstLineChars="200"/>
              <w:jc w:val="left"/>
              <w:rPr>
                <w:kern w:val="0"/>
                <w:sz w:val="24"/>
                <w:szCs w:val="24"/>
              </w:rPr>
            </w:pPr>
            <w:r>
              <w:rPr>
                <w:kern w:val="0"/>
                <w:sz w:val="24"/>
                <w:szCs w:val="24"/>
              </w:rPr>
              <w:t>（1）危险废物基本情况</w:t>
            </w:r>
          </w:p>
          <w:p>
            <w:pPr>
              <w:autoSpaceDE w:val="0"/>
              <w:autoSpaceDN w:val="0"/>
              <w:adjustRightInd w:val="0"/>
              <w:snapToGrid w:val="0"/>
              <w:spacing w:line="360" w:lineRule="auto"/>
              <w:ind w:firstLine="472" w:firstLineChars="200"/>
              <w:jc w:val="left"/>
              <w:rPr>
                <w:kern w:val="1"/>
                <w:sz w:val="24"/>
              </w:rPr>
            </w:pPr>
            <w:r>
              <w:rPr>
                <w:kern w:val="0"/>
                <w:sz w:val="24"/>
                <w:szCs w:val="24"/>
              </w:rPr>
              <w:t>根据《建设项目危险废物环境影响评价指南》要求，本评价明确危险废物的名称、数量、类别、形态、危险特性和污染防治措施等内容。项目危险废物基本情况详见下表</w:t>
            </w:r>
            <w:r>
              <w:rPr>
                <w:rFonts w:hint="eastAsia"/>
                <w:kern w:val="0"/>
                <w:sz w:val="24"/>
                <w:szCs w:val="24"/>
              </w:rPr>
              <w:t>4-6</w:t>
            </w:r>
            <w:r>
              <w:rPr>
                <w:kern w:val="0"/>
                <w:sz w:val="24"/>
                <w:szCs w:val="24"/>
              </w:rPr>
              <w:t>。</w:t>
            </w:r>
          </w:p>
          <w:p>
            <w:pPr>
              <w:spacing w:line="360" w:lineRule="auto"/>
              <w:jc w:val="center"/>
              <w:rPr>
                <w:rFonts w:ascii="宋体" w:hAnsi="宋体"/>
                <w:b/>
                <w:sz w:val="24"/>
              </w:rPr>
            </w:pPr>
            <w:r>
              <w:rPr>
                <w:rFonts w:ascii="宋体" w:hAnsi="宋体"/>
                <w:b/>
                <w:sz w:val="24"/>
              </w:rPr>
              <w:t>表</w:t>
            </w:r>
            <w:r>
              <w:rPr>
                <w:rFonts w:hint="eastAsia" w:ascii="宋体" w:hAnsi="宋体"/>
                <w:b/>
                <w:sz w:val="24"/>
              </w:rPr>
              <w:t>4-6</w:t>
            </w:r>
            <w:r>
              <w:rPr>
                <w:rFonts w:ascii="宋体" w:hAnsi="宋体"/>
                <w:b/>
                <w:sz w:val="24"/>
              </w:rPr>
              <w:t xml:space="preserve"> </w:t>
            </w:r>
            <w:r>
              <w:rPr>
                <w:rFonts w:hint="eastAsia" w:ascii="宋体" w:hAnsi="宋体"/>
                <w:b/>
                <w:sz w:val="24"/>
              </w:rPr>
              <w:t>危险废物分析汇总表</w:t>
            </w:r>
          </w:p>
          <w:tbl>
            <w:tblPr>
              <w:tblStyle w:val="28"/>
              <w:tblW w:w="499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61"/>
              <w:gridCol w:w="1154"/>
              <w:gridCol w:w="1976"/>
              <w:gridCol w:w="1480"/>
              <w:gridCol w:w="1215"/>
              <w:gridCol w:w="658"/>
              <w:gridCol w:w="1178"/>
              <w:gridCol w:w="1013"/>
              <w:gridCol w:w="881"/>
              <w:gridCol w:w="870"/>
              <w:gridCol w:w="112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 w:type="pct"/>
                  <w:vAlign w:val="center"/>
                </w:tcPr>
                <w:p>
                  <w:pPr>
                    <w:topLinePunct/>
                    <w:adjustRightInd w:val="0"/>
                    <w:snapToGrid w:val="0"/>
                    <w:spacing w:line="240" w:lineRule="exact"/>
                    <w:jc w:val="center"/>
                    <w:rPr>
                      <w:kern w:val="0"/>
                      <w:sz w:val="18"/>
                      <w:szCs w:val="18"/>
                    </w:rPr>
                  </w:pPr>
                  <w:r>
                    <w:rPr>
                      <w:kern w:val="0"/>
                      <w:sz w:val="18"/>
                      <w:szCs w:val="18"/>
                    </w:rPr>
                    <w:t>序号</w:t>
                  </w:r>
                </w:p>
              </w:tc>
              <w:tc>
                <w:tcPr>
                  <w:tcW w:w="400" w:type="pct"/>
                  <w:vAlign w:val="center"/>
                </w:tcPr>
                <w:p>
                  <w:pPr>
                    <w:topLinePunct/>
                    <w:adjustRightInd w:val="0"/>
                    <w:snapToGrid w:val="0"/>
                    <w:spacing w:line="240" w:lineRule="exact"/>
                    <w:jc w:val="center"/>
                    <w:rPr>
                      <w:kern w:val="0"/>
                      <w:sz w:val="18"/>
                      <w:szCs w:val="18"/>
                    </w:rPr>
                  </w:pPr>
                  <w:r>
                    <w:rPr>
                      <w:kern w:val="0"/>
                      <w:sz w:val="18"/>
                      <w:szCs w:val="18"/>
                    </w:rPr>
                    <w:t>危险废物名称</w:t>
                  </w:r>
                </w:p>
              </w:tc>
              <w:tc>
                <w:tcPr>
                  <w:tcW w:w="435" w:type="pct"/>
                  <w:vAlign w:val="center"/>
                </w:tcPr>
                <w:p>
                  <w:pPr>
                    <w:topLinePunct/>
                    <w:adjustRightInd w:val="0"/>
                    <w:snapToGrid w:val="0"/>
                    <w:spacing w:line="240" w:lineRule="exact"/>
                    <w:jc w:val="center"/>
                    <w:rPr>
                      <w:kern w:val="0"/>
                      <w:sz w:val="18"/>
                      <w:szCs w:val="18"/>
                    </w:rPr>
                  </w:pPr>
                  <w:r>
                    <w:rPr>
                      <w:kern w:val="0"/>
                      <w:sz w:val="18"/>
                      <w:szCs w:val="18"/>
                    </w:rPr>
                    <w:t>危险废物类别</w:t>
                  </w:r>
                </w:p>
              </w:tc>
              <w:tc>
                <w:tcPr>
                  <w:tcW w:w="745" w:type="pct"/>
                  <w:vAlign w:val="center"/>
                </w:tcPr>
                <w:p>
                  <w:pPr>
                    <w:topLinePunct/>
                    <w:adjustRightInd w:val="0"/>
                    <w:snapToGrid w:val="0"/>
                    <w:spacing w:line="240" w:lineRule="exact"/>
                    <w:jc w:val="center"/>
                    <w:rPr>
                      <w:kern w:val="0"/>
                      <w:sz w:val="18"/>
                      <w:szCs w:val="18"/>
                    </w:rPr>
                  </w:pPr>
                  <w:r>
                    <w:rPr>
                      <w:kern w:val="0"/>
                      <w:sz w:val="18"/>
                      <w:szCs w:val="18"/>
                    </w:rPr>
                    <w:t>危险废物代码</w:t>
                  </w:r>
                </w:p>
              </w:tc>
              <w:tc>
                <w:tcPr>
                  <w:tcW w:w="558" w:type="pct"/>
                  <w:vAlign w:val="center"/>
                </w:tcPr>
                <w:p>
                  <w:pPr>
                    <w:topLinePunct/>
                    <w:adjustRightInd w:val="0"/>
                    <w:snapToGrid w:val="0"/>
                    <w:spacing w:line="240" w:lineRule="exact"/>
                    <w:jc w:val="center"/>
                    <w:rPr>
                      <w:kern w:val="0"/>
                      <w:sz w:val="18"/>
                      <w:szCs w:val="18"/>
                    </w:rPr>
                  </w:pPr>
                  <w:r>
                    <w:rPr>
                      <w:kern w:val="0"/>
                      <w:sz w:val="18"/>
                      <w:szCs w:val="18"/>
                    </w:rPr>
                    <w:t>产生量（t/a）</w:t>
                  </w:r>
                </w:p>
              </w:tc>
              <w:tc>
                <w:tcPr>
                  <w:tcW w:w="458" w:type="pct"/>
                  <w:vAlign w:val="center"/>
                </w:tcPr>
                <w:p>
                  <w:pPr>
                    <w:topLinePunct/>
                    <w:adjustRightInd w:val="0"/>
                    <w:snapToGrid w:val="0"/>
                    <w:spacing w:line="240" w:lineRule="exact"/>
                    <w:jc w:val="center"/>
                    <w:rPr>
                      <w:kern w:val="0"/>
                      <w:sz w:val="18"/>
                      <w:szCs w:val="18"/>
                    </w:rPr>
                  </w:pPr>
                  <w:r>
                    <w:rPr>
                      <w:kern w:val="0"/>
                      <w:sz w:val="18"/>
                      <w:szCs w:val="18"/>
                    </w:rPr>
                    <w:t>产生工序</w:t>
                  </w:r>
                  <w:r>
                    <w:rPr>
                      <w:rFonts w:hint="eastAsia"/>
                      <w:kern w:val="0"/>
                      <w:sz w:val="18"/>
                      <w:szCs w:val="18"/>
                    </w:rPr>
                    <w:t>/</w:t>
                  </w:r>
                  <w:r>
                    <w:rPr>
                      <w:kern w:val="0"/>
                      <w:sz w:val="18"/>
                      <w:szCs w:val="18"/>
                    </w:rPr>
                    <w:t>装置</w:t>
                  </w:r>
                </w:p>
              </w:tc>
              <w:tc>
                <w:tcPr>
                  <w:tcW w:w="248" w:type="pct"/>
                  <w:vAlign w:val="center"/>
                </w:tcPr>
                <w:p>
                  <w:pPr>
                    <w:topLinePunct/>
                    <w:adjustRightInd w:val="0"/>
                    <w:snapToGrid w:val="0"/>
                    <w:spacing w:line="240" w:lineRule="exact"/>
                    <w:jc w:val="center"/>
                    <w:rPr>
                      <w:kern w:val="0"/>
                      <w:sz w:val="18"/>
                      <w:szCs w:val="18"/>
                    </w:rPr>
                  </w:pPr>
                  <w:r>
                    <w:rPr>
                      <w:kern w:val="0"/>
                      <w:sz w:val="18"/>
                      <w:szCs w:val="18"/>
                    </w:rPr>
                    <w:t>形态</w:t>
                  </w:r>
                </w:p>
              </w:tc>
              <w:tc>
                <w:tcPr>
                  <w:tcW w:w="444" w:type="pct"/>
                  <w:vAlign w:val="center"/>
                </w:tcPr>
                <w:p>
                  <w:pPr>
                    <w:topLinePunct/>
                    <w:adjustRightInd w:val="0"/>
                    <w:snapToGrid w:val="0"/>
                    <w:spacing w:line="240" w:lineRule="exact"/>
                    <w:jc w:val="center"/>
                    <w:rPr>
                      <w:kern w:val="0"/>
                      <w:sz w:val="18"/>
                      <w:szCs w:val="18"/>
                    </w:rPr>
                  </w:pPr>
                  <w:r>
                    <w:rPr>
                      <w:kern w:val="0"/>
                      <w:sz w:val="18"/>
                      <w:szCs w:val="18"/>
                    </w:rPr>
                    <w:t>主要</w:t>
                  </w:r>
                </w:p>
                <w:p>
                  <w:pPr>
                    <w:topLinePunct/>
                    <w:adjustRightInd w:val="0"/>
                    <w:snapToGrid w:val="0"/>
                    <w:spacing w:line="240" w:lineRule="exact"/>
                    <w:jc w:val="center"/>
                    <w:rPr>
                      <w:kern w:val="0"/>
                      <w:sz w:val="18"/>
                      <w:szCs w:val="18"/>
                    </w:rPr>
                  </w:pPr>
                  <w:r>
                    <w:rPr>
                      <w:kern w:val="0"/>
                      <w:sz w:val="18"/>
                      <w:szCs w:val="18"/>
                    </w:rPr>
                    <w:t>成分</w:t>
                  </w:r>
                </w:p>
              </w:tc>
              <w:tc>
                <w:tcPr>
                  <w:tcW w:w="382" w:type="pct"/>
                  <w:vAlign w:val="center"/>
                </w:tcPr>
                <w:p>
                  <w:pPr>
                    <w:topLinePunct/>
                    <w:adjustRightInd w:val="0"/>
                    <w:snapToGrid w:val="0"/>
                    <w:spacing w:line="240" w:lineRule="exact"/>
                    <w:jc w:val="center"/>
                    <w:rPr>
                      <w:kern w:val="0"/>
                      <w:sz w:val="18"/>
                      <w:szCs w:val="18"/>
                    </w:rPr>
                  </w:pPr>
                  <w:r>
                    <w:rPr>
                      <w:kern w:val="0"/>
                      <w:sz w:val="18"/>
                      <w:szCs w:val="18"/>
                    </w:rPr>
                    <w:t>有害成分</w:t>
                  </w:r>
                </w:p>
              </w:tc>
              <w:tc>
                <w:tcPr>
                  <w:tcW w:w="332" w:type="pct"/>
                  <w:vAlign w:val="center"/>
                </w:tcPr>
                <w:p>
                  <w:pPr>
                    <w:topLinePunct/>
                    <w:adjustRightInd w:val="0"/>
                    <w:snapToGrid w:val="0"/>
                    <w:spacing w:line="240" w:lineRule="exact"/>
                    <w:jc w:val="center"/>
                    <w:rPr>
                      <w:kern w:val="0"/>
                      <w:sz w:val="18"/>
                      <w:szCs w:val="18"/>
                    </w:rPr>
                  </w:pPr>
                  <w:r>
                    <w:rPr>
                      <w:kern w:val="0"/>
                      <w:sz w:val="18"/>
                      <w:szCs w:val="18"/>
                    </w:rPr>
                    <w:t>产废周期</w:t>
                  </w:r>
                </w:p>
              </w:tc>
              <w:tc>
                <w:tcPr>
                  <w:tcW w:w="328" w:type="pct"/>
                  <w:vAlign w:val="center"/>
                </w:tcPr>
                <w:p>
                  <w:pPr>
                    <w:topLinePunct/>
                    <w:adjustRightInd w:val="0"/>
                    <w:snapToGrid w:val="0"/>
                    <w:spacing w:line="240" w:lineRule="exact"/>
                    <w:jc w:val="center"/>
                    <w:rPr>
                      <w:kern w:val="0"/>
                      <w:sz w:val="18"/>
                      <w:szCs w:val="18"/>
                    </w:rPr>
                  </w:pPr>
                  <w:r>
                    <w:rPr>
                      <w:kern w:val="0"/>
                      <w:sz w:val="18"/>
                      <w:szCs w:val="18"/>
                    </w:rPr>
                    <w:t>危险</w:t>
                  </w:r>
                </w:p>
                <w:p>
                  <w:pPr>
                    <w:topLinePunct/>
                    <w:adjustRightInd w:val="0"/>
                    <w:snapToGrid w:val="0"/>
                    <w:spacing w:line="240" w:lineRule="exact"/>
                    <w:jc w:val="center"/>
                    <w:rPr>
                      <w:kern w:val="0"/>
                      <w:sz w:val="18"/>
                      <w:szCs w:val="18"/>
                    </w:rPr>
                  </w:pPr>
                  <w:r>
                    <w:rPr>
                      <w:kern w:val="0"/>
                      <w:sz w:val="18"/>
                      <w:szCs w:val="18"/>
                    </w:rPr>
                    <w:t>特性</w:t>
                  </w:r>
                </w:p>
              </w:tc>
              <w:tc>
                <w:tcPr>
                  <w:tcW w:w="425" w:type="pct"/>
                  <w:vAlign w:val="center"/>
                </w:tcPr>
                <w:p>
                  <w:pPr>
                    <w:topLinePunct/>
                    <w:adjustRightInd w:val="0"/>
                    <w:snapToGrid w:val="0"/>
                    <w:spacing w:line="240" w:lineRule="exact"/>
                    <w:jc w:val="center"/>
                    <w:rPr>
                      <w:kern w:val="0"/>
                      <w:sz w:val="18"/>
                      <w:szCs w:val="18"/>
                    </w:rPr>
                  </w:pPr>
                  <w:r>
                    <w:rPr>
                      <w:kern w:val="0"/>
                      <w:sz w:val="18"/>
                      <w:szCs w:val="18"/>
                    </w:rPr>
                    <w:t>污染防治措施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 w:type="pct"/>
                  <w:vAlign w:val="center"/>
                </w:tcPr>
                <w:p>
                  <w:pPr>
                    <w:topLinePunct/>
                    <w:adjustRightInd w:val="0"/>
                    <w:snapToGrid w:val="0"/>
                    <w:spacing w:line="240" w:lineRule="exact"/>
                    <w:jc w:val="center"/>
                    <w:rPr>
                      <w:kern w:val="0"/>
                      <w:sz w:val="18"/>
                      <w:szCs w:val="18"/>
                    </w:rPr>
                  </w:pPr>
                  <w:r>
                    <w:rPr>
                      <w:rFonts w:hint="eastAsia"/>
                      <w:kern w:val="0"/>
                      <w:sz w:val="18"/>
                      <w:szCs w:val="18"/>
                    </w:rPr>
                    <w:t>1</w:t>
                  </w:r>
                </w:p>
              </w:tc>
              <w:tc>
                <w:tcPr>
                  <w:tcW w:w="400" w:type="pct"/>
                  <w:vAlign w:val="center"/>
                </w:tcPr>
                <w:p>
                  <w:pPr>
                    <w:spacing w:line="240" w:lineRule="exact"/>
                    <w:jc w:val="center"/>
                    <w:rPr>
                      <w:kern w:val="0"/>
                      <w:sz w:val="18"/>
                      <w:szCs w:val="18"/>
                    </w:rPr>
                  </w:pPr>
                  <w:r>
                    <w:rPr>
                      <w:rFonts w:hint="eastAsia"/>
                      <w:kern w:val="1"/>
                      <w:sz w:val="18"/>
                      <w:szCs w:val="18"/>
                    </w:rPr>
                    <w:t>废切削液</w:t>
                  </w:r>
                </w:p>
              </w:tc>
              <w:tc>
                <w:tcPr>
                  <w:tcW w:w="435" w:type="pct"/>
                  <w:vAlign w:val="center"/>
                </w:tcPr>
                <w:p>
                  <w:pPr>
                    <w:spacing w:line="240" w:lineRule="exact"/>
                    <w:jc w:val="center"/>
                    <w:rPr>
                      <w:kern w:val="0"/>
                      <w:sz w:val="18"/>
                      <w:szCs w:val="18"/>
                    </w:rPr>
                  </w:pPr>
                  <w:r>
                    <w:rPr>
                      <w:kern w:val="1"/>
                      <w:sz w:val="18"/>
                      <w:szCs w:val="18"/>
                    </w:rPr>
                    <w:t>HW0</w:t>
                  </w:r>
                  <w:r>
                    <w:rPr>
                      <w:rFonts w:hint="eastAsia"/>
                      <w:kern w:val="1"/>
                      <w:sz w:val="18"/>
                      <w:szCs w:val="18"/>
                    </w:rPr>
                    <w:t>9</w:t>
                  </w:r>
                </w:p>
              </w:tc>
              <w:tc>
                <w:tcPr>
                  <w:tcW w:w="745" w:type="pct"/>
                  <w:vAlign w:val="center"/>
                </w:tcPr>
                <w:p>
                  <w:pPr>
                    <w:spacing w:line="240" w:lineRule="exact"/>
                    <w:jc w:val="center"/>
                    <w:rPr>
                      <w:kern w:val="0"/>
                      <w:sz w:val="18"/>
                      <w:szCs w:val="18"/>
                    </w:rPr>
                  </w:pPr>
                  <w:r>
                    <w:rPr>
                      <w:rFonts w:hint="eastAsia"/>
                      <w:kern w:val="1"/>
                      <w:sz w:val="18"/>
                      <w:szCs w:val="18"/>
                    </w:rPr>
                    <w:t>900-006-09</w:t>
                  </w:r>
                </w:p>
              </w:tc>
              <w:tc>
                <w:tcPr>
                  <w:tcW w:w="558" w:type="pct"/>
                  <w:vAlign w:val="center"/>
                </w:tcPr>
                <w:p>
                  <w:pPr>
                    <w:spacing w:line="240" w:lineRule="exact"/>
                    <w:jc w:val="center"/>
                    <w:rPr>
                      <w:kern w:val="0"/>
                      <w:sz w:val="18"/>
                      <w:szCs w:val="18"/>
                    </w:rPr>
                  </w:pPr>
                  <w:r>
                    <w:rPr>
                      <w:rFonts w:hint="eastAsia"/>
                      <w:kern w:val="1"/>
                      <w:sz w:val="18"/>
                      <w:szCs w:val="18"/>
                    </w:rPr>
                    <w:t>0.01t/a</w:t>
                  </w:r>
                </w:p>
              </w:tc>
              <w:tc>
                <w:tcPr>
                  <w:tcW w:w="458" w:type="pct"/>
                  <w:vAlign w:val="center"/>
                </w:tcPr>
                <w:p>
                  <w:pPr>
                    <w:spacing w:line="240" w:lineRule="exact"/>
                    <w:jc w:val="center"/>
                    <w:rPr>
                      <w:kern w:val="0"/>
                      <w:sz w:val="18"/>
                      <w:szCs w:val="18"/>
                    </w:rPr>
                  </w:pPr>
                  <w:r>
                    <w:rPr>
                      <w:rFonts w:hint="eastAsia"/>
                      <w:kern w:val="1"/>
                      <w:sz w:val="18"/>
                      <w:szCs w:val="18"/>
                    </w:rPr>
                    <w:t>机加工</w:t>
                  </w:r>
                </w:p>
              </w:tc>
              <w:tc>
                <w:tcPr>
                  <w:tcW w:w="248" w:type="pct"/>
                  <w:vAlign w:val="center"/>
                </w:tcPr>
                <w:p>
                  <w:pPr>
                    <w:spacing w:line="240" w:lineRule="exact"/>
                    <w:jc w:val="center"/>
                    <w:rPr>
                      <w:kern w:val="0"/>
                      <w:sz w:val="18"/>
                      <w:szCs w:val="18"/>
                    </w:rPr>
                  </w:pPr>
                  <w:r>
                    <w:rPr>
                      <w:rFonts w:hint="eastAsia"/>
                      <w:kern w:val="1"/>
                      <w:sz w:val="18"/>
                      <w:szCs w:val="18"/>
                    </w:rPr>
                    <w:t>液</w:t>
                  </w:r>
                </w:p>
              </w:tc>
              <w:tc>
                <w:tcPr>
                  <w:tcW w:w="444" w:type="pct"/>
                  <w:vAlign w:val="center"/>
                </w:tcPr>
                <w:p>
                  <w:pPr>
                    <w:spacing w:line="240" w:lineRule="exact"/>
                    <w:jc w:val="center"/>
                    <w:rPr>
                      <w:kern w:val="0"/>
                      <w:sz w:val="18"/>
                      <w:szCs w:val="18"/>
                    </w:rPr>
                  </w:pPr>
                  <w:r>
                    <w:rPr>
                      <w:rFonts w:hint="eastAsia"/>
                      <w:kern w:val="0"/>
                      <w:sz w:val="18"/>
                      <w:szCs w:val="18"/>
                    </w:rPr>
                    <w:t>烃/水混合物</w:t>
                  </w:r>
                </w:p>
              </w:tc>
              <w:tc>
                <w:tcPr>
                  <w:tcW w:w="382" w:type="pct"/>
                  <w:vAlign w:val="center"/>
                </w:tcPr>
                <w:p>
                  <w:pPr>
                    <w:spacing w:line="240" w:lineRule="exact"/>
                    <w:jc w:val="center"/>
                    <w:rPr>
                      <w:kern w:val="0"/>
                      <w:sz w:val="18"/>
                      <w:szCs w:val="18"/>
                    </w:rPr>
                  </w:pPr>
                  <w:r>
                    <w:rPr>
                      <w:rFonts w:hint="eastAsia"/>
                      <w:kern w:val="0"/>
                      <w:sz w:val="18"/>
                      <w:szCs w:val="18"/>
                    </w:rPr>
                    <w:t>矿物油</w:t>
                  </w:r>
                </w:p>
              </w:tc>
              <w:tc>
                <w:tcPr>
                  <w:tcW w:w="332" w:type="pct"/>
                  <w:vAlign w:val="center"/>
                </w:tcPr>
                <w:p>
                  <w:pPr>
                    <w:topLinePunct/>
                    <w:adjustRightInd w:val="0"/>
                    <w:snapToGrid w:val="0"/>
                    <w:spacing w:line="240" w:lineRule="exact"/>
                    <w:jc w:val="center"/>
                    <w:rPr>
                      <w:kern w:val="0"/>
                      <w:sz w:val="18"/>
                      <w:szCs w:val="18"/>
                    </w:rPr>
                  </w:pPr>
                  <w:r>
                    <w:rPr>
                      <w:rFonts w:hint="eastAsia"/>
                      <w:kern w:val="0"/>
                      <w:sz w:val="18"/>
                      <w:szCs w:val="18"/>
                    </w:rPr>
                    <w:t>1年</w:t>
                  </w:r>
                </w:p>
              </w:tc>
              <w:tc>
                <w:tcPr>
                  <w:tcW w:w="328" w:type="pct"/>
                  <w:vAlign w:val="center"/>
                </w:tcPr>
                <w:p>
                  <w:pPr>
                    <w:topLinePunct/>
                    <w:adjustRightInd w:val="0"/>
                    <w:snapToGrid w:val="0"/>
                    <w:spacing w:line="240" w:lineRule="exact"/>
                    <w:jc w:val="center"/>
                    <w:rPr>
                      <w:kern w:val="0"/>
                      <w:sz w:val="18"/>
                      <w:szCs w:val="18"/>
                    </w:rPr>
                  </w:pPr>
                  <w:r>
                    <w:rPr>
                      <w:rFonts w:hint="eastAsia"/>
                      <w:kern w:val="0"/>
                      <w:sz w:val="18"/>
                      <w:szCs w:val="18"/>
                    </w:rPr>
                    <w:t>T</w:t>
                  </w:r>
                </w:p>
              </w:tc>
              <w:tc>
                <w:tcPr>
                  <w:tcW w:w="425" w:type="pct"/>
                  <w:vMerge w:val="restart"/>
                  <w:vAlign w:val="center"/>
                </w:tcPr>
                <w:p>
                  <w:pPr>
                    <w:topLinePunct/>
                    <w:adjustRightInd w:val="0"/>
                    <w:snapToGrid w:val="0"/>
                    <w:spacing w:line="240" w:lineRule="exact"/>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 w:type="pct"/>
                  <w:vAlign w:val="center"/>
                </w:tcPr>
                <w:p>
                  <w:pPr>
                    <w:topLinePunct/>
                    <w:adjustRightInd w:val="0"/>
                    <w:snapToGrid w:val="0"/>
                    <w:spacing w:line="240" w:lineRule="exact"/>
                    <w:jc w:val="center"/>
                    <w:rPr>
                      <w:kern w:val="0"/>
                      <w:sz w:val="18"/>
                      <w:szCs w:val="18"/>
                    </w:rPr>
                  </w:pPr>
                  <w:r>
                    <w:rPr>
                      <w:rFonts w:hint="eastAsia"/>
                      <w:kern w:val="0"/>
                      <w:sz w:val="18"/>
                      <w:szCs w:val="18"/>
                    </w:rPr>
                    <w:t>2</w:t>
                  </w:r>
                </w:p>
              </w:tc>
              <w:tc>
                <w:tcPr>
                  <w:tcW w:w="400" w:type="pct"/>
                  <w:vAlign w:val="center"/>
                </w:tcPr>
                <w:p>
                  <w:pPr>
                    <w:spacing w:line="240" w:lineRule="exact"/>
                    <w:jc w:val="center"/>
                    <w:rPr>
                      <w:sz w:val="18"/>
                      <w:szCs w:val="18"/>
                    </w:rPr>
                  </w:pPr>
                  <w:r>
                    <w:rPr>
                      <w:rFonts w:hint="eastAsia"/>
                      <w:kern w:val="1"/>
                      <w:sz w:val="18"/>
                      <w:szCs w:val="18"/>
                    </w:rPr>
                    <w:t>废液压油</w:t>
                  </w:r>
                </w:p>
              </w:tc>
              <w:tc>
                <w:tcPr>
                  <w:tcW w:w="435" w:type="pct"/>
                  <w:vAlign w:val="center"/>
                </w:tcPr>
                <w:p>
                  <w:pPr>
                    <w:spacing w:line="240" w:lineRule="exact"/>
                    <w:jc w:val="center"/>
                    <w:rPr>
                      <w:kern w:val="1"/>
                      <w:sz w:val="18"/>
                      <w:szCs w:val="18"/>
                    </w:rPr>
                  </w:pPr>
                  <w:r>
                    <w:rPr>
                      <w:kern w:val="1"/>
                      <w:sz w:val="18"/>
                      <w:szCs w:val="18"/>
                    </w:rPr>
                    <w:t>HW08</w:t>
                  </w:r>
                </w:p>
              </w:tc>
              <w:tc>
                <w:tcPr>
                  <w:tcW w:w="745" w:type="pct"/>
                  <w:vAlign w:val="center"/>
                </w:tcPr>
                <w:p>
                  <w:pPr>
                    <w:spacing w:line="240" w:lineRule="exact"/>
                    <w:jc w:val="center"/>
                    <w:rPr>
                      <w:kern w:val="1"/>
                      <w:sz w:val="18"/>
                      <w:szCs w:val="18"/>
                    </w:rPr>
                  </w:pPr>
                  <w:r>
                    <w:rPr>
                      <w:rFonts w:hint="eastAsia"/>
                      <w:kern w:val="1"/>
                      <w:sz w:val="18"/>
                      <w:szCs w:val="18"/>
                    </w:rPr>
                    <w:t>900-218-08</w:t>
                  </w:r>
                </w:p>
              </w:tc>
              <w:tc>
                <w:tcPr>
                  <w:tcW w:w="558" w:type="pct"/>
                  <w:vAlign w:val="center"/>
                </w:tcPr>
                <w:p>
                  <w:pPr>
                    <w:spacing w:line="240" w:lineRule="exact"/>
                    <w:jc w:val="center"/>
                    <w:rPr>
                      <w:kern w:val="1"/>
                      <w:sz w:val="18"/>
                      <w:szCs w:val="18"/>
                    </w:rPr>
                  </w:pPr>
                  <w:r>
                    <w:rPr>
                      <w:rFonts w:hint="eastAsia"/>
                      <w:kern w:val="1"/>
                      <w:sz w:val="18"/>
                      <w:szCs w:val="18"/>
                    </w:rPr>
                    <w:t>0.05t/a</w:t>
                  </w:r>
                </w:p>
              </w:tc>
              <w:tc>
                <w:tcPr>
                  <w:tcW w:w="458" w:type="pct"/>
                  <w:vAlign w:val="center"/>
                </w:tcPr>
                <w:p>
                  <w:pPr>
                    <w:spacing w:line="240" w:lineRule="exact"/>
                    <w:jc w:val="center"/>
                    <w:rPr>
                      <w:kern w:val="1"/>
                      <w:sz w:val="18"/>
                      <w:szCs w:val="18"/>
                    </w:rPr>
                  </w:pPr>
                  <w:r>
                    <w:rPr>
                      <w:rFonts w:hint="eastAsia"/>
                      <w:kern w:val="1"/>
                      <w:sz w:val="18"/>
                      <w:szCs w:val="18"/>
                    </w:rPr>
                    <w:t>液压设备</w:t>
                  </w:r>
                  <w:r>
                    <w:rPr>
                      <w:kern w:val="1"/>
                      <w:sz w:val="18"/>
                      <w:szCs w:val="18"/>
                    </w:rPr>
                    <w:t xml:space="preserve"> </w:t>
                  </w:r>
                </w:p>
                <w:p>
                  <w:pPr>
                    <w:spacing w:line="240" w:lineRule="exact"/>
                    <w:jc w:val="center"/>
                    <w:rPr>
                      <w:sz w:val="18"/>
                      <w:szCs w:val="18"/>
                    </w:rPr>
                  </w:pPr>
                  <w:r>
                    <w:rPr>
                      <w:kern w:val="1"/>
                      <w:sz w:val="18"/>
                      <w:szCs w:val="18"/>
                    </w:rPr>
                    <w:t xml:space="preserve"> </w:t>
                  </w:r>
                </w:p>
              </w:tc>
              <w:tc>
                <w:tcPr>
                  <w:tcW w:w="248" w:type="pct"/>
                  <w:vAlign w:val="center"/>
                </w:tcPr>
                <w:p>
                  <w:pPr>
                    <w:spacing w:line="240" w:lineRule="exact"/>
                    <w:jc w:val="center"/>
                    <w:rPr>
                      <w:kern w:val="1"/>
                      <w:sz w:val="18"/>
                      <w:szCs w:val="18"/>
                    </w:rPr>
                  </w:pPr>
                  <w:r>
                    <w:rPr>
                      <w:rFonts w:hint="eastAsia"/>
                      <w:kern w:val="1"/>
                      <w:sz w:val="18"/>
                      <w:szCs w:val="18"/>
                    </w:rPr>
                    <w:t>液</w:t>
                  </w:r>
                </w:p>
              </w:tc>
              <w:tc>
                <w:tcPr>
                  <w:tcW w:w="444" w:type="pct"/>
                  <w:vAlign w:val="center"/>
                </w:tcPr>
                <w:p>
                  <w:pPr>
                    <w:spacing w:line="240" w:lineRule="exact"/>
                    <w:jc w:val="center"/>
                    <w:rPr>
                      <w:sz w:val="18"/>
                      <w:szCs w:val="18"/>
                    </w:rPr>
                  </w:pPr>
                  <w:r>
                    <w:rPr>
                      <w:rFonts w:hint="eastAsia"/>
                      <w:kern w:val="1"/>
                      <w:sz w:val="18"/>
                      <w:szCs w:val="18"/>
                    </w:rPr>
                    <w:t>液压油</w:t>
                  </w:r>
                </w:p>
              </w:tc>
              <w:tc>
                <w:tcPr>
                  <w:tcW w:w="382" w:type="pct"/>
                  <w:vAlign w:val="center"/>
                </w:tcPr>
                <w:p>
                  <w:pPr>
                    <w:spacing w:line="240" w:lineRule="exact"/>
                    <w:jc w:val="center"/>
                    <w:rPr>
                      <w:kern w:val="0"/>
                      <w:sz w:val="18"/>
                      <w:szCs w:val="18"/>
                    </w:rPr>
                  </w:pPr>
                  <w:r>
                    <w:rPr>
                      <w:rFonts w:hint="eastAsia"/>
                      <w:kern w:val="0"/>
                      <w:sz w:val="18"/>
                      <w:szCs w:val="18"/>
                    </w:rPr>
                    <w:t>矿物油</w:t>
                  </w:r>
                </w:p>
              </w:tc>
              <w:tc>
                <w:tcPr>
                  <w:tcW w:w="332" w:type="pct"/>
                  <w:vAlign w:val="center"/>
                </w:tcPr>
                <w:p>
                  <w:pPr>
                    <w:topLinePunct/>
                    <w:adjustRightInd w:val="0"/>
                    <w:snapToGrid w:val="0"/>
                    <w:spacing w:line="240" w:lineRule="exact"/>
                    <w:jc w:val="center"/>
                    <w:rPr>
                      <w:kern w:val="0"/>
                      <w:sz w:val="18"/>
                      <w:szCs w:val="18"/>
                    </w:rPr>
                  </w:pPr>
                  <w:r>
                    <w:rPr>
                      <w:rFonts w:hint="eastAsia"/>
                      <w:kern w:val="0"/>
                      <w:sz w:val="18"/>
                      <w:szCs w:val="18"/>
                    </w:rPr>
                    <w:t>1年</w:t>
                  </w:r>
                </w:p>
              </w:tc>
              <w:tc>
                <w:tcPr>
                  <w:tcW w:w="328" w:type="pct"/>
                  <w:vAlign w:val="center"/>
                </w:tcPr>
                <w:p>
                  <w:pPr>
                    <w:topLinePunct/>
                    <w:adjustRightInd w:val="0"/>
                    <w:snapToGrid w:val="0"/>
                    <w:spacing w:line="240" w:lineRule="exact"/>
                    <w:jc w:val="center"/>
                    <w:rPr>
                      <w:kern w:val="0"/>
                      <w:sz w:val="18"/>
                      <w:szCs w:val="18"/>
                    </w:rPr>
                  </w:pPr>
                  <w:r>
                    <w:rPr>
                      <w:rFonts w:hint="eastAsia"/>
                      <w:kern w:val="0"/>
                      <w:sz w:val="18"/>
                      <w:szCs w:val="18"/>
                    </w:rPr>
                    <w:t>T,I</w:t>
                  </w:r>
                </w:p>
              </w:tc>
              <w:tc>
                <w:tcPr>
                  <w:tcW w:w="425" w:type="pct"/>
                  <w:vMerge w:val="continue"/>
                  <w:vAlign w:val="center"/>
                </w:tcPr>
                <w:p>
                  <w:pPr>
                    <w:topLinePunct/>
                    <w:adjustRightInd w:val="0"/>
                    <w:snapToGrid w:val="0"/>
                    <w:spacing w:line="240" w:lineRule="exact"/>
                    <w:jc w:val="center"/>
                    <w:rPr>
                      <w:kern w:val="0"/>
                      <w:sz w:val="18"/>
                      <w:szCs w:val="18"/>
                    </w:rPr>
                  </w:pPr>
                </w:p>
              </w:tc>
            </w:tr>
          </w:tbl>
          <w:p>
            <w:pPr>
              <w:spacing w:line="360" w:lineRule="auto"/>
              <w:ind w:firstLine="463" w:firstLineChars="196"/>
              <w:rPr>
                <w:sz w:val="24"/>
              </w:rPr>
            </w:pPr>
            <w:r>
              <w:rPr>
                <w:sz w:val="24"/>
              </w:rPr>
              <w:t>（2）危险废物贮存场所环境影响分析</w:t>
            </w:r>
          </w:p>
          <w:p>
            <w:pPr>
              <w:spacing w:line="360" w:lineRule="auto"/>
              <w:ind w:firstLine="472" w:firstLineChars="200"/>
              <w:rPr>
                <w:kern w:val="0"/>
                <w:sz w:val="24"/>
                <w:szCs w:val="24"/>
              </w:rPr>
            </w:pPr>
            <w:r>
              <w:rPr>
                <w:sz w:val="24"/>
              </w:rPr>
              <w:t>应按照《危险废物贮存污染控制标准》（GB18597-2001）的要求</w:t>
            </w:r>
            <w:r>
              <w:rPr>
                <w:rFonts w:hint="eastAsia"/>
                <w:sz w:val="24"/>
              </w:rPr>
              <w:t>建设</w:t>
            </w:r>
            <w:r>
              <w:rPr>
                <w:sz w:val="24"/>
              </w:rPr>
              <w:t>危废</w:t>
            </w:r>
            <w:r>
              <w:rPr>
                <w:rFonts w:hint="eastAsia"/>
                <w:sz w:val="24"/>
              </w:rPr>
              <w:t>暂存间</w:t>
            </w:r>
            <w:r>
              <w:rPr>
                <w:sz w:val="24"/>
              </w:rPr>
              <w:t>1个（见附图3），建筑面积</w:t>
            </w:r>
            <w:r>
              <w:rPr>
                <w:rFonts w:hint="eastAsia"/>
                <w:sz w:val="24"/>
              </w:rPr>
              <w:t>10</w:t>
            </w:r>
            <w:r>
              <w:rPr>
                <w:sz w:val="24"/>
              </w:rPr>
              <w:t>m</w:t>
            </w:r>
            <w:r>
              <w:rPr>
                <w:sz w:val="24"/>
                <w:vertAlign w:val="superscript"/>
              </w:rPr>
              <w:t>2</w:t>
            </w:r>
            <w:r>
              <w:rPr>
                <w:sz w:val="24"/>
              </w:rPr>
              <w:t>。</w:t>
            </w:r>
            <w:r>
              <w:rPr>
                <w:kern w:val="0"/>
                <w:sz w:val="24"/>
                <w:szCs w:val="24"/>
              </w:rPr>
              <w:t>该危险废物暂存区满足“四防”（防风、防雨、防晒、防渗漏）要求，采取相应的防渗措施和渗漏收集措施，并设置警示标识。在采取严格防治措施的前提下，</w:t>
            </w:r>
            <w:r>
              <w:rPr>
                <w:rFonts w:hint="eastAsia"/>
                <w:kern w:val="0"/>
                <w:sz w:val="24"/>
                <w:szCs w:val="24"/>
              </w:rPr>
              <w:t>本项目</w:t>
            </w:r>
            <w:r>
              <w:rPr>
                <w:kern w:val="0"/>
                <w:sz w:val="24"/>
                <w:szCs w:val="24"/>
              </w:rPr>
              <w:t>危险废物贮存场所不会造成不利环境影响。</w:t>
            </w:r>
          </w:p>
          <w:p>
            <w:pPr>
              <w:spacing w:line="360" w:lineRule="auto"/>
              <w:ind w:firstLine="472" w:firstLineChars="200"/>
              <w:rPr>
                <w:sz w:val="24"/>
              </w:rPr>
            </w:pPr>
            <w:r>
              <w:rPr>
                <w:rFonts w:hint="eastAsia"/>
                <w:sz w:val="24"/>
              </w:rPr>
              <w:t>本项目</w:t>
            </w:r>
            <w:r>
              <w:rPr>
                <w:sz w:val="24"/>
              </w:rPr>
              <w:t>产生的</w:t>
            </w:r>
            <w:r>
              <w:rPr>
                <w:rFonts w:hint="eastAsia"/>
                <w:sz w:val="24"/>
              </w:rPr>
              <w:t>危废</w:t>
            </w:r>
            <w:r>
              <w:rPr>
                <w:sz w:val="24"/>
              </w:rPr>
              <w:t>储存在密闭容器中，在容器外表设置环境保护图形标志和警示标志，分类暂存于危废暂存间内。根据《建设项目危险废物环境影响评价指南》，</w:t>
            </w:r>
            <w:r>
              <w:rPr>
                <w:rFonts w:hint="eastAsia"/>
                <w:sz w:val="24"/>
              </w:rPr>
              <w:t>本项目危废暂存间基本情况见表4-7。</w:t>
            </w:r>
          </w:p>
          <w:p>
            <w:pPr>
              <w:spacing w:line="360" w:lineRule="auto"/>
              <w:jc w:val="center"/>
              <w:rPr>
                <w:rFonts w:ascii="宋体" w:hAnsi="宋体"/>
                <w:b/>
                <w:sz w:val="24"/>
              </w:rPr>
            </w:pPr>
            <w:r>
              <w:rPr>
                <w:rFonts w:hint="eastAsia" w:ascii="宋体" w:hAnsi="宋体"/>
                <w:b/>
                <w:sz w:val="24"/>
              </w:rPr>
              <w:t>表</w:t>
            </w:r>
            <w:r>
              <w:rPr>
                <w:rFonts w:hint="eastAsia"/>
                <w:b/>
                <w:sz w:val="24"/>
              </w:rPr>
              <w:t>4-7</w:t>
            </w:r>
            <w:r>
              <w:rPr>
                <w:rFonts w:hint="eastAsia" w:ascii="宋体" w:hAnsi="宋体"/>
                <w:b/>
                <w:sz w:val="24"/>
              </w:rPr>
              <w:t xml:space="preserve"> 项目危险废物暂存场所（设施）基本情况表</w:t>
            </w:r>
          </w:p>
          <w:tbl>
            <w:tblPr>
              <w:tblStyle w:val="28"/>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9"/>
              <w:gridCol w:w="1380"/>
              <w:gridCol w:w="1969"/>
              <w:gridCol w:w="1221"/>
              <w:gridCol w:w="1316"/>
              <w:gridCol w:w="1590"/>
              <w:gridCol w:w="1561"/>
              <w:gridCol w:w="15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0" w:type="pct"/>
                  <w:vAlign w:val="center"/>
                </w:tcPr>
                <w:p>
                  <w:pPr>
                    <w:topLinePunct/>
                    <w:adjustRightInd w:val="0"/>
                    <w:snapToGrid w:val="0"/>
                    <w:jc w:val="center"/>
                    <w:rPr>
                      <w:kern w:val="0"/>
                      <w:szCs w:val="21"/>
                    </w:rPr>
                  </w:pPr>
                  <w:r>
                    <w:rPr>
                      <w:kern w:val="0"/>
                      <w:szCs w:val="21"/>
                    </w:rPr>
                    <w:t>序号</w:t>
                  </w:r>
                </w:p>
              </w:tc>
              <w:tc>
                <w:tcPr>
                  <w:tcW w:w="693" w:type="pct"/>
                  <w:vAlign w:val="center"/>
                </w:tcPr>
                <w:p>
                  <w:pPr>
                    <w:topLinePunct/>
                    <w:adjustRightInd w:val="0"/>
                    <w:snapToGrid w:val="0"/>
                    <w:jc w:val="center"/>
                    <w:rPr>
                      <w:kern w:val="0"/>
                      <w:szCs w:val="21"/>
                    </w:rPr>
                  </w:pPr>
                  <w:r>
                    <w:rPr>
                      <w:kern w:val="0"/>
                      <w:szCs w:val="21"/>
                    </w:rPr>
                    <w:t>危险废物名称</w:t>
                  </w:r>
                </w:p>
              </w:tc>
              <w:tc>
                <w:tcPr>
                  <w:tcW w:w="520" w:type="pct"/>
                  <w:vAlign w:val="center"/>
                </w:tcPr>
                <w:p>
                  <w:pPr>
                    <w:topLinePunct/>
                    <w:adjustRightInd w:val="0"/>
                    <w:snapToGrid w:val="0"/>
                    <w:jc w:val="center"/>
                    <w:rPr>
                      <w:kern w:val="0"/>
                      <w:szCs w:val="21"/>
                    </w:rPr>
                  </w:pPr>
                  <w:r>
                    <w:rPr>
                      <w:kern w:val="0"/>
                      <w:szCs w:val="21"/>
                    </w:rPr>
                    <w:t>危险废物类别</w:t>
                  </w:r>
                </w:p>
              </w:tc>
              <w:tc>
                <w:tcPr>
                  <w:tcW w:w="742" w:type="pct"/>
                  <w:vAlign w:val="center"/>
                </w:tcPr>
                <w:p>
                  <w:pPr>
                    <w:topLinePunct/>
                    <w:adjustRightInd w:val="0"/>
                    <w:snapToGrid w:val="0"/>
                    <w:jc w:val="center"/>
                    <w:rPr>
                      <w:kern w:val="0"/>
                      <w:szCs w:val="21"/>
                    </w:rPr>
                  </w:pPr>
                  <w:r>
                    <w:rPr>
                      <w:kern w:val="0"/>
                      <w:szCs w:val="21"/>
                    </w:rPr>
                    <w:t>危险废物代码</w:t>
                  </w:r>
                </w:p>
              </w:tc>
              <w:tc>
                <w:tcPr>
                  <w:tcW w:w="460" w:type="pct"/>
                  <w:vAlign w:val="center"/>
                </w:tcPr>
                <w:p>
                  <w:pPr>
                    <w:topLinePunct/>
                    <w:adjustRightInd w:val="0"/>
                    <w:snapToGrid w:val="0"/>
                    <w:jc w:val="center"/>
                    <w:rPr>
                      <w:kern w:val="0"/>
                      <w:szCs w:val="21"/>
                    </w:rPr>
                  </w:pPr>
                  <w:r>
                    <w:rPr>
                      <w:kern w:val="0"/>
                      <w:szCs w:val="21"/>
                    </w:rPr>
                    <w:t>位置</w:t>
                  </w:r>
                </w:p>
              </w:tc>
              <w:tc>
                <w:tcPr>
                  <w:tcW w:w="496" w:type="pct"/>
                  <w:vAlign w:val="center"/>
                </w:tcPr>
                <w:p>
                  <w:pPr>
                    <w:topLinePunct/>
                    <w:adjustRightInd w:val="0"/>
                    <w:snapToGrid w:val="0"/>
                    <w:jc w:val="center"/>
                    <w:rPr>
                      <w:kern w:val="0"/>
                      <w:szCs w:val="21"/>
                    </w:rPr>
                  </w:pPr>
                  <w:r>
                    <w:rPr>
                      <w:kern w:val="0"/>
                      <w:szCs w:val="21"/>
                    </w:rPr>
                    <w:t>占地面积</w:t>
                  </w:r>
                </w:p>
              </w:tc>
              <w:tc>
                <w:tcPr>
                  <w:tcW w:w="599" w:type="pct"/>
                  <w:vAlign w:val="center"/>
                </w:tcPr>
                <w:p>
                  <w:pPr>
                    <w:topLinePunct/>
                    <w:adjustRightInd w:val="0"/>
                    <w:snapToGrid w:val="0"/>
                    <w:jc w:val="center"/>
                    <w:rPr>
                      <w:kern w:val="0"/>
                      <w:szCs w:val="21"/>
                    </w:rPr>
                  </w:pPr>
                  <w:r>
                    <w:rPr>
                      <w:kern w:val="0"/>
                      <w:szCs w:val="21"/>
                    </w:rPr>
                    <w:t>贮存</w:t>
                  </w:r>
                </w:p>
                <w:p>
                  <w:pPr>
                    <w:topLinePunct/>
                    <w:adjustRightInd w:val="0"/>
                    <w:snapToGrid w:val="0"/>
                    <w:jc w:val="center"/>
                    <w:rPr>
                      <w:kern w:val="0"/>
                      <w:szCs w:val="21"/>
                    </w:rPr>
                  </w:pPr>
                  <w:r>
                    <w:rPr>
                      <w:kern w:val="0"/>
                      <w:szCs w:val="21"/>
                    </w:rPr>
                    <w:t>方式</w:t>
                  </w:r>
                </w:p>
              </w:tc>
              <w:tc>
                <w:tcPr>
                  <w:tcW w:w="588" w:type="pct"/>
                  <w:vAlign w:val="center"/>
                </w:tcPr>
                <w:p>
                  <w:pPr>
                    <w:topLinePunct/>
                    <w:adjustRightInd w:val="0"/>
                    <w:snapToGrid w:val="0"/>
                    <w:jc w:val="center"/>
                    <w:rPr>
                      <w:kern w:val="0"/>
                      <w:szCs w:val="21"/>
                    </w:rPr>
                  </w:pPr>
                  <w:r>
                    <w:rPr>
                      <w:kern w:val="0"/>
                      <w:szCs w:val="21"/>
                    </w:rPr>
                    <w:t>贮存</w:t>
                  </w:r>
                </w:p>
                <w:p>
                  <w:pPr>
                    <w:topLinePunct/>
                    <w:adjustRightInd w:val="0"/>
                    <w:snapToGrid w:val="0"/>
                    <w:jc w:val="center"/>
                    <w:rPr>
                      <w:kern w:val="0"/>
                      <w:szCs w:val="21"/>
                    </w:rPr>
                  </w:pPr>
                  <w:r>
                    <w:rPr>
                      <w:kern w:val="0"/>
                      <w:szCs w:val="21"/>
                    </w:rPr>
                    <w:t>能力</w:t>
                  </w:r>
                </w:p>
              </w:tc>
              <w:tc>
                <w:tcPr>
                  <w:tcW w:w="592" w:type="pct"/>
                  <w:vAlign w:val="center"/>
                </w:tcPr>
                <w:p>
                  <w:pPr>
                    <w:topLinePunct/>
                    <w:adjustRightInd w:val="0"/>
                    <w:snapToGrid w:val="0"/>
                    <w:jc w:val="center"/>
                    <w:rPr>
                      <w:kern w:val="0"/>
                      <w:szCs w:val="21"/>
                    </w:rPr>
                  </w:pPr>
                  <w:r>
                    <w:rPr>
                      <w:kern w:val="0"/>
                      <w:szCs w:val="21"/>
                    </w:rPr>
                    <w:t>贮存</w:t>
                  </w:r>
                </w:p>
                <w:p>
                  <w:pPr>
                    <w:topLinePunct/>
                    <w:adjustRightInd w:val="0"/>
                    <w:snapToGrid w:val="0"/>
                    <w:jc w:val="center"/>
                    <w:rPr>
                      <w:kern w:val="0"/>
                      <w:szCs w:val="21"/>
                    </w:rPr>
                  </w:pPr>
                  <w:r>
                    <w:rPr>
                      <w:kern w:val="0"/>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10" w:type="pct"/>
                  <w:vAlign w:val="center"/>
                </w:tcPr>
                <w:p>
                  <w:pPr>
                    <w:topLinePunct/>
                    <w:adjustRightInd w:val="0"/>
                    <w:snapToGrid w:val="0"/>
                    <w:spacing w:line="240" w:lineRule="exact"/>
                    <w:jc w:val="center"/>
                    <w:rPr>
                      <w:kern w:val="0"/>
                      <w:szCs w:val="21"/>
                    </w:rPr>
                  </w:pPr>
                  <w:r>
                    <w:rPr>
                      <w:rFonts w:hint="eastAsia"/>
                      <w:kern w:val="0"/>
                      <w:szCs w:val="21"/>
                    </w:rPr>
                    <w:t>1</w:t>
                  </w:r>
                </w:p>
              </w:tc>
              <w:tc>
                <w:tcPr>
                  <w:tcW w:w="693" w:type="pct"/>
                  <w:vAlign w:val="center"/>
                </w:tcPr>
                <w:p>
                  <w:pPr>
                    <w:spacing w:line="240" w:lineRule="exact"/>
                    <w:jc w:val="center"/>
                    <w:rPr>
                      <w:color w:val="FF0000"/>
                      <w:szCs w:val="21"/>
                    </w:rPr>
                  </w:pPr>
                  <w:r>
                    <w:rPr>
                      <w:rFonts w:hint="eastAsia"/>
                      <w:kern w:val="1"/>
                      <w:szCs w:val="21"/>
                    </w:rPr>
                    <w:t>废切削液</w:t>
                  </w:r>
                </w:p>
              </w:tc>
              <w:tc>
                <w:tcPr>
                  <w:tcW w:w="520" w:type="pct"/>
                  <w:vAlign w:val="center"/>
                </w:tcPr>
                <w:p>
                  <w:pPr>
                    <w:spacing w:line="240" w:lineRule="exact"/>
                    <w:jc w:val="center"/>
                    <w:rPr>
                      <w:color w:val="FF0000"/>
                      <w:szCs w:val="21"/>
                    </w:rPr>
                  </w:pPr>
                  <w:r>
                    <w:rPr>
                      <w:kern w:val="1"/>
                      <w:szCs w:val="21"/>
                    </w:rPr>
                    <w:t>HW0</w:t>
                  </w:r>
                  <w:r>
                    <w:rPr>
                      <w:rFonts w:hint="eastAsia"/>
                      <w:kern w:val="1"/>
                      <w:szCs w:val="21"/>
                    </w:rPr>
                    <w:t>9</w:t>
                  </w:r>
                </w:p>
              </w:tc>
              <w:tc>
                <w:tcPr>
                  <w:tcW w:w="742" w:type="pct"/>
                  <w:vAlign w:val="center"/>
                </w:tcPr>
                <w:p>
                  <w:pPr>
                    <w:spacing w:line="240" w:lineRule="exact"/>
                    <w:jc w:val="center"/>
                    <w:rPr>
                      <w:color w:val="FF0000"/>
                      <w:kern w:val="1"/>
                      <w:szCs w:val="21"/>
                    </w:rPr>
                  </w:pPr>
                  <w:r>
                    <w:rPr>
                      <w:rFonts w:hint="eastAsia"/>
                      <w:kern w:val="1"/>
                      <w:szCs w:val="21"/>
                    </w:rPr>
                    <w:t>900-006-09</w:t>
                  </w:r>
                </w:p>
              </w:tc>
              <w:tc>
                <w:tcPr>
                  <w:tcW w:w="460" w:type="pct"/>
                  <w:vMerge w:val="restart"/>
                  <w:vAlign w:val="center"/>
                </w:tcPr>
                <w:p>
                  <w:pPr>
                    <w:topLinePunct/>
                    <w:adjustRightInd w:val="0"/>
                    <w:snapToGrid w:val="0"/>
                    <w:jc w:val="center"/>
                    <w:rPr>
                      <w:kern w:val="0"/>
                      <w:szCs w:val="21"/>
                    </w:rPr>
                  </w:pPr>
                  <w:r>
                    <w:rPr>
                      <w:rFonts w:hint="eastAsia"/>
                      <w:kern w:val="0"/>
                      <w:szCs w:val="21"/>
                    </w:rPr>
                    <w:t>厂</w:t>
                  </w:r>
                </w:p>
                <w:p>
                  <w:pPr>
                    <w:topLinePunct/>
                    <w:adjustRightInd w:val="0"/>
                    <w:snapToGrid w:val="0"/>
                    <w:jc w:val="center"/>
                    <w:rPr>
                      <w:kern w:val="0"/>
                      <w:szCs w:val="21"/>
                    </w:rPr>
                  </w:pPr>
                  <w:r>
                    <w:rPr>
                      <w:rFonts w:hint="eastAsia"/>
                      <w:kern w:val="0"/>
                      <w:szCs w:val="21"/>
                    </w:rPr>
                    <w:t>区</w:t>
                  </w:r>
                </w:p>
                <w:p>
                  <w:pPr>
                    <w:topLinePunct/>
                    <w:adjustRightInd w:val="0"/>
                    <w:snapToGrid w:val="0"/>
                    <w:jc w:val="center"/>
                    <w:rPr>
                      <w:kern w:val="0"/>
                      <w:szCs w:val="21"/>
                    </w:rPr>
                  </w:pPr>
                  <w:r>
                    <w:rPr>
                      <w:kern w:val="0"/>
                      <w:szCs w:val="21"/>
                    </w:rPr>
                    <w:t>内</w:t>
                  </w:r>
                </w:p>
              </w:tc>
              <w:tc>
                <w:tcPr>
                  <w:tcW w:w="496" w:type="pct"/>
                  <w:vMerge w:val="restart"/>
                  <w:vAlign w:val="center"/>
                </w:tcPr>
                <w:p>
                  <w:pPr>
                    <w:jc w:val="center"/>
                    <w:rPr>
                      <w:kern w:val="0"/>
                      <w:szCs w:val="21"/>
                    </w:rPr>
                  </w:pPr>
                  <w:r>
                    <w:rPr>
                      <w:rFonts w:hint="eastAsia"/>
                      <w:kern w:val="0"/>
                      <w:szCs w:val="21"/>
                    </w:rPr>
                    <w:t>10</w:t>
                  </w:r>
                  <w:r>
                    <w:rPr>
                      <w:kern w:val="0"/>
                      <w:szCs w:val="21"/>
                    </w:rPr>
                    <w:t>m</w:t>
                  </w:r>
                  <w:r>
                    <w:rPr>
                      <w:kern w:val="0"/>
                      <w:szCs w:val="21"/>
                      <w:vertAlign w:val="superscript"/>
                    </w:rPr>
                    <w:t>2</w:t>
                  </w:r>
                </w:p>
              </w:tc>
              <w:tc>
                <w:tcPr>
                  <w:tcW w:w="599" w:type="pct"/>
                  <w:vAlign w:val="center"/>
                </w:tcPr>
                <w:p>
                  <w:pPr>
                    <w:topLinePunct/>
                    <w:adjustRightInd w:val="0"/>
                    <w:snapToGrid w:val="0"/>
                    <w:jc w:val="center"/>
                    <w:rPr>
                      <w:color w:val="FF0000"/>
                      <w:szCs w:val="21"/>
                    </w:rPr>
                  </w:pPr>
                  <w:r>
                    <w:rPr>
                      <w:szCs w:val="21"/>
                    </w:rPr>
                    <w:t>桶</w:t>
                  </w:r>
                  <w:r>
                    <w:rPr>
                      <w:kern w:val="0"/>
                      <w:szCs w:val="21"/>
                    </w:rPr>
                    <w:t>装</w:t>
                  </w:r>
                </w:p>
              </w:tc>
              <w:tc>
                <w:tcPr>
                  <w:tcW w:w="588" w:type="pct"/>
                  <w:vAlign w:val="center"/>
                </w:tcPr>
                <w:p>
                  <w:pPr>
                    <w:topLinePunct/>
                    <w:adjustRightInd w:val="0"/>
                    <w:snapToGrid w:val="0"/>
                    <w:spacing w:line="300" w:lineRule="exact"/>
                    <w:jc w:val="center"/>
                    <w:rPr>
                      <w:color w:val="FF0000"/>
                      <w:szCs w:val="21"/>
                    </w:rPr>
                  </w:pPr>
                  <w:r>
                    <w:rPr>
                      <w:rFonts w:hint="eastAsia"/>
                      <w:szCs w:val="21"/>
                    </w:rPr>
                    <w:t>0.1t/a</w:t>
                  </w:r>
                </w:p>
              </w:tc>
              <w:tc>
                <w:tcPr>
                  <w:tcW w:w="592" w:type="pct"/>
                  <w:vAlign w:val="center"/>
                </w:tcPr>
                <w:p>
                  <w:pPr>
                    <w:topLinePunct/>
                    <w:adjustRightInd w:val="0"/>
                    <w:snapToGrid w:val="0"/>
                    <w:jc w:val="center"/>
                    <w:rPr>
                      <w:color w:val="FF0000"/>
                      <w:kern w:val="0"/>
                      <w:szCs w:val="21"/>
                    </w:rPr>
                  </w:pPr>
                  <w:r>
                    <w:rPr>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10" w:type="pct"/>
                  <w:vAlign w:val="center"/>
                </w:tcPr>
                <w:p>
                  <w:pPr>
                    <w:topLinePunct/>
                    <w:adjustRightInd w:val="0"/>
                    <w:snapToGrid w:val="0"/>
                    <w:spacing w:line="240" w:lineRule="exact"/>
                    <w:jc w:val="center"/>
                    <w:rPr>
                      <w:kern w:val="0"/>
                      <w:szCs w:val="21"/>
                    </w:rPr>
                  </w:pPr>
                  <w:r>
                    <w:rPr>
                      <w:rFonts w:hint="eastAsia"/>
                      <w:kern w:val="0"/>
                      <w:szCs w:val="21"/>
                    </w:rPr>
                    <w:t>2</w:t>
                  </w:r>
                </w:p>
              </w:tc>
              <w:tc>
                <w:tcPr>
                  <w:tcW w:w="693" w:type="pct"/>
                  <w:vAlign w:val="center"/>
                </w:tcPr>
                <w:p>
                  <w:pPr>
                    <w:spacing w:line="240" w:lineRule="exact"/>
                    <w:jc w:val="center"/>
                    <w:rPr>
                      <w:szCs w:val="21"/>
                    </w:rPr>
                  </w:pPr>
                  <w:r>
                    <w:rPr>
                      <w:rFonts w:hint="eastAsia"/>
                      <w:kern w:val="1"/>
                      <w:szCs w:val="21"/>
                    </w:rPr>
                    <w:t>废液压油</w:t>
                  </w:r>
                </w:p>
              </w:tc>
              <w:tc>
                <w:tcPr>
                  <w:tcW w:w="520" w:type="pct"/>
                  <w:vAlign w:val="center"/>
                </w:tcPr>
                <w:p>
                  <w:pPr>
                    <w:spacing w:line="240" w:lineRule="exact"/>
                    <w:jc w:val="center"/>
                    <w:rPr>
                      <w:kern w:val="1"/>
                      <w:szCs w:val="21"/>
                    </w:rPr>
                  </w:pPr>
                  <w:r>
                    <w:rPr>
                      <w:kern w:val="1"/>
                      <w:szCs w:val="21"/>
                    </w:rPr>
                    <w:t>HW08</w:t>
                  </w:r>
                </w:p>
              </w:tc>
              <w:tc>
                <w:tcPr>
                  <w:tcW w:w="742" w:type="pct"/>
                  <w:vAlign w:val="center"/>
                </w:tcPr>
                <w:p>
                  <w:pPr>
                    <w:spacing w:line="240" w:lineRule="exact"/>
                    <w:jc w:val="center"/>
                    <w:rPr>
                      <w:kern w:val="1"/>
                      <w:szCs w:val="21"/>
                    </w:rPr>
                  </w:pPr>
                  <w:r>
                    <w:rPr>
                      <w:rFonts w:hint="eastAsia"/>
                      <w:kern w:val="1"/>
                      <w:szCs w:val="21"/>
                    </w:rPr>
                    <w:t>900-218-08</w:t>
                  </w:r>
                </w:p>
              </w:tc>
              <w:tc>
                <w:tcPr>
                  <w:tcW w:w="460" w:type="pct"/>
                  <w:vMerge w:val="continue"/>
                  <w:vAlign w:val="center"/>
                </w:tcPr>
                <w:p>
                  <w:pPr>
                    <w:topLinePunct/>
                    <w:adjustRightInd w:val="0"/>
                    <w:snapToGrid w:val="0"/>
                    <w:jc w:val="center"/>
                    <w:rPr>
                      <w:kern w:val="0"/>
                      <w:szCs w:val="21"/>
                    </w:rPr>
                  </w:pPr>
                </w:p>
              </w:tc>
              <w:tc>
                <w:tcPr>
                  <w:tcW w:w="496" w:type="pct"/>
                  <w:vMerge w:val="continue"/>
                  <w:vAlign w:val="center"/>
                </w:tcPr>
                <w:p>
                  <w:pPr>
                    <w:jc w:val="center"/>
                    <w:rPr>
                      <w:kern w:val="0"/>
                      <w:szCs w:val="21"/>
                    </w:rPr>
                  </w:pPr>
                </w:p>
              </w:tc>
              <w:tc>
                <w:tcPr>
                  <w:tcW w:w="599" w:type="pct"/>
                  <w:vAlign w:val="center"/>
                </w:tcPr>
                <w:p>
                  <w:pPr>
                    <w:topLinePunct/>
                    <w:adjustRightInd w:val="0"/>
                    <w:snapToGrid w:val="0"/>
                    <w:jc w:val="center"/>
                    <w:rPr>
                      <w:szCs w:val="21"/>
                    </w:rPr>
                  </w:pPr>
                  <w:r>
                    <w:rPr>
                      <w:szCs w:val="21"/>
                    </w:rPr>
                    <w:t>桶</w:t>
                  </w:r>
                  <w:r>
                    <w:rPr>
                      <w:kern w:val="0"/>
                      <w:szCs w:val="21"/>
                    </w:rPr>
                    <w:t>装</w:t>
                  </w:r>
                </w:p>
              </w:tc>
              <w:tc>
                <w:tcPr>
                  <w:tcW w:w="588" w:type="pct"/>
                  <w:vAlign w:val="center"/>
                </w:tcPr>
                <w:p>
                  <w:pPr>
                    <w:topLinePunct/>
                    <w:adjustRightInd w:val="0"/>
                    <w:snapToGrid w:val="0"/>
                    <w:spacing w:line="300" w:lineRule="exact"/>
                    <w:jc w:val="center"/>
                    <w:rPr>
                      <w:szCs w:val="21"/>
                    </w:rPr>
                  </w:pPr>
                  <w:r>
                    <w:rPr>
                      <w:rFonts w:hint="eastAsia"/>
                      <w:szCs w:val="21"/>
                    </w:rPr>
                    <w:t>0.1t/a</w:t>
                  </w:r>
                </w:p>
              </w:tc>
              <w:tc>
                <w:tcPr>
                  <w:tcW w:w="592" w:type="pct"/>
                  <w:vAlign w:val="center"/>
                </w:tcPr>
                <w:p>
                  <w:pPr>
                    <w:topLinePunct/>
                    <w:adjustRightInd w:val="0"/>
                    <w:snapToGrid w:val="0"/>
                    <w:jc w:val="center"/>
                    <w:rPr>
                      <w:kern w:val="0"/>
                      <w:szCs w:val="21"/>
                    </w:rPr>
                  </w:pPr>
                  <w:r>
                    <w:rPr>
                      <w:kern w:val="0"/>
                      <w:szCs w:val="21"/>
                    </w:rPr>
                    <w:t>12个月</w:t>
                  </w:r>
                </w:p>
              </w:tc>
            </w:tr>
          </w:tbl>
          <w:p>
            <w:pPr>
              <w:adjustRightInd w:val="0"/>
              <w:snapToGrid w:val="0"/>
              <w:spacing w:line="360" w:lineRule="auto"/>
              <w:ind w:firstLine="472" w:firstLineChars="200"/>
              <w:rPr>
                <w:bCs/>
                <w:sz w:val="24"/>
              </w:rPr>
            </w:pPr>
            <w:r>
              <w:rPr>
                <w:rFonts w:hint="eastAsia"/>
                <w:bCs/>
                <w:sz w:val="24"/>
              </w:rPr>
              <w:t>本项目</w:t>
            </w:r>
            <w:r>
              <w:rPr>
                <w:bCs/>
                <w:sz w:val="24"/>
              </w:rPr>
              <w:t>危险废物暂存间内暂存的危险废物分类存放，危废占地面积</w:t>
            </w:r>
            <w:r>
              <w:rPr>
                <w:rFonts w:hint="eastAsia"/>
                <w:bCs/>
                <w:sz w:val="24"/>
              </w:rPr>
              <w:t>8</w:t>
            </w:r>
            <w:r>
              <w:rPr>
                <w:bCs/>
                <w:sz w:val="24"/>
              </w:rPr>
              <w:t>m</w:t>
            </w:r>
            <w:r>
              <w:rPr>
                <w:bCs/>
                <w:sz w:val="24"/>
                <w:vertAlign w:val="superscript"/>
              </w:rPr>
              <w:t>2</w:t>
            </w:r>
            <w:r>
              <w:rPr>
                <w:bCs/>
                <w:sz w:val="24"/>
              </w:rPr>
              <w:t>，危废间面积能够满足全厂危险废物的暂存需求。</w:t>
            </w:r>
          </w:p>
          <w:p>
            <w:pPr>
              <w:adjustRightInd w:val="0"/>
              <w:snapToGrid w:val="0"/>
              <w:spacing w:line="360" w:lineRule="auto"/>
              <w:ind w:firstLine="472" w:firstLineChars="200"/>
              <w:rPr>
                <w:bCs/>
                <w:sz w:val="24"/>
              </w:rPr>
            </w:pPr>
            <w:r>
              <w:rPr>
                <w:bCs/>
                <w:sz w:val="24"/>
              </w:rPr>
              <w:t>危废泄漏遇到明火会产生燃烧以及自身含有毒性，因此将其放入指定容器内，并且存放场所按照如下措施处理：</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①</w:t>
            </w:r>
            <w:r>
              <w:rPr>
                <w:sz w:val="24"/>
                <w:szCs w:val="24"/>
              </w:rPr>
              <w:t>设有安全照明和观察窗口，并设有应急防护设施；</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②</w:t>
            </w:r>
            <w:r>
              <w:rPr>
                <w:sz w:val="24"/>
                <w:szCs w:val="24"/>
              </w:rPr>
              <w:t>设有隔离设施和防风、防晒、防雨设施以及消防设施；</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③</w:t>
            </w:r>
            <w:r>
              <w:rPr>
                <w:sz w:val="24"/>
                <w:szCs w:val="24"/>
              </w:rPr>
              <w:t>设有耐腐蚀的硬化地面，且表面无裂隙；</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④</w:t>
            </w:r>
            <w:r>
              <w:rPr>
                <w:sz w:val="24"/>
                <w:szCs w:val="24"/>
              </w:rPr>
              <w:t>危险废物暂存场所应设有符合《环境保护图形标志---固体废物贮存（处置）场》（GB15562.2-1995）的专用标志；</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⑤</w:t>
            </w:r>
            <w:r>
              <w:rPr>
                <w:sz w:val="24"/>
                <w:szCs w:val="24"/>
              </w:rPr>
              <w:t>设有专人专职对拟建项目产生的危险废物的收集、暂存和保管进行管理。</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⑥</w:t>
            </w:r>
            <w:r>
              <w:rPr>
                <w:sz w:val="24"/>
                <w:szCs w:val="24"/>
              </w:rPr>
              <w:t>设有泄漏液体收集装置。</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⑦</w:t>
            </w:r>
            <w:r>
              <w:rPr>
                <w:sz w:val="24"/>
                <w:szCs w:val="24"/>
              </w:rPr>
              <w:t>不相容的危险废物均分开存放，并设有隔离间隔断。</w:t>
            </w:r>
          </w:p>
          <w:p>
            <w:pPr>
              <w:autoSpaceDE w:val="0"/>
              <w:autoSpaceDN w:val="0"/>
              <w:adjustRightInd w:val="0"/>
              <w:snapToGrid w:val="0"/>
              <w:spacing w:line="360" w:lineRule="auto"/>
              <w:ind w:firstLine="472" w:firstLineChars="200"/>
              <w:jc w:val="left"/>
              <w:rPr>
                <w:sz w:val="24"/>
                <w:szCs w:val="24"/>
              </w:rPr>
            </w:pPr>
            <w:r>
              <w:rPr>
                <w:sz w:val="24"/>
                <w:szCs w:val="24"/>
              </w:rPr>
              <w:t>（3）危险废物运输过程的环境影响分析</w:t>
            </w:r>
          </w:p>
          <w:p>
            <w:pPr>
              <w:autoSpaceDE w:val="0"/>
              <w:autoSpaceDN w:val="0"/>
              <w:adjustRightInd w:val="0"/>
              <w:snapToGrid w:val="0"/>
              <w:spacing w:line="360" w:lineRule="auto"/>
              <w:ind w:firstLine="472" w:firstLineChars="200"/>
              <w:jc w:val="left"/>
              <w:rPr>
                <w:sz w:val="24"/>
                <w:szCs w:val="24"/>
              </w:rPr>
            </w:pPr>
            <w:r>
              <w:rPr>
                <w:rFonts w:hint="eastAsia"/>
                <w:sz w:val="24"/>
                <w:szCs w:val="24"/>
              </w:rPr>
              <w:t>本项目</w:t>
            </w:r>
            <w:r>
              <w:rPr>
                <w:sz w:val="24"/>
                <w:szCs w:val="24"/>
              </w:rPr>
              <w:t>危险废物产生及贮存场所距离近，厂房地面及运输通道采取硬化和防腐防渗措施，危险废物从产生工艺环节运输到暂存场所的过程中产生散落和泄漏较易控制，对周边环境敏感点及地下水环境影响小。</w:t>
            </w:r>
          </w:p>
          <w:p>
            <w:pPr>
              <w:autoSpaceDE w:val="0"/>
              <w:autoSpaceDN w:val="0"/>
              <w:adjustRightInd w:val="0"/>
              <w:snapToGrid w:val="0"/>
              <w:spacing w:line="360" w:lineRule="auto"/>
              <w:ind w:firstLine="472" w:firstLineChars="200"/>
              <w:jc w:val="left"/>
              <w:rPr>
                <w:sz w:val="24"/>
                <w:szCs w:val="24"/>
              </w:rPr>
            </w:pPr>
            <w:r>
              <w:rPr>
                <w:sz w:val="24"/>
                <w:szCs w:val="24"/>
              </w:rPr>
              <w:t>（4）委托利用或者处置的环境影响分析</w:t>
            </w:r>
          </w:p>
          <w:p>
            <w:pPr>
              <w:autoSpaceDE w:val="0"/>
              <w:autoSpaceDN w:val="0"/>
              <w:adjustRightInd w:val="0"/>
              <w:snapToGrid w:val="0"/>
              <w:spacing w:line="360" w:lineRule="auto"/>
              <w:ind w:firstLine="472" w:firstLineChars="200"/>
              <w:jc w:val="left"/>
              <w:rPr>
                <w:sz w:val="24"/>
                <w:szCs w:val="24"/>
              </w:rPr>
            </w:pPr>
            <w:r>
              <w:rPr>
                <w:rFonts w:hint="eastAsia"/>
                <w:sz w:val="24"/>
                <w:szCs w:val="24"/>
              </w:rPr>
              <w:t>本项目</w:t>
            </w:r>
            <w:r>
              <w:rPr>
                <w:sz w:val="24"/>
                <w:szCs w:val="24"/>
              </w:rPr>
              <w:t>危险废物均委托具有相应处理资质的单位进行处置。</w:t>
            </w:r>
          </w:p>
          <w:p>
            <w:pPr>
              <w:snapToGrid w:val="0"/>
              <w:spacing w:line="360" w:lineRule="auto"/>
              <w:ind w:firstLine="472" w:firstLineChars="200"/>
              <w:rPr>
                <w:sz w:val="24"/>
              </w:rPr>
            </w:pPr>
            <w:r>
              <w:rPr>
                <w:sz w:val="24"/>
              </w:rPr>
              <w:t>综上所述，</w:t>
            </w:r>
            <w:r>
              <w:rPr>
                <w:rFonts w:hint="eastAsia"/>
                <w:sz w:val="24"/>
              </w:rPr>
              <w:t>本项目</w:t>
            </w:r>
            <w:r>
              <w:rPr>
                <w:sz w:val="24"/>
              </w:rPr>
              <w:t>产生的固体废物均能得到妥善处置，不会对当地的景观环境和生态环境造成污染影响。</w:t>
            </w:r>
          </w:p>
          <w:p>
            <w:pPr>
              <w:spacing w:line="360" w:lineRule="auto"/>
              <w:ind w:firstLine="472" w:firstLineChars="200"/>
              <w:rPr>
                <w:b/>
                <w:bCs/>
                <w:sz w:val="24"/>
                <w:szCs w:val="24"/>
              </w:rPr>
            </w:pPr>
            <w:r>
              <w:rPr>
                <w:rFonts w:hint="eastAsia"/>
                <w:b/>
                <w:bCs/>
                <w:sz w:val="24"/>
                <w:szCs w:val="24"/>
              </w:rPr>
              <w:t>五、</w:t>
            </w:r>
            <w:r>
              <w:rPr>
                <w:b/>
                <w:sz w:val="24"/>
                <w:szCs w:val="24"/>
              </w:rPr>
              <w:t>土壤环境影响</w:t>
            </w:r>
            <w:r>
              <w:rPr>
                <w:rFonts w:hint="eastAsia"/>
                <w:b/>
                <w:sz w:val="24"/>
                <w:szCs w:val="24"/>
              </w:rPr>
              <w:t>分析</w:t>
            </w:r>
          </w:p>
          <w:p>
            <w:pPr>
              <w:spacing w:line="360" w:lineRule="auto"/>
              <w:ind w:firstLine="472" w:firstLineChars="200"/>
              <w:rPr>
                <w:bCs/>
                <w:sz w:val="24"/>
                <w:szCs w:val="24"/>
              </w:rPr>
            </w:pPr>
            <w:r>
              <w:rPr>
                <w:rFonts w:hint="eastAsia"/>
                <w:bCs/>
                <w:sz w:val="24"/>
                <w:szCs w:val="24"/>
              </w:rPr>
              <w:t>1、</w:t>
            </w:r>
            <w:r>
              <w:rPr>
                <w:bCs/>
                <w:sz w:val="24"/>
                <w:szCs w:val="24"/>
              </w:rPr>
              <w:t>土壤污染分析</w:t>
            </w:r>
          </w:p>
          <w:p>
            <w:pPr>
              <w:spacing w:line="360" w:lineRule="auto"/>
              <w:ind w:firstLine="472" w:firstLineChars="200"/>
              <w:jc w:val="left"/>
              <w:rPr>
                <w:kern w:val="1"/>
                <w:sz w:val="24"/>
                <w:szCs w:val="24"/>
              </w:rPr>
            </w:pPr>
            <w:r>
              <w:rPr>
                <w:rFonts w:hint="eastAsia"/>
                <w:kern w:val="1"/>
                <w:sz w:val="24"/>
                <w:szCs w:val="24"/>
              </w:rPr>
              <w:t>本项目废气为食堂油烟、抛丸废气、焊接烟尘、打磨粉尘、喷漆和烘干废气，污染物为油烟、颗粒物、非甲烷总烃；</w:t>
            </w:r>
          </w:p>
          <w:p>
            <w:pPr>
              <w:spacing w:line="360" w:lineRule="auto"/>
              <w:ind w:firstLine="472" w:firstLineChars="200"/>
              <w:rPr>
                <w:sz w:val="24"/>
                <w:szCs w:val="24"/>
              </w:rPr>
            </w:pPr>
            <w:r>
              <w:rPr>
                <w:rFonts w:hAnsi="宋体"/>
                <w:sz w:val="24"/>
                <w:szCs w:val="24"/>
              </w:rPr>
              <w:t>本项目</w:t>
            </w:r>
            <w:r>
              <w:rPr>
                <w:rFonts w:hAnsi="宋体"/>
                <w:bCs/>
                <w:sz w:val="24"/>
                <w:szCs w:val="24"/>
              </w:rPr>
              <w:t>无生产废水</w:t>
            </w:r>
            <w:r>
              <w:rPr>
                <w:rFonts w:hint="eastAsia" w:hAnsi="宋体"/>
                <w:bCs/>
                <w:sz w:val="24"/>
                <w:szCs w:val="24"/>
              </w:rPr>
              <w:t>，</w:t>
            </w:r>
            <w:r>
              <w:rPr>
                <w:rFonts w:hAnsi="宋体"/>
                <w:sz w:val="24"/>
                <w:szCs w:val="24"/>
              </w:rPr>
              <w:t>生活废水产生量为主要污染物为COD、</w:t>
            </w:r>
            <w:r>
              <w:rPr>
                <w:rFonts w:hint="eastAsia" w:hAnsi="宋体"/>
                <w:sz w:val="24"/>
                <w:szCs w:val="24"/>
              </w:rPr>
              <w:t>BOD</w:t>
            </w:r>
            <w:r>
              <w:rPr>
                <w:rFonts w:hint="eastAsia" w:hAnsi="宋体"/>
                <w:sz w:val="24"/>
                <w:szCs w:val="24"/>
                <w:vertAlign w:val="subscript"/>
              </w:rPr>
              <w:t>5</w:t>
            </w:r>
            <w:r>
              <w:rPr>
                <w:rFonts w:hAnsi="宋体"/>
                <w:sz w:val="24"/>
                <w:szCs w:val="24"/>
              </w:rPr>
              <w:t>、SS、氨氮</w:t>
            </w:r>
            <w:r>
              <w:rPr>
                <w:rFonts w:hint="eastAsia" w:hAnsi="宋体"/>
                <w:sz w:val="24"/>
                <w:szCs w:val="24"/>
              </w:rPr>
              <w:t>、动植物油、LAS，食堂废水</w:t>
            </w:r>
            <w:r>
              <w:rPr>
                <w:rFonts w:hAnsi="宋体"/>
                <w:sz w:val="24"/>
                <w:szCs w:val="24"/>
              </w:rPr>
              <w:t>经厂内隔油池处理、生活废水</w:t>
            </w:r>
            <w:r>
              <w:rPr>
                <w:rFonts w:hint="eastAsia" w:hAnsi="宋体"/>
                <w:sz w:val="24"/>
                <w:szCs w:val="24"/>
              </w:rPr>
              <w:t>经</w:t>
            </w:r>
            <w:r>
              <w:rPr>
                <w:rFonts w:hAnsi="宋体"/>
                <w:sz w:val="24"/>
                <w:szCs w:val="24"/>
              </w:rPr>
              <w:t>化粪池处理后经管网进入</w:t>
            </w:r>
            <w:r>
              <w:rPr>
                <w:rFonts w:hint="eastAsia" w:hAnsi="宋体"/>
                <w:sz w:val="24"/>
                <w:szCs w:val="24"/>
              </w:rPr>
              <w:t>魏县开发区污水处理厂</w:t>
            </w:r>
            <w:r>
              <w:rPr>
                <w:rFonts w:hAnsi="宋体"/>
                <w:sz w:val="24"/>
                <w:szCs w:val="24"/>
              </w:rPr>
              <w:t>进一步处理</w:t>
            </w:r>
            <w:r>
              <w:rPr>
                <w:rFonts w:hint="eastAsia" w:hAnsi="宋体"/>
                <w:sz w:val="24"/>
                <w:szCs w:val="24"/>
              </w:rPr>
              <w:t>；</w:t>
            </w:r>
          </w:p>
          <w:p>
            <w:pPr>
              <w:pStyle w:val="9"/>
              <w:spacing w:line="360" w:lineRule="auto"/>
              <w:rPr>
                <w:szCs w:val="24"/>
              </w:rPr>
            </w:pPr>
            <w:r>
              <w:rPr>
                <w:rFonts w:hint="eastAsia"/>
                <w:szCs w:val="24"/>
              </w:rPr>
              <w:t>本项目危</w:t>
            </w:r>
            <w:r>
              <w:rPr>
                <w:szCs w:val="24"/>
              </w:rPr>
              <w:t>废</w:t>
            </w:r>
            <w:r>
              <w:rPr>
                <w:rFonts w:hint="eastAsia"/>
                <w:szCs w:val="24"/>
              </w:rPr>
              <w:t>间暂存的危险废物</w:t>
            </w:r>
            <w:r>
              <w:rPr>
                <w:szCs w:val="24"/>
              </w:rPr>
              <w:t>主要为</w:t>
            </w:r>
            <w:r>
              <w:rPr>
                <w:rFonts w:hint="eastAsia"/>
                <w:szCs w:val="24"/>
              </w:rPr>
              <w:t>废切削液、废液压油</w:t>
            </w:r>
            <w:r>
              <w:rPr>
                <w:szCs w:val="24"/>
              </w:rPr>
              <w:t>。</w:t>
            </w:r>
          </w:p>
          <w:p>
            <w:pPr>
              <w:spacing w:line="360" w:lineRule="auto"/>
              <w:ind w:firstLine="482"/>
              <w:rPr>
                <w:kern w:val="1"/>
                <w:sz w:val="24"/>
                <w:szCs w:val="24"/>
              </w:rPr>
            </w:pPr>
            <w:r>
              <w:rPr>
                <w:bCs/>
                <w:sz w:val="24"/>
                <w:szCs w:val="24"/>
              </w:rPr>
              <w:t>项目</w:t>
            </w:r>
            <w:r>
              <w:rPr>
                <w:rFonts w:hint="eastAsia"/>
                <w:bCs/>
                <w:sz w:val="24"/>
                <w:szCs w:val="24"/>
              </w:rPr>
              <w:t>土壤环境影响途径主要为</w:t>
            </w:r>
            <w:r>
              <w:rPr>
                <w:bCs/>
                <w:sz w:val="24"/>
                <w:szCs w:val="24"/>
              </w:rPr>
              <w:t>防渗</w:t>
            </w:r>
            <w:r>
              <w:rPr>
                <w:rFonts w:hint="eastAsia"/>
                <w:bCs/>
                <w:sz w:val="24"/>
                <w:szCs w:val="24"/>
              </w:rPr>
              <w:t>喷漆房、</w:t>
            </w:r>
            <w:r>
              <w:rPr>
                <w:rFonts w:hAnsi="宋体"/>
                <w:sz w:val="24"/>
                <w:szCs w:val="24"/>
              </w:rPr>
              <w:t>隔油池</w:t>
            </w:r>
            <w:r>
              <w:rPr>
                <w:rFonts w:hint="eastAsia" w:hAnsiTheme="minorEastAsia" w:eastAsiaTheme="minorEastAsia"/>
                <w:bCs/>
                <w:sz w:val="24"/>
                <w:szCs w:val="24"/>
              </w:rPr>
              <w:t>、</w:t>
            </w:r>
            <w:r>
              <w:rPr>
                <w:rFonts w:hint="eastAsia"/>
                <w:bCs/>
                <w:sz w:val="24"/>
                <w:szCs w:val="24"/>
              </w:rPr>
              <w:t>化粪池、危废间</w:t>
            </w:r>
            <w:r>
              <w:rPr>
                <w:rFonts w:hint="eastAsia"/>
                <w:kern w:val="1"/>
                <w:sz w:val="24"/>
                <w:szCs w:val="24"/>
              </w:rPr>
              <w:t>防渗层破损导致</w:t>
            </w:r>
            <w:r>
              <w:rPr>
                <w:rFonts w:hint="eastAsia"/>
                <w:sz w:val="24"/>
              </w:rPr>
              <w:t>污染</w:t>
            </w:r>
            <w:r>
              <w:rPr>
                <w:rFonts w:hint="eastAsia"/>
                <w:bCs/>
                <w:sz w:val="24"/>
                <w:szCs w:val="24"/>
              </w:rPr>
              <w:t>物水性漆、COD、石油类等</w:t>
            </w:r>
            <w:r>
              <w:rPr>
                <w:rFonts w:hint="eastAsia"/>
                <w:kern w:val="1"/>
                <w:sz w:val="24"/>
                <w:szCs w:val="24"/>
              </w:rPr>
              <w:t>泄漏，</w:t>
            </w:r>
            <w:r>
              <w:rPr>
                <w:rFonts w:hint="eastAsia"/>
                <w:sz w:val="24"/>
              </w:rPr>
              <w:t>导致污染</w:t>
            </w:r>
            <w:r>
              <w:rPr>
                <w:rFonts w:hint="eastAsia"/>
                <w:bCs/>
                <w:sz w:val="24"/>
                <w:szCs w:val="24"/>
              </w:rPr>
              <w:t>物以垂直</w:t>
            </w:r>
            <w:r>
              <w:rPr>
                <w:bCs/>
                <w:sz w:val="24"/>
                <w:szCs w:val="24"/>
              </w:rPr>
              <w:t>入渗方式进入土壤环境。</w:t>
            </w:r>
          </w:p>
          <w:p>
            <w:pPr>
              <w:spacing w:line="360" w:lineRule="auto"/>
              <w:ind w:firstLine="472" w:firstLineChars="200"/>
              <w:rPr>
                <w:bCs/>
                <w:sz w:val="24"/>
                <w:szCs w:val="24"/>
              </w:rPr>
            </w:pPr>
            <w:r>
              <w:rPr>
                <w:rFonts w:hint="eastAsia"/>
                <w:bCs/>
                <w:sz w:val="24"/>
                <w:szCs w:val="24"/>
              </w:rPr>
              <w:t>根据本项目的实际情况分析，项目</w:t>
            </w:r>
            <w:r>
              <w:rPr>
                <w:rFonts w:hint="eastAsia"/>
                <w:kern w:val="1"/>
                <w:sz w:val="24"/>
                <w:szCs w:val="24"/>
              </w:rPr>
              <w:t>喷漆房</w:t>
            </w:r>
            <w:r>
              <w:rPr>
                <w:rFonts w:hint="eastAsia"/>
                <w:sz w:val="24"/>
              </w:rPr>
              <w:t>、</w:t>
            </w:r>
            <w:r>
              <w:rPr>
                <w:rFonts w:hAnsi="宋体"/>
                <w:sz w:val="24"/>
                <w:szCs w:val="24"/>
              </w:rPr>
              <w:t>隔油池</w:t>
            </w:r>
            <w:r>
              <w:rPr>
                <w:rFonts w:hint="eastAsia" w:hAnsi="宋体"/>
                <w:sz w:val="24"/>
                <w:szCs w:val="24"/>
              </w:rPr>
              <w:t>、</w:t>
            </w:r>
            <w:r>
              <w:rPr>
                <w:rFonts w:hAnsi="宋体"/>
                <w:sz w:val="24"/>
                <w:szCs w:val="24"/>
              </w:rPr>
              <w:t>化粪池</w:t>
            </w:r>
            <w:r>
              <w:rPr>
                <w:rFonts w:hint="eastAsia" w:hAnsi="宋体"/>
                <w:sz w:val="24"/>
                <w:szCs w:val="24"/>
              </w:rPr>
              <w:t>、</w:t>
            </w:r>
            <w:r>
              <w:rPr>
                <w:rFonts w:hint="eastAsia"/>
                <w:bCs/>
                <w:sz w:val="24"/>
                <w:szCs w:val="24"/>
              </w:rPr>
              <w:t>危废间均</w:t>
            </w:r>
            <w:r>
              <w:rPr>
                <w:sz w:val="24"/>
              </w:rPr>
              <w:t>受防渗层的保护，</w:t>
            </w:r>
            <w:r>
              <w:rPr>
                <w:rFonts w:hint="eastAsia"/>
                <w:bCs/>
                <w:sz w:val="24"/>
                <w:szCs w:val="24"/>
              </w:rPr>
              <w:t>危废采取密闭桶装或袋装，且</w:t>
            </w:r>
            <w:r>
              <w:rPr>
                <w:sz w:val="24"/>
              </w:rPr>
              <w:t>防渗层</w:t>
            </w:r>
            <w:r>
              <w:rPr>
                <w:rFonts w:hint="eastAsia"/>
                <w:sz w:val="24"/>
              </w:rPr>
              <w:t>在可视范围内，一旦发生</w:t>
            </w:r>
            <w:r>
              <w:rPr>
                <w:bCs/>
                <w:sz w:val="24"/>
                <w:szCs w:val="24"/>
              </w:rPr>
              <w:t>泄漏</w:t>
            </w:r>
            <w:r>
              <w:rPr>
                <w:rFonts w:hint="eastAsia"/>
                <w:bCs/>
                <w:sz w:val="24"/>
                <w:szCs w:val="24"/>
              </w:rPr>
              <w:t>事故</w:t>
            </w:r>
            <w:r>
              <w:rPr>
                <w:rFonts w:hint="eastAsia"/>
                <w:sz w:val="24"/>
              </w:rPr>
              <w:t>，很容易被发现，</w:t>
            </w:r>
            <w:r>
              <w:rPr>
                <w:sz w:val="24"/>
              </w:rPr>
              <w:t>对土壤环境影响较小</w:t>
            </w:r>
            <w:r>
              <w:rPr>
                <w:rFonts w:hint="eastAsia"/>
                <w:bCs/>
                <w:sz w:val="24"/>
                <w:szCs w:val="24"/>
              </w:rPr>
              <w:t>。</w:t>
            </w:r>
          </w:p>
          <w:p>
            <w:pPr>
              <w:spacing w:line="460" w:lineRule="exact"/>
              <w:ind w:firstLine="472" w:firstLineChars="200"/>
              <w:rPr>
                <w:bCs/>
                <w:sz w:val="24"/>
                <w:szCs w:val="24"/>
              </w:rPr>
            </w:pPr>
            <w:r>
              <w:rPr>
                <w:rFonts w:hint="eastAsia"/>
                <w:bCs/>
                <w:sz w:val="24"/>
                <w:szCs w:val="24"/>
              </w:rPr>
              <w:t>2、</w:t>
            </w:r>
            <w:r>
              <w:rPr>
                <w:bCs/>
                <w:sz w:val="24"/>
                <w:szCs w:val="24"/>
              </w:rPr>
              <w:t>土壤污染防治对策和措施</w:t>
            </w:r>
          </w:p>
          <w:p>
            <w:pPr>
              <w:spacing w:line="460" w:lineRule="exact"/>
              <w:ind w:firstLine="354" w:firstLineChars="150"/>
              <w:rPr>
                <w:bCs/>
                <w:sz w:val="24"/>
                <w:szCs w:val="24"/>
              </w:rPr>
            </w:pPr>
            <w:r>
              <w:rPr>
                <w:bCs/>
                <w:sz w:val="24"/>
                <w:szCs w:val="24"/>
              </w:rPr>
              <w:t>（1）加强生产管理</w:t>
            </w:r>
          </w:p>
          <w:p>
            <w:pPr>
              <w:spacing w:line="460" w:lineRule="exact"/>
              <w:ind w:firstLine="472" w:firstLineChars="200"/>
              <w:rPr>
                <w:bCs/>
                <w:sz w:val="24"/>
                <w:szCs w:val="24"/>
              </w:rPr>
            </w:pPr>
            <w:r>
              <w:rPr>
                <w:bCs/>
                <w:sz w:val="24"/>
                <w:szCs w:val="24"/>
              </w:rPr>
              <w:t>企业应强化员工管理，强化设备的维护和维修管理，加强巡检，</w:t>
            </w:r>
            <w:r>
              <w:rPr>
                <w:rFonts w:hint="eastAsia"/>
                <w:bCs/>
                <w:sz w:val="24"/>
                <w:szCs w:val="24"/>
              </w:rPr>
              <w:t>发现</w:t>
            </w:r>
            <w:r>
              <w:rPr>
                <w:bCs/>
                <w:sz w:val="24"/>
                <w:szCs w:val="24"/>
              </w:rPr>
              <w:t>泄漏点要及时修复，通过源头控制减少泄漏排放对土壤环境的影响。</w:t>
            </w:r>
          </w:p>
          <w:p>
            <w:pPr>
              <w:pStyle w:val="2"/>
              <w:numPr>
                <w:ilvl w:val="0"/>
                <w:numId w:val="7"/>
              </w:numPr>
              <w:spacing w:line="360" w:lineRule="auto"/>
              <w:ind w:firstLine="472" w:firstLineChars="200"/>
              <w:rPr>
                <w:bCs/>
                <w:color w:val="auto"/>
                <w:szCs w:val="24"/>
              </w:rPr>
            </w:pPr>
            <w:r>
              <w:rPr>
                <w:color w:val="auto"/>
              </w:rPr>
              <w:t>厂区采取分区防渗措施</w:t>
            </w:r>
            <w:r>
              <w:rPr>
                <w:rFonts w:hint="eastAsia"/>
                <w:color w:val="auto"/>
              </w:rPr>
              <w:t>：</w:t>
            </w:r>
            <w:r>
              <w:rPr>
                <w:bCs/>
                <w:color w:val="auto"/>
                <w:szCs w:val="24"/>
              </w:rPr>
              <w:t>分为</w:t>
            </w:r>
            <w:r>
              <w:rPr>
                <w:rFonts w:hint="eastAsia"/>
                <w:bCs/>
                <w:color w:val="auto"/>
                <w:szCs w:val="24"/>
              </w:rPr>
              <w:t>重点防渗区、</w:t>
            </w:r>
            <w:r>
              <w:rPr>
                <w:bCs/>
                <w:color w:val="auto"/>
                <w:szCs w:val="24"/>
              </w:rPr>
              <w:t>一般防渗区和简单防渗区</w:t>
            </w:r>
            <w:r>
              <w:rPr>
                <w:rFonts w:hint="eastAsia"/>
                <w:bCs/>
                <w:color w:val="auto"/>
                <w:szCs w:val="24"/>
              </w:rPr>
              <w:t>，重点防渗区为</w:t>
            </w:r>
            <w:r>
              <w:rPr>
                <w:rFonts w:hint="eastAsia"/>
                <w:color w:val="auto"/>
                <w:kern w:val="1"/>
                <w:szCs w:val="24"/>
              </w:rPr>
              <w:t>喷漆</w:t>
            </w:r>
            <w:r>
              <w:rPr>
                <w:rFonts w:hint="eastAsia"/>
                <w:kern w:val="1"/>
                <w:szCs w:val="24"/>
              </w:rPr>
              <w:t>房</w:t>
            </w:r>
            <w:r>
              <w:rPr>
                <w:rFonts w:hint="eastAsia"/>
                <w:color w:val="auto"/>
              </w:rPr>
              <w:t>、</w:t>
            </w:r>
            <w:r>
              <w:rPr>
                <w:rFonts w:hint="eastAsia"/>
                <w:bCs/>
                <w:color w:val="auto"/>
                <w:szCs w:val="24"/>
              </w:rPr>
              <w:t>危废间；防腐防渗措施要求防渗系数不小于10</w:t>
            </w:r>
            <w:r>
              <w:rPr>
                <w:rFonts w:hint="eastAsia"/>
                <w:bCs/>
                <w:color w:val="auto"/>
                <w:szCs w:val="24"/>
                <w:vertAlign w:val="superscript"/>
              </w:rPr>
              <w:t>-10</w:t>
            </w:r>
            <w:r>
              <w:rPr>
                <w:rFonts w:hint="eastAsia"/>
                <w:bCs/>
                <w:color w:val="auto"/>
                <w:szCs w:val="24"/>
              </w:rPr>
              <w:t>cm/s；</w:t>
            </w:r>
            <w:r>
              <w:rPr>
                <w:bCs/>
                <w:color w:val="auto"/>
                <w:szCs w:val="24"/>
              </w:rPr>
              <w:t>一般防渗区包括</w:t>
            </w:r>
            <w:r>
              <w:rPr>
                <w:rFonts w:hint="eastAsia"/>
                <w:bCs/>
                <w:color w:val="auto"/>
                <w:szCs w:val="24"/>
              </w:rPr>
              <w:t>隔</w:t>
            </w:r>
            <w:r>
              <w:rPr>
                <w:rFonts w:hAnsi="宋体"/>
                <w:szCs w:val="24"/>
              </w:rPr>
              <w:t>油</w:t>
            </w:r>
            <w:r>
              <w:rPr>
                <w:rFonts w:hAnsiTheme="minorEastAsia" w:eastAsiaTheme="minorEastAsia"/>
                <w:bCs/>
                <w:color w:val="auto"/>
                <w:szCs w:val="24"/>
              </w:rPr>
              <w:t>池</w:t>
            </w:r>
            <w:r>
              <w:rPr>
                <w:rFonts w:hint="eastAsia" w:hAnsiTheme="minorEastAsia" w:eastAsiaTheme="minorEastAsia"/>
                <w:bCs/>
                <w:color w:val="auto"/>
                <w:szCs w:val="24"/>
              </w:rPr>
              <w:t>、</w:t>
            </w:r>
            <w:r>
              <w:rPr>
                <w:rFonts w:hint="eastAsia" w:eastAsiaTheme="minorEastAsia"/>
                <w:bCs/>
                <w:color w:val="auto"/>
                <w:szCs w:val="24"/>
              </w:rPr>
              <w:t>化粪池</w:t>
            </w:r>
            <w:r>
              <w:rPr>
                <w:bCs/>
                <w:color w:val="auto"/>
                <w:szCs w:val="24"/>
              </w:rPr>
              <w:t>等公辅工程区，一般防治区防腐防渗措施要求防渗系数小于10</w:t>
            </w:r>
            <w:r>
              <w:rPr>
                <w:bCs/>
                <w:color w:val="auto"/>
                <w:szCs w:val="24"/>
                <w:vertAlign w:val="superscript"/>
              </w:rPr>
              <w:t>-7</w:t>
            </w:r>
            <w:r>
              <w:rPr>
                <w:bCs/>
                <w:color w:val="auto"/>
                <w:szCs w:val="24"/>
              </w:rPr>
              <w:t>cm/s</w:t>
            </w:r>
            <w:r>
              <w:rPr>
                <w:rFonts w:hint="eastAsia"/>
                <w:bCs/>
                <w:color w:val="auto"/>
                <w:szCs w:val="24"/>
              </w:rPr>
              <w:t>，</w:t>
            </w:r>
            <w:r>
              <w:rPr>
                <w:bCs/>
                <w:color w:val="auto"/>
                <w:szCs w:val="24"/>
              </w:rPr>
              <w:t>简单防治区包括</w:t>
            </w:r>
            <w:r>
              <w:rPr>
                <w:rFonts w:hint="eastAsia"/>
                <w:bCs/>
                <w:color w:val="auto"/>
                <w:szCs w:val="24"/>
              </w:rPr>
              <w:t>车间地面、厂区道路、办公区等</w:t>
            </w:r>
            <w:r>
              <w:rPr>
                <w:bCs/>
                <w:color w:val="auto"/>
                <w:szCs w:val="24"/>
              </w:rPr>
              <w:t>，用水泥</w:t>
            </w:r>
            <w:r>
              <w:rPr>
                <w:rFonts w:hint="eastAsia"/>
                <w:bCs/>
                <w:color w:val="auto"/>
                <w:szCs w:val="24"/>
              </w:rPr>
              <w:t>硬化</w:t>
            </w:r>
            <w:r>
              <w:rPr>
                <w:bCs/>
                <w:color w:val="auto"/>
                <w:szCs w:val="24"/>
              </w:rPr>
              <w:t>，避免对土壤造成污染。</w:t>
            </w:r>
          </w:p>
          <w:p>
            <w:pPr>
              <w:adjustRightInd w:val="0"/>
              <w:snapToGrid w:val="0"/>
              <w:spacing w:line="360" w:lineRule="auto"/>
              <w:ind w:firstLine="480"/>
              <w:rPr>
                <w:b/>
                <w:bCs/>
                <w:sz w:val="24"/>
              </w:rPr>
            </w:pPr>
            <w:r>
              <w:rPr>
                <w:b/>
                <w:sz w:val="24"/>
              </w:rPr>
              <w:t>六</w:t>
            </w:r>
            <w:r>
              <w:rPr>
                <w:b/>
                <w:bCs/>
                <w:sz w:val="24"/>
              </w:rPr>
              <w:t>、环境风险分析</w:t>
            </w:r>
          </w:p>
          <w:p>
            <w:pPr>
              <w:pStyle w:val="13"/>
              <w:spacing w:line="360" w:lineRule="auto"/>
              <w:ind w:firstLine="472" w:firstLineChars="200"/>
              <w:rPr>
                <w:rFonts w:eastAsia="宋体"/>
                <w:sz w:val="24"/>
              </w:rPr>
            </w:pPr>
            <w:r>
              <w:rPr>
                <w:rFonts w:eastAsia="宋体"/>
                <w:sz w:val="24"/>
              </w:rPr>
              <w:t>1、</w:t>
            </w:r>
            <w:r>
              <w:rPr>
                <w:rFonts w:eastAsia="宋体"/>
                <w:bCs/>
                <w:sz w:val="24"/>
              </w:rPr>
              <w:t>环境</w:t>
            </w:r>
            <w:r>
              <w:rPr>
                <w:rFonts w:eastAsia="宋体"/>
                <w:sz w:val="24"/>
              </w:rPr>
              <w:t>风险</w:t>
            </w:r>
            <w:r>
              <w:rPr>
                <w:rFonts w:hint="eastAsia" w:eastAsia="宋体"/>
                <w:bCs/>
                <w:sz w:val="24"/>
              </w:rPr>
              <w:t>物质</w:t>
            </w:r>
          </w:p>
          <w:p>
            <w:pPr>
              <w:pStyle w:val="2"/>
              <w:spacing w:line="360" w:lineRule="auto"/>
              <w:ind w:firstLine="472" w:firstLineChars="200"/>
              <w:rPr>
                <w:color w:val="auto"/>
              </w:rPr>
            </w:pPr>
            <w:r>
              <w:rPr>
                <w:bCs/>
                <w:color w:val="auto"/>
              </w:rPr>
              <w:t>根据《建设项目环境风险评价技术导则》（HJ169-2018）附录</w:t>
            </w:r>
            <w:r>
              <w:rPr>
                <w:rFonts w:hint="eastAsia"/>
                <w:bCs/>
                <w:color w:val="auto"/>
              </w:rPr>
              <w:t>B</w:t>
            </w:r>
            <w:r>
              <w:rPr>
                <w:bCs/>
                <w:color w:val="auto"/>
              </w:rPr>
              <w:t>，本项目所用</w:t>
            </w:r>
            <w:r>
              <w:rPr>
                <w:rFonts w:hint="eastAsia"/>
                <w:bCs/>
                <w:color w:val="auto"/>
              </w:rPr>
              <w:t>丙烷气体</w:t>
            </w:r>
            <w:r>
              <w:rPr>
                <w:color w:val="auto"/>
                <w:kern w:val="24"/>
              </w:rPr>
              <w:t>、</w:t>
            </w:r>
            <w:r>
              <w:rPr>
                <w:bCs/>
                <w:color w:val="auto"/>
              </w:rPr>
              <w:t>危废暂存间暂存的废液压油、废切削液，</w:t>
            </w:r>
            <w:r>
              <w:rPr>
                <w:color w:val="auto"/>
              </w:rPr>
              <w:t>泄漏后遇明火或高热易燃</w:t>
            </w:r>
            <w:r>
              <w:rPr>
                <w:rFonts w:hint="eastAsia"/>
                <w:color w:val="auto"/>
              </w:rPr>
              <w:t>，</w:t>
            </w:r>
            <w:r>
              <w:rPr>
                <w:bCs/>
                <w:color w:val="auto"/>
              </w:rPr>
              <w:t>属于环境风险物质。</w:t>
            </w:r>
          </w:p>
          <w:p>
            <w:pPr>
              <w:pStyle w:val="13"/>
              <w:autoSpaceDE w:val="0"/>
              <w:spacing w:line="480" w:lineRule="exact"/>
              <w:ind w:firstLine="472" w:firstLineChars="200"/>
              <w:rPr>
                <w:rFonts w:eastAsia="宋体"/>
                <w:kern w:val="24"/>
                <w:sz w:val="24"/>
                <w:szCs w:val="24"/>
              </w:rPr>
            </w:pPr>
            <w:r>
              <w:rPr>
                <w:rFonts w:hint="eastAsia" w:eastAsia="宋体"/>
                <w:kern w:val="24"/>
                <w:sz w:val="24"/>
                <w:szCs w:val="24"/>
              </w:rPr>
              <w:t>2</w:t>
            </w:r>
            <w:r>
              <w:rPr>
                <w:rFonts w:eastAsia="宋体"/>
                <w:kern w:val="24"/>
                <w:sz w:val="24"/>
                <w:szCs w:val="24"/>
              </w:rPr>
              <w:t>、环境风险</w:t>
            </w:r>
            <w:r>
              <w:rPr>
                <w:rFonts w:hint="eastAsia" w:eastAsia="宋体"/>
                <w:kern w:val="24"/>
                <w:sz w:val="24"/>
                <w:szCs w:val="24"/>
              </w:rPr>
              <w:t>影响</w:t>
            </w:r>
            <w:r>
              <w:rPr>
                <w:rFonts w:eastAsia="宋体"/>
                <w:kern w:val="24"/>
                <w:sz w:val="24"/>
                <w:szCs w:val="24"/>
              </w:rPr>
              <w:t>分析</w:t>
            </w:r>
          </w:p>
          <w:p>
            <w:pPr>
              <w:spacing w:line="480" w:lineRule="exact"/>
              <w:ind w:firstLine="472" w:firstLineChars="200"/>
              <w:outlineLvl w:val="2"/>
              <w:rPr>
                <w:sz w:val="24"/>
                <w:szCs w:val="24"/>
              </w:rPr>
            </w:pPr>
            <w:r>
              <w:rPr>
                <w:sz w:val="24"/>
                <w:szCs w:val="24"/>
              </w:rPr>
              <w:t>1）大气环境风险分析</w:t>
            </w:r>
          </w:p>
          <w:p>
            <w:pPr>
              <w:pStyle w:val="2"/>
              <w:spacing w:beforeLines="50" w:line="480" w:lineRule="exact"/>
              <w:ind w:firstLine="472" w:firstLineChars="200"/>
              <w:jc w:val="both"/>
              <w:rPr>
                <w:color w:val="auto"/>
              </w:rPr>
            </w:pPr>
            <w:r>
              <w:rPr>
                <w:rFonts w:hint="eastAsia"/>
                <w:color w:val="auto"/>
              </w:rPr>
              <w:t>本项目生产中所用的丙烷</w:t>
            </w:r>
            <w:r>
              <w:rPr>
                <w:rFonts w:hint="eastAsia"/>
                <w:bCs/>
                <w:color w:val="auto"/>
              </w:rPr>
              <w:t>气体为瓶装，不在厂内大量储存，专人</w:t>
            </w:r>
            <w:r>
              <w:rPr>
                <w:bCs/>
                <w:color w:val="auto"/>
              </w:rPr>
              <w:t>定期对</w:t>
            </w:r>
            <w:r>
              <w:rPr>
                <w:rFonts w:hint="eastAsia"/>
                <w:bCs/>
                <w:color w:val="auto"/>
              </w:rPr>
              <w:t>瓶、阀</w:t>
            </w:r>
            <w:r>
              <w:rPr>
                <w:bCs/>
                <w:color w:val="auto"/>
              </w:rPr>
              <w:t>进行检查维护，防止泄漏现象发生</w:t>
            </w:r>
            <w:r>
              <w:rPr>
                <w:rFonts w:hint="eastAsia"/>
                <w:bCs/>
                <w:color w:val="auto"/>
              </w:rPr>
              <w:t>；</w:t>
            </w:r>
            <w:r>
              <w:rPr>
                <w:rFonts w:hint="eastAsia"/>
                <w:color w:val="auto"/>
              </w:rPr>
              <w:t>一旦发生泄漏事故，企业应及时通知紧急隔离区及疏散区内的人员撤离。因此，企业事故状态下丙烷泄漏对其周边环境风险敏感目标影响不大。</w:t>
            </w:r>
          </w:p>
          <w:p>
            <w:pPr>
              <w:spacing w:line="480" w:lineRule="exact"/>
              <w:ind w:firstLine="480"/>
              <w:rPr>
                <w:sz w:val="24"/>
                <w:szCs w:val="24"/>
              </w:rPr>
            </w:pPr>
            <w:r>
              <w:rPr>
                <w:sz w:val="24"/>
                <w:szCs w:val="24"/>
              </w:rPr>
              <w:t>火灾爆炸是通过放出辐射热</w:t>
            </w:r>
            <w:r>
              <w:rPr>
                <w:rFonts w:hint="eastAsia"/>
                <w:sz w:val="24"/>
                <w:szCs w:val="24"/>
              </w:rPr>
              <w:t>和冲击波</w:t>
            </w:r>
            <w:r>
              <w:rPr>
                <w:sz w:val="24"/>
                <w:szCs w:val="24"/>
              </w:rPr>
              <w:t>影响周围环境，如果辐射热的能量足够大，可引起其他可燃物燃烧。一般来说，辐射热</w:t>
            </w:r>
            <w:r>
              <w:rPr>
                <w:rFonts w:hint="eastAsia"/>
                <w:sz w:val="24"/>
                <w:szCs w:val="24"/>
              </w:rPr>
              <w:t>和冲击波</w:t>
            </w:r>
            <w:r>
              <w:rPr>
                <w:sz w:val="24"/>
                <w:szCs w:val="24"/>
              </w:rPr>
              <w:t>局限于近火源的区域内，对邻近地区影响不大，其主要影响通常仅限于厂区范围内。</w:t>
            </w:r>
          </w:p>
          <w:p>
            <w:pPr>
              <w:spacing w:line="480" w:lineRule="exact"/>
              <w:ind w:firstLine="472" w:firstLineChars="200"/>
              <w:outlineLvl w:val="2"/>
              <w:rPr>
                <w:sz w:val="24"/>
                <w:szCs w:val="24"/>
              </w:rPr>
            </w:pPr>
            <w:r>
              <w:rPr>
                <w:sz w:val="24"/>
                <w:szCs w:val="24"/>
              </w:rPr>
              <w:t>大气环境主要危害后果为：丙烷、矿物油在燃烧爆炸时释放的大量烟尘、燃烧分解产物一氧化碳、氮氧化物以及燃烧过程产生的伴生/次生污染物等有害气体对周围大气环境造成污染。</w:t>
            </w:r>
          </w:p>
          <w:p>
            <w:pPr>
              <w:spacing w:line="480" w:lineRule="exact"/>
              <w:ind w:firstLine="472" w:firstLineChars="200"/>
              <w:outlineLvl w:val="2"/>
              <w:rPr>
                <w:sz w:val="24"/>
                <w:szCs w:val="24"/>
              </w:rPr>
            </w:pPr>
            <w:r>
              <w:rPr>
                <w:sz w:val="24"/>
                <w:szCs w:val="24"/>
              </w:rPr>
              <w:t>项目区设置了灭火器、消防砂等大量消防设施，同时加强人员管理及培训，禁止在厂区吸烟、携带火种；对已发生的火灾爆炸的情况，及时报告有关部门并组织厂区内人员的疏散，将损失降到最低。</w:t>
            </w:r>
          </w:p>
          <w:p>
            <w:pPr>
              <w:spacing w:line="480" w:lineRule="exact"/>
              <w:ind w:firstLine="472" w:firstLineChars="200"/>
              <w:outlineLvl w:val="2"/>
              <w:rPr>
                <w:sz w:val="24"/>
                <w:szCs w:val="24"/>
              </w:rPr>
            </w:pPr>
            <w:r>
              <w:rPr>
                <w:sz w:val="24"/>
                <w:szCs w:val="24"/>
              </w:rPr>
              <w:t>2）土壤环境风险分析</w:t>
            </w:r>
          </w:p>
          <w:p>
            <w:pPr>
              <w:spacing w:line="480" w:lineRule="exact"/>
              <w:ind w:firstLine="472" w:firstLineChars="200"/>
              <w:rPr>
                <w:sz w:val="24"/>
                <w:szCs w:val="24"/>
              </w:rPr>
            </w:pPr>
            <w:r>
              <w:rPr>
                <w:bCs/>
                <w:sz w:val="24"/>
                <w:szCs w:val="24"/>
              </w:rPr>
              <w:t>如果</w:t>
            </w:r>
            <w:r>
              <w:rPr>
                <w:sz w:val="24"/>
                <w:szCs w:val="24"/>
              </w:rPr>
              <w:t>危废暂存间</w:t>
            </w:r>
            <w:r>
              <w:rPr>
                <w:bCs/>
                <w:sz w:val="24"/>
                <w:szCs w:val="24"/>
              </w:rPr>
              <w:t>防渗地面等可视场所发生破损，容易及时发现，可以及时采取修复措施，</w:t>
            </w:r>
            <w:r>
              <w:rPr>
                <w:sz w:val="24"/>
              </w:rPr>
              <w:t>由于受</w:t>
            </w:r>
            <w:r>
              <w:rPr>
                <w:sz w:val="24"/>
                <w:szCs w:val="24"/>
              </w:rPr>
              <w:t>危废暂存间</w:t>
            </w:r>
            <w:r>
              <w:rPr>
                <w:sz w:val="24"/>
              </w:rPr>
              <w:t>防渗层的保护，对土壤环境影响较小。</w:t>
            </w:r>
            <w:r>
              <w:rPr>
                <w:bCs/>
                <w:sz w:val="24"/>
                <w:szCs w:val="24"/>
              </w:rPr>
              <w:t xml:space="preserve"> </w:t>
            </w:r>
          </w:p>
          <w:p>
            <w:pPr>
              <w:widowControl/>
              <w:shd w:val="clear" w:color="auto" w:fill="FFFFFF"/>
              <w:spacing w:line="480" w:lineRule="exact"/>
              <w:ind w:firstLine="472" w:firstLineChars="200"/>
              <w:rPr>
                <w:sz w:val="24"/>
                <w:szCs w:val="24"/>
              </w:rPr>
            </w:pPr>
            <w:r>
              <w:rPr>
                <w:rFonts w:hint="eastAsia"/>
                <w:sz w:val="24"/>
                <w:szCs w:val="24"/>
              </w:rPr>
              <w:t>3</w:t>
            </w:r>
            <w:r>
              <w:rPr>
                <w:sz w:val="24"/>
                <w:szCs w:val="24"/>
              </w:rPr>
              <w:t>、环境风险防范措施</w:t>
            </w:r>
          </w:p>
          <w:p>
            <w:pPr>
              <w:pStyle w:val="13"/>
              <w:autoSpaceDE w:val="0"/>
              <w:spacing w:line="480" w:lineRule="exact"/>
              <w:ind w:firstLine="472" w:firstLineChars="200"/>
              <w:rPr>
                <w:rFonts w:eastAsia="宋体"/>
                <w:sz w:val="24"/>
                <w:szCs w:val="24"/>
              </w:rPr>
            </w:pPr>
            <w:r>
              <w:rPr>
                <w:rFonts w:eastAsia="宋体"/>
                <w:sz w:val="24"/>
                <w:szCs w:val="24"/>
              </w:rPr>
              <w:t xml:space="preserve"> 从风险源、环境影响途径、环境敏感目标等方面采取如下防范、应急措施。</w:t>
            </w:r>
          </w:p>
          <w:p>
            <w:pPr>
              <w:pStyle w:val="2"/>
              <w:autoSpaceDE/>
              <w:autoSpaceDN/>
              <w:adjustRightInd/>
              <w:spacing w:line="480" w:lineRule="exact"/>
              <w:rPr>
                <w:color w:val="auto"/>
              </w:rPr>
            </w:pPr>
            <w:r>
              <w:rPr>
                <w:color w:val="auto"/>
              </w:rPr>
              <w:t xml:space="preserve">    （1）</w:t>
            </w:r>
            <w:r>
              <w:rPr>
                <w:color w:val="auto"/>
                <w:szCs w:val="24"/>
              </w:rPr>
              <w:t>风险源</w:t>
            </w:r>
            <w:r>
              <w:rPr>
                <w:color w:val="auto"/>
              </w:rPr>
              <w:t>风险控制措施</w:t>
            </w:r>
          </w:p>
          <w:p>
            <w:pPr>
              <w:pStyle w:val="2"/>
              <w:spacing w:line="480" w:lineRule="exact"/>
              <w:ind w:firstLine="472" w:firstLineChars="200"/>
              <w:rPr>
                <w:rFonts w:asciiTheme="minorEastAsia" w:hAnsiTheme="minorEastAsia" w:eastAsiaTheme="minorEastAsia"/>
                <w:color w:val="auto"/>
              </w:rPr>
            </w:pPr>
            <w:r>
              <w:rPr>
                <w:rFonts w:asciiTheme="minorEastAsia" w:hAnsiTheme="minorEastAsia" w:eastAsiaTheme="minorEastAsia"/>
                <w:color w:val="auto"/>
              </w:rPr>
              <w:t>①项目所用丙烷为</w:t>
            </w:r>
            <w:r>
              <w:rPr>
                <w:rFonts w:hint="eastAsia" w:asciiTheme="minorEastAsia" w:hAnsiTheme="minorEastAsia" w:eastAsiaTheme="minorEastAsia"/>
                <w:color w:val="auto"/>
              </w:rPr>
              <w:t>瓶装</w:t>
            </w:r>
            <w:r>
              <w:rPr>
                <w:rFonts w:asciiTheme="minorEastAsia" w:hAnsiTheme="minorEastAsia" w:eastAsiaTheme="minorEastAsia"/>
                <w:color w:val="auto"/>
              </w:rPr>
              <w:t>，</w:t>
            </w:r>
            <w:r>
              <w:rPr>
                <w:rFonts w:hint="eastAsia" w:asciiTheme="minorEastAsia" w:hAnsiTheme="minorEastAsia" w:eastAsiaTheme="minorEastAsia"/>
                <w:color w:val="auto"/>
              </w:rPr>
              <w:t>且</w:t>
            </w:r>
            <w:r>
              <w:rPr>
                <w:rFonts w:asciiTheme="minorEastAsia" w:hAnsiTheme="minorEastAsia" w:eastAsiaTheme="minorEastAsia"/>
                <w:color w:val="auto"/>
              </w:rPr>
              <w:t>不在厂内</w:t>
            </w:r>
            <w:r>
              <w:rPr>
                <w:rFonts w:hint="eastAsia" w:asciiTheme="minorEastAsia" w:hAnsiTheme="minorEastAsia" w:eastAsiaTheme="minorEastAsia"/>
                <w:color w:val="auto"/>
              </w:rPr>
              <w:t>大量储存</w:t>
            </w:r>
            <w:r>
              <w:rPr>
                <w:rFonts w:asciiTheme="minorEastAsia" w:hAnsiTheme="minorEastAsia" w:eastAsiaTheme="minorEastAsia"/>
                <w:color w:val="auto"/>
              </w:rPr>
              <w:t>；加强生产管理，减少生产过程中的跑、冒、滴、漏。</w:t>
            </w:r>
          </w:p>
          <w:p>
            <w:pPr>
              <w:pStyle w:val="2"/>
              <w:autoSpaceDE/>
              <w:autoSpaceDN/>
              <w:adjustRightInd/>
              <w:spacing w:line="480" w:lineRule="exact"/>
              <w:ind w:firstLine="472" w:firstLineChars="200"/>
              <w:rPr>
                <w:rFonts w:asciiTheme="minorEastAsia" w:hAnsiTheme="minorEastAsia" w:eastAsiaTheme="minorEastAsia"/>
                <w:color w:val="auto"/>
              </w:rPr>
            </w:pPr>
            <w:r>
              <w:rPr>
                <w:rFonts w:asciiTheme="minorEastAsia" w:hAnsiTheme="minorEastAsia" w:eastAsiaTheme="minorEastAsia"/>
                <w:color w:val="auto"/>
              </w:rPr>
              <w:t>②</w:t>
            </w:r>
            <w:r>
              <w:rPr>
                <w:rFonts w:asciiTheme="minorEastAsia" w:hAnsiTheme="minorEastAsia" w:eastAsiaTheme="minorEastAsia"/>
                <w:color w:val="auto"/>
                <w:szCs w:val="24"/>
              </w:rPr>
              <w:t>危废暂存间</w:t>
            </w:r>
            <w:r>
              <w:rPr>
                <w:rFonts w:asciiTheme="minorEastAsia" w:hAnsiTheme="minorEastAsia" w:eastAsiaTheme="minorEastAsia"/>
                <w:color w:val="auto"/>
              </w:rPr>
              <w:t>应保持通风良好，严禁烟火。</w:t>
            </w:r>
          </w:p>
          <w:p>
            <w:pPr>
              <w:pStyle w:val="2"/>
              <w:autoSpaceDE/>
              <w:autoSpaceDN/>
              <w:adjustRightInd/>
              <w:spacing w:line="480" w:lineRule="exact"/>
              <w:ind w:firstLine="472" w:firstLineChars="200"/>
              <w:rPr>
                <w:color w:val="auto"/>
              </w:rPr>
            </w:pPr>
            <w:r>
              <w:rPr>
                <w:rFonts w:asciiTheme="minorEastAsia" w:hAnsiTheme="minorEastAsia" w:eastAsiaTheme="minorEastAsia"/>
                <w:color w:val="auto"/>
              </w:rPr>
              <w:t>③生产区要悬挂安全警示牌</w:t>
            </w:r>
            <w:r>
              <w:rPr>
                <w:color w:val="auto"/>
              </w:rPr>
              <w:t>，车间内严禁吸烟和明火。要贮存足够量的灭火器，并保持良好的备用状态。</w:t>
            </w:r>
          </w:p>
          <w:p>
            <w:pPr>
              <w:pStyle w:val="2"/>
              <w:autoSpaceDE/>
              <w:autoSpaceDN/>
              <w:adjustRightInd/>
              <w:spacing w:line="480" w:lineRule="exact"/>
              <w:ind w:firstLine="472" w:firstLineChars="200"/>
              <w:rPr>
                <w:color w:val="auto"/>
              </w:rPr>
            </w:pPr>
            <w:r>
              <w:rPr>
                <w:color w:val="auto"/>
              </w:rPr>
              <w:t>（2）贮运风险控制措施</w:t>
            </w:r>
          </w:p>
          <w:p>
            <w:pPr>
              <w:pStyle w:val="2"/>
              <w:spacing w:line="480" w:lineRule="exact"/>
              <w:ind w:firstLine="472" w:firstLineChars="200"/>
              <w:rPr>
                <w:rFonts w:asciiTheme="minorEastAsia" w:hAnsiTheme="minorEastAsia" w:eastAsiaTheme="minorEastAsia"/>
                <w:color w:val="auto"/>
              </w:rPr>
            </w:pPr>
            <w:r>
              <w:rPr>
                <w:rFonts w:asciiTheme="minorEastAsia" w:hAnsiTheme="minorEastAsia" w:eastAsiaTheme="minorEastAsia"/>
                <w:color w:val="auto"/>
              </w:rPr>
              <w:t>①专人定期对丙烷</w:t>
            </w:r>
            <w:r>
              <w:rPr>
                <w:rFonts w:hint="eastAsia" w:asciiTheme="minorEastAsia" w:hAnsiTheme="minorEastAsia" w:eastAsiaTheme="minorEastAsia"/>
                <w:color w:val="auto"/>
              </w:rPr>
              <w:t>包装瓶</w:t>
            </w:r>
            <w:r>
              <w:rPr>
                <w:rFonts w:asciiTheme="minorEastAsia" w:hAnsiTheme="minorEastAsia" w:eastAsiaTheme="minorEastAsia"/>
                <w:color w:val="auto"/>
              </w:rPr>
              <w:t>、阀进行检查维护；</w:t>
            </w:r>
            <w:r>
              <w:rPr>
                <w:rFonts w:asciiTheme="minorEastAsia" w:hAnsiTheme="minorEastAsia" w:eastAsiaTheme="minorEastAsia"/>
                <w:color w:val="auto"/>
                <w:szCs w:val="24"/>
              </w:rPr>
              <w:t>危废暂存间</w:t>
            </w:r>
            <w:r>
              <w:rPr>
                <w:rFonts w:asciiTheme="minorEastAsia" w:hAnsiTheme="minorEastAsia" w:eastAsiaTheme="minorEastAsia"/>
                <w:bCs/>
                <w:color w:val="auto"/>
              </w:rPr>
              <w:t>废液压油、废切削液均为桶装，周围设置围堰并做防渗漏、防流失措施，四周设有导流槽可将泄漏物引流并收集；每月盘查废液压油、废切削液包装桶的地基和支撑结构应定期检查，检查的结果应存档以备将来参考。</w:t>
            </w:r>
          </w:p>
          <w:p>
            <w:pPr>
              <w:pStyle w:val="2"/>
              <w:autoSpaceDE/>
              <w:autoSpaceDN/>
              <w:adjustRightInd/>
              <w:spacing w:line="480" w:lineRule="exact"/>
              <w:ind w:firstLine="472" w:firstLineChars="200"/>
              <w:rPr>
                <w:color w:val="auto"/>
              </w:rPr>
            </w:pPr>
            <w:r>
              <w:rPr>
                <w:rFonts w:asciiTheme="minorEastAsia" w:hAnsiTheme="minorEastAsia" w:eastAsiaTheme="minorEastAsia"/>
                <w:color w:val="auto"/>
              </w:rPr>
              <w:t>②</w:t>
            </w:r>
            <w:r>
              <w:rPr>
                <w:color w:val="auto"/>
              </w:rPr>
              <w:t>丙烷一旦发生泄漏，立刻查找泄漏源，并关闭总阀及火源，加强通风，及时更换损坏管、阀等；</w:t>
            </w:r>
            <w:r>
              <w:rPr>
                <w:color w:val="auto"/>
                <w:szCs w:val="24"/>
              </w:rPr>
              <w:t>废液压油、废切削液</w:t>
            </w:r>
            <w:r>
              <w:rPr>
                <w:color w:val="auto"/>
              </w:rPr>
              <w:t>一旦发生泄漏，立刻查找泄漏源，并关闭电器开关，开窗通风，及时用砂土吸附。</w:t>
            </w:r>
          </w:p>
          <w:p>
            <w:pPr>
              <w:pStyle w:val="2"/>
              <w:autoSpaceDE/>
              <w:autoSpaceDN/>
              <w:adjustRightInd/>
              <w:spacing w:line="480" w:lineRule="exact"/>
              <w:rPr>
                <w:color w:val="auto"/>
              </w:rPr>
            </w:pPr>
            <w:r>
              <w:rPr>
                <w:color w:val="auto"/>
              </w:rPr>
              <w:t xml:space="preserve">   </w:t>
            </w:r>
            <w:r>
              <w:rPr>
                <w:rFonts w:asciiTheme="minorEastAsia" w:hAnsiTheme="minorEastAsia" w:eastAsiaTheme="minorEastAsia"/>
                <w:color w:val="auto"/>
              </w:rPr>
              <w:t xml:space="preserve"> ③</w:t>
            </w:r>
            <w:r>
              <w:rPr>
                <w:color w:val="auto"/>
              </w:rPr>
              <w:t>丙烷、</w:t>
            </w:r>
            <w:r>
              <w:rPr>
                <w:color w:val="auto"/>
                <w:szCs w:val="24"/>
              </w:rPr>
              <w:t>废液压油、废切削液</w:t>
            </w:r>
            <w:r>
              <w:rPr>
                <w:color w:val="auto"/>
              </w:rPr>
              <w:t>泄漏引发火灾事故时，应及时疏散周边居民至安全区，抢救人员穿戴防护服并用干粉灭火器灭火。</w:t>
            </w:r>
          </w:p>
          <w:p>
            <w:pPr>
              <w:adjustRightInd w:val="0"/>
              <w:snapToGrid w:val="0"/>
              <w:spacing w:line="480" w:lineRule="exact"/>
              <w:ind w:firstLine="472" w:firstLineChars="200"/>
              <w:rPr>
                <w:sz w:val="24"/>
              </w:rPr>
            </w:pPr>
            <w:r>
              <w:rPr>
                <w:sz w:val="24"/>
              </w:rPr>
              <w:t>（3）操作风险控制措施</w:t>
            </w:r>
          </w:p>
          <w:p>
            <w:pPr>
              <w:pStyle w:val="13"/>
              <w:autoSpaceDE w:val="0"/>
              <w:spacing w:line="480" w:lineRule="exact"/>
              <w:ind w:firstLine="472" w:firstLineChars="200"/>
              <w:rPr>
                <w:rFonts w:eastAsia="宋体"/>
                <w:sz w:val="24"/>
              </w:rPr>
            </w:pPr>
            <w:r>
              <w:rPr>
                <w:rFonts w:eastAsia="宋体"/>
                <w:sz w:val="24"/>
              </w:rPr>
              <w:t>操作尽可能机械化、自动化；企业应定期对职工进行技术培训，尤其是操作岗位的工人应严格执行操作规程，避免因为违规操作引起事故；加强对</w:t>
            </w:r>
            <w:r>
              <w:rPr>
                <w:rFonts w:eastAsia="宋体"/>
                <w:sz w:val="24"/>
                <w:szCs w:val="24"/>
              </w:rPr>
              <w:t>危废</w:t>
            </w:r>
            <w:r>
              <w:rPr>
                <w:rFonts w:eastAsia="宋体"/>
                <w:sz w:val="24"/>
              </w:rPr>
              <w:t>包装桶的检查巡视，及时更换；配备泄漏应急处理设备。</w:t>
            </w:r>
          </w:p>
          <w:p>
            <w:pPr>
              <w:autoSpaceDE w:val="0"/>
              <w:spacing w:line="360" w:lineRule="auto"/>
              <w:ind w:firstLine="472" w:firstLineChars="200"/>
              <w:rPr>
                <w:color w:val="auto"/>
                <w:kern w:val="1"/>
                <w:szCs w:val="24"/>
              </w:rPr>
            </w:pPr>
            <w:r>
              <w:rPr>
                <w:rFonts w:ascii="宋体" w:hAnsi="宋体"/>
                <w:sz w:val="24"/>
                <w:szCs w:val="24"/>
              </w:rPr>
              <w:t>综上所述，</w:t>
            </w:r>
            <w:r>
              <w:rPr>
                <w:rFonts w:hint="eastAsia" w:ascii="宋体" w:hAnsi="宋体"/>
                <w:sz w:val="24"/>
                <w:szCs w:val="24"/>
              </w:rPr>
              <w:t>本项目</w:t>
            </w:r>
            <w:r>
              <w:rPr>
                <w:rFonts w:ascii="宋体" w:hAnsi="宋体"/>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tc>
      </w:tr>
    </w:tbl>
    <w:p>
      <w:pPr>
        <w:sectPr>
          <w:pgSz w:w="16838" w:h="11906" w:orient="landscape"/>
          <w:pgMar w:top="1701" w:right="1304" w:bottom="1701" w:left="1418" w:header="851" w:footer="851" w:gutter="0"/>
          <w:cols w:space="720" w:num="1"/>
          <w:docGrid w:type="linesAndChars" w:linePitch="380" w:charSpace="-948"/>
        </w:sectPr>
      </w:pPr>
    </w:p>
    <w:p>
      <w:pPr>
        <w:jc w:val="center"/>
        <w:rPr>
          <w:rFonts w:eastAsia="黑体"/>
          <w:b/>
          <w:sz w:val="32"/>
          <w:szCs w:val="32"/>
        </w:rPr>
      </w:pPr>
      <w:r>
        <w:rPr>
          <w:rFonts w:hint="eastAsia" w:eastAsia="黑体"/>
          <w:b/>
          <w:sz w:val="32"/>
          <w:szCs w:val="32"/>
        </w:rPr>
        <w:t>五、环境保护措施监督检查清单</w:t>
      </w:r>
    </w:p>
    <w:tbl>
      <w:tblPr>
        <w:tblStyle w:val="28"/>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559"/>
        <w:gridCol w:w="1843"/>
        <w:gridCol w:w="212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tcBorders>
              <w:tl2br w:val="single" w:color="auto" w:sz="4" w:space="0"/>
            </w:tcBorders>
          </w:tcPr>
          <w:p>
            <w:pPr>
              <w:pStyle w:val="2"/>
              <w:spacing w:line="360" w:lineRule="exact"/>
              <w:jc w:val="center"/>
              <w:rPr>
                <w:b/>
                <w:bCs/>
                <w:color w:val="auto"/>
                <w:sz w:val="21"/>
                <w:szCs w:val="21"/>
              </w:rPr>
            </w:pPr>
            <w:r>
              <w:rPr>
                <w:rFonts w:hint="eastAsia"/>
                <w:b/>
                <w:bCs/>
                <w:color w:val="auto"/>
                <w:sz w:val="21"/>
                <w:szCs w:val="21"/>
              </w:rPr>
              <w:t xml:space="preserve">     内容</w:t>
            </w:r>
          </w:p>
          <w:p>
            <w:pPr>
              <w:pStyle w:val="2"/>
              <w:spacing w:line="360" w:lineRule="exact"/>
              <w:jc w:val="center"/>
              <w:rPr>
                <w:b/>
                <w:bCs/>
                <w:color w:val="auto"/>
                <w:sz w:val="21"/>
                <w:szCs w:val="21"/>
              </w:rPr>
            </w:pPr>
          </w:p>
          <w:p>
            <w:pPr>
              <w:pStyle w:val="2"/>
              <w:spacing w:line="360" w:lineRule="exact"/>
              <w:jc w:val="both"/>
              <w:rPr>
                <w:b/>
                <w:bCs/>
                <w:color w:val="auto"/>
                <w:sz w:val="21"/>
                <w:szCs w:val="21"/>
              </w:rPr>
            </w:pPr>
            <w:r>
              <w:rPr>
                <w:rFonts w:hint="eastAsia"/>
                <w:b/>
                <w:bCs/>
                <w:color w:val="auto"/>
                <w:sz w:val="21"/>
                <w:szCs w:val="21"/>
              </w:rPr>
              <w:t>要素</w:t>
            </w:r>
          </w:p>
        </w:tc>
        <w:tc>
          <w:tcPr>
            <w:tcW w:w="1559" w:type="dxa"/>
            <w:vAlign w:val="center"/>
          </w:tcPr>
          <w:p>
            <w:pPr>
              <w:pStyle w:val="2"/>
              <w:spacing w:line="360" w:lineRule="exact"/>
              <w:jc w:val="center"/>
              <w:rPr>
                <w:b/>
                <w:bCs/>
                <w:color w:val="auto"/>
                <w:sz w:val="21"/>
                <w:szCs w:val="21"/>
              </w:rPr>
            </w:pPr>
            <w:r>
              <w:rPr>
                <w:rFonts w:hint="eastAsia"/>
                <w:b/>
                <w:bCs/>
                <w:color w:val="auto"/>
                <w:sz w:val="21"/>
                <w:szCs w:val="21"/>
              </w:rPr>
              <w:t>排放口</w:t>
            </w:r>
          </w:p>
          <w:p>
            <w:pPr>
              <w:pStyle w:val="2"/>
              <w:spacing w:line="360" w:lineRule="exact"/>
              <w:jc w:val="center"/>
              <w:rPr>
                <w:b/>
                <w:bCs/>
                <w:color w:val="auto"/>
                <w:sz w:val="21"/>
                <w:szCs w:val="21"/>
              </w:rPr>
            </w:pPr>
            <w:r>
              <w:rPr>
                <w:rFonts w:hint="eastAsia"/>
                <w:b/>
                <w:bCs/>
                <w:color w:val="auto"/>
                <w:sz w:val="21"/>
                <w:szCs w:val="21"/>
              </w:rPr>
              <w:t>（编号、名称）/污染源</w:t>
            </w:r>
          </w:p>
        </w:tc>
        <w:tc>
          <w:tcPr>
            <w:tcW w:w="1843" w:type="dxa"/>
            <w:vAlign w:val="center"/>
          </w:tcPr>
          <w:p>
            <w:pPr>
              <w:pStyle w:val="2"/>
              <w:spacing w:line="360" w:lineRule="exact"/>
              <w:jc w:val="center"/>
              <w:rPr>
                <w:b/>
                <w:bCs/>
                <w:color w:val="auto"/>
                <w:sz w:val="21"/>
                <w:szCs w:val="21"/>
              </w:rPr>
            </w:pPr>
            <w:r>
              <w:rPr>
                <w:rFonts w:hint="eastAsia"/>
                <w:b/>
                <w:bCs/>
                <w:color w:val="auto"/>
                <w:sz w:val="21"/>
                <w:szCs w:val="21"/>
              </w:rPr>
              <w:t>污染物项目</w:t>
            </w:r>
          </w:p>
        </w:tc>
        <w:tc>
          <w:tcPr>
            <w:tcW w:w="2126" w:type="dxa"/>
            <w:vAlign w:val="center"/>
          </w:tcPr>
          <w:p>
            <w:pPr>
              <w:pStyle w:val="2"/>
              <w:spacing w:line="360" w:lineRule="exact"/>
              <w:jc w:val="center"/>
              <w:rPr>
                <w:b/>
                <w:bCs/>
                <w:color w:val="auto"/>
                <w:sz w:val="21"/>
                <w:szCs w:val="21"/>
              </w:rPr>
            </w:pPr>
            <w:r>
              <w:rPr>
                <w:rFonts w:hint="eastAsia"/>
                <w:b/>
                <w:bCs/>
                <w:color w:val="auto"/>
                <w:sz w:val="21"/>
                <w:szCs w:val="21"/>
              </w:rPr>
              <w:t>环保措施</w:t>
            </w:r>
          </w:p>
        </w:tc>
        <w:tc>
          <w:tcPr>
            <w:tcW w:w="2441" w:type="dxa"/>
            <w:vAlign w:val="center"/>
          </w:tcPr>
          <w:p>
            <w:pPr>
              <w:pStyle w:val="2"/>
              <w:spacing w:line="360" w:lineRule="exact"/>
              <w:jc w:val="center"/>
              <w:rPr>
                <w:b/>
                <w:bCs/>
                <w:color w:val="auto"/>
                <w:sz w:val="21"/>
                <w:szCs w:val="21"/>
              </w:rPr>
            </w:pPr>
            <w:r>
              <w:rPr>
                <w:rFonts w:hint="eastAsia"/>
                <w:b/>
                <w:bCs/>
                <w:color w:val="auto"/>
                <w:sz w:val="21"/>
                <w:szCs w:val="21"/>
              </w:rPr>
              <w:tab/>
            </w:r>
            <w:r>
              <w:rPr>
                <w:rFonts w:hint="eastAsia"/>
                <w:b/>
                <w:bCs/>
                <w:color w:val="auto"/>
                <w:sz w:val="21"/>
                <w:szCs w:val="21"/>
              </w:rPr>
              <w:t>执行标准</w:t>
            </w:r>
            <w:r>
              <w:rPr>
                <w:rFonts w:hint="eastAsia"/>
                <w:b/>
                <w:bCs/>
                <w:color w:val="auto"/>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restart"/>
            <w:vAlign w:val="center"/>
          </w:tcPr>
          <w:p>
            <w:pPr>
              <w:pStyle w:val="2"/>
              <w:spacing w:line="360" w:lineRule="exact"/>
              <w:jc w:val="center"/>
              <w:rPr>
                <w:color w:val="auto"/>
                <w:sz w:val="21"/>
                <w:szCs w:val="21"/>
              </w:rPr>
            </w:pPr>
            <w:r>
              <w:rPr>
                <w:rFonts w:hint="eastAsia"/>
                <w:color w:val="auto"/>
                <w:sz w:val="21"/>
                <w:szCs w:val="21"/>
              </w:rPr>
              <w:t>大气环境</w:t>
            </w:r>
          </w:p>
        </w:tc>
        <w:tc>
          <w:tcPr>
            <w:tcW w:w="1559" w:type="dxa"/>
            <w:vAlign w:val="center"/>
          </w:tcPr>
          <w:p>
            <w:pPr>
              <w:spacing w:line="360" w:lineRule="exact"/>
              <w:jc w:val="center"/>
              <w:rPr>
                <w:szCs w:val="21"/>
              </w:rPr>
            </w:pPr>
            <w:r>
              <w:rPr>
                <w:rFonts w:hint="eastAsia"/>
                <w:bCs/>
                <w:spacing w:val="-20"/>
                <w:szCs w:val="21"/>
              </w:rPr>
              <w:t>食堂</w:t>
            </w:r>
          </w:p>
        </w:tc>
        <w:tc>
          <w:tcPr>
            <w:tcW w:w="1843" w:type="dxa"/>
            <w:vAlign w:val="center"/>
          </w:tcPr>
          <w:p>
            <w:pPr>
              <w:spacing w:line="360" w:lineRule="exact"/>
              <w:jc w:val="center"/>
              <w:rPr>
                <w:szCs w:val="21"/>
              </w:rPr>
            </w:pPr>
            <w:r>
              <w:rPr>
                <w:rFonts w:hint="eastAsia"/>
                <w:bCs/>
                <w:szCs w:val="21"/>
              </w:rPr>
              <w:t>油烟</w:t>
            </w:r>
          </w:p>
        </w:tc>
        <w:tc>
          <w:tcPr>
            <w:tcW w:w="2126" w:type="dxa"/>
            <w:vAlign w:val="center"/>
          </w:tcPr>
          <w:p>
            <w:pPr>
              <w:adjustRightInd w:val="0"/>
              <w:spacing w:line="360" w:lineRule="exact"/>
              <w:jc w:val="center"/>
              <w:rPr>
                <w:szCs w:val="21"/>
              </w:rPr>
            </w:pPr>
            <w:r>
              <w:rPr>
                <w:rFonts w:hint="eastAsia"/>
                <w:szCs w:val="21"/>
              </w:rPr>
              <w:t>高效油烟净化器（2台），排气筒出口段长度不小于4.5倍直径平直管段</w:t>
            </w:r>
          </w:p>
        </w:tc>
        <w:tc>
          <w:tcPr>
            <w:tcW w:w="2441" w:type="dxa"/>
            <w:vAlign w:val="center"/>
          </w:tcPr>
          <w:p>
            <w:pPr>
              <w:spacing w:line="360" w:lineRule="exact"/>
              <w:jc w:val="center"/>
              <w:rPr>
                <w:szCs w:val="21"/>
              </w:rPr>
            </w:pPr>
            <w:r>
              <w:rPr>
                <w:rFonts w:hAnsi="宋体"/>
                <w:szCs w:val="21"/>
              </w:rPr>
              <w:t>《饮食业油烟排放标准》（</w:t>
            </w:r>
            <w:r>
              <w:rPr>
                <w:szCs w:val="21"/>
              </w:rPr>
              <w:t>GB18483-2001</w:t>
            </w:r>
            <w:r>
              <w:rPr>
                <w:rFonts w:hAnsi="宋体"/>
                <w:szCs w:val="21"/>
              </w:rPr>
              <w:t>）表</w:t>
            </w:r>
            <w:r>
              <w:rPr>
                <w:szCs w:val="21"/>
              </w:rPr>
              <w:t>2</w:t>
            </w:r>
            <w:r>
              <w:rPr>
                <w:rFonts w:hAnsi="宋体"/>
                <w:szCs w:val="21"/>
              </w:rPr>
              <w:t>小型标准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rFonts w:hint="eastAsia"/>
                <w:bCs/>
                <w:spacing w:val="-20"/>
                <w:szCs w:val="21"/>
              </w:rPr>
              <w:t>抛丸工序</w:t>
            </w:r>
          </w:p>
        </w:tc>
        <w:tc>
          <w:tcPr>
            <w:tcW w:w="1843" w:type="dxa"/>
            <w:vAlign w:val="center"/>
          </w:tcPr>
          <w:p>
            <w:pPr>
              <w:spacing w:line="360" w:lineRule="exact"/>
              <w:jc w:val="center"/>
              <w:rPr>
                <w:szCs w:val="21"/>
              </w:rPr>
            </w:pPr>
            <w:r>
              <w:rPr>
                <w:rFonts w:hint="eastAsia"/>
                <w:bCs/>
                <w:szCs w:val="21"/>
              </w:rPr>
              <w:t>颗粒物</w:t>
            </w:r>
          </w:p>
        </w:tc>
        <w:tc>
          <w:tcPr>
            <w:tcW w:w="2126" w:type="dxa"/>
            <w:vAlign w:val="center"/>
          </w:tcPr>
          <w:p>
            <w:pPr>
              <w:adjustRightInd w:val="0"/>
              <w:spacing w:line="360" w:lineRule="exact"/>
              <w:jc w:val="center"/>
              <w:rPr>
                <w:szCs w:val="21"/>
              </w:rPr>
            </w:pPr>
            <w:r>
              <w:rPr>
                <w:rFonts w:hint="eastAsia"/>
                <w:szCs w:val="21"/>
              </w:rPr>
              <w:t>10套布袋除尘器+1根15m高排气筒</w:t>
            </w:r>
          </w:p>
        </w:tc>
        <w:tc>
          <w:tcPr>
            <w:tcW w:w="2441" w:type="dxa"/>
            <w:vAlign w:val="center"/>
          </w:tcPr>
          <w:p>
            <w:pPr>
              <w:spacing w:line="360" w:lineRule="exact"/>
              <w:jc w:val="center"/>
              <w:rPr>
                <w:szCs w:val="21"/>
              </w:rPr>
            </w:pPr>
            <w:r>
              <w:rPr>
                <w:rFonts w:hint="eastAsia"/>
                <w:szCs w:val="21"/>
              </w:rPr>
              <w:t>《大气污染物综合排放标准》（GB16297-1996）表2其他行业限值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Merge w:val="restart"/>
            <w:vAlign w:val="center"/>
          </w:tcPr>
          <w:p>
            <w:pPr>
              <w:spacing w:line="360" w:lineRule="exact"/>
              <w:jc w:val="center"/>
              <w:rPr>
                <w:szCs w:val="21"/>
              </w:rPr>
            </w:pPr>
            <w:r>
              <w:rPr>
                <w:rFonts w:hint="eastAsia"/>
                <w:szCs w:val="21"/>
              </w:rPr>
              <w:t>焊接</w:t>
            </w:r>
            <w:r>
              <w:rPr>
                <w:rFonts w:hint="eastAsia"/>
                <w:bCs/>
                <w:spacing w:val="-20"/>
                <w:szCs w:val="21"/>
              </w:rPr>
              <w:t>工序</w:t>
            </w:r>
          </w:p>
        </w:tc>
        <w:tc>
          <w:tcPr>
            <w:tcW w:w="1843" w:type="dxa"/>
            <w:vAlign w:val="center"/>
          </w:tcPr>
          <w:p>
            <w:pPr>
              <w:spacing w:line="360" w:lineRule="exact"/>
              <w:jc w:val="center"/>
              <w:rPr>
                <w:szCs w:val="21"/>
              </w:rPr>
            </w:pPr>
            <w:r>
              <w:rPr>
                <w:rFonts w:hint="eastAsia"/>
                <w:bCs/>
                <w:szCs w:val="21"/>
              </w:rPr>
              <w:t>颗粒物</w:t>
            </w:r>
          </w:p>
        </w:tc>
        <w:tc>
          <w:tcPr>
            <w:tcW w:w="2126" w:type="dxa"/>
            <w:vAlign w:val="center"/>
          </w:tcPr>
          <w:p>
            <w:pPr>
              <w:spacing w:line="360" w:lineRule="exact"/>
              <w:jc w:val="center"/>
              <w:rPr>
                <w:szCs w:val="21"/>
              </w:rPr>
            </w:pPr>
            <w:r>
              <w:rPr>
                <w:rFonts w:hint="eastAsia"/>
                <w:szCs w:val="21"/>
              </w:rPr>
              <w:t>集气罩+2套袋式除尘器+2根15m高排气筒</w:t>
            </w:r>
          </w:p>
        </w:tc>
        <w:tc>
          <w:tcPr>
            <w:tcW w:w="2441" w:type="dxa"/>
            <w:vMerge w:val="restart"/>
            <w:vAlign w:val="center"/>
          </w:tcPr>
          <w:p>
            <w:pPr>
              <w:pStyle w:val="2"/>
              <w:spacing w:line="360" w:lineRule="exact"/>
              <w:jc w:val="center"/>
              <w:rPr>
                <w:color w:val="auto"/>
                <w:sz w:val="21"/>
                <w:szCs w:val="21"/>
              </w:rPr>
            </w:pPr>
            <w:r>
              <w:rPr>
                <w:rFonts w:hint="eastAsia"/>
                <w:color w:val="auto"/>
                <w:sz w:val="21"/>
                <w:szCs w:val="21"/>
              </w:rPr>
              <w:t>《大气污染物综合排放标准》（GB16297-1996）表2其他行业限值和无组织监控点浓度限值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Merge w:val="continue"/>
            <w:vAlign w:val="center"/>
          </w:tcPr>
          <w:p>
            <w:pPr>
              <w:pStyle w:val="2"/>
              <w:spacing w:line="360" w:lineRule="exact"/>
              <w:jc w:val="center"/>
              <w:rPr>
                <w:color w:val="auto"/>
                <w:sz w:val="21"/>
                <w:szCs w:val="21"/>
              </w:rPr>
            </w:pPr>
          </w:p>
        </w:tc>
        <w:tc>
          <w:tcPr>
            <w:tcW w:w="1843" w:type="dxa"/>
            <w:vAlign w:val="center"/>
          </w:tcPr>
          <w:p>
            <w:pPr>
              <w:spacing w:line="360" w:lineRule="exact"/>
              <w:jc w:val="center"/>
              <w:rPr>
                <w:bCs/>
                <w:szCs w:val="21"/>
              </w:rPr>
            </w:pPr>
            <w:r>
              <w:rPr>
                <w:rFonts w:hint="eastAsia"/>
                <w:bCs/>
                <w:szCs w:val="21"/>
              </w:rPr>
              <w:t>颗粒物（无组织）</w:t>
            </w:r>
          </w:p>
        </w:tc>
        <w:tc>
          <w:tcPr>
            <w:tcW w:w="2126" w:type="dxa"/>
            <w:vAlign w:val="center"/>
          </w:tcPr>
          <w:p>
            <w:pPr>
              <w:pStyle w:val="2"/>
              <w:spacing w:line="360" w:lineRule="exact"/>
              <w:jc w:val="center"/>
              <w:rPr>
                <w:sz w:val="21"/>
                <w:szCs w:val="21"/>
              </w:rPr>
            </w:pPr>
            <w:r>
              <w:rPr>
                <w:rFonts w:hint="eastAsia"/>
                <w:sz w:val="21"/>
                <w:szCs w:val="21"/>
              </w:rPr>
              <w:t>车间密闭</w:t>
            </w:r>
          </w:p>
        </w:tc>
        <w:tc>
          <w:tcPr>
            <w:tcW w:w="2441" w:type="dxa"/>
            <w:vMerge w:val="continue"/>
            <w:vAlign w:val="center"/>
          </w:tcPr>
          <w:p>
            <w:pPr>
              <w:pStyle w:val="2"/>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pStyle w:val="2"/>
              <w:spacing w:line="360" w:lineRule="exact"/>
              <w:jc w:val="center"/>
              <w:rPr>
                <w:color w:val="auto"/>
                <w:sz w:val="21"/>
                <w:szCs w:val="21"/>
              </w:rPr>
            </w:pPr>
            <w:r>
              <w:rPr>
                <w:rFonts w:hint="eastAsia"/>
                <w:szCs w:val="21"/>
              </w:rPr>
              <w:t>打磨</w:t>
            </w:r>
            <w:r>
              <w:rPr>
                <w:rFonts w:hint="eastAsia"/>
                <w:bCs/>
                <w:spacing w:val="-20"/>
                <w:szCs w:val="21"/>
              </w:rPr>
              <w:t>工序</w:t>
            </w:r>
          </w:p>
        </w:tc>
        <w:tc>
          <w:tcPr>
            <w:tcW w:w="1843" w:type="dxa"/>
            <w:vAlign w:val="center"/>
          </w:tcPr>
          <w:p>
            <w:pPr>
              <w:spacing w:line="360" w:lineRule="exact"/>
              <w:jc w:val="center"/>
              <w:rPr>
                <w:bCs/>
                <w:szCs w:val="21"/>
              </w:rPr>
            </w:pPr>
            <w:r>
              <w:rPr>
                <w:rFonts w:hint="eastAsia"/>
                <w:bCs/>
                <w:szCs w:val="21"/>
              </w:rPr>
              <w:t>颗粒物（无组织）</w:t>
            </w:r>
          </w:p>
        </w:tc>
        <w:tc>
          <w:tcPr>
            <w:tcW w:w="2126" w:type="dxa"/>
            <w:vAlign w:val="center"/>
          </w:tcPr>
          <w:p>
            <w:pPr>
              <w:pStyle w:val="2"/>
              <w:spacing w:line="360" w:lineRule="exact"/>
              <w:jc w:val="center"/>
              <w:rPr>
                <w:sz w:val="21"/>
                <w:szCs w:val="21"/>
              </w:rPr>
            </w:pPr>
            <w:r>
              <w:rPr>
                <w:rFonts w:hint="eastAsia"/>
                <w:sz w:val="21"/>
                <w:szCs w:val="21"/>
              </w:rPr>
              <w:t>车间密闭+移动式除尘器</w:t>
            </w:r>
          </w:p>
        </w:tc>
        <w:tc>
          <w:tcPr>
            <w:tcW w:w="2441" w:type="dxa"/>
            <w:vAlign w:val="center"/>
          </w:tcPr>
          <w:p>
            <w:pPr>
              <w:pStyle w:val="2"/>
              <w:spacing w:line="360" w:lineRule="exact"/>
              <w:jc w:val="center"/>
              <w:rPr>
                <w:color w:val="auto"/>
                <w:sz w:val="21"/>
                <w:szCs w:val="21"/>
              </w:rPr>
            </w:pPr>
            <w:r>
              <w:rPr>
                <w:rFonts w:hint="eastAsia"/>
                <w:color w:val="auto"/>
                <w:sz w:val="21"/>
                <w:szCs w:val="21"/>
              </w:rPr>
              <w:t>《大气污染物综合排放标准》（GB16297-1996）表2其他行业无组织监控点浓度限值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151" w:type="dxa"/>
            <w:vMerge w:val="continue"/>
            <w:vAlign w:val="center"/>
          </w:tcPr>
          <w:p>
            <w:pPr>
              <w:pStyle w:val="2"/>
              <w:spacing w:line="360" w:lineRule="exact"/>
              <w:jc w:val="center"/>
              <w:rPr>
                <w:color w:val="auto"/>
                <w:sz w:val="21"/>
                <w:szCs w:val="21"/>
              </w:rPr>
            </w:pPr>
          </w:p>
        </w:tc>
        <w:tc>
          <w:tcPr>
            <w:tcW w:w="1559" w:type="dxa"/>
            <w:vMerge w:val="restart"/>
            <w:vAlign w:val="center"/>
          </w:tcPr>
          <w:p>
            <w:pPr>
              <w:pStyle w:val="2"/>
              <w:spacing w:line="360" w:lineRule="exact"/>
              <w:jc w:val="center"/>
              <w:rPr>
                <w:color w:val="auto"/>
                <w:sz w:val="21"/>
                <w:szCs w:val="21"/>
              </w:rPr>
            </w:pPr>
            <w:r>
              <w:rPr>
                <w:rFonts w:hint="eastAsia"/>
                <w:color w:val="auto"/>
                <w:sz w:val="21"/>
                <w:szCs w:val="21"/>
              </w:rPr>
              <w:t>喷漆、烘干工序</w:t>
            </w:r>
          </w:p>
        </w:tc>
        <w:tc>
          <w:tcPr>
            <w:tcW w:w="1843" w:type="dxa"/>
            <w:vAlign w:val="center"/>
          </w:tcPr>
          <w:p>
            <w:pPr>
              <w:spacing w:line="360" w:lineRule="exact"/>
              <w:jc w:val="center"/>
              <w:rPr>
                <w:szCs w:val="21"/>
              </w:rPr>
            </w:pPr>
            <w:r>
              <w:rPr>
                <w:rFonts w:hint="eastAsia"/>
                <w:bCs/>
                <w:szCs w:val="21"/>
              </w:rPr>
              <w:t>颗粒物</w:t>
            </w:r>
          </w:p>
        </w:tc>
        <w:tc>
          <w:tcPr>
            <w:tcW w:w="2126" w:type="dxa"/>
            <w:vMerge w:val="restart"/>
            <w:vAlign w:val="center"/>
          </w:tcPr>
          <w:p>
            <w:pPr>
              <w:pStyle w:val="2"/>
              <w:spacing w:line="360" w:lineRule="exact"/>
              <w:jc w:val="center"/>
              <w:rPr>
                <w:color w:val="auto"/>
                <w:sz w:val="21"/>
                <w:szCs w:val="21"/>
              </w:rPr>
            </w:pPr>
            <w:r>
              <w:rPr>
                <w:rFonts w:hint="eastAsia"/>
                <w:color w:val="FF0000"/>
                <w:sz w:val="21"/>
                <w:szCs w:val="21"/>
              </w:rPr>
              <w:t>1套</w:t>
            </w:r>
            <w:r>
              <w:rPr>
                <w:rFonts w:hint="eastAsia"/>
                <w:color w:val="auto"/>
                <w:sz w:val="21"/>
                <w:szCs w:val="21"/>
              </w:rPr>
              <w:t>“水帘+催化燃烧” 装置+</w:t>
            </w:r>
            <w:r>
              <w:rPr>
                <w:rFonts w:hint="eastAsia"/>
                <w:sz w:val="21"/>
                <w:szCs w:val="21"/>
              </w:rPr>
              <w:t>1根15m高排气筒</w:t>
            </w:r>
          </w:p>
        </w:tc>
        <w:tc>
          <w:tcPr>
            <w:tcW w:w="2441" w:type="dxa"/>
            <w:vMerge w:val="restart"/>
            <w:vAlign w:val="center"/>
          </w:tcPr>
          <w:p>
            <w:pPr>
              <w:pStyle w:val="2"/>
              <w:spacing w:line="360" w:lineRule="exact"/>
              <w:jc w:val="center"/>
              <w:rPr>
                <w:color w:val="auto"/>
                <w:sz w:val="21"/>
                <w:szCs w:val="21"/>
              </w:rPr>
            </w:pPr>
            <w:r>
              <w:rPr>
                <w:rFonts w:hint="eastAsia"/>
                <w:color w:val="auto"/>
                <w:sz w:val="21"/>
                <w:szCs w:val="21"/>
              </w:rPr>
              <w:t>《大气污染物综合排放标准》（GB16297-1996）表2其他行业限值</w:t>
            </w:r>
            <w:r>
              <w:rPr>
                <w:rFonts w:hint="eastAsia"/>
                <w:sz w:val="21"/>
                <w:szCs w:val="21"/>
              </w:rPr>
              <w:t>和无组织监控点浓度限值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151" w:type="dxa"/>
            <w:vMerge w:val="continue"/>
            <w:vAlign w:val="center"/>
          </w:tcPr>
          <w:p>
            <w:pPr>
              <w:pStyle w:val="2"/>
              <w:spacing w:line="360" w:lineRule="exact"/>
              <w:jc w:val="center"/>
              <w:rPr>
                <w:color w:val="auto"/>
                <w:sz w:val="21"/>
                <w:szCs w:val="21"/>
              </w:rPr>
            </w:pPr>
          </w:p>
        </w:tc>
        <w:tc>
          <w:tcPr>
            <w:tcW w:w="1559" w:type="dxa"/>
            <w:vMerge w:val="continue"/>
            <w:vAlign w:val="center"/>
          </w:tcPr>
          <w:p>
            <w:pPr>
              <w:pStyle w:val="2"/>
              <w:spacing w:line="360" w:lineRule="exact"/>
              <w:jc w:val="center"/>
              <w:rPr>
                <w:color w:val="auto"/>
                <w:sz w:val="21"/>
                <w:szCs w:val="21"/>
              </w:rPr>
            </w:pPr>
          </w:p>
        </w:tc>
        <w:tc>
          <w:tcPr>
            <w:tcW w:w="1843" w:type="dxa"/>
            <w:vAlign w:val="center"/>
          </w:tcPr>
          <w:p>
            <w:pPr>
              <w:spacing w:line="360" w:lineRule="exact"/>
              <w:jc w:val="center"/>
              <w:rPr>
                <w:bCs/>
                <w:szCs w:val="21"/>
              </w:rPr>
            </w:pPr>
            <w:r>
              <w:rPr>
                <w:rFonts w:hint="eastAsia"/>
                <w:bCs/>
                <w:szCs w:val="21"/>
              </w:rPr>
              <w:t>非甲烷总烃</w:t>
            </w:r>
          </w:p>
        </w:tc>
        <w:tc>
          <w:tcPr>
            <w:tcW w:w="2126" w:type="dxa"/>
            <w:vMerge w:val="continue"/>
            <w:vAlign w:val="center"/>
          </w:tcPr>
          <w:p>
            <w:pPr>
              <w:pStyle w:val="2"/>
              <w:spacing w:line="360" w:lineRule="exact"/>
              <w:jc w:val="center"/>
              <w:rPr>
                <w:color w:val="auto"/>
                <w:sz w:val="21"/>
                <w:szCs w:val="21"/>
              </w:rPr>
            </w:pPr>
          </w:p>
        </w:tc>
        <w:tc>
          <w:tcPr>
            <w:tcW w:w="2441" w:type="dxa"/>
            <w:vMerge w:val="continue"/>
            <w:vAlign w:val="center"/>
          </w:tcPr>
          <w:p>
            <w:pPr>
              <w:pStyle w:val="2"/>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1151" w:type="dxa"/>
            <w:vMerge w:val="continue"/>
            <w:vAlign w:val="center"/>
          </w:tcPr>
          <w:p>
            <w:pPr>
              <w:pStyle w:val="2"/>
              <w:spacing w:line="360" w:lineRule="exact"/>
              <w:jc w:val="center"/>
              <w:rPr>
                <w:color w:val="auto"/>
                <w:sz w:val="21"/>
                <w:szCs w:val="21"/>
              </w:rPr>
            </w:pPr>
          </w:p>
        </w:tc>
        <w:tc>
          <w:tcPr>
            <w:tcW w:w="1559" w:type="dxa"/>
            <w:vMerge w:val="continue"/>
            <w:vAlign w:val="center"/>
          </w:tcPr>
          <w:p>
            <w:pPr>
              <w:pStyle w:val="2"/>
              <w:spacing w:line="360" w:lineRule="exact"/>
              <w:jc w:val="center"/>
              <w:rPr>
                <w:color w:val="auto"/>
                <w:sz w:val="21"/>
                <w:szCs w:val="21"/>
              </w:rPr>
            </w:pPr>
          </w:p>
        </w:tc>
        <w:tc>
          <w:tcPr>
            <w:tcW w:w="1843" w:type="dxa"/>
            <w:tcBorders>
              <w:bottom w:val="single" w:color="auto" w:sz="4" w:space="0"/>
            </w:tcBorders>
            <w:vAlign w:val="center"/>
          </w:tcPr>
          <w:p>
            <w:pPr>
              <w:spacing w:line="360" w:lineRule="exact"/>
              <w:jc w:val="center"/>
              <w:rPr>
                <w:bCs/>
                <w:szCs w:val="21"/>
              </w:rPr>
            </w:pPr>
            <w:r>
              <w:rPr>
                <w:rFonts w:hint="eastAsia"/>
                <w:bCs/>
                <w:szCs w:val="21"/>
              </w:rPr>
              <w:t>颗粒物（无组织）</w:t>
            </w:r>
          </w:p>
          <w:p>
            <w:pPr>
              <w:spacing w:line="360" w:lineRule="exact"/>
              <w:jc w:val="center"/>
              <w:rPr>
                <w:bCs/>
                <w:szCs w:val="21"/>
              </w:rPr>
            </w:pPr>
          </w:p>
        </w:tc>
        <w:tc>
          <w:tcPr>
            <w:tcW w:w="2126" w:type="dxa"/>
            <w:vMerge w:val="restart"/>
            <w:vAlign w:val="center"/>
          </w:tcPr>
          <w:p>
            <w:pPr>
              <w:pStyle w:val="2"/>
              <w:spacing w:line="360" w:lineRule="exact"/>
              <w:jc w:val="center"/>
              <w:rPr>
                <w:color w:val="auto"/>
                <w:sz w:val="21"/>
                <w:szCs w:val="21"/>
              </w:rPr>
            </w:pPr>
            <w:r>
              <w:rPr>
                <w:rFonts w:hint="eastAsia"/>
                <w:sz w:val="21"/>
                <w:szCs w:val="21"/>
              </w:rPr>
              <w:t>车间密闭</w:t>
            </w:r>
          </w:p>
        </w:tc>
        <w:tc>
          <w:tcPr>
            <w:tcW w:w="2441" w:type="dxa"/>
            <w:vMerge w:val="restart"/>
            <w:vAlign w:val="center"/>
          </w:tcPr>
          <w:p>
            <w:pPr>
              <w:pStyle w:val="2"/>
              <w:spacing w:line="360" w:lineRule="exact"/>
              <w:jc w:val="center"/>
              <w:rPr>
                <w:color w:val="auto"/>
                <w:sz w:val="21"/>
                <w:szCs w:val="21"/>
              </w:rPr>
            </w:pPr>
            <w:r>
              <w:rPr>
                <w:rFonts w:hint="eastAsia"/>
                <w:color w:val="000000" w:themeColor="text1"/>
                <w:sz w:val="21"/>
                <w:szCs w:val="21"/>
              </w:rPr>
              <w:t>《</w:t>
            </w:r>
            <w:r>
              <w:rPr>
                <w:color w:val="000000" w:themeColor="text1"/>
                <w:sz w:val="21"/>
                <w:szCs w:val="21"/>
              </w:rPr>
              <w:t>工业企业挥发性有机物排放控制标准》（DB13/2322-2016）表1中“</w:t>
            </w:r>
            <w:r>
              <w:rPr>
                <w:rFonts w:hint="eastAsia"/>
                <w:color w:val="000000" w:themeColor="text1"/>
                <w:sz w:val="21"/>
                <w:szCs w:val="21"/>
              </w:rPr>
              <w:t>表面涂装</w:t>
            </w:r>
            <w:r>
              <w:rPr>
                <w:color w:val="000000" w:themeColor="text1"/>
                <w:sz w:val="21"/>
                <w:szCs w:val="21"/>
              </w:rPr>
              <w:t>业”</w:t>
            </w:r>
            <w:r>
              <w:rPr>
                <w:rFonts w:hint="eastAsia"/>
                <w:color w:val="000000" w:themeColor="text1"/>
                <w:sz w:val="21"/>
                <w:szCs w:val="21"/>
              </w:rPr>
              <w:t>有机废气排放品</w:t>
            </w:r>
            <w:r>
              <w:rPr>
                <w:color w:val="000000" w:themeColor="text1"/>
                <w:sz w:val="21"/>
                <w:szCs w:val="21"/>
              </w:rPr>
              <w:t>限值</w:t>
            </w:r>
            <w:r>
              <w:rPr>
                <w:rFonts w:hint="eastAsia"/>
                <w:sz w:val="21"/>
                <w:szCs w:val="21"/>
              </w:rPr>
              <w:t>及表2中“其他企业”的边界大气污染物浓度限值及</w:t>
            </w:r>
            <w:r>
              <w:rPr>
                <w:color w:val="auto"/>
                <w:sz w:val="21"/>
                <w:szCs w:val="21"/>
              </w:rPr>
              <w:t>《挥发性有机物无组织排放控制标准》（GB37822-2019）表A.1厂区内VOCs无组织排放限值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trPr>
        <w:tc>
          <w:tcPr>
            <w:tcW w:w="1151" w:type="dxa"/>
            <w:vMerge w:val="continue"/>
            <w:tcBorders>
              <w:bottom w:val="single" w:color="auto" w:sz="4" w:space="0"/>
            </w:tcBorders>
            <w:vAlign w:val="center"/>
          </w:tcPr>
          <w:p>
            <w:pPr>
              <w:pStyle w:val="2"/>
              <w:spacing w:line="360" w:lineRule="exact"/>
              <w:jc w:val="center"/>
              <w:rPr>
                <w:color w:val="auto"/>
                <w:sz w:val="21"/>
                <w:szCs w:val="21"/>
              </w:rPr>
            </w:pPr>
          </w:p>
        </w:tc>
        <w:tc>
          <w:tcPr>
            <w:tcW w:w="1559" w:type="dxa"/>
            <w:vMerge w:val="continue"/>
            <w:tcBorders>
              <w:bottom w:val="single" w:color="auto" w:sz="4" w:space="0"/>
            </w:tcBorders>
            <w:vAlign w:val="center"/>
          </w:tcPr>
          <w:p>
            <w:pPr>
              <w:pStyle w:val="2"/>
              <w:spacing w:line="360" w:lineRule="exact"/>
              <w:jc w:val="center"/>
              <w:rPr>
                <w:color w:val="auto"/>
                <w:sz w:val="21"/>
                <w:szCs w:val="21"/>
              </w:rPr>
            </w:pPr>
          </w:p>
        </w:tc>
        <w:tc>
          <w:tcPr>
            <w:tcW w:w="1843" w:type="dxa"/>
            <w:tcBorders>
              <w:bottom w:val="single" w:color="auto" w:sz="4" w:space="0"/>
            </w:tcBorders>
            <w:vAlign w:val="center"/>
          </w:tcPr>
          <w:p>
            <w:pPr>
              <w:spacing w:line="360" w:lineRule="exact"/>
              <w:jc w:val="center"/>
              <w:rPr>
                <w:bCs/>
                <w:szCs w:val="21"/>
              </w:rPr>
            </w:pPr>
            <w:r>
              <w:rPr>
                <w:rFonts w:hint="eastAsia"/>
                <w:bCs/>
                <w:szCs w:val="21"/>
              </w:rPr>
              <w:t>非甲烷总烃</w:t>
            </w:r>
          </w:p>
          <w:p>
            <w:pPr>
              <w:spacing w:line="360" w:lineRule="exact"/>
              <w:jc w:val="center"/>
              <w:rPr>
                <w:bCs/>
                <w:szCs w:val="21"/>
              </w:rPr>
            </w:pPr>
            <w:r>
              <w:rPr>
                <w:rFonts w:hint="eastAsia"/>
                <w:bCs/>
                <w:szCs w:val="21"/>
              </w:rPr>
              <w:t>（无组织）</w:t>
            </w:r>
          </w:p>
        </w:tc>
        <w:tc>
          <w:tcPr>
            <w:tcW w:w="2126" w:type="dxa"/>
            <w:vMerge w:val="continue"/>
            <w:tcBorders>
              <w:bottom w:val="single" w:color="auto" w:sz="4" w:space="0"/>
            </w:tcBorders>
            <w:vAlign w:val="center"/>
          </w:tcPr>
          <w:p>
            <w:pPr>
              <w:pStyle w:val="2"/>
              <w:spacing w:line="360" w:lineRule="exact"/>
              <w:jc w:val="center"/>
              <w:rPr>
                <w:color w:val="auto"/>
                <w:sz w:val="21"/>
                <w:szCs w:val="21"/>
              </w:rPr>
            </w:pPr>
          </w:p>
        </w:tc>
        <w:tc>
          <w:tcPr>
            <w:tcW w:w="2441" w:type="dxa"/>
            <w:vMerge w:val="continue"/>
            <w:tcBorders>
              <w:bottom w:val="single" w:color="auto" w:sz="4" w:space="0"/>
            </w:tcBorders>
            <w:vAlign w:val="center"/>
          </w:tcPr>
          <w:p>
            <w:pPr>
              <w:pStyle w:val="2"/>
              <w:spacing w:line="360" w:lineRule="exact"/>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Align w:val="center"/>
          </w:tcPr>
          <w:p>
            <w:pPr>
              <w:pStyle w:val="2"/>
              <w:spacing w:line="360" w:lineRule="exact"/>
              <w:jc w:val="center"/>
              <w:rPr>
                <w:color w:val="auto"/>
                <w:sz w:val="21"/>
                <w:szCs w:val="21"/>
              </w:rPr>
            </w:pPr>
            <w:r>
              <w:rPr>
                <w:rFonts w:hint="eastAsia"/>
                <w:color w:val="auto"/>
                <w:sz w:val="21"/>
                <w:szCs w:val="21"/>
              </w:rPr>
              <w:t>地表水环境</w:t>
            </w:r>
          </w:p>
        </w:tc>
        <w:tc>
          <w:tcPr>
            <w:tcW w:w="1559" w:type="dxa"/>
            <w:tcBorders>
              <w:bottom w:val="single" w:color="auto" w:sz="4" w:space="0"/>
            </w:tcBorders>
            <w:vAlign w:val="center"/>
          </w:tcPr>
          <w:p>
            <w:pPr>
              <w:pStyle w:val="2"/>
              <w:spacing w:line="360" w:lineRule="exact"/>
              <w:jc w:val="center"/>
              <w:rPr>
                <w:color w:val="auto"/>
                <w:sz w:val="21"/>
                <w:szCs w:val="21"/>
              </w:rPr>
            </w:pPr>
            <w:r>
              <w:rPr>
                <w:rFonts w:hint="eastAsia"/>
                <w:color w:val="auto"/>
                <w:sz w:val="21"/>
                <w:szCs w:val="21"/>
              </w:rPr>
              <w:t>生活废水</w:t>
            </w:r>
          </w:p>
        </w:tc>
        <w:tc>
          <w:tcPr>
            <w:tcW w:w="1843" w:type="dxa"/>
            <w:tcBorders>
              <w:bottom w:val="single" w:color="auto" w:sz="4" w:space="0"/>
            </w:tcBorders>
            <w:vAlign w:val="center"/>
          </w:tcPr>
          <w:p>
            <w:pPr>
              <w:spacing w:line="360" w:lineRule="exact"/>
              <w:jc w:val="center"/>
              <w:rPr>
                <w:szCs w:val="21"/>
              </w:rPr>
            </w:pPr>
            <w:r>
              <w:rPr>
                <w:szCs w:val="21"/>
              </w:rPr>
              <w:t>COD</w:t>
            </w:r>
          </w:p>
          <w:p>
            <w:pPr>
              <w:spacing w:line="360" w:lineRule="exact"/>
              <w:jc w:val="center"/>
              <w:rPr>
                <w:szCs w:val="21"/>
              </w:rPr>
            </w:pPr>
            <w:r>
              <w:rPr>
                <w:rFonts w:hint="eastAsia"/>
                <w:szCs w:val="21"/>
              </w:rPr>
              <w:t>BOD</w:t>
            </w:r>
            <w:r>
              <w:rPr>
                <w:rFonts w:hint="eastAsia"/>
                <w:szCs w:val="21"/>
                <w:vertAlign w:val="subscript"/>
              </w:rPr>
              <w:t>5</w:t>
            </w:r>
          </w:p>
          <w:p>
            <w:pPr>
              <w:spacing w:line="360" w:lineRule="exact"/>
              <w:jc w:val="center"/>
              <w:rPr>
                <w:szCs w:val="21"/>
              </w:rPr>
            </w:pPr>
            <w:r>
              <w:rPr>
                <w:rFonts w:hint="eastAsia"/>
                <w:szCs w:val="21"/>
              </w:rPr>
              <w:t>SS</w:t>
            </w:r>
          </w:p>
          <w:p>
            <w:pPr>
              <w:spacing w:line="360" w:lineRule="exact"/>
              <w:jc w:val="center"/>
              <w:rPr>
                <w:szCs w:val="21"/>
              </w:rPr>
            </w:pPr>
            <w:r>
              <w:rPr>
                <w:rFonts w:hint="eastAsia"/>
                <w:szCs w:val="21"/>
              </w:rPr>
              <w:t>氨氮</w:t>
            </w:r>
          </w:p>
          <w:p>
            <w:pPr>
              <w:pStyle w:val="3"/>
              <w:keepNext w:val="0"/>
              <w:spacing w:line="360" w:lineRule="exact"/>
              <w:rPr>
                <w:sz w:val="21"/>
                <w:szCs w:val="21"/>
              </w:rPr>
            </w:pPr>
            <w:r>
              <w:rPr>
                <w:rFonts w:hint="eastAsia"/>
                <w:sz w:val="21"/>
                <w:szCs w:val="21"/>
              </w:rPr>
              <w:t>动植物油</w:t>
            </w:r>
          </w:p>
          <w:p>
            <w:pPr>
              <w:spacing w:line="360" w:lineRule="exact"/>
              <w:jc w:val="center"/>
              <w:rPr>
                <w:szCs w:val="21"/>
              </w:rPr>
            </w:pPr>
            <w:r>
              <w:rPr>
                <w:rFonts w:hint="eastAsia"/>
                <w:szCs w:val="21"/>
              </w:rPr>
              <w:t>LAS</w:t>
            </w:r>
          </w:p>
        </w:tc>
        <w:tc>
          <w:tcPr>
            <w:tcW w:w="2126" w:type="dxa"/>
            <w:tcBorders>
              <w:bottom w:val="single" w:color="auto" w:sz="4" w:space="0"/>
            </w:tcBorders>
            <w:vAlign w:val="center"/>
          </w:tcPr>
          <w:p>
            <w:pPr>
              <w:spacing w:line="360" w:lineRule="exact"/>
              <w:jc w:val="center"/>
              <w:rPr>
                <w:szCs w:val="21"/>
              </w:rPr>
            </w:pPr>
            <w:r>
              <w:rPr>
                <w:rFonts w:hint="eastAsia"/>
                <w:szCs w:val="21"/>
              </w:rPr>
              <w:t>隔油池+化粪池</w:t>
            </w:r>
          </w:p>
        </w:tc>
        <w:tc>
          <w:tcPr>
            <w:tcW w:w="2441" w:type="dxa"/>
            <w:vAlign w:val="center"/>
          </w:tcPr>
          <w:p>
            <w:pPr>
              <w:spacing w:line="360" w:lineRule="exact"/>
              <w:jc w:val="center"/>
              <w:rPr>
                <w:szCs w:val="21"/>
              </w:rPr>
            </w:pPr>
            <w:r>
              <w:rPr>
                <w:rFonts w:ascii="宋体" w:hAnsi="宋体"/>
                <w:szCs w:val="21"/>
              </w:rPr>
              <w:t>《污水综合排放标准》（</w:t>
            </w:r>
            <w:r>
              <w:rPr>
                <w:szCs w:val="21"/>
              </w:rPr>
              <w:t>GB8978-1996</w:t>
            </w:r>
            <w:r>
              <w:rPr>
                <w:rFonts w:ascii="宋体" w:hAnsi="宋体"/>
                <w:szCs w:val="21"/>
              </w:rPr>
              <w:t>）表</w:t>
            </w:r>
            <w:r>
              <w:rPr>
                <w:szCs w:val="21"/>
              </w:rPr>
              <w:t>4</w:t>
            </w:r>
            <w:r>
              <w:rPr>
                <w:rFonts w:ascii="宋体" w:hAnsi="宋体"/>
                <w:szCs w:val="21"/>
              </w:rPr>
              <w:t>中三级标准同时满足</w:t>
            </w:r>
            <w:r>
              <w:rPr>
                <w:rFonts w:hint="eastAsia" w:hAnsi="宋体"/>
                <w:szCs w:val="21"/>
              </w:rPr>
              <w:t>魏县开发区污水处理厂</w:t>
            </w:r>
            <w:r>
              <w:rPr>
                <w:rFonts w:hAnsi="宋体"/>
                <w:szCs w:val="21"/>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Align w:val="center"/>
          </w:tcPr>
          <w:p>
            <w:pPr>
              <w:pStyle w:val="2"/>
              <w:spacing w:line="360" w:lineRule="exact"/>
              <w:jc w:val="center"/>
              <w:rPr>
                <w:color w:val="auto"/>
                <w:sz w:val="21"/>
                <w:szCs w:val="21"/>
              </w:rPr>
            </w:pPr>
            <w:r>
              <w:rPr>
                <w:rFonts w:hint="eastAsia"/>
                <w:color w:val="auto"/>
                <w:sz w:val="21"/>
                <w:szCs w:val="21"/>
              </w:rPr>
              <w:t>声环境</w:t>
            </w:r>
          </w:p>
        </w:tc>
        <w:tc>
          <w:tcPr>
            <w:tcW w:w="1559" w:type="dxa"/>
            <w:tcBorders>
              <w:bottom w:val="single" w:color="auto" w:sz="4" w:space="0"/>
            </w:tcBorders>
            <w:vAlign w:val="center"/>
          </w:tcPr>
          <w:p>
            <w:pPr>
              <w:pStyle w:val="2"/>
              <w:spacing w:line="360" w:lineRule="exact"/>
              <w:jc w:val="center"/>
              <w:rPr>
                <w:color w:val="auto"/>
                <w:sz w:val="21"/>
                <w:szCs w:val="21"/>
              </w:rPr>
            </w:pPr>
            <w:r>
              <w:rPr>
                <w:rFonts w:ascii="Calibri"/>
                <w:color w:val="auto"/>
                <w:sz w:val="21"/>
                <w:szCs w:val="21"/>
              </w:rPr>
              <w:t>设备噪声</w:t>
            </w:r>
          </w:p>
        </w:tc>
        <w:tc>
          <w:tcPr>
            <w:tcW w:w="1843" w:type="dxa"/>
            <w:tcBorders>
              <w:bottom w:val="single" w:color="auto" w:sz="4" w:space="0"/>
            </w:tcBorders>
            <w:vAlign w:val="center"/>
          </w:tcPr>
          <w:p>
            <w:pPr>
              <w:pStyle w:val="2"/>
              <w:spacing w:line="360" w:lineRule="exact"/>
              <w:jc w:val="center"/>
              <w:rPr>
                <w:rFonts w:ascii="Calibri"/>
                <w:color w:val="auto"/>
                <w:sz w:val="21"/>
                <w:szCs w:val="21"/>
              </w:rPr>
            </w:pPr>
            <w:r>
              <w:rPr>
                <w:rFonts w:hint="eastAsia"/>
                <w:sz w:val="21"/>
                <w:szCs w:val="21"/>
              </w:rPr>
              <w:t>Leq(A)</w:t>
            </w:r>
          </w:p>
        </w:tc>
        <w:tc>
          <w:tcPr>
            <w:tcW w:w="2126" w:type="dxa"/>
            <w:tcBorders>
              <w:bottom w:val="single" w:color="auto" w:sz="4" w:space="0"/>
            </w:tcBorders>
            <w:vAlign w:val="center"/>
          </w:tcPr>
          <w:p>
            <w:pPr>
              <w:pStyle w:val="2"/>
              <w:spacing w:line="360" w:lineRule="exact"/>
              <w:jc w:val="both"/>
              <w:rPr>
                <w:rFonts w:ascii="Calibri"/>
                <w:color w:val="auto"/>
                <w:sz w:val="21"/>
                <w:szCs w:val="21"/>
              </w:rPr>
            </w:pPr>
            <w:r>
              <w:rPr>
                <w:rFonts w:ascii="Calibri"/>
                <w:color w:val="auto"/>
                <w:sz w:val="21"/>
                <w:szCs w:val="21"/>
              </w:rPr>
              <w:t>选用低噪声设备</w:t>
            </w:r>
            <w:r>
              <w:rPr>
                <w:rFonts w:hint="eastAsia" w:ascii="Calibri"/>
                <w:color w:val="auto"/>
                <w:sz w:val="21"/>
                <w:szCs w:val="21"/>
              </w:rPr>
              <w:t>+</w:t>
            </w:r>
            <w:r>
              <w:rPr>
                <w:rFonts w:ascii="Calibri"/>
                <w:color w:val="auto"/>
                <w:sz w:val="21"/>
                <w:szCs w:val="21"/>
              </w:rPr>
              <w:t>基础减振</w:t>
            </w:r>
            <w:r>
              <w:rPr>
                <w:rFonts w:hint="eastAsia" w:ascii="Calibri"/>
                <w:color w:val="auto"/>
                <w:sz w:val="21"/>
                <w:szCs w:val="21"/>
              </w:rPr>
              <w:t>+厂房隔声</w:t>
            </w:r>
          </w:p>
        </w:tc>
        <w:tc>
          <w:tcPr>
            <w:tcW w:w="2441" w:type="dxa"/>
            <w:tcBorders>
              <w:bottom w:val="single" w:color="auto" w:sz="4" w:space="0"/>
            </w:tcBorders>
            <w:vAlign w:val="center"/>
          </w:tcPr>
          <w:p>
            <w:pPr>
              <w:pStyle w:val="2"/>
              <w:spacing w:line="360" w:lineRule="exact"/>
              <w:jc w:val="center"/>
              <w:rPr>
                <w:rFonts w:ascii="Calibri"/>
                <w:color w:val="auto"/>
                <w:sz w:val="21"/>
                <w:szCs w:val="21"/>
              </w:rPr>
            </w:pPr>
            <w:r>
              <w:rPr>
                <w:rFonts w:hint="eastAsia" w:ascii="Calibri"/>
                <w:color w:val="auto"/>
                <w:sz w:val="21"/>
                <w:szCs w:val="21"/>
              </w:rPr>
              <w:t>满足《工业企业厂界环境噪声排放标准》（GB12348-2008）3类标准要求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Align w:val="center"/>
          </w:tcPr>
          <w:p>
            <w:pPr>
              <w:pStyle w:val="2"/>
              <w:spacing w:line="360" w:lineRule="exact"/>
              <w:jc w:val="center"/>
              <w:rPr>
                <w:color w:val="auto"/>
                <w:sz w:val="21"/>
                <w:szCs w:val="21"/>
              </w:rPr>
            </w:pPr>
            <w:r>
              <w:rPr>
                <w:rFonts w:hint="eastAsia"/>
                <w:color w:val="auto"/>
                <w:sz w:val="21"/>
                <w:szCs w:val="21"/>
              </w:rPr>
              <w:t>电磁辐射</w:t>
            </w:r>
          </w:p>
        </w:tc>
        <w:tc>
          <w:tcPr>
            <w:tcW w:w="1559" w:type="dxa"/>
            <w:tcBorders>
              <w:bottom w:val="single" w:color="auto" w:sz="4" w:space="0"/>
            </w:tcBorders>
            <w:vAlign w:val="center"/>
          </w:tcPr>
          <w:p>
            <w:pPr>
              <w:pStyle w:val="2"/>
              <w:spacing w:line="360" w:lineRule="exact"/>
              <w:jc w:val="center"/>
              <w:rPr>
                <w:color w:val="auto"/>
                <w:sz w:val="21"/>
                <w:szCs w:val="21"/>
              </w:rPr>
            </w:pPr>
            <w:r>
              <w:rPr>
                <w:rFonts w:hint="eastAsia"/>
                <w:color w:val="auto"/>
                <w:sz w:val="21"/>
                <w:szCs w:val="21"/>
              </w:rPr>
              <w:t>/</w:t>
            </w:r>
          </w:p>
        </w:tc>
        <w:tc>
          <w:tcPr>
            <w:tcW w:w="1843" w:type="dxa"/>
            <w:tcBorders>
              <w:bottom w:val="single" w:color="auto" w:sz="4" w:space="0"/>
            </w:tcBorders>
            <w:vAlign w:val="center"/>
          </w:tcPr>
          <w:p>
            <w:pPr>
              <w:pStyle w:val="2"/>
              <w:spacing w:line="360" w:lineRule="exact"/>
              <w:jc w:val="center"/>
              <w:rPr>
                <w:color w:val="auto"/>
                <w:sz w:val="21"/>
                <w:szCs w:val="21"/>
              </w:rPr>
            </w:pPr>
            <w:r>
              <w:rPr>
                <w:rFonts w:hint="eastAsia"/>
                <w:color w:val="auto"/>
                <w:sz w:val="21"/>
                <w:szCs w:val="21"/>
              </w:rPr>
              <w:t>/</w:t>
            </w:r>
          </w:p>
        </w:tc>
        <w:tc>
          <w:tcPr>
            <w:tcW w:w="2126" w:type="dxa"/>
            <w:tcBorders>
              <w:bottom w:val="single" w:color="auto" w:sz="4" w:space="0"/>
            </w:tcBorders>
            <w:vAlign w:val="center"/>
          </w:tcPr>
          <w:p>
            <w:pPr>
              <w:pStyle w:val="2"/>
              <w:spacing w:line="360" w:lineRule="exact"/>
              <w:jc w:val="center"/>
              <w:rPr>
                <w:color w:val="auto"/>
                <w:sz w:val="21"/>
                <w:szCs w:val="21"/>
              </w:rPr>
            </w:pPr>
            <w:r>
              <w:rPr>
                <w:rFonts w:hint="eastAsia"/>
                <w:color w:val="auto"/>
                <w:sz w:val="21"/>
                <w:szCs w:val="21"/>
              </w:rPr>
              <w:t>/</w:t>
            </w:r>
          </w:p>
        </w:tc>
        <w:tc>
          <w:tcPr>
            <w:tcW w:w="2441" w:type="dxa"/>
            <w:vAlign w:val="center"/>
          </w:tcPr>
          <w:p>
            <w:pPr>
              <w:pStyle w:val="2"/>
              <w:spacing w:line="360" w:lineRule="exact"/>
              <w:jc w:val="center"/>
              <w:rPr>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restart"/>
            <w:vAlign w:val="center"/>
          </w:tcPr>
          <w:p>
            <w:pPr>
              <w:pStyle w:val="2"/>
              <w:spacing w:line="360" w:lineRule="exact"/>
              <w:jc w:val="center"/>
              <w:rPr>
                <w:color w:val="auto"/>
                <w:sz w:val="21"/>
                <w:szCs w:val="21"/>
              </w:rPr>
            </w:pPr>
            <w:r>
              <w:rPr>
                <w:rFonts w:hint="eastAsia"/>
                <w:color w:val="auto"/>
                <w:sz w:val="21"/>
                <w:szCs w:val="21"/>
              </w:rPr>
              <w:t>固体废物</w:t>
            </w:r>
          </w:p>
        </w:tc>
        <w:tc>
          <w:tcPr>
            <w:tcW w:w="1559" w:type="dxa"/>
            <w:vAlign w:val="center"/>
          </w:tcPr>
          <w:p>
            <w:pPr>
              <w:spacing w:line="360" w:lineRule="exact"/>
              <w:jc w:val="center"/>
              <w:rPr>
                <w:szCs w:val="21"/>
              </w:rPr>
            </w:pPr>
            <w:r>
              <w:rPr>
                <w:szCs w:val="21"/>
              </w:rPr>
              <w:t>焊接</w:t>
            </w:r>
          </w:p>
        </w:tc>
        <w:tc>
          <w:tcPr>
            <w:tcW w:w="1843" w:type="dxa"/>
            <w:vAlign w:val="center"/>
          </w:tcPr>
          <w:p>
            <w:pPr>
              <w:spacing w:line="360" w:lineRule="exact"/>
              <w:jc w:val="center"/>
              <w:rPr>
                <w:szCs w:val="21"/>
              </w:rPr>
            </w:pPr>
            <w:r>
              <w:rPr>
                <w:szCs w:val="21"/>
              </w:rPr>
              <w:t>焊渣</w:t>
            </w:r>
          </w:p>
        </w:tc>
        <w:tc>
          <w:tcPr>
            <w:tcW w:w="2126" w:type="dxa"/>
            <w:vMerge w:val="restart"/>
            <w:vAlign w:val="center"/>
          </w:tcPr>
          <w:p>
            <w:pPr>
              <w:spacing w:line="360" w:lineRule="exact"/>
              <w:jc w:val="center"/>
              <w:rPr>
                <w:szCs w:val="21"/>
              </w:rPr>
            </w:pPr>
            <w:r>
              <w:rPr>
                <w:rFonts w:hint="eastAsia"/>
                <w:szCs w:val="21"/>
              </w:rPr>
              <w:t>外售</w:t>
            </w:r>
          </w:p>
        </w:tc>
        <w:tc>
          <w:tcPr>
            <w:tcW w:w="2441" w:type="dxa"/>
            <w:vMerge w:val="restart"/>
            <w:vAlign w:val="center"/>
          </w:tcPr>
          <w:p>
            <w:pPr>
              <w:spacing w:line="360" w:lineRule="exact"/>
              <w:jc w:val="center"/>
              <w:rPr>
                <w:szCs w:val="21"/>
              </w:rPr>
            </w:pPr>
            <w:r>
              <w:rPr>
                <w:rFonts w:hint="eastAsia"/>
                <w:szCs w:val="21"/>
              </w:rPr>
              <w:t>全部合理处置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szCs w:val="21"/>
              </w:rPr>
              <w:t>除尘器</w:t>
            </w:r>
          </w:p>
        </w:tc>
        <w:tc>
          <w:tcPr>
            <w:tcW w:w="1843" w:type="dxa"/>
            <w:vAlign w:val="center"/>
          </w:tcPr>
          <w:p>
            <w:pPr>
              <w:spacing w:line="360" w:lineRule="exact"/>
              <w:jc w:val="center"/>
              <w:rPr>
                <w:szCs w:val="21"/>
              </w:rPr>
            </w:pPr>
            <w:r>
              <w:rPr>
                <w:szCs w:val="21"/>
              </w:rPr>
              <w:t>除尘灰</w:t>
            </w:r>
          </w:p>
        </w:tc>
        <w:tc>
          <w:tcPr>
            <w:tcW w:w="2126" w:type="dxa"/>
            <w:vMerge w:val="continue"/>
            <w:vAlign w:val="center"/>
          </w:tcPr>
          <w:p>
            <w:pPr>
              <w:spacing w:line="360" w:lineRule="exact"/>
              <w:jc w:val="center"/>
              <w:rPr>
                <w:szCs w:val="21"/>
              </w:rPr>
            </w:pP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szCs w:val="21"/>
              </w:rPr>
              <w:t>切割</w:t>
            </w:r>
            <w:r>
              <w:rPr>
                <w:rFonts w:hint="eastAsia"/>
                <w:szCs w:val="21"/>
              </w:rPr>
              <w:t>、机加工</w:t>
            </w:r>
          </w:p>
        </w:tc>
        <w:tc>
          <w:tcPr>
            <w:tcW w:w="1843" w:type="dxa"/>
            <w:vAlign w:val="center"/>
          </w:tcPr>
          <w:p>
            <w:pPr>
              <w:spacing w:line="360" w:lineRule="exact"/>
              <w:jc w:val="center"/>
              <w:rPr>
                <w:szCs w:val="21"/>
              </w:rPr>
            </w:pPr>
            <w:r>
              <w:rPr>
                <w:szCs w:val="21"/>
              </w:rPr>
              <w:t>边角料</w:t>
            </w:r>
            <w:r>
              <w:rPr>
                <w:rFonts w:hint="eastAsia"/>
                <w:szCs w:val="21"/>
              </w:rPr>
              <w:t>、金属废料</w:t>
            </w:r>
          </w:p>
        </w:tc>
        <w:tc>
          <w:tcPr>
            <w:tcW w:w="2126" w:type="dxa"/>
            <w:vMerge w:val="continue"/>
            <w:vAlign w:val="center"/>
          </w:tcPr>
          <w:p>
            <w:pPr>
              <w:spacing w:line="360" w:lineRule="exact"/>
              <w:jc w:val="center"/>
              <w:rPr>
                <w:szCs w:val="21"/>
              </w:rPr>
            </w:pP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rFonts w:hint="eastAsia"/>
                <w:szCs w:val="21"/>
              </w:rPr>
              <w:t>机加工</w:t>
            </w:r>
          </w:p>
        </w:tc>
        <w:tc>
          <w:tcPr>
            <w:tcW w:w="1843" w:type="dxa"/>
            <w:vAlign w:val="center"/>
          </w:tcPr>
          <w:p>
            <w:pPr>
              <w:spacing w:line="360" w:lineRule="exact"/>
              <w:jc w:val="center"/>
              <w:rPr>
                <w:szCs w:val="21"/>
              </w:rPr>
            </w:pPr>
            <w:r>
              <w:rPr>
                <w:rFonts w:hint="eastAsia"/>
                <w:szCs w:val="21"/>
              </w:rPr>
              <w:t>废切削液</w:t>
            </w:r>
          </w:p>
        </w:tc>
        <w:tc>
          <w:tcPr>
            <w:tcW w:w="2126" w:type="dxa"/>
            <w:vMerge w:val="restart"/>
            <w:vAlign w:val="center"/>
          </w:tcPr>
          <w:p>
            <w:pPr>
              <w:spacing w:line="360" w:lineRule="exact"/>
              <w:jc w:val="center"/>
              <w:rPr>
                <w:szCs w:val="21"/>
              </w:rPr>
            </w:pPr>
            <w:r>
              <w:rPr>
                <w:rFonts w:hint="eastAsia"/>
                <w:szCs w:val="21"/>
              </w:rPr>
              <w:t>委托</w:t>
            </w:r>
            <w:r>
              <w:rPr>
                <w:szCs w:val="21"/>
              </w:rPr>
              <w:t>资质单位处置</w:t>
            </w: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rFonts w:hint="eastAsia"/>
                <w:szCs w:val="21"/>
              </w:rPr>
              <w:t>液压设备</w:t>
            </w:r>
          </w:p>
        </w:tc>
        <w:tc>
          <w:tcPr>
            <w:tcW w:w="1843" w:type="dxa"/>
            <w:vAlign w:val="center"/>
          </w:tcPr>
          <w:p>
            <w:pPr>
              <w:spacing w:line="360" w:lineRule="exact"/>
              <w:jc w:val="center"/>
              <w:rPr>
                <w:szCs w:val="21"/>
              </w:rPr>
            </w:pPr>
            <w:r>
              <w:rPr>
                <w:rFonts w:hint="eastAsia"/>
                <w:szCs w:val="21"/>
              </w:rPr>
              <w:t>废液压油</w:t>
            </w:r>
          </w:p>
        </w:tc>
        <w:tc>
          <w:tcPr>
            <w:tcW w:w="2126" w:type="dxa"/>
            <w:vMerge w:val="continue"/>
            <w:vAlign w:val="center"/>
          </w:tcPr>
          <w:p>
            <w:pPr>
              <w:spacing w:line="360" w:lineRule="exact"/>
              <w:jc w:val="center"/>
              <w:rPr>
                <w:szCs w:val="21"/>
              </w:rPr>
            </w:pP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color w:val="FF0000"/>
                <w:szCs w:val="21"/>
              </w:rPr>
            </w:pPr>
            <w:r>
              <w:rPr>
                <w:rFonts w:hint="eastAsia"/>
                <w:color w:val="FF0000"/>
                <w:szCs w:val="21"/>
              </w:rPr>
              <w:t>喷漆</w:t>
            </w:r>
          </w:p>
        </w:tc>
        <w:tc>
          <w:tcPr>
            <w:tcW w:w="1843" w:type="dxa"/>
            <w:vAlign w:val="center"/>
          </w:tcPr>
          <w:p>
            <w:pPr>
              <w:spacing w:line="360" w:lineRule="exact"/>
              <w:jc w:val="center"/>
              <w:rPr>
                <w:color w:val="FF0000"/>
                <w:szCs w:val="21"/>
              </w:rPr>
            </w:pPr>
            <w:r>
              <w:rPr>
                <w:rFonts w:hint="eastAsia"/>
                <w:color w:val="FF0000"/>
                <w:szCs w:val="21"/>
              </w:rPr>
              <w:t>废漆桶</w:t>
            </w:r>
          </w:p>
        </w:tc>
        <w:tc>
          <w:tcPr>
            <w:tcW w:w="2126" w:type="dxa"/>
            <w:vMerge w:val="restart"/>
            <w:vAlign w:val="center"/>
          </w:tcPr>
          <w:p>
            <w:pPr>
              <w:spacing w:line="360" w:lineRule="exact"/>
              <w:jc w:val="center"/>
              <w:rPr>
                <w:color w:val="0070C0"/>
                <w:szCs w:val="21"/>
              </w:rPr>
            </w:pPr>
            <w:r>
              <w:rPr>
                <w:rFonts w:hint="eastAsia"/>
                <w:color w:val="0070C0"/>
                <w:szCs w:val="21"/>
              </w:rPr>
              <w:t>厂家回收</w:t>
            </w: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rFonts w:hint="eastAsia"/>
                <w:szCs w:val="21"/>
              </w:rPr>
              <w:t>喷漆</w:t>
            </w:r>
          </w:p>
        </w:tc>
        <w:tc>
          <w:tcPr>
            <w:tcW w:w="1843" w:type="dxa"/>
            <w:vAlign w:val="center"/>
          </w:tcPr>
          <w:p>
            <w:pPr>
              <w:spacing w:line="360" w:lineRule="exact"/>
              <w:jc w:val="center"/>
              <w:rPr>
                <w:szCs w:val="21"/>
              </w:rPr>
            </w:pPr>
            <w:r>
              <w:rPr>
                <w:rFonts w:hint="eastAsia"/>
                <w:szCs w:val="21"/>
              </w:rPr>
              <w:t>废漆渣</w:t>
            </w:r>
          </w:p>
        </w:tc>
        <w:tc>
          <w:tcPr>
            <w:tcW w:w="2126" w:type="dxa"/>
            <w:vMerge w:val="continue"/>
            <w:vAlign w:val="center"/>
          </w:tcPr>
          <w:p>
            <w:pPr>
              <w:spacing w:line="360" w:lineRule="exact"/>
              <w:jc w:val="center"/>
              <w:rPr>
                <w:szCs w:val="21"/>
              </w:rPr>
            </w:pP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szCs w:val="21"/>
              </w:rPr>
              <w:t>职工办公</w:t>
            </w:r>
          </w:p>
        </w:tc>
        <w:tc>
          <w:tcPr>
            <w:tcW w:w="1843" w:type="dxa"/>
            <w:vAlign w:val="center"/>
          </w:tcPr>
          <w:p>
            <w:pPr>
              <w:spacing w:line="360" w:lineRule="exact"/>
              <w:jc w:val="center"/>
              <w:rPr>
                <w:szCs w:val="21"/>
              </w:rPr>
            </w:pPr>
            <w:r>
              <w:rPr>
                <w:szCs w:val="21"/>
              </w:rPr>
              <w:t>生活垃圾</w:t>
            </w:r>
          </w:p>
        </w:tc>
        <w:tc>
          <w:tcPr>
            <w:tcW w:w="2126" w:type="dxa"/>
            <w:vMerge w:val="restart"/>
            <w:vAlign w:val="center"/>
          </w:tcPr>
          <w:p>
            <w:pPr>
              <w:spacing w:line="360" w:lineRule="exact"/>
              <w:jc w:val="center"/>
              <w:rPr>
                <w:szCs w:val="21"/>
              </w:rPr>
            </w:pPr>
            <w:r>
              <w:rPr>
                <w:rFonts w:hint="eastAsia"/>
                <w:szCs w:val="21"/>
              </w:rPr>
              <w:t>交环卫部门集中处理</w:t>
            </w: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51" w:type="dxa"/>
            <w:vMerge w:val="continue"/>
            <w:tcBorders>
              <w:bottom w:val="single" w:color="auto" w:sz="4" w:space="0"/>
            </w:tcBorders>
            <w:vAlign w:val="center"/>
          </w:tcPr>
          <w:p>
            <w:pPr>
              <w:pStyle w:val="2"/>
              <w:spacing w:line="360" w:lineRule="exact"/>
              <w:jc w:val="center"/>
              <w:rPr>
                <w:color w:val="auto"/>
                <w:sz w:val="21"/>
                <w:szCs w:val="21"/>
              </w:rPr>
            </w:pPr>
          </w:p>
        </w:tc>
        <w:tc>
          <w:tcPr>
            <w:tcW w:w="1559" w:type="dxa"/>
            <w:vAlign w:val="center"/>
          </w:tcPr>
          <w:p>
            <w:pPr>
              <w:spacing w:line="360" w:lineRule="exact"/>
              <w:jc w:val="center"/>
              <w:rPr>
                <w:szCs w:val="21"/>
              </w:rPr>
            </w:pPr>
            <w:r>
              <w:rPr>
                <w:rFonts w:hint="eastAsia"/>
                <w:szCs w:val="21"/>
              </w:rPr>
              <w:t>机加工</w:t>
            </w:r>
          </w:p>
        </w:tc>
        <w:tc>
          <w:tcPr>
            <w:tcW w:w="1843" w:type="dxa"/>
            <w:vAlign w:val="center"/>
          </w:tcPr>
          <w:p>
            <w:pPr>
              <w:spacing w:line="360" w:lineRule="exact"/>
              <w:jc w:val="center"/>
              <w:rPr>
                <w:szCs w:val="21"/>
              </w:rPr>
            </w:pPr>
            <w:r>
              <w:rPr>
                <w:rFonts w:hint="eastAsia"/>
                <w:szCs w:val="21"/>
              </w:rPr>
              <w:t>含油废抹布</w:t>
            </w:r>
          </w:p>
        </w:tc>
        <w:tc>
          <w:tcPr>
            <w:tcW w:w="2126" w:type="dxa"/>
            <w:vMerge w:val="continue"/>
            <w:vAlign w:val="center"/>
          </w:tcPr>
          <w:p>
            <w:pPr>
              <w:spacing w:line="360" w:lineRule="exact"/>
              <w:jc w:val="center"/>
              <w:rPr>
                <w:szCs w:val="21"/>
              </w:rPr>
            </w:pPr>
          </w:p>
        </w:tc>
        <w:tc>
          <w:tcPr>
            <w:tcW w:w="2441"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51" w:type="dxa"/>
            <w:vAlign w:val="center"/>
          </w:tcPr>
          <w:p>
            <w:pPr>
              <w:spacing w:line="360" w:lineRule="exact"/>
              <w:jc w:val="center"/>
              <w:rPr>
                <w:szCs w:val="21"/>
              </w:rPr>
            </w:pPr>
            <w:r>
              <w:rPr>
                <w:rFonts w:hint="eastAsia"/>
                <w:szCs w:val="21"/>
              </w:rPr>
              <w:t>土壤及地下水污染防渗措施</w:t>
            </w:r>
          </w:p>
        </w:tc>
        <w:tc>
          <w:tcPr>
            <w:tcW w:w="7969" w:type="dxa"/>
            <w:gridSpan w:val="4"/>
            <w:vAlign w:val="center"/>
          </w:tcPr>
          <w:p>
            <w:pPr>
              <w:spacing w:line="360" w:lineRule="exact"/>
              <w:rPr>
                <w:spacing w:val="20"/>
                <w:szCs w:val="21"/>
              </w:rPr>
            </w:pPr>
            <w:r>
              <w:rPr>
                <w:rFonts w:hint="eastAsia"/>
                <w:bCs/>
                <w:szCs w:val="21"/>
              </w:rPr>
              <w:t>采取分区防渗措施，</w:t>
            </w:r>
            <w:r>
              <w:rPr>
                <w:bCs/>
                <w:szCs w:val="21"/>
              </w:rPr>
              <w:t>分为</w:t>
            </w:r>
            <w:r>
              <w:rPr>
                <w:rFonts w:hint="eastAsia"/>
                <w:bCs/>
                <w:szCs w:val="21"/>
              </w:rPr>
              <w:t>重点防渗区、</w:t>
            </w:r>
            <w:r>
              <w:rPr>
                <w:bCs/>
                <w:szCs w:val="21"/>
              </w:rPr>
              <w:t>一般防渗区和简单防渗区</w:t>
            </w:r>
            <w:r>
              <w:rPr>
                <w:rFonts w:hint="eastAsia"/>
                <w:bCs/>
                <w:szCs w:val="21"/>
              </w:rPr>
              <w:t>，重点防渗区为喷漆房、危废间；防腐防渗措施要求防渗系数不小于10</w:t>
            </w:r>
            <w:r>
              <w:rPr>
                <w:rFonts w:hint="eastAsia"/>
                <w:bCs/>
                <w:szCs w:val="21"/>
                <w:vertAlign w:val="superscript"/>
              </w:rPr>
              <w:t>-10</w:t>
            </w:r>
            <w:r>
              <w:rPr>
                <w:rFonts w:hint="eastAsia"/>
                <w:bCs/>
                <w:szCs w:val="21"/>
              </w:rPr>
              <w:t>cm/s；</w:t>
            </w:r>
            <w:r>
              <w:rPr>
                <w:bCs/>
                <w:szCs w:val="21"/>
              </w:rPr>
              <w:t>一般防渗区包括</w:t>
            </w:r>
            <w:r>
              <w:rPr>
                <w:rFonts w:hint="eastAsia"/>
                <w:bCs/>
                <w:szCs w:val="21"/>
              </w:rPr>
              <w:t>隔</w:t>
            </w:r>
            <w:r>
              <w:rPr>
                <w:bCs/>
                <w:szCs w:val="21"/>
              </w:rPr>
              <w:t>油池</w:t>
            </w:r>
            <w:r>
              <w:rPr>
                <w:rFonts w:hint="eastAsia"/>
                <w:bCs/>
                <w:szCs w:val="21"/>
              </w:rPr>
              <w:t>、化粪池</w:t>
            </w:r>
            <w:r>
              <w:rPr>
                <w:bCs/>
                <w:szCs w:val="21"/>
              </w:rPr>
              <w:t>等公辅工程区，一般防治区防腐防渗措施要求防渗系数小于10</w:t>
            </w:r>
            <w:r>
              <w:rPr>
                <w:bCs/>
                <w:szCs w:val="21"/>
                <w:vertAlign w:val="superscript"/>
              </w:rPr>
              <w:t>-7</w:t>
            </w:r>
            <w:r>
              <w:rPr>
                <w:bCs/>
                <w:szCs w:val="21"/>
              </w:rPr>
              <w:t>cm/s</w:t>
            </w:r>
            <w:r>
              <w:rPr>
                <w:rFonts w:hint="eastAsia"/>
                <w:bCs/>
                <w:szCs w:val="21"/>
              </w:rPr>
              <w:t>，</w:t>
            </w:r>
            <w:r>
              <w:rPr>
                <w:bCs/>
                <w:szCs w:val="21"/>
              </w:rPr>
              <w:t>简单防治区包括</w:t>
            </w:r>
            <w:r>
              <w:rPr>
                <w:rFonts w:hint="eastAsia"/>
                <w:bCs/>
                <w:szCs w:val="21"/>
              </w:rPr>
              <w:t>车间地面、厂区道路、办公区等</w:t>
            </w:r>
            <w:r>
              <w:rPr>
                <w:bCs/>
                <w:szCs w:val="21"/>
              </w:rPr>
              <w:t>，用水泥</w:t>
            </w:r>
            <w:r>
              <w:rPr>
                <w:rFonts w:hint="eastAsia"/>
                <w:bCs/>
                <w:szCs w:val="21"/>
              </w:rPr>
              <w:t>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151" w:type="dxa"/>
            <w:vAlign w:val="center"/>
          </w:tcPr>
          <w:p>
            <w:pPr>
              <w:spacing w:line="360" w:lineRule="exact"/>
              <w:jc w:val="center"/>
              <w:rPr>
                <w:szCs w:val="21"/>
              </w:rPr>
            </w:pPr>
            <w:r>
              <w:rPr>
                <w:rFonts w:hint="eastAsia"/>
                <w:szCs w:val="21"/>
              </w:rPr>
              <w:t>生态保护</w:t>
            </w:r>
          </w:p>
          <w:p>
            <w:pPr>
              <w:spacing w:line="360" w:lineRule="exact"/>
              <w:jc w:val="center"/>
              <w:rPr>
                <w:szCs w:val="21"/>
              </w:rPr>
            </w:pPr>
            <w:r>
              <w:rPr>
                <w:rFonts w:hint="eastAsia"/>
                <w:szCs w:val="21"/>
              </w:rPr>
              <w:t>措施</w:t>
            </w:r>
          </w:p>
        </w:tc>
        <w:tc>
          <w:tcPr>
            <w:tcW w:w="7969" w:type="dxa"/>
            <w:gridSpan w:val="4"/>
            <w:vAlign w:val="center"/>
          </w:tcPr>
          <w:p>
            <w:pPr>
              <w:spacing w:line="360" w:lineRule="exact"/>
              <w:jc w:val="center"/>
              <w:rPr>
                <w:spacing w:val="20"/>
                <w:szCs w:val="21"/>
              </w:rPr>
            </w:pPr>
            <w:r>
              <w:rPr>
                <w:rFonts w:hint="eastAsia"/>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51" w:type="dxa"/>
            <w:vAlign w:val="center"/>
          </w:tcPr>
          <w:p>
            <w:pPr>
              <w:spacing w:line="360" w:lineRule="exact"/>
              <w:jc w:val="center"/>
              <w:rPr>
                <w:szCs w:val="21"/>
              </w:rPr>
            </w:pPr>
            <w:r>
              <w:rPr>
                <w:rFonts w:hint="eastAsia"/>
                <w:szCs w:val="21"/>
              </w:rPr>
              <w:t>环境风险</w:t>
            </w:r>
          </w:p>
          <w:p>
            <w:pPr>
              <w:spacing w:line="360" w:lineRule="exact"/>
              <w:jc w:val="center"/>
              <w:rPr>
                <w:szCs w:val="21"/>
              </w:rPr>
            </w:pPr>
            <w:r>
              <w:rPr>
                <w:rFonts w:hint="eastAsia"/>
                <w:szCs w:val="21"/>
              </w:rPr>
              <w:t>防范措施</w:t>
            </w:r>
          </w:p>
        </w:tc>
        <w:tc>
          <w:tcPr>
            <w:tcW w:w="7969" w:type="dxa"/>
            <w:gridSpan w:val="4"/>
            <w:vAlign w:val="center"/>
          </w:tcPr>
          <w:p>
            <w:pPr>
              <w:spacing w:line="260" w:lineRule="exact"/>
            </w:pPr>
            <w:r>
              <w:rPr>
                <w:rFonts w:hint="eastAsia"/>
              </w:rPr>
              <w:t>1、</w:t>
            </w:r>
            <w:r>
              <w:t>风险源风险控制措施</w:t>
            </w:r>
            <w:r>
              <w:rPr>
                <w:rFonts w:hint="eastAsia"/>
              </w:rPr>
              <w:t>：</w:t>
            </w:r>
          </w:p>
          <w:p>
            <w:pPr>
              <w:spacing w:line="260" w:lineRule="exact"/>
            </w:pPr>
            <w:r>
              <w:t>（1）项目所用丙烷为</w:t>
            </w:r>
            <w:r>
              <w:rPr>
                <w:rFonts w:hint="eastAsia"/>
              </w:rPr>
              <w:t>瓶装</w:t>
            </w:r>
            <w:r>
              <w:t>，</w:t>
            </w:r>
            <w:r>
              <w:rPr>
                <w:rFonts w:hint="eastAsia"/>
              </w:rPr>
              <w:t>且</w:t>
            </w:r>
            <w:r>
              <w:t>不在厂内</w:t>
            </w:r>
            <w:r>
              <w:rPr>
                <w:rFonts w:hint="eastAsia"/>
              </w:rPr>
              <w:t>大量储存</w:t>
            </w:r>
            <w:r>
              <w:t>；加强生产管理，减少生产过程中的跑、冒、滴、漏。</w:t>
            </w:r>
          </w:p>
          <w:p>
            <w:pPr>
              <w:spacing w:line="260" w:lineRule="exact"/>
            </w:pPr>
            <w:r>
              <w:t>（</w:t>
            </w:r>
            <w:r>
              <w:rPr>
                <w:rFonts w:hint="eastAsia"/>
              </w:rPr>
              <w:t>2</w:t>
            </w:r>
            <w:r>
              <w:t>）危废暂存间应保持通风良好，严禁烟火。</w:t>
            </w:r>
          </w:p>
          <w:p>
            <w:pPr>
              <w:spacing w:line="260" w:lineRule="exact"/>
            </w:pPr>
            <w:r>
              <w:t>（</w:t>
            </w:r>
            <w:r>
              <w:rPr>
                <w:rFonts w:hint="eastAsia"/>
              </w:rPr>
              <w:t>3</w:t>
            </w:r>
            <w:r>
              <w:t>）生产区要悬挂安全警示牌，车间内严禁吸烟和明火。要贮存足够量的灭火器，并保持良好的备用状态。</w:t>
            </w:r>
          </w:p>
          <w:p>
            <w:pPr>
              <w:spacing w:line="260" w:lineRule="exact"/>
            </w:pPr>
            <w:r>
              <w:rPr>
                <w:rFonts w:hint="eastAsia"/>
              </w:rPr>
              <w:t>2、</w:t>
            </w:r>
            <w:r>
              <w:t>贮运风险控制措施</w:t>
            </w:r>
            <w:r>
              <w:rPr>
                <w:rFonts w:hint="eastAsia"/>
              </w:rPr>
              <w:t>：</w:t>
            </w:r>
          </w:p>
          <w:p>
            <w:pPr>
              <w:spacing w:line="260" w:lineRule="exact"/>
            </w:pPr>
            <w:r>
              <w:t>（1）专人定期对丙烷</w:t>
            </w:r>
            <w:r>
              <w:rPr>
                <w:rFonts w:hint="eastAsia"/>
              </w:rPr>
              <w:t>包装瓶</w:t>
            </w:r>
            <w:r>
              <w:t>、阀进行检查维护；危废暂存间废液压油、废切削液均为桶装，周围设置围堰并做防渗漏、防流失措施，四周设有导流槽可将泄漏物引流并收集；每月盘查废液压油、废切削液包装桶的地基和支撑结构应定期检查，检查的结果应存档以备将来参考。</w:t>
            </w:r>
          </w:p>
          <w:p>
            <w:pPr>
              <w:spacing w:line="260" w:lineRule="exact"/>
            </w:pPr>
            <w:r>
              <w:t>（</w:t>
            </w:r>
            <w:r>
              <w:rPr>
                <w:rFonts w:hint="eastAsia"/>
              </w:rPr>
              <w:t>2</w:t>
            </w:r>
            <w:r>
              <w:t>）丙烷一旦发生泄漏，立刻查找泄漏源，并关闭总阀及火源，加强通风，及时更换损坏管、阀等；废液压油、废切削液一旦发生泄漏，立刻查找泄漏源，并关闭电器开关，开窗通风，及时用砂土吸附。</w:t>
            </w:r>
          </w:p>
          <w:p>
            <w:pPr>
              <w:spacing w:line="260" w:lineRule="exact"/>
            </w:pPr>
            <w:r>
              <w:t>（</w:t>
            </w:r>
            <w:r>
              <w:rPr>
                <w:rFonts w:hint="eastAsia"/>
              </w:rPr>
              <w:t>3</w:t>
            </w:r>
            <w:r>
              <w:t>）丙烷、废液压油、废切削液泄漏引发火灾事故时，应及时疏散周边居民至安全区，抢救人员穿戴防护服并用干粉灭火器灭火。</w:t>
            </w:r>
          </w:p>
          <w:p>
            <w:pPr>
              <w:spacing w:line="260" w:lineRule="exact"/>
            </w:pPr>
            <w:r>
              <w:rPr>
                <w:rFonts w:hint="eastAsia"/>
              </w:rPr>
              <w:t>3、</w:t>
            </w:r>
            <w:r>
              <w:t>操作风险控制措施</w:t>
            </w:r>
            <w:r>
              <w:rPr>
                <w:rFonts w:hint="eastAsia"/>
              </w:rPr>
              <w:t>：</w:t>
            </w:r>
            <w:r>
              <w:t>操作尽可能机械化、自动化；企业应定期对职工进行技术培训，尤其是操作岗位的工人应严格执行操作规程，避免因为违规操作引起事故；加强对危废包装桶的检查巡视，及时更换；配备泄漏应急处理设备。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51" w:type="dxa"/>
            <w:vAlign w:val="center"/>
          </w:tcPr>
          <w:p>
            <w:pPr>
              <w:spacing w:line="360" w:lineRule="exact"/>
              <w:jc w:val="center"/>
              <w:rPr>
                <w:szCs w:val="21"/>
              </w:rPr>
            </w:pPr>
            <w:r>
              <w:rPr>
                <w:szCs w:val="21"/>
              </w:rPr>
              <w:t>其他</w:t>
            </w:r>
            <w:r>
              <w:rPr>
                <w:rFonts w:hint="eastAsia"/>
                <w:szCs w:val="21"/>
              </w:rPr>
              <w:t>环境</w:t>
            </w:r>
          </w:p>
          <w:p>
            <w:pPr>
              <w:spacing w:line="360" w:lineRule="exact"/>
              <w:jc w:val="center"/>
              <w:rPr>
                <w:szCs w:val="21"/>
              </w:rPr>
            </w:pPr>
            <w:r>
              <w:rPr>
                <w:rFonts w:hint="eastAsia"/>
                <w:szCs w:val="21"/>
              </w:rPr>
              <w:t>管理要求</w:t>
            </w:r>
          </w:p>
        </w:tc>
        <w:tc>
          <w:tcPr>
            <w:tcW w:w="7969" w:type="dxa"/>
            <w:gridSpan w:val="4"/>
            <w:vAlign w:val="center"/>
          </w:tcPr>
          <w:p>
            <w:pPr>
              <w:spacing w:line="260" w:lineRule="exact"/>
            </w:pPr>
            <w:r>
              <w:rPr>
                <w:rFonts w:hint="eastAsia"/>
              </w:rPr>
              <w:t>1、环境管理</w:t>
            </w:r>
            <w:r>
              <w:t>要求</w:t>
            </w:r>
          </w:p>
          <w:p>
            <w:pPr>
              <w:spacing w:line="260" w:lineRule="exact"/>
            </w:pPr>
            <w:r>
              <w:rPr>
                <w:rFonts w:hint="eastAsia"/>
              </w:rPr>
              <w:t>（1）管理机构设置：环境管理工作应实行法人负责制，本项目应设置环保管理机构和管理人员，企业需配置1名专职或兼职管理人员。</w:t>
            </w:r>
          </w:p>
          <w:p>
            <w:pPr>
              <w:spacing w:line="260" w:lineRule="exact"/>
            </w:pPr>
            <w:r>
              <w:rPr>
                <w:rFonts w:hint="eastAsia"/>
              </w:rPr>
              <w:t>（2）环境管理机构的基本职责</w:t>
            </w:r>
          </w:p>
          <w:p>
            <w:pPr>
              <w:spacing w:line="260" w:lineRule="exact"/>
            </w:pPr>
            <w:r>
              <w:rPr>
                <w:rFonts w:hint="eastAsia"/>
              </w:rPr>
              <w:t>①贯彻执行《中华人民共和国环境保护法》及其相关法律、法规，按国家的环保政策、环境标准及环境监测要求，制定环境管理规章制度，并监督执行。</w:t>
            </w:r>
          </w:p>
          <w:p>
            <w:pPr>
              <w:spacing w:line="260" w:lineRule="exact"/>
            </w:pPr>
            <w:r>
              <w:rPr>
                <w:rFonts w:hint="eastAsia"/>
              </w:rPr>
              <w:t>②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spacing w:line="260" w:lineRule="exact"/>
            </w:pPr>
            <w:r>
              <w:rPr>
                <w:rFonts w:hint="eastAsia"/>
              </w:rPr>
              <w:t>③组织并抓好本项目污染治理和综合利用工作，定期对环保设施进行检查，负责环保设备的维修保养，保证其正常运行。</w:t>
            </w:r>
          </w:p>
          <w:p>
            <w:pPr>
              <w:spacing w:line="260" w:lineRule="exact"/>
            </w:pPr>
            <w:r>
              <w:rPr>
                <w:rFonts w:hint="eastAsia"/>
              </w:rPr>
              <w:t>④搞好厂区内绿化工作。</w:t>
            </w:r>
          </w:p>
          <w:p>
            <w:pPr>
              <w:spacing w:line="260" w:lineRule="exact"/>
            </w:pPr>
            <w:r>
              <w:rPr>
                <w:rFonts w:hint="eastAsia"/>
              </w:rPr>
              <w:t>2、危废管理要求</w:t>
            </w:r>
          </w:p>
          <w:p>
            <w:pPr>
              <w:spacing w:line="260" w:lineRule="exact"/>
            </w:pPr>
            <w:r>
              <w:rPr>
                <w:rFonts w:hint="eastAsia"/>
              </w:rPr>
              <w:t>厂区内按照《危险废物贮存污染控制标准》（GB18597-2001）的要求建设危废暂存间，危废暂存间应满足以下要求：</w:t>
            </w:r>
          </w:p>
          <w:p>
            <w:pPr>
              <w:spacing w:line="260" w:lineRule="exact"/>
            </w:pPr>
            <w:r>
              <w:rPr>
                <w:rFonts w:hint="eastAsia"/>
              </w:rPr>
              <w:t>（1）设有安全照明和观察窗口，并设有应急防护设施；</w:t>
            </w:r>
          </w:p>
          <w:p>
            <w:pPr>
              <w:spacing w:line="260" w:lineRule="exact"/>
            </w:pPr>
            <w:r>
              <w:rPr>
                <w:rFonts w:hint="eastAsia"/>
              </w:rPr>
              <w:t>（2）设有隔离设施和防风、防晒、防雨设施以及消防设施；</w:t>
            </w:r>
          </w:p>
          <w:p>
            <w:pPr>
              <w:spacing w:line="260" w:lineRule="exact"/>
            </w:pPr>
            <w:r>
              <w:rPr>
                <w:rFonts w:hint="eastAsia"/>
              </w:rPr>
              <w:t>（3）设有耐腐蚀的硬化地面，且表面无裂隙；</w:t>
            </w:r>
          </w:p>
          <w:p>
            <w:pPr>
              <w:spacing w:line="260" w:lineRule="exact"/>
            </w:pPr>
            <w:r>
              <w:rPr>
                <w:rFonts w:hint="eastAsia"/>
              </w:rPr>
              <w:t>（4）危险废物暂存场所应设有符合《环境保护图形标志---固体废物贮存（处置）场》（GB15562.2-1995）的专用标志；</w:t>
            </w:r>
          </w:p>
          <w:p>
            <w:pPr>
              <w:spacing w:line="260" w:lineRule="exact"/>
            </w:pPr>
            <w:r>
              <w:rPr>
                <w:rFonts w:hint="eastAsia"/>
              </w:rPr>
              <w:t>（5）设有专人专职对拟建项目产生的危险废物的收集、暂存和保管进行管理。</w:t>
            </w:r>
          </w:p>
          <w:p>
            <w:pPr>
              <w:spacing w:line="260" w:lineRule="exact"/>
            </w:pPr>
            <w:r>
              <w:rPr>
                <w:rFonts w:hint="eastAsia"/>
              </w:rPr>
              <w:t>（6）设有泄漏液体收集装置。</w:t>
            </w:r>
          </w:p>
          <w:p>
            <w:pPr>
              <w:spacing w:line="260" w:lineRule="exact"/>
            </w:pPr>
            <w:r>
              <w:rPr>
                <w:rFonts w:hint="eastAsia"/>
              </w:rPr>
              <w:t>（7）不相容的危险废物均分开存放，并设有隔离间隔断。</w:t>
            </w:r>
          </w:p>
          <w:p>
            <w:pPr>
              <w:spacing w:line="260" w:lineRule="exact"/>
            </w:pPr>
            <w:r>
              <w:rPr>
                <w:rFonts w:hint="eastAsia"/>
              </w:rPr>
              <w:t>3、排污口规范化</w:t>
            </w:r>
            <w:r>
              <w:t>要求</w:t>
            </w:r>
          </w:p>
          <w:p>
            <w:pPr>
              <w:spacing w:line="260" w:lineRule="exact"/>
            </w:pPr>
            <w:r>
              <w:rPr>
                <w:rFonts w:hint="eastAsia"/>
              </w:rPr>
              <w:t>根据原国家环保总局下发《关于开展排放口规范化整治工作的通知》（环发[1999]24号）的要求，各废气、废水、噪声等排放口需要进行规范化。</w:t>
            </w:r>
          </w:p>
          <w:p>
            <w:pPr>
              <w:spacing w:line="260" w:lineRule="exact"/>
            </w:pPr>
            <w:r>
              <w:rPr>
                <w:rFonts w:hint="eastAsia"/>
              </w:rPr>
              <w:t>（1）污染源排放口要遵循便于采集样品、便于监测计量、便于日常监督管理的原则，严格按排放口规范化整治要求进行。</w:t>
            </w:r>
          </w:p>
          <w:p>
            <w:pPr>
              <w:spacing w:line="260" w:lineRule="exact"/>
            </w:pPr>
            <w:r>
              <w:rPr>
                <w:rFonts w:hint="eastAsia"/>
              </w:rPr>
              <w:t>（2）污染源排放口必须按照国家颁布的有关污染物强制性排放标准的要求，监测点位处设置监测平台及排放口标志牌。</w:t>
            </w:r>
          </w:p>
          <w:p>
            <w:pPr>
              <w:spacing w:line="260" w:lineRule="exact"/>
            </w:pPr>
            <w:r>
              <w:rPr>
                <w:rFonts w:hint="eastAsia"/>
              </w:rPr>
              <w:t>（3）建立规范化排污口档案，内容包括排污单位名称，排污口性质及编号，排污口的地理位置（GPS定位经纬度），排污口所排放的主要污染物种类、数量、浓度及排放去向，立标情况，设施运行及日常现场监督检查记录等有关资料和记录，同时上报生态环境主管部门建档以便统一管理。</w:t>
            </w:r>
          </w:p>
          <w:p>
            <w:pPr>
              <w:pStyle w:val="2"/>
            </w:pPr>
          </w:p>
          <w:p>
            <w:pPr>
              <w:pStyle w:val="2"/>
            </w:pPr>
          </w:p>
          <w:p>
            <w:pPr>
              <w:pStyle w:val="2"/>
            </w:pPr>
          </w:p>
          <w:p>
            <w:pPr>
              <w:pStyle w:val="2"/>
            </w:pPr>
          </w:p>
          <w:p>
            <w:pPr>
              <w:pStyle w:val="2"/>
            </w:pPr>
          </w:p>
          <w:p>
            <w:pPr>
              <w:pStyle w:val="2"/>
            </w:pPr>
          </w:p>
        </w:tc>
      </w:tr>
    </w:tbl>
    <w:p>
      <w:pPr>
        <w:rPr>
          <w:rFonts w:eastAsia="黑体"/>
          <w:sz w:val="28"/>
          <w:lang w:val="fr-FR"/>
        </w:rPr>
        <w:sectPr>
          <w:pgSz w:w="11906" w:h="16838"/>
          <w:pgMar w:top="1304" w:right="1701" w:bottom="1418" w:left="1701" w:header="851" w:footer="851" w:gutter="0"/>
          <w:cols w:space="720" w:num="1"/>
          <w:docGrid w:type="linesAndChars" w:linePitch="380" w:charSpace="-948"/>
        </w:sectPr>
      </w:pPr>
    </w:p>
    <w:p>
      <w:pPr>
        <w:jc w:val="center"/>
        <w:rPr>
          <w:rFonts w:eastAsia="黑体"/>
          <w:b/>
          <w:sz w:val="32"/>
          <w:szCs w:val="32"/>
        </w:rPr>
      </w:pPr>
      <w:r>
        <w:rPr>
          <w:rFonts w:hint="eastAsia" w:eastAsia="黑体"/>
          <w:b/>
          <w:sz w:val="32"/>
          <w:szCs w:val="32"/>
        </w:rPr>
        <w:t>六、</w:t>
      </w:r>
      <w:r>
        <w:rPr>
          <w:rFonts w:eastAsia="黑体"/>
          <w:b/>
          <w:sz w:val="32"/>
          <w:szCs w:val="32"/>
        </w:rPr>
        <w:t>结论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sz w:val="24"/>
                <w:szCs w:val="24"/>
              </w:rPr>
            </w:pPr>
            <w:r>
              <w:rPr>
                <w:rFonts w:hint="eastAsia"/>
                <w:b/>
                <w:sz w:val="24"/>
                <w:szCs w:val="24"/>
              </w:rPr>
              <w:t>建设</w:t>
            </w:r>
            <w:r>
              <w:rPr>
                <w:b/>
                <w:sz w:val="24"/>
                <w:szCs w:val="24"/>
              </w:rPr>
              <w:t>项目</w:t>
            </w:r>
            <w:r>
              <w:rPr>
                <w:rFonts w:hint="eastAsia"/>
                <w:b/>
                <w:sz w:val="24"/>
                <w:szCs w:val="24"/>
              </w:rPr>
              <w:t>环境影响</w:t>
            </w:r>
            <w:r>
              <w:rPr>
                <w:b/>
                <w:sz w:val="24"/>
                <w:szCs w:val="24"/>
              </w:rPr>
              <w:t>可行性结论</w:t>
            </w:r>
            <w:r>
              <w:rPr>
                <w:rFonts w:hint="eastAsia"/>
                <w:b/>
                <w:sz w:val="24"/>
                <w:szCs w:val="24"/>
              </w:rPr>
              <w:t>：</w:t>
            </w:r>
          </w:p>
          <w:p>
            <w:pPr>
              <w:spacing w:line="360" w:lineRule="auto"/>
              <w:ind w:firstLine="472" w:firstLineChars="200"/>
              <w:jc w:val="left"/>
              <w:rPr>
                <w:sz w:val="24"/>
                <w:szCs w:val="24"/>
              </w:rPr>
            </w:pPr>
            <w:r>
              <w:rPr>
                <w:sz w:val="24"/>
                <w:szCs w:val="24"/>
              </w:rPr>
              <w:t>该项目建设符合国家产业政策，选址合理，在采取相应的环保治理措施并保证其正常运行的前提下，可以实现污染物达标排放，对周围环境影响较轻。从环境保护角度分析，该项目建设是可行的。</w:t>
            </w:r>
          </w:p>
          <w:p>
            <w:pPr>
              <w:pStyle w:val="14"/>
              <w:spacing w:line="360" w:lineRule="auto"/>
              <w:ind w:firstLine="0"/>
              <w:rPr>
                <w:sz w:val="24"/>
                <w:szCs w:val="24"/>
              </w:rPr>
            </w:pPr>
          </w:p>
        </w:tc>
      </w:tr>
    </w:tbl>
    <w:p>
      <w:pPr>
        <w:sectPr>
          <w:footerReference r:id="rId5" w:type="default"/>
          <w:pgSz w:w="11906" w:h="16838"/>
          <w:pgMar w:top="1304" w:right="1701" w:bottom="1418" w:left="1701" w:header="851" w:footer="953" w:gutter="0"/>
          <w:cols w:space="720" w:num="1"/>
          <w:docGrid w:type="linesAndChars" w:linePitch="380" w:charSpace="-948"/>
        </w:sectPr>
      </w:pPr>
    </w:p>
    <w:p>
      <w:pPr>
        <w:pStyle w:val="2"/>
        <w:spacing w:line="360" w:lineRule="exact"/>
        <w:rPr>
          <w:rFonts w:ascii="黑体" w:hAnsi="黑体" w:eastAsia="黑体" w:cs="黑体"/>
          <w:sz w:val="32"/>
          <w:szCs w:val="32"/>
        </w:rPr>
      </w:pPr>
      <w:r>
        <w:rPr>
          <w:rFonts w:hint="eastAsia" w:ascii="黑体" w:hAnsi="黑体" w:eastAsia="黑体" w:cs="黑体"/>
          <w:sz w:val="32"/>
          <w:szCs w:val="32"/>
        </w:rPr>
        <w:t>附表</w:t>
      </w:r>
    </w:p>
    <w:p>
      <w:pPr>
        <w:pStyle w:val="2"/>
        <w:spacing w:line="360" w:lineRule="exact"/>
        <w:jc w:val="center"/>
        <w:rPr>
          <w:rFonts w:ascii="黑体" w:hAnsi="黑体" w:eastAsia="黑体" w:cs="黑体"/>
          <w:sz w:val="32"/>
          <w:szCs w:val="32"/>
        </w:rPr>
      </w:pPr>
      <w:r>
        <w:rPr>
          <w:rFonts w:hint="eastAsia" w:ascii="黑体" w:hAnsi="黑体" w:eastAsia="黑体" w:cs="黑体"/>
          <w:sz w:val="32"/>
          <w:szCs w:val="32"/>
        </w:rPr>
        <w:t>建设项目污染物排放量汇总表      单位：t/a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858"/>
        <w:gridCol w:w="1326"/>
        <w:gridCol w:w="1592"/>
        <w:gridCol w:w="1592"/>
        <w:gridCol w:w="1593"/>
        <w:gridCol w:w="1593"/>
        <w:gridCol w:w="159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92" w:type="dxa"/>
            <w:tcBorders>
              <w:tl2br w:val="single" w:color="auto" w:sz="4" w:space="0"/>
            </w:tcBorders>
            <w:vAlign w:val="center"/>
          </w:tcPr>
          <w:p>
            <w:pPr>
              <w:pStyle w:val="2"/>
              <w:snapToGrid w:val="0"/>
              <w:spacing w:line="320" w:lineRule="exact"/>
              <w:jc w:val="both"/>
              <w:rPr>
                <w:rFonts w:ascii="黑体" w:hAnsi="黑体" w:eastAsia="黑体" w:cs="黑体"/>
                <w:sz w:val="21"/>
                <w:szCs w:val="21"/>
              </w:rPr>
            </w:pPr>
            <w:r>
              <w:rPr>
                <w:rFonts w:hint="eastAsia" w:ascii="黑体" w:hAnsi="黑体" w:eastAsia="黑体" w:cs="黑体"/>
                <w:sz w:val="21"/>
                <w:szCs w:val="21"/>
              </w:rPr>
              <w:t xml:space="preserve">         分类</w:t>
            </w:r>
          </w:p>
          <w:p>
            <w:pPr>
              <w:pStyle w:val="2"/>
              <w:spacing w:line="320" w:lineRule="exact"/>
              <w:jc w:val="left"/>
              <w:rPr>
                <w:rFonts w:ascii="黑体" w:hAnsi="黑体" w:eastAsia="黑体" w:cs="黑体"/>
                <w:sz w:val="21"/>
                <w:szCs w:val="21"/>
              </w:rPr>
            </w:pPr>
            <w:r>
              <w:rPr>
                <w:rFonts w:hint="eastAsia" w:ascii="黑体" w:hAnsi="黑体" w:eastAsia="黑体" w:cs="黑体"/>
                <w:sz w:val="21"/>
                <w:szCs w:val="21"/>
              </w:rPr>
              <w:t>项目</w:t>
            </w:r>
          </w:p>
        </w:tc>
        <w:tc>
          <w:tcPr>
            <w:tcW w:w="1858"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污染物名称</w:t>
            </w:r>
          </w:p>
        </w:tc>
        <w:tc>
          <w:tcPr>
            <w:tcW w:w="1326"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现有工程</w:t>
            </w:r>
          </w:p>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排放量</w:t>
            </w:r>
          </w:p>
        </w:tc>
        <w:tc>
          <w:tcPr>
            <w:tcW w:w="1592"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现有工程</w:t>
            </w:r>
          </w:p>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许可排放量</w:t>
            </w:r>
          </w:p>
        </w:tc>
        <w:tc>
          <w:tcPr>
            <w:tcW w:w="1592"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在建工程</w:t>
            </w:r>
          </w:p>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排放量</w:t>
            </w:r>
          </w:p>
        </w:tc>
        <w:tc>
          <w:tcPr>
            <w:tcW w:w="1593"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本项目排放量</w:t>
            </w:r>
          </w:p>
        </w:tc>
        <w:tc>
          <w:tcPr>
            <w:tcW w:w="1593"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以新带老</w:t>
            </w:r>
          </w:p>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消减量</w:t>
            </w:r>
          </w:p>
        </w:tc>
        <w:tc>
          <w:tcPr>
            <w:tcW w:w="1593"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本项目建成后全厂排放量</w:t>
            </w:r>
          </w:p>
        </w:tc>
        <w:tc>
          <w:tcPr>
            <w:tcW w:w="1593" w:type="dxa"/>
            <w:vAlign w:val="center"/>
          </w:tcPr>
          <w:p>
            <w:pPr>
              <w:pStyle w:val="2"/>
              <w:spacing w:line="320" w:lineRule="exact"/>
              <w:jc w:val="center"/>
              <w:rPr>
                <w:rFonts w:ascii="黑体" w:hAnsi="黑体" w:eastAsia="黑体" w:cs="黑体"/>
                <w:sz w:val="21"/>
                <w:szCs w:val="21"/>
              </w:rPr>
            </w:pPr>
            <w:r>
              <w:rPr>
                <w:rFonts w:hint="eastAsia" w:ascii="黑体" w:hAnsi="黑体" w:eastAsia="黑体" w:cs="黑体"/>
                <w:sz w:val="21"/>
                <w:szCs w:val="21"/>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2"/>
              <w:spacing w:line="320" w:lineRule="exact"/>
              <w:jc w:val="center"/>
              <w:rPr>
                <w:rFonts w:ascii="宋体" w:hAnsi="宋体" w:cs="宋体"/>
                <w:sz w:val="21"/>
                <w:szCs w:val="21"/>
              </w:rPr>
            </w:pPr>
            <w:r>
              <w:rPr>
                <w:rFonts w:hint="eastAsia" w:ascii="宋体" w:hAnsi="宋体" w:cs="宋体"/>
                <w:sz w:val="21"/>
                <w:szCs w:val="21"/>
              </w:rPr>
              <w:t>废气</w:t>
            </w:r>
          </w:p>
        </w:tc>
        <w:tc>
          <w:tcPr>
            <w:tcW w:w="1858" w:type="dxa"/>
            <w:vAlign w:val="center"/>
          </w:tcPr>
          <w:p>
            <w:pPr>
              <w:spacing w:line="320" w:lineRule="exact"/>
              <w:jc w:val="center"/>
              <w:rPr>
                <w:rFonts w:ascii="宋体" w:hAnsi="宋体" w:cs="宋体"/>
                <w:szCs w:val="21"/>
              </w:rPr>
            </w:pPr>
            <w:r>
              <w:rPr>
                <w:rFonts w:hint="eastAsia"/>
                <w:bCs/>
                <w:szCs w:val="21"/>
              </w:rPr>
              <w:t>油烟</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0.135</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spacing w:line="320" w:lineRule="exact"/>
              <w:jc w:val="center"/>
              <w:rPr>
                <w:rFonts w:ascii="宋体" w:hAnsi="宋体" w:cs="宋体"/>
                <w:szCs w:val="21"/>
              </w:rPr>
            </w:pPr>
            <w:r>
              <w:rPr>
                <w:rFonts w:hint="eastAsia"/>
                <w:bCs/>
                <w:szCs w:val="21"/>
              </w:rPr>
              <w:t>颗粒物</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rFonts w:hint="eastAsia"/>
                <w:sz w:val="21"/>
                <w:szCs w:val="21"/>
              </w:rPr>
              <w:t>1.076</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pStyle w:val="2"/>
              <w:spacing w:line="320" w:lineRule="exact"/>
              <w:jc w:val="center"/>
              <w:rPr>
                <w:rFonts w:ascii="宋体" w:hAnsi="宋体" w:cs="宋体"/>
                <w:sz w:val="21"/>
                <w:szCs w:val="21"/>
              </w:rPr>
            </w:pPr>
            <w:r>
              <w:rPr>
                <w:rFonts w:hint="eastAsia" w:ascii="宋体" w:hAnsi="宋体" w:cs="宋体"/>
                <w:sz w:val="21"/>
                <w:szCs w:val="21"/>
              </w:rPr>
              <w:t>非甲烷总烃</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rFonts w:hint="eastAsia"/>
                <w:sz w:val="21"/>
                <w:szCs w:val="21"/>
              </w:rPr>
              <w:t>1.415</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2"/>
              <w:spacing w:line="320" w:lineRule="exact"/>
              <w:jc w:val="center"/>
              <w:rPr>
                <w:rFonts w:ascii="宋体" w:hAnsi="宋体" w:cs="宋体"/>
                <w:sz w:val="21"/>
                <w:szCs w:val="21"/>
              </w:rPr>
            </w:pPr>
            <w:r>
              <w:rPr>
                <w:rFonts w:hint="eastAsia" w:ascii="宋体" w:hAnsi="宋体" w:cs="宋体"/>
                <w:sz w:val="21"/>
                <w:szCs w:val="21"/>
              </w:rPr>
              <w:t>废水</w:t>
            </w:r>
          </w:p>
        </w:tc>
        <w:tc>
          <w:tcPr>
            <w:tcW w:w="1858" w:type="dxa"/>
            <w:vAlign w:val="center"/>
          </w:tcPr>
          <w:p>
            <w:pPr>
              <w:adjustRightInd w:val="0"/>
              <w:snapToGrid w:val="0"/>
              <w:spacing w:line="320" w:lineRule="exact"/>
              <w:jc w:val="center"/>
              <w:rPr>
                <w:rFonts w:ascii="宋体" w:hAnsi="宋体" w:cs="宋体"/>
                <w:szCs w:val="21"/>
              </w:rPr>
            </w:pPr>
            <w:r>
              <w:rPr>
                <w:szCs w:val="21"/>
              </w:rPr>
              <w:t>COD</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2.62</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adjustRightInd w:val="0"/>
              <w:snapToGrid w:val="0"/>
              <w:spacing w:line="320" w:lineRule="exact"/>
              <w:jc w:val="center"/>
              <w:rPr>
                <w:szCs w:val="21"/>
              </w:rPr>
            </w:pPr>
            <w:r>
              <w:rPr>
                <w:rFonts w:hint="eastAsia"/>
                <w:szCs w:val="21"/>
              </w:rPr>
              <w:t>BOD</w:t>
            </w:r>
            <w:r>
              <w:rPr>
                <w:rFonts w:hint="eastAsia"/>
                <w:szCs w:val="21"/>
                <w:vertAlign w:val="subscript"/>
              </w:rPr>
              <w:t>5</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1.87</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adjustRightInd w:val="0"/>
              <w:snapToGrid w:val="0"/>
              <w:spacing w:line="320" w:lineRule="exact"/>
              <w:jc w:val="center"/>
              <w:rPr>
                <w:szCs w:val="21"/>
              </w:rPr>
            </w:pPr>
            <w:r>
              <w:rPr>
                <w:rFonts w:hint="eastAsia"/>
                <w:szCs w:val="21"/>
              </w:rPr>
              <w:t>SS</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1.5</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adjustRightInd w:val="0"/>
              <w:snapToGrid w:val="0"/>
              <w:spacing w:line="320" w:lineRule="exact"/>
              <w:jc w:val="center"/>
              <w:rPr>
                <w:szCs w:val="21"/>
              </w:rPr>
            </w:pPr>
            <w:r>
              <w:rPr>
                <w:rFonts w:hint="eastAsia"/>
                <w:szCs w:val="21"/>
              </w:rPr>
              <w:t>氨氮</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0.26</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pStyle w:val="3"/>
              <w:adjustRightInd w:val="0"/>
              <w:snapToGrid w:val="0"/>
              <w:spacing w:line="320" w:lineRule="exact"/>
              <w:outlineLvl w:val="0"/>
              <w:rPr>
                <w:sz w:val="21"/>
                <w:szCs w:val="21"/>
              </w:rPr>
            </w:pPr>
            <w:r>
              <w:rPr>
                <w:rFonts w:hint="eastAsia"/>
                <w:sz w:val="21"/>
                <w:szCs w:val="21"/>
              </w:rPr>
              <w:t>动植物油</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0.052</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adjustRightInd w:val="0"/>
              <w:snapToGrid w:val="0"/>
              <w:spacing w:line="320" w:lineRule="exact"/>
              <w:jc w:val="center"/>
              <w:rPr>
                <w:szCs w:val="21"/>
              </w:rPr>
            </w:pPr>
            <w:r>
              <w:rPr>
                <w:rFonts w:hint="eastAsia"/>
                <w:szCs w:val="21"/>
              </w:rPr>
              <w:t>LAS</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0.045</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2"/>
              <w:spacing w:line="320" w:lineRule="exact"/>
              <w:jc w:val="center"/>
              <w:rPr>
                <w:rFonts w:ascii="宋体" w:hAnsi="宋体" w:cs="宋体"/>
                <w:sz w:val="21"/>
                <w:szCs w:val="21"/>
              </w:rPr>
            </w:pPr>
            <w:r>
              <w:rPr>
                <w:rFonts w:hint="eastAsia" w:ascii="宋体" w:hAnsi="宋体" w:cs="宋体"/>
                <w:sz w:val="21"/>
                <w:szCs w:val="21"/>
              </w:rPr>
              <w:t>一般工业固体废物</w:t>
            </w:r>
          </w:p>
        </w:tc>
        <w:tc>
          <w:tcPr>
            <w:tcW w:w="1858" w:type="dxa"/>
            <w:vAlign w:val="center"/>
          </w:tcPr>
          <w:p>
            <w:pPr>
              <w:spacing w:line="320" w:lineRule="exact"/>
              <w:jc w:val="center"/>
              <w:rPr>
                <w:rFonts w:ascii="宋体" w:hAnsi="宋体" w:cs="宋体"/>
                <w:szCs w:val="21"/>
              </w:rPr>
            </w:pPr>
            <w:r>
              <w:rPr>
                <w:szCs w:val="21"/>
              </w:rPr>
              <w:t>焊渣</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sz w:val="21"/>
                <w:szCs w:val="21"/>
              </w:rPr>
            </w:pPr>
            <w:r>
              <w:rPr>
                <w:sz w:val="21"/>
                <w:szCs w:val="21"/>
              </w:rPr>
              <w:t>（1.0）</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spacing w:line="320" w:lineRule="exact"/>
              <w:jc w:val="center"/>
              <w:rPr>
                <w:rFonts w:ascii="宋体" w:hAnsi="宋体" w:cs="宋体"/>
                <w:szCs w:val="21"/>
              </w:rPr>
            </w:pPr>
            <w:r>
              <w:rPr>
                <w:szCs w:val="21"/>
              </w:rPr>
              <w:t>除尘灰</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szCs w:val="21"/>
              </w:rPr>
            </w:pPr>
            <w:r>
              <w:rPr>
                <w:szCs w:val="21"/>
              </w:rPr>
              <w:t>（6.291）</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pStyle w:val="2"/>
              <w:spacing w:line="320" w:lineRule="exact"/>
              <w:jc w:val="center"/>
              <w:rPr>
                <w:sz w:val="21"/>
                <w:szCs w:val="21"/>
              </w:rPr>
            </w:pPr>
            <w:r>
              <w:rPr>
                <w:sz w:val="21"/>
                <w:szCs w:val="21"/>
              </w:rPr>
              <w:t>废漆渣</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szCs w:val="21"/>
              </w:rPr>
            </w:pPr>
            <w:r>
              <w:rPr>
                <w:szCs w:val="21"/>
              </w:rPr>
              <w:t>（</w:t>
            </w:r>
            <w:r>
              <w:rPr>
                <w:rFonts w:hint="eastAsia"/>
                <w:szCs w:val="21"/>
              </w:rPr>
              <w:t>13.665</w:t>
            </w:r>
            <w:r>
              <w:rPr>
                <w:szCs w:val="21"/>
              </w:rPr>
              <w:t>）</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pStyle w:val="2"/>
              <w:spacing w:line="320" w:lineRule="exact"/>
              <w:jc w:val="center"/>
              <w:rPr>
                <w:rFonts w:ascii="宋体" w:hAnsi="宋体" w:cs="宋体"/>
                <w:color w:val="FF0000"/>
                <w:sz w:val="21"/>
                <w:szCs w:val="21"/>
              </w:rPr>
            </w:pPr>
            <w:r>
              <w:rPr>
                <w:rFonts w:hint="eastAsia" w:ascii="宋体" w:hAnsi="宋体" w:cs="宋体"/>
                <w:color w:val="FF0000"/>
                <w:sz w:val="21"/>
                <w:szCs w:val="21"/>
              </w:rPr>
              <w:t>废漆桶</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color w:val="FF0000"/>
                <w:szCs w:val="21"/>
              </w:rPr>
            </w:pPr>
            <w:r>
              <w:rPr>
                <w:color w:val="FF0000"/>
                <w:szCs w:val="21"/>
              </w:rPr>
              <w:t>（</w:t>
            </w:r>
            <w:r>
              <w:rPr>
                <w:rFonts w:hint="eastAsia"/>
                <w:color w:val="FF0000"/>
                <w:szCs w:val="21"/>
              </w:rPr>
              <w:t>9.5</w:t>
            </w:r>
            <w:r>
              <w:rPr>
                <w:color w:val="FF0000"/>
                <w:szCs w:val="21"/>
              </w:rPr>
              <w:t>）</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spacing w:line="320" w:lineRule="exact"/>
              <w:jc w:val="center"/>
              <w:rPr>
                <w:szCs w:val="21"/>
              </w:rPr>
            </w:pPr>
            <w:r>
              <w:rPr>
                <w:szCs w:val="21"/>
              </w:rPr>
              <w:t>边角料</w:t>
            </w:r>
            <w:r>
              <w:rPr>
                <w:rFonts w:hint="eastAsia"/>
                <w:szCs w:val="21"/>
              </w:rPr>
              <w:t>、金属废料</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szCs w:val="21"/>
              </w:rPr>
            </w:pPr>
            <w:r>
              <w:rPr>
                <w:szCs w:val="21"/>
              </w:rPr>
              <w:t>（2400）</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spacing w:line="320" w:lineRule="exact"/>
              <w:jc w:val="center"/>
              <w:rPr>
                <w:rFonts w:ascii="宋体" w:hAnsi="宋体" w:cs="宋体"/>
                <w:szCs w:val="21"/>
              </w:rPr>
            </w:pPr>
            <w:r>
              <w:rPr>
                <w:szCs w:val="21"/>
              </w:rPr>
              <w:t>生活垃圾</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szCs w:val="21"/>
              </w:rPr>
            </w:pPr>
            <w:r>
              <w:rPr>
                <w:szCs w:val="21"/>
              </w:rPr>
              <w:t>（39）</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2"/>
              <w:spacing w:line="320" w:lineRule="exact"/>
              <w:jc w:val="center"/>
              <w:rPr>
                <w:rFonts w:ascii="宋体" w:hAnsi="宋体" w:cs="宋体"/>
                <w:sz w:val="21"/>
                <w:szCs w:val="21"/>
              </w:rPr>
            </w:pPr>
            <w:r>
              <w:rPr>
                <w:rFonts w:hint="eastAsia" w:ascii="宋体" w:hAnsi="宋体" w:cs="宋体"/>
                <w:sz w:val="21"/>
                <w:szCs w:val="21"/>
              </w:rPr>
              <w:t>危险废物</w:t>
            </w:r>
          </w:p>
        </w:tc>
        <w:tc>
          <w:tcPr>
            <w:tcW w:w="1858" w:type="dxa"/>
            <w:vAlign w:val="center"/>
          </w:tcPr>
          <w:p>
            <w:pPr>
              <w:pStyle w:val="2"/>
              <w:spacing w:line="320" w:lineRule="exact"/>
              <w:jc w:val="center"/>
              <w:rPr>
                <w:rFonts w:ascii="宋体" w:hAnsi="宋体" w:cs="宋体"/>
                <w:sz w:val="21"/>
                <w:szCs w:val="21"/>
              </w:rPr>
            </w:pPr>
            <w:r>
              <w:rPr>
                <w:rFonts w:hint="eastAsia"/>
                <w:color w:val="auto"/>
                <w:sz w:val="21"/>
                <w:szCs w:val="21"/>
              </w:rPr>
              <w:t>废切削液</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szCs w:val="21"/>
              </w:rPr>
            </w:pPr>
            <w:r>
              <w:rPr>
                <w:szCs w:val="21"/>
              </w:rPr>
              <w:t>（0.01）</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rFonts w:ascii="宋体" w:hAnsi="宋体" w:cs="宋体"/>
                <w:sz w:val="21"/>
                <w:szCs w:val="21"/>
              </w:rPr>
            </w:pPr>
          </w:p>
        </w:tc>
        <w:tc>
          <w:tcPr>
            <w:tcW w:w="1858" w:type="dxa"/>
            <w:vAlign w:val="center"/>
          </w:tcPr>
          <w:p>
            <w:pPr>
              <w:pStyle w:val="2"/>
              <w:spacing w:line="320" w:lineRule="exact"/>
              <w:jc w:val="center"/>
              <w:rPr>
                <w:rFonts w:ascii="宋体" w:hAnsi="宋体" w:cs="宋体"/>
                <w:sz w:val="21"/>
                <w:szCs w:val="21"/>
              </w:rPr>
            </w:pPr>
            <w:r>
              <w:rPr>
                <w:rFonts w:hint="eastAsia" w:ascii="宋体" w:hAnsi="宋体" w:cs="宋体"/>
                <w:sz w:val="21"/>
                <w:szCs w:val="21"/>
              </w:rPr>
              <w:t>废液压油</w:t>
            </w:r>
          </w:p>
        </w:tc>
        <w:tc>
          <w:tcPr>
            <w:tcW w:w="1326"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2" w:type="dxa"/>
            <w:vAlign w:val="center"/>
          </w:tcPr>
          <w:p>
            <w:pPr>
              <w:pStyle w:val="2"/>
              <w:spacing w:line="320" w:lineRule="exact"/>
              <w:jc w:val="center"/>
              <w:rPr>
                <w:rFonts w:ascii="宋体" w:hAnsi="宋体" w:cs="宋体"/>
                <w:sz w:val="21"/>
                <w:szCs w:val="21"/>
              </w:rPr>
            </w:pPr>
          </w:p>
        </w:tc>
        <w:tc>
          <w:tcPr>
            <w:tcW w:w="1593" w:type="dxa"/>
            <w:vAlign w:val="center"/>
          </w:tcPr>
          <w:p>
            <w:pPr>
              <w:spacing w:line="320" w:lineRule="exact"/>
              <w:jc w:val="center"/>
              <w:rPr>
                <w:szCs w:val="21"/>
              </w:rPr>
            </w:pPr>
            <w:r>
              <w:rPr>
                <w:szCs w:val="21"/>
              </w:rPr>
              <w:t>（0.05）</w:t>
            </w: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c>
          <w:tcPr>
            <w:tcW w:w="1593" w:type="dxa"/>
            <w:vAlign w:val="center"/>
          </w:tcPr>
          <w:p>
            <w:pPr>
              <w:pStyle w:val="2"/>
              <w:spacing w:line="32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2"/>
              <w:spacing w:line="320" w:lineRule="exact"/>
              <w:jc w:val="center"/>
              <w:rPr>
                <w:sz w:val="21"/>
                <w:szCs w:val="21"/>
              </w:rPr>
            </w:pPr>
          </w:p>
        </w:tc>
        <w:tc>
          <w:tcPr>
            <w:tcW w:w="1858" w:type="dxa"/>
            <w:vAlign w:val="center"/>
          </w:tcPr>
          <w:p>
            <w:pPr>
              <w:pStyle w:val="2"/>
              <w:spacing w:line="320" w:lineRule="exact"/>
              <w:jc w:val="center"/>
              <w:rPr>
                <w:sz w:val="21"/>
                <w:szCs w:val="21"/>
              </w:rPr>
            </w:pPr>
            <w:r>
              <w:rPr>
                <w:sz w:val="21"/>
                <w:szCs w:val="21"/>
              </w:rPr>
              <w:t>含油废抹布</w:t>
            </w:r>
          </w:p>
        </w:tc>
        <w:tc>
          <w:tcPr>
            <w:tcW w:w="1326" w:type="dxa"/>
            <w:vAlign w:val="center"/>
          </w:tcPr>
          <w:p>
            <w:pPr>
              <w:pStyle w:val="2"/>
              <w:spacing w:line="320" w:lineRule="exact"/>
              <w:jc w:val="center"/>
              <w:rPr>
                <w:sz w:val="21"/>
                <w:szCs w:val="21"/>
              </w:rPr>
            </w:pPr>
          </w:p>
        </w:tc>
        <w:tc>
          <w:tcPr>
            <w:tcW w:w="1592" w:type="dxa"/>
            <w:vAlign w:val="center"/>
          </w:tcPr>
          <w:p>
            <w:pPr>
              <w:pStyle w:val="2"/>
              <w:spacing w:line="320" w:lineRule="exact"/>
              <w:jc w:val="center"/>
              <w:rPr>
                <w:sz w:val="21"/>
                <w:szCs w:val="21"/>
              </w:rPr>
            </w:pPr>
          </w:p>
        </w:tc>
        <w:tc>
          <w:tcPr>
            <w:tcW w:w="1592" w:type="dxa"/>
            <w:vAlign w:val="center"/>
          </w:tcPr>
          <w:p>
            <w:pPr>
              <w:pStyle w:val="2"/>
              <w:spacing w:line="320" w:lineRule="exact"/>
              <w:jc w:val="center"/>
              <w:rPr>
                <w:sz w:val="21"/>
                <w:szCs w:val="21"/>
              </w:rPr>
            </w:pPr>
          </w:p>
        </w:tc>
        <w:tc>
          <w:tcPr>
            <w:tcW w:w="1593" w:type="dxa"/>
            <w:vAlign w:val="center"/>
          </w:tcPr>
          <w:p>
            <w:pPr>
              <w:spacing w:line="320" w:lineRule="exact"/>
              <w:jc w:val="center"/>
              <w:rPr>
                <w:szCs w:val="21"/>
              </w:rPr>
            </w:pPr>
            <w:r>
              <w:rPr>
                <w:szCs w:val="21"/>
              </w:rPr>
              <w:t>（0.01）</w:t>
            </w:r>
          </w:p>
        </w:tc>
        <w:tc>
          <w:tcPr>
            <w:tcW w:w="1593" w:type="dxa"/>
            <w:vAlign w:val="center"/>
          </w:tcPr>
          <w:p>
            <w:pPr>
              <w:pStyle w:val="2"/>
              <w:spacing w:line="320" w:lineRule="exact"/>
              <w:jc w:val="center"/>
              <w:rPr>
                <w:sz w:val="21"/>
                <w:szCs w:val="21"/>
              </w:rPr>
            </w:pPr>
          </w:p>
        </w:tc>
        <w:tc>
          <w:tcPr>
            <w:tcW w:w="1593" w:type="dxa"/>
            <w:vAlign w:val="center"/>
          </w:tcPr>
          <w:p>
            <w:pPr>
              <w:pStyle w:val="2"/>
              <w:spacing w:line="320" w:lineRule="exact"/>
              <w:jc w:val="center"/>
              <w:rPr>
                <w:sz w:val="21"/>
                <w:szCs w:val="21"/>
              </w:rPr>
            </w:pPr>
          </w:p>
        </w:tc>
        <w:tc>
          <w:tcPr>
            <w:tcW w:w="1593" w:type="dxa"/>
            <w:vAlign w:val="center"/>
          </w:tcPr>
          <w:p>
            <w:pPr>
              <w:pStyle w:val="2"/>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pStyle w:val="2"/>
              <w:spacing w:line="320" w:lineRule="exact"/>
              <w:jc w:val="both"/>
              <w:rPr>
                <w:sz w:val="21"/>
                <w:szCs w:val="21"/>
              </w:rPr>
            </w:pPr>
            <w:r>
              <w:rPr>
                <w:sz w:val="21"/>
                <w:szCs w:val="21"/>
              </w:rPr>
              <w:t>注：（）中内容表示不外排</w:t>
            </w:r>
          </w:p>
        </w:tc>
      </w:tr>
    </w:tbl>
    <w:p>
      <w:pPr>
        <w:pStyle w:val="2"/>
        <w:jc w:val="both"/>
        <w:rPr>
          <w:rFonts w:ascii="黑体" w:hAnsi="黑体" w:eastAsia="黑体" w:cs="黑体"/>
          <w:sz w:val="32"/>
          <w:szCs w:val="32"/>
        </w:rPr>
      </w:pPr>
    </w:p>
    <w:sectPr>
      <w:pgSz w:w="16838" w:h="11906" w:orient="landscape"/>
      <w:pgMar w:top="1701" w:right="1304" w:bottom="1701" w:left="1418" w:header="851" w:footer="953" w:gutter="0"/>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KaiTi_GB2312">
    <w:panose1 w:val="02010609030101010101"/>
    <w:charset w:val="86"/>
    <w:family w:val="roma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Arial Unicode MS">
    <w:altName w:val="Times New Roman"/>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FZXiaoBiaoSong-B05">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54</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Pudb2uQEAAGEDAAAOAAAAAAAAAAEAIAAAADQBAABkcnMv&#10;ZTJvRG9jLnhtbFBLBQYAAAAABgAGAFkBAABf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56</w:t>
                          </w:r>
                          <w: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93120uQEAAGEDAAAOAAAAAAAAAAEAIAAAADQBAABkcnMv&#10;ZTJvRG9jLnhtbFBLBQYAAAAABgAGAFkBAABf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88CA2"/>
    <w:multiLevelType w:val="singleLevel"/>
    <w:tmpl w:val="96F88CA2"/>
    <w:lvl w:ilvl="0" w:tentative="0">
      <w:start w:val="1"/>
      <w:numFmt w:val="decimal"/>
      <w:suff w:val="nothing"/>
      <w:lvlText w:val="%1、"/>
      <w:lvlJc w:val="left"/>
    </w:lvl>
  </w:abstractNum>
  <w:abstractNum w:abstractNumId="1">
    <w:nsid w:val="D07E001D"/>
    <w:multiLevelType w:val="singleLevel"/>
    <w:tmpl w:val="D07E001D"/>
    <w:lvl w:ilvl="0" w:tentative="0">
      <w:start w:val="2"/>
      <w:numFmt w:val="decimal"/>
      <w:suff w:val="nothing"/>
      <w:lvlText w:val="（%1）"/>
      <w:lvlJc w:val="left"/>
    </w:lvl>
  </w:abstractNum>
  <w:abstractNum w:abstractNumId="2">
    <w:nsid w:val="D819060F"/>
    <w:multiLevelType w:val="singleLevel"/>
    <w:tmpl w:val="D819060F"/>
    <w:lvl w:ilvl="0" w:tentative="0">
      <w:start w:val="1"/>
      <w:numFmt w:val="chineseCounting"/>
      <w:suff w:val="nothing"/>
      <w:lvlText w:val="%1、"/>
      <w:lvlJc w:val="left"/>
      <w:rPr>
        <w:rFonts w:hint="eastAsia"/>
      </w:rPr>
    </w:lvl>
  </w:abstractNum>
  <w:abstractNum w:abstractNumId="3">
    <w:nsid w:val="F6C16E41"/>
    <w:multiLevelType w:val="singleLevel"/>
    <w:tmpl w:val="F6C16E41"/>
    <w:lvl w:ilvl="0" w:tentative="0">
      <w:start w:val="3"/>
      <w:numFmt w:val="decimal"/>
      <w:suff w:val="nothing"/>
      <w:lvlText w:val="%1、"/>
      <w:lvlJc w:val="left"/>
    </w:lvl>
  </w:abstractNum>
  <w:abstractNum w:abstractNumId="4">
    <w:nsid w:val="FA3FF64E"/>
    <w:multiLevelType w:val="singleLevel"/>
    <w:tmpl w:val="FA3FF64E"/>
    <w:lvl w:ilvl="0" w:tentative="0">
      <w:start w:val="1"/>
      <w:numFmt w:val="decimal"/>
      <w:suff w:val="nothing"/>
      <w:lvlText w:val="（%1）"/>
      <w:lvlJc w:val="left"/>
    </w:lvl>
  </w:abstractNum>
  <w:abstractNum w:abstractNumId="5">
    <w:nsid w:val="05A401C0"/>
    <w:multiLevelType w:val="singleLevel"/>
    <w:tmpl w:val="05A401C0"/>
    <w:lvl w:ilvl="0" w:tentative="0">
      <w:start w:val="2"/>
      <w:numFmt w:val="decimal"/>
      <w:suff w:val="nothing"/>
      <w:lvlText w:val="（%1）"/>
      <w:lvlJc w:val="left"/>
      <w:rPr>
        <w:rFonts w:hint="default"/>
        <w:color w:val="auto"/>
      </w:rPr>
    </w:lvl>
  </w:abstractNum>
  <w:abstractNum w:abstractNumId="6">
    <w:nsid w:val="2F59DC59"/>
    <w:multiLevelType w:val="singleLevel"/>
    <w:tmpl w:val="2F59DC59"/>
    <w:lvl w:ilvl="0" w:tentative="0">
      <w:start w:val="2"/>
      <w:numFmt w:val="decimal"/>
      <w:suff w:val="nothing"/>
      <w:lvlText w:val="%1、"/>
      <w:lvlJc w:val="left"/>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hideSpellingErrors/>
  <w:documentProtection w:enforcement="0"/>
  <w:defaultTabStop w:val="425"/>
  <w:drawingGridHorizontalSpacing w:val="205"/>
  <w:drawingGridVerticalSpacing w:val="190"/>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5"/>
    <w:rsid w:val="000003D5"/>
    <w:rsid w:val="00000419"/>
    <w:rsid w:val="000008A6"/>
    <w:rsid w:val="00000BE3"/>
    <w:rsid w:val="00001060"/>
    <w:rsid w:val="00001080"/>
    <w:rsid w:val="0000160C"/>
    <w:rsid w:val="000017D1"/>
    <w:rsid w:val="00001CFD"/>
    <w:rsid w:val="00001E42"/>
    <w:rsid w:val="00003474"/>
    <w:rsid w:val="000035F7"/>
    <w:rsid w:val="000045C2"/>
    <w:rsid w:val="00004BDB"/>
    <w:rsid w:val="00004C83"/>
    <w:rsid w:val="00005B45"/>
    <w:rsid w:val="000066F6"/>
    <w:rsid w:val="000076FC"/>
    <w:rsid w:val="0001076C"/>
    <w:rsid w:val="00011135"/>
    <w:rsid w:val="00011377"/>
    <w:rsid w:val="00011429"/>
    <w:rsid w:val="000118DF"/>
    <w:rsid w:val="000118E7"/>
    <w:rsid w:val="00011D18"/>
    <w:rsid w:val="00011E1C"/>
    <w:rsid w:val="00011FC4"/>
    <w:rsid w:val="000120B5"/>
    <w:rsid w:val="00012175"/>
    <w:rsid w:val="000123C9"/>
    <w:rsid w:val="00012C53"/>
    <w:rsid w:val="00012E29"/>
    <w:rsid w:val="00013041"/>
    <w:rsid w:val="000132C7"/>
    <w:rsid w:val="0001418B"/>
    <w:rsid w:val="000144F5"/>
    <w:rsid w:val="0001461F"/>
    <w:rsid w:val="00014EE4"/>
    <w:rsid w:val="00015348"/>
    <w:rsid w:val="0001562D"/>
    <w:rsid w:val="00015901"/>
    <w:rsid w:val="000159BA"/>
    <w:rsid w:val="000168AB"/>
    <w:rsid w:val="00016BEF"/>
    <w:rsid w:val="00017B56"/>
    <w:rsid w:val="0002019A"/>
    <w:rsid w:val="0002022C"/>
    <w:rsid w:val="000203C9"/>
    <w:rsid w:val="00020714"/>
    <w:rsid w:val="00021896"/>
    <w:rsid w:val="00021E19"/>
    <w:rsid w:val="00022E67"/>
    <w:rsid w:val="000230CD"/>
    <w:rsid w:val="00023394"/>
    <w:rsid w:val="000234BD"/>
    <w:rsid w:val="000243DC"/>
    <w:rsid w:val="00025C16"/>
    <w:rsid w:val="00027156"/>
    <w:rsid w:val="00030AA7"/>
    <w:rsid w:val="0003117F"/>
    <w:rsid w:val="00031180"/>
    <w:rsid w:val="00031A31"/>
    <w:rsid w:val="00031CE2"/>
    <w:rsid w:val="00031EC1"/>
    <w:rsid w:val="00031F4D"/>
    <w:rsid w:val="000323C6"/>
    <w:rsid w:val="0003260C"/>
    <w:rsid w:val="00032725"/>
    <w:rsid w:val="00032A62"/>
    <w:rsid w:val="00032A9B"/>
    <w:rsid w:val="00032AA0"/>
    <w:rsid w:val="00032AF3"/>
    <w:rsid w:val="00032D7D"/>
    <w:rsid w:val="00032E1D"/>
    <w:rsid w:val="000330DB"/>
    <w:rsid w:val="00033181"/>
    <w:rsid w:val="000331D4"/>
    <w:rsid w:val="000339EF"/>
    <w:rsid w:val="00034638"/>
    <w:rsid w:val="0003492F"/>
    <w:rsid w:val="00034939"/>
    <w:rsid w:val="0003531D"/>
    <w:rsid w:val="00035651"/>
    <w:rsid w:val="00035965"/>
    <w:rsid w:val="00035A1E"/>
    <w:rsid w:val="00036135"/>
    <w:rsid w:val="000363EA"/>
    <w:rsid w:val="000366B4"/>
    <w:rsid w:val="00036A17"/>
    <w:rsid w:val="00036A68"/>
    <w:rsid w:val="00036A84"/>
    <w:rsid w:val="00037639"/>
    <w:rsid w:val="00037827"/>
    <w:rsid w:val="00037E97"/>
    <w:rsid w:val="0004039C"/>
    <w:rsid w:val="000406D3"/>
    <w:rsid w:val="00040751"/>
    <w:rsid w:val="000408CE"/>
    <w:rsid w:val="00041209"/>
    <w:rsid w:val="000417D6"/>
    <w:rsid w:val="00041A98"/>
    <w:rsid w:val="00041B3B"/>
    <w:rsid w:val="00041D33"/>
    <w:rsid w:val="00041E83"/>
    <w:rsid w:val="000428BE"/>
    <w:rsid w:val="00042AC7"/>
    <w:rsid w:val="00042E94"/>
    <w:rsid w:val="00042F2E"/>
    <w:rsid w:val="00043724"/>
    <w:rsid w:val="0004397A"/>
    <w:rsid w:val="00043A0F"/>
    <w:rsid w:val="000447FE"/>
    <w:rsid w:val="00044AC6"/>
    <w:rsid w:val="000452F4"/>
    <w:rsid w:val="00045789"/>
    <w:rsid w:val="0004598E"/>
    <w:rsid w:val="00045D0B"/>
    <w:rsid w:val="00045D11"/>
    <w:rsid w:val="00045D9B"/>
    <w:rsid w:val="0004603B"/>
    <w:rsid w:val="000466ED"/>
    <w:rsid w:val="00047534"/>
    <w:rsid w:val="00047997"/>
    <w:rsid w:val="00047EA2"/>
    <w:rsid w:val="00047F3F"/>
    <w:rsid w:val="00050564"/>
    <w:rsid w:val="0005125A"/>
    <w:rsid w:val="00051711"/>
    <w:rsid w:val="0005194B"/>
    <w:rsid w:val="00051D46"/>
    <w:rsid w:val="00051EAB"/>
    <w:rsid w:val="000521BF"/>
    <w:rsid w:val="000526FE"/>
    <w:rsid w:val="000529F8"/>
    <w:rsid w:val="000530F5"/>
    <w:rsid w:val="00053761"/>
    <w:rsid w:val="00053F73"/>
    <w:rsid w:val="00054054"/>
    <w:rsid w:val="00054130"/>
    <w:rsid w:val="00054256"/>
    <w:rsid w:val="000544DD"/>
    <w:rsid w:val="000547ED"/>
    <w:rsid w:val="00054E11"/>
    <w:rsid w:val="0005640A"/>
    <w:rsid w:val="00056814"/>
    <w:rsid w:val="00057000"/>
    <w:rsid w:val="00057150"/>
    <w:rsid w:val="000572CE"/>
    <w:rsid w:val="000574EF"/>
    <w:rsid w:val="0005752F"/>
    <w:rsid w:val="00057A0D"/>
    <w:rsid w:val="00057B29"/>
    <w:rsid w:val="00060560"/>
    <w:rsid w:val="00060AE9"/>
    <w:rsid w:val="0006122D"/>
    <w:rsid w:val="0006136E"/>
    <w:rsid w:val="00061577"/>
    <w:rsid w:val="00061821"/>
    <w:rsid w:val="00061FCB"/>
    <w:rsid w:val="0006273F"/>
    <w:rsid w:val="0006297B"/>
    <w:rsid w:val="00062ACC"/>
    <w:rsid w:val="00062C57"/>
    <w:rsid w:val="000630F0"/>
    <w:rsid w:val="000652D1"/>
    <w:rsid w:val="00065520"/>
    <w:rsid w:val="00065647"/>
    <w:rsid w:val="00065675"/>
    <w:rsid w:val="000656BD"/>
    <w:rsid w:val="000656D2"/>
    <w:rsid w:val="000656EA"/>
    <w:rsid w:val="0006626A"/>
    <w:rsid w:val="000663C4"/>
    <w:rsid w:val="00066B46"/>
    <w:rsid w:val="00066BD3"/>
    <w:rsid w:val="00066F2F"/>
    <w:rsid w:val="00066FE2"/>
    <w:rsid w:val="00067492"/>
    <w:rsid w:val="000677CC"/>
    <w:rsid w:val="0006787A"/>
    <w:rsid w:val="00067B0C"/>
    <w:rsid w:val="00067EDD"/>
    <w:rsid w:val="00070462"/>
    <w:rsid w:val="0007072D"/>
    <w:rsid w:val="00070F7F"/>
    <w:rsid w:val="0007101E"/>
    <w:rsid w:val="00071302"/>
    <w:rsid w:val="000713A8"/>
    <w:rsid w:val="000714D0"/>
    <w:rsid w:val="00071EF5"/>
    <w:rsid w:val="00071F8E"/>
    <w:rsid w:val="00072658"/>
    <w:rsid w:val="00072F5B"/>
    <w:rsid w:val="000735F8"/>
    <w:rsid w:val="000738DF"/>
    <w:rsid w:val="00073C63"/>
    <w:rsid w:val="00073ED9"/>
    <w:rsid w:val="000742DA"/>
    <w:rsid w:val="00074397"/>
    <w:rsid w:val="0007579F"/>
    <w:rsid w:val="00075A52"/>
    <w:rsid w:val="00076457"/>
    <w:rsid w:val="00076629"/>
    <w:rsid w:val="00076CCF"/>
    <w:rsid w:val="00076E60"/>
    <w:rsid w:val="0007777C"/>
    <w:rsid w:val="00077951"/>
    <w:rsid w:val="00077E58"/>
    <w:rsid w:val="000803D0"/>
    <w:rsid w:val="00080927"/>
    <w:rsid w:val="00080F02"/>
    <w:rsid w:val="0008153B"/>
    <w:rsid w:val="000815E7"/>
    <w:rsid w:val="00081B81"/>
    <w:rsid w:val="00081F9C"/>
    <w:rsid w:val="00082556"/>
    <w:rsid w:val="000826E4"/>
    <w:rsid w:val="00082D23"/>
    <w:rsid w:val="00083BD4"/>
    <w:rsid w:val="00083C52"/>
    <w:rsid w:val="00083D4C"/>
    <w:rsid w:val="00083E1C"/>
    <w:rsid w:val="00084705"/>
    <w:rsid w:val="0008488F"/>
    <w:rsid w:val="00084DB7"/>
    <w:rsid w:val="00084FAC"/>
    <w:rsid w:val="000852D0"/>
    <w:rsid w:val="00085324"/>
    <w:rsid w:val="00085612"/>
    <w:rsid w:val="000858DB"/>
    <w:rsid w:val="00086742"/>
    <w:rsid w:val="00086D0D"/>
    <w:rsid w:val="00086D39"/>
    <w:rsid w:val="000876C6"/>
    <w:rsid w:val="0009025F"/>
    <w:rsid w:val="00090B70"/>
    <w:rsid w:val="0009195E"/>
    <w:rsid w:val="00091B55"/>
    <w:rsid w:val="00092022"/>
    <w:rsid w:val="000920B1"/>
    <w:rsid w:val="00092486"/>
    <w:rsid w:val="0009301C"/>
    <w:rsid w:val="00093022"/>
    <w:rsid w:val="000931B6"/>
    <w:rsid w:val="00093232"/>
    <w:rsid w:val="00093267"/>
    <w:rsid w:val="000934FD"/>
    <w:rsid w:val="0009356D"/>
    <w:rsid w:val="000937D3"/>
    <w:rsid w:val="00093BF2"/>
    <w:rsid w:val="00094579"/>
    <w:rsid w:val="00094F21"/>
    <w:rsid w:val="00094F53"/>
    <w:rsid w:val="000952E7"/>
    <w:rsid w:val="000957B2"/>
    <w:rsid w:val="00095881"/>
    <w:rsid w:val="00096434"/>
    <w:rsid w:val="0009693A"/>
    <w:rsid w:val="00096BC5"/>
    <w:rsid w:val="000974E5"/>
    <w:rsid w:val="00097844"/>
    <w:rsid w:val="00097C36"/>
    <w:rsid w:val="000A0194"/>
    <w:rsid w:val="000A10FD"/>
    <w:rsid w:val="000A11B3"/>
    <w:rsid w:val="000A11D0"/>
    <w:rsid w:val="000A15A0"/>
    <w:rsid w:val="000A231B"/>
    <w:rsid w:val="000A289F"/>
    <w:rsid w:val="000A34E2"/>
    <w:rsid w:val="000A3C99"/>
    <w:rsid w:val="000A470C"/>
    <w:rsid w:val="000A5017"/>
    <w:rsid w:val="000A50E4"/>
    <w:rsid w:val="000A5199"/>
    <w:rsid w:val="000A5C6C"/>
    <w:rsid w:val="000A5E17"/>
    <w:rsid w:val="000A6132"/>
    <w:rsid w:val="000A689E"/>
    <w:rsid w:val="000A6D2E"/>
    <w:rsid w:val="000A6D8C"/>
    <w:rsid w:val="000A70AD"/>
    <w:rsid w:val="000A7327"/>
    <w:rsid w:val="000A7472"/>
    <w:rsid w:val="000A768F"/>
    <w:rsid w:val="000A7B2F"/>
    <w:rsid w:val="000B1BD8"/>
    <w:rsid w:val="000B1CF4"/>
    <w:rsid w:val="000B21FA"/>
    <w:rsid w:val="000B2571"/>
    <w:rsid w:val="000B2578"/>
    <w:rsid w:val="000B2ED6"/>
    <w:rsid w:val="000B3647"/>
    <w:rsid w:val="000B3672"/>
    <w:rsid w:val="000B3D4A"/>
    <w:rsid w:val="000B3DE7"/>
    <w:rsid w:val="000B419B"/>
    <w:rsid w:val="000B44EC"/>
    <w:rsid w:val="000B477E"/>
    <w:rsid w:val="000B4E06"/>
    <w:rsid w:val="000B50BF"/>
    <w:rsid w:val="000B5294"/>
    <w:rsid w:val="000B538F"/>
    <w:rsid w:val="000B58F0"/>
    <w:rsid w:val="000B6D86"/>
    <w:rsid w:val="000B6DC3"/>
    <w:rsid w:val="000B7094"/>
    <w:rsid w:val="000B73A4"/>
    <w:rsid w:val="000C00C1"/>
    <w:rsid w:val="000C01D2"/>
    <w:rsid w:val="000C12C4"/>
    <w:rsid w:val="000C1400"/>
    <w:rsid w:val="000C18C7"/>
    <w:rsid w:val="000C1A47"/>
    <w:rsid w:val="000C284A"/>
    <w:rsid w:val="000C2CD6"/>
    <w:rsid w:val="000C2D11"/>
    <w:rsid w:val="000C317D"/>
    <w:rsid w:val="000C3BB2"/>
    <w:rsid w:val="000C3F00"/>
    <w:rsid w:val="000C480F"/>
    <w:rsid w:val="000C5118"/>
    <w:rsid w:val="000C6364"/>
    <w:rsid w:val="000C6744"/>
    <w:rsid w:val="000C68D2"/>
    <w:rsid w:val="000C6C42"/>
    <w:rsid w:val="000C6E60"/>
    <w:rsid w:val="000C6F2A"/>
    <w:rsid w:val="000C71FC"/>
    <w:rsid w:val="000C7530"/>
    <w:rsid w:val="000C75B8"/>
    <w:rsid w:val="000C7973"/>
    <w:rsid w:val="000C7A32"/>
    <w:rsid w:val="000C7BCA"/>
    <w:rsid w:val="000C7D6D"/>
    <w:rsid w:val="000D00CE"/>
    <w:rsid w:val="000D04F7"/>
    <w:rsid w:val="000D1A47"/>
    <w:rsid w:val="000D2626"/>
    <w:rsid w:val="000D2778"/>
    <w:rsid w:val="000D2782"/>
    <w:rsid w:val="000D2B6F"/>
    <w:rsid w:val="000D2B88"/>
    <w:rsid w:val="000D3316"/>
    <w:rsid w:val="000D339A"/>
    <w:rsid w:val="000D3EB8"/>
    <w:rsid w:val="000D4191"/>
    <w:rsid w:val="000D46FE"/>
    <w:rsid w:val="000D4E36"/>
    <w:rsid w:val="000D52E5"/>
    <w:rsid w:val="000D52E9"/>
    <w:rsid w:val="000D5890"/>
    <w:rsid w:val="000D60C4"/>
    <w:rsid w:val="000D62FD"/>
    <w:rsid w:val="000D6437"/>
    <w:rsid w:val="000D66F9"/>
    <w:rsid w:val="000D68DD"/>
    <w:rsid w:val="000D7021"/>
    <w:rsid w:val="000D71A0"/>
    <w:rsid w:val="000D79CA"/>
    <w:rsid w:val="000D7FB2"/>
    <w:rsid w:val="000E0A15"/>
    <w:rsid w:val="000E152F"/>
    <w:rsid w:val="000E2415"/>
    <w:rsid w:val="000E2419"/>
    <w:rsid w:val="000E28DD"/>
    <w:rsid w:val="000E2F14"/>
    <w:rsid w:val="000E3B2C"/>
    <w:rsid w:val="000E3E86"/>
    <w:rsid w:val="000E4938"/>
    <w:rsid w:val="000E4A6D"/>
    <w:rsid w:val="000E4D15"/>
    <w:rsid w:val="000E4FEF"/>
    <w:rsid w:val="000E5119"/>
    <w:rsid w:val="000E5AF0"/>
    <w:rsid w:val="000E62E7"/>
    <w:rsid w:val="000E69EE"/>
    <w:rsid w:val="000E6AC7"/>
    <w:rsid w:val="000E6C6A"/>
    <w:rsid w:val="000E77E6"/>
    <w:rsid w:val="000E7956"/>
    <w:rsid w:val="000E7DA8"/>
    <w:rsid w:val="000F02F0"/>
    <w:rsid w:val="000F081C"/>
    <w:rsid w:val="000F0D96"/>
    <w:rsid w:val="000F0E27"/>
    <w:rsid w:val="000F0E61"/>
    <w:rsid w:val="000F11D7"/>
    <w:rsid w:val="000F128B"/>
    <w:rsid w:val="000F13A8"/>
    <w:rsid w:val="000F197D"/>
    <w:rsid w:val="000F1ABF"/>
    <w:rsid w:val="000F1BF0"/>
    <w:rsid w:val="000F1C40"/>
    <w:rsid w:val="000F258F"/>
    <w:rsid w:val="000F260B"/>
    <w:rsid w:val="000F271F"/>
    <w:rsid w:val="000F396E"/>
    <w:rsid w:val="000F3FD7"/>
    <w:rsid w:val="000F449B"/>
    <w:rsid w:val="000F44DC"/>
    <w:rsid w:val="000F4584"/>
    <w:rsid w:val="000F46B6"/>
    <w:rsid w:val="000F4F08"/>
    <w:rsid w:val="000F51AD"/>
    <w:rsid w:val="000F5217"/>
    <w:rsid w:val="000F5A6A"/>
    <w:rsid w:val="000F6319"/>
    <w:rsid w:val="000F6634"/>
    <w:rsid w:val="000F6A73"/>
    <w:rsid w:val="000F6CFA"/>
    <w:rsid w:val="000F6F9D"/>
    <w:rsid w:val="000F70D7"/>
    <w:rsid w:val="000F7331"/>
    <w:rsid w:val="0010038E"/>
    <w:rsid w:val="00100508"/>
    <w:rsid w:val="0010053E"/>
    <w:rsid w:val="00100D0A"/>
    <w:rsid w:val="00101378"/>
    <w:rsid w:val="001013E4"/>
    <w:rsid w:val="00101A0C"/>
    <w:rsid w:val="0010271B"/>
    <w:rsid w:val="0010276C"/>
    <w:rsid w:val="001029E3"/>
    <w:rsid w:val="00103719"/>
    <w:rsid w:val="0010373C"/>
    <w:rsid w:val="00103843"/>
    <w:rsid w:val="00104584"/>
    <w:rsid w:val="001047A7"/>
    <w:rsid w:val="0010532F"/>
    <w:rsid w:val="0010570F"/>
    <w:rsid w:val="001057E6"/>
    <w:rsid w:val="001058C1"/>
    <w:rsid w:val="00105B66"/>
    <w:rsid w:val="00105C89"/>
    <w:rsid w:val="00105ED3"/>
    <w:rsid w:val="00106085"/>
    <w:rsid w:val="001063E5"/>
    <w:rsid w:val="00106D29"/>
    <w:rsid w:val="00107119"/>
    <w:rsid w:val="0010748B"/>
    <w:rsid w:val="0010773C"/>
    <w:rsid w:val="00107C15"/>
    <w:rsid w:val="00107C68"/>
    <w:rsid w:val="00107D7B"/>
    <w:rsid w:val="00110000"/>
    <w:rsid w:val="00110AAB"/>
    <w:rsid w:val="0011163C"/>
    <w:rsid w:val="0011196A"/>
    <w:rsid w:val="001119CB"/>
    <w:rsid w:val="00111A30"/>
    <w:rsid w:val="001120A0"/>
    <w:rsid w:val="001131EE"/>
    <w:rsid w:val="0011383E"/>
    <w:rsid w:val="00113FCA"/>
    <w:rsid w:val="0011434E"/>
    <w:rsid w:val="0011461B"/>
    <w:rsid w:val="00114684"/>
    <w:rsid w:val="00115B83"/>
    <w:rsid w:val="00115C33"/>
    <w:rsid w:val="00115E28"/>
    <w:rsid w:val="00115F72"/>
    <w:rsid w:val="001162D5"/>
    <w:rsid w:val="00116AFB"/>
    <w:rsid w:val="00116E73"/>
    <w:rsid w:val="0011783F"/>
    <w:rsid w:val="00117D8B"/>
    <w:rsid w:val="001200E0"/>
    <w:rsid w:val="0012032E"/>
    <w:rsid w:val="00120C39"/>
    <w:rsid w:val="001213ED"/>
    <w:rsid w:val="00121A2F"/>
    <w:rsid w:val="00121C74"/>
    <w:rsid w:val="00122203"/>
    <w:rsid w:val="0012234B"/>
    <w:rsid w:val="00123314"/>
    <w:rsid w:val="001238CF"/>
    <w:rsid w:val="001239F8"/>
    <w:rsid w:val="00123DAB"/>
    <w:rsid w:val="00123FE5"/>
    <w:rsid w:val="0012407D"/>
    <w:rsid w:val="001241C2"/>
    <w:rsid w:val="001242FC"/>
    <w:rsid w:val="00124DE3"/>
    <w:rsid w:val="00125150"/>
    <w:rsid w:val="001252BA"/>
    <w:rsid w:val="00125A6B"/>
    <w:rsid w:val="00126187"/>
    <w:rsid w:val="001268FF"/>
    <w:rsid w:val="00126A92"/>
    <w:rsid w:val="001274C6"/>
    <w:rsid w:val="00127712"/>
    <w:rsid w:val="00127971"/>
    <w:rsid w:val="001302F4"/>
    <w:rsid w:val="001309B0"/>
    <w:rsid w:val="00130B40"/>
    <w:rsid w:val="001310C1"/>
    <w:rsid w:val="001319FD"/>
    <w:rsid w:val="00131F73"/>
    <w:rsid w:val="001328A6"/>
    <w:rsid w:val="00132D4E"/>
    <w:rsid w:val="001335AE"/>
    <w:rsid w:val="00133752"/>
    <w:rsid w:val="001345AA"/>
    <w:rsid w:val="00134996"/>
    <w:rsid w:val="00134A97"/>
    <w:rsid w:val="00134BDF"/>
    <w:rsid w:val="00134D48"/>
    <w:rsid w:val="001357A2"/>
    <w:rsid w:val="00135D2F"/>
    <w:rsid w:val="001362DF"/>
    <w:rsid w:val="00136F55"/>
    <w:rsid w:val="00137886"/>
    <w:rsid w:val="0013788B"/>
    <w:rsid w:val="00137EF2"/>
    <w:rsid w:val="0014005D"/>
    <w:rsid w:val="00140154"/>
    <w:rsid w:val="00140432"/>
    <w:rsid w:val="001404F1"/>
    <w:rsid w:val="00140A63"/>
    <w:rsid w:val="00140F04"/>
    <w:rsid w:val="00141003"/>
    <w:rsid w:val="0014144C"/>
    <w:rsid w:val="00141758"/>
    <w:rsid w:val="0014184F"/>
    <w:rsid w:val="00141BA6"/>
    <w:rsid w:val="00141BAE"/>
    <w:rsid w:val="00142436"/>
    <w:rsid w:val="001426EB"/>
    <w:rsid w:val="001427AC"/>
    <w:rsid w:val="00142A1A"/>
    <w:rsid w:val="001430F4"/>
    <w:rsid w:val="00144413"/>
    <w:rsid w:val="001456F2"/>
    <w:rsid w:val="00145947"/>
    <w:rsid w:val="001459E6"/>
    <w:rsid w:val="001468CD"/>
    <w:rsid w:val="00146D1E"/>
    <w:rsid w:val="00150D95"/>
    <w:rsid w:val="00150FF6"/>
    <w:rsid w:val="001511FA"/>
    <w:rsid w:val="00151559"/>
    <w:rsid w:val="00151B44"/>
    <w:rsid w:val="00151F77"/>
    <w:rsid w:val="00151FF5"/>
    <w:rsid w:val="00152717"/>
    <w:rsid w:val="00152891"/>
    <w:rsid w:val="001528D3"/>
    <w:rsid w:val="001533B5"/>
    <w:rsid w:val="00153558"/>
    <w:rsid w:val="00153837"/>
    <w:rsid w:val="00153F4C"/>
    <w:rsid w:val="00154485"/>
    <w:rsid w:val="00154F17"/>
    <w:rsid w:val="0015566B"/>
    <w:rsid w:val="00155A0E"/>
    <w:rsid w:val="00155DC8"/>
    <w:rsid w:val="00155E57"/>
    <w:rsid w:val="00155F98"/>
    <w:rsid w:val="00157339"/>
    <w:rsid w:val="00157ADD"/>
    <w:rsid w:val="0016033B"/>
    <w:rsid w:val="0016074A"/>
    <w:rsid w:val="001612C7"/>
    <w:rsid w:val="0016156E"/>
    <w:rsid w:val="00161972"/>
    <w:rsid w:val="00163007"/>
    <w:rsid w:val="001631E0"/>
    <w:rsid w:val="00163C0B"/>
    <w:rsid w:val="0016447D"/>
    <w:rsid w:val="00164567"/>
    <w:rsid w:val="001648ED"/>
    <w:rsid w:val="00164E70"/>
    <w:rsid w:val="00164ED4"/>
    <w:rsid w:val="00164F07"/>
    <w:rsid w:val="00165037"/>
    <w:rsid w:val="0016522A"/>
    <w:rsid w:val="00165FB8"/>
    <w:rsid w:val="001667E6"/>
    <w:rsid w:val="001668D3"/>
    <w:rsid w:val="0016690F"/>
    <w:rsid w:val="00166913"/>
    <w:rsid w:val="00166CC5"/>
    <w:rsid w:val="00166F75"/>
    <w:rsid w:val="001671B0"/>
    <w:rsid w:val="001674BE"/>
    <w:rsid w:val="00167DA1"/>
    <w:rsid w:val="00170954"/>
    <w:rsid w:val="00170ACB"/>
    <w:rsid w:val="00171458"/>
    <w:rsid w:val="00172890"/>
    <w:rsid w:val="0017299E"/>
    <w:rsid w:val="00172AAB"/>
    <w:rsid w:val="00172B36"/>
    <w:rsid w:val="0017305C"/>
    <w:rsid w:val="001743D0"/>
    <w:rsid w:val="00174972"/>
    <w:rsid w:val="00175154"/>
    <w:rsid w:val="001756C0"/>
    <w:rsid w:val="001756FA"/>
    <w:rsid w:val="0017585E"/>
    <w:rsid w:val="00175D77"/>
    <w:rsid w:val="00176103"/>
    <w:rsid w:val="00176481"/>
    <w:rsid w:val="00176730"/>
    <w:rsid w:val="00176D67"/>
    <w:rsid w:val="00177746"/>
    <w:rsid w:val="00177927"/>
    <w:rsid w:val="00180016"/>
    <w:rsid w:val="00180290"/>
    <w:rsid w:val="00180FE1"/>
    <w:rsid w:val="0018138E"/>
    <w:rsid w:val="001815FF"/>
    <w:rsid w:val="00181BE3"/>
    <w:rsid w:val="00182626"/>
    <w:rsid w:val="001829D1"/>
    <w:rsid w:val="00182DEF"/>
    <w:rsid w:val="00183123"/>
    <w:rsid w:val="00183247"/>
    <w:rsid w:val="00183C0F"/>
    <w:rsid w:val="00183F5E"/>
    <w:rsid w:val="001841DC"/>
    <w:rsid w:val="001844B5"/>
    <w:rsid w:val="001845F2"/>
    <w:rsid w:val="00184FFD"/>
    <w:rsid w:val="0018514A"/>
    <w:rsid w:val="00185409"/>
    <w:rsid w:val="00185D5B"/>
    <w:rsid w:val="00186900"/>
    <w:rsid w:val="00186AD8"/>
    <w:rsid w:val="00187182"/>
    <w:rsid w:val="00187230"/>
    <w:rsid w:val="0018780F"/>
    <w:rsid w:val="00187B31"/>
    <w:rsid w:val="00187B7E"/>
    <w:rsid w:val="0019004C"/>
    <w:rsid w:val="001907DE"/>
    <w:rsid w:val="00190C72"/>
    <w:rsid w:val="00190F0B"/>
    <w:rsid w:val="00192288"/>
    <w:rsid w:val="00192320"/>
    <w:rsid w:val="00192E04"/>
    <w:rsid w:val="00192E26"/>
    <w:rsid w:val="00192FDA"/>
    <w:rsid w:val="001932D8"/>
    <w:rsid w:val="001937DF"/>
    <w:rsid w:val="00193819"/>
    <w:rsid w:val="00193C62"/>
    <w:rsid w:val="00193D88"/>
    <w:rsid w:val="001940C9"/>
    <w:rsid w:val="00194A27"/>
    <w:rsid w:val="00194C7F"/>
    <w:rsid w:val="00194E84"/>
    <w:rsid w:val="00194F3C"/>
    <w:rsid w:val="001953CF"/>
    <w:rsid w:val="00195A5A"/>
    <w:rsid w:val="00195EDC"/>
    <w:rsid w:val="00196334"/>
    <w:rsid w:val="00196703"/>
    <w:rsid w:val="00196B58"/>
    <w:rsid w:val="00197084"/>
    <w:rsid w:val="001972D6"/>
    <w:rsid w:val="0019780A"/>
    <w:rsid w:val="001A02F0"/>
    <w:rsid w:val="001A1056"/>
    <w:rsid w:val="001A1741"/>
    <w:rsid w:val="001A212F"/>
    <w:rsid w:val="001A2247"/>
    <w:rsid w:val="001A3115"/>
    <w:rsid w:val="001A3225"/>
    <w:rsid w:val="001A3323"/>
    <w:rsid w:val="001A437C"/>
    <w:rsid w:val="001A4589"/>
    <w:rsid w:val="001A4856"/>
    <w:rsid w:val="001A5133"/>
    <w:rsid w:val="001A5351"/>
    <w:rsid w:val="001A536A"/>
    <w:rsid w:val="001A55D4"/>
    <w:rsid w:val="001A6A20"/>
    <w:rsid w:val="001A6C20"/>
    <w:rsid w:val="001A71BC"/>
    <w:rsid w:val="001A7518"/>
    <w:rsid w:val="001A78DB"/>
    <w:rsid w:val="001A7A3B"/>
    <w:rsid w:val="001A7ADE"/>
    <w:rsid w:val="001A7B6B"/>
    <w:rsid w:val="001A7C78"/>
    <w:rsid w:val="001A7FA2"/>
    <w:rsid w:val="001B015F"/>
    <w:rsid w:val="001B0680"/>
    <w:rsid w:val="001B0F45"/>
    <w:rsid w:val="001B1587"/>
    <w:rsid w:val="001B1D91"/>
    <w:rsid w:val="001B1F8D"/>
    <w:rsid w:val="001B217D"/>
    <w:rsid w:val="001B2307"/>
    <w:rsid w:val="001B2EA3"/>
    <w:rsid w:val="001B306B"/>
    <w:rsid w:val="001B366F"/>
    <w:rsid w:val="001B4159"/>
    <w:rsid w:val="001B4650"/>
    <w:rsid w:val="001B50B6"/>
    <w:rsid w:val="001B5273"/>
    <w:rsid w:val="001B596A"/>
    <w:rsid w:val="001B6987"/>
    <w:rsid w:val="001B6CAA"/>
    <w:rsid w:val="001B6E51"/>
    <w:rsid w:val="001B7802"/>
    <w:rsid w:val="001C0D73"/>
    <w:rsid w:val="001C0D9D"/>
    <w:rsid w:val="001C0FCF"/>
    <w:rsid w:val="001C100B"/>
    <w:rsid w:val="001C126B"/>
    <w:rsid w:val="001C1375"/>
    <w:rsid w:val="001C1941"/>
    <w:rsid w:val="001C1D4A"/>
    <w:rsid w:val="001C1FB1"/>
    <w:rsid w:val="001C209B"/>
    <w:rsid w:val="001C26D9"/>
    <w:rsid w:val="001C2AB0"/>
    <w:rsid w:val="001C314C"/>
    <w:rsid w:val="001C327F"/>
    <w:rsid w:val="001C3949"/>
    <w:rsid w:val="001C4828"/>
    <w:rsid w:val="001C50FD"/>
    <w:rsid w:val="001C546A"/>
    <w:rsid w:val="001C5CDE"/>
    <w:rsid w:val="001C5D92"/>
    <w:rsid w:val="001C62D1"/>
    <w:rsid w:val="001C65DC"/>
    <w:rsid w:val="001C67F4"/>
    <w:rsid w:val="001C6B04"/>
    <w:rsid w:val="001D04B5"/>
    <w:rsid w:val="001D09ED"/>
    <w:rsid w:val="001D0A6A"/>
    <w:rsid w:val="001D1053"/>
    <w:rsid w:val="001D135F"/>
    <w:rsid w:val="001D1EDC"/>
    <w:rsid w:val="001D3038"/>
    <w:rsid w:val="001D308B"/>
    <w:rsid w:val="001D331E"/>
    <w:rsid w:val="001D3682"/>
    <w:rsid w:val="001D38A6"/>
    <w:rsid w:val="001D3D79"/>
    <w:rsid w:val="001D3DCC"/>
    <w:rsid w:val="001D479E"/>
    <w:rsid w:val="001D4D69"/>
    <w:rsid w:val="001D50F5"/>
    <w:rsid w:val="001D59B3"/>
    <w:rsid w:val="001D613C"/>
    <w:rsid w:val="001D61DB"/>
    <w:rsid w:val="001D62F3"/>
    <w:rsid w:val="001D6533"/>
    <w:rsid w:val="001D66DB"/>
    <w:rsid w:val="001D6BFB"/>
    <w:rsid w:val="001D6D78"/>
    <w:rsid w:val="001D728B"/>
    <w:rsid w:val="001D7880"/>
    <w:rsid w:val="001D7AEE"/>
    <w:rsid w:val="001E0311"/>
    <w:rsid w:val="001E0FD5"/>
    <w:rsid w:val="001E1665"/>
    <w:rsid w:val="001E1E97"/>
    <w:rsid w:val="001E21A4"/>
    <w:rsid w:val="001E247D"/>
    <w:rsid w:val="001E26F4"/>
    <w:rsid w:val="001E287A"/>
    <w:rsid w:val="001E2893"/>
    <w:rsid w:val="001E2FF5"/>
    <w:rsid w:val="001E398C"/>
    <w:rsid w:val="001E3E1C"/>
    <w:rsid w:val="001E4063"/>
    <w:rsid w:val="001E4696"/>
    <w:rsid w:val="001E47F4"/>
    <w:rsid w:val="001E507B"/>
    <w:rsid w:val="001E5203"/>
    <w:rsid w:val="001E523F"/>
    <w:rsid w:val="001E57E4"/>
    <w:rsid w:val="001E5DD6"/>
    <w:rsid w:val="001E6133"/>
    <w:rsid w:val="001E7110"/>
    <w:rsid w:val="001E799D"/>
    <w:rsid w:val="001E7AAE"/>
    <w:rsid w:val="001E7C18"/>
    <w:rsid w:val="001E7D1A"/>
    <w:rsid w:val="001F015F"/>
    <w:rsid w:val="001F0393"/>
    <w:rsid w:val="001F0746"/>
    <w:rsid w:val="001F0901"/>
    <w:rsid w:val="001F09F4"/>
    <w:rsid w:val="001F0CA6"/>
    <w:rsid w:val="001F1002"/>
    <w:rsid w:val="001F1CD1"/>
    <w:rsid w:val="001F22F4"/>
    <w:rsid w:val="001F25DD"/>
    <w:rsid w:val="001F2CCD"/>
    <w:rsid w:val="001F3D85"/>
    <w:rsid w:val="001F4531"/>
    <w:rsid w:val="001F4EC5"/>
    <w:rsid w:val="001F520B"/>
    <w:rsid w:val="001F52F1"/>
    <w:rsid w:val="001F5806"/>
    <w:rsid w:val="001F5901"/>
    <w:rsid w:val="001F5A8D"/>
    <w:rsid w:val="001F5B54"/>
    <w:rsid w:val="001F63F4"/>
    <w:rsid w:val="001F6E67"/>
    <w:rsid w:val="001F7238"/>
    <w:rsid w:val="001F7DBF"/>
    <w:rsid w:val="001F7ED0"/>
    <w:rsid w:val="001F7EEC"/>
    <w:rsid w:val="002002BC"/>
    <w:rsid w:val="00200697"/>
    <w:rsid w:val="00200B5A"/>
    <w:rsid w:val="0020128D"/>
    <w:rsid w:val="00201920"/>
    <w:rsid w:val="00201F46"/>
    <w:rsid w:val="00202180"/>
    <w:rsid w:val="00202643"/>
    <w:rsid w:val="0020295D"/>
    <w:rsid w:val="00202BA1"/>
    <w:rsid w:val="0020416B"/>
    <w:rsid w:val="00204229"/>
    <w:rsid w:val="002049AC"/>
    <w:rsid w:val="00204A50"/>
    <w:rsid w:val="00204E1A"/>
    <w:rsid w:val="00205504"/>
    <w:rsid w:val="0020592A"/>
    <w:rsid w:val="002068B4"/>
    <w:rsid w:val="0020691E"/>
    <w:rsid w:val="0020767D"/>
    <w:rsid w:val="00207F3C"/>
    <w:rsid w:val="00210257"/>
    <w:rsid w:val="00210333"/>
    <w:rsid w:val="00211F64"/>
    <w:rsid w:val="00212A4D"/>
    <w:rsid w:val="00213B3A"/>
    <w:rsid w:val="00214502"/>
    <w:rsid w:val="002148AB"/>
    <w:rsid w:val="00214AD0"/>
    <w:rsid w:val="00215281"/>
    <w:rsid w:val="00215679"/>
    <w:rsid w:val="0021583F"/>
    <w:rsid w:val="00215B54"/>
    <w:rsid w:val="00215C1E"/>
    <w:rsid w:val="002162CC"/>
    <w:rsid w:val="002167A0"/>
    <w:rsid w:val="002169C3"/>
    <w:rsid w:val="00216C47"/>
    <w:rsid w:val="00216C76"/>
    <w:rsid w:val="00217496"/>
    <w:rsid w:val="00217532"/>
    <w:rsid w:val="002176C0"/>
    <w:rsid w:val="002214F9"/>
    <w:rsid w:val="0022177E"/>
    <w:rsid w:val="00222000"/>
    <w:rsid w:val="00222550"/>
    <w:rsid w:val="002236D8"/>
    <w:rsid w:val="002237F4"/>
    <w:rsid w:val="002239CE"/>
    <w:rsid w:val="0022407A"/>
    <w:rsid w:val="00224756"/>
    <w:rsid w:val="002248D8"/>
    <w:rsid w:val="00224D79"/>
    <w:rsid w:val="00224ED3"/>
    <w:rsid w:val="00225028"/>
    <w:rsid w:val="002251F7"/>
    <w:rsid w:val="002258F8"/>
    <w:rsid w:val="0022657A"/>
    <w:rsid w:val="002269BD"/>
    <w:rsid w:val="00227511"/>
    <w:rsid w:val="00227889"/>
    <w:rsid w:val="00227C3D"/>
    <w:rsid w:val="00227E84"/>
    <w:rsid w:val="002301B4"/>
    <w:rsid w:val="00230C11"/>
    <w:rsid w:val="00231F67"/>
    <w:rsid w:val="00232295"/>
    <w:rsid w:val="0023245E"/>
    <w:rsid w:val="00232834"/>
    <w:rsid w:val="00232A17"/>
    <w:rsid w:val="00233040"/>
    <w:rsid w:val="00233760"/>
    <w:rsid w:val="002337A3"/>
    <w:rsid w:val="00234475"/>
    <w:rsid w:val="002347A0"/>
    <w:rsid w:val="00234811"/>
    <w:rsid w:val="002349B4"/>
    <w:rsid w:val="00234DB9"/>
    <w:rsid w:val="00235482"/>
    <w:rsid w:val="00235CFF"/>
    <w:rsid w:val="00235D02"/>
    <w:rsid w:val="0023668C"/>
    <w:rsid w:val="00236B0C"/>
    <w:rsid w:val="00236CBD"/>
    <w:rsid w:val="0023748B"/>
    <w:rsid w:val="0023756E"/>
    <w:rsid w:val="002376BC"/>
    <w:rsid w:val="00237C87"/>
    <w:rsid w:val="0024081C"/>
    <w:rsid w:val="00240EEE"/>
    <w:rsid w:val="002417E7"/>
    <w:rsid w:val="00241A89"/>
    <w:rsid w:val="00242078"/>
    <w:rsid w:val="0024276A"/>
    <w:rsid w:val="00243981"/>
    <w:rsid w:val="00243AC0"/>
    <w:rsid w:val="00243C4D"/>
    <w:rsid w:val="00243DB7"/>
    <w:rsid w:val="00243DE4"/>
    <w:rsid w:val="00243E1A"/>
    <w:rsid w:val="002443BE"/>
    <w:rsid w:val="00244BA7"/>
    <w:rsid w:val="002452B3"/>
    <w:rsid w:val="00245855"/>
    <w:rsid w:val="00245D46"/>
    <w:rsid w:val="00245DF0"/>
    <w:rsid w:val="002464BE"/>
    <w:rsid w:val="00246566"/>
    <w:rsid w:val="00246861"/>
    <w:rsid w:val="00246864"/>
    <w:rsid w:val="00247101"/>
    <w:rsid w:val="00247430"/>
    <w:rsid w:val="00247465"/>
    <w:rsid w:val="00247564"/>
    <w:rsid w:val="00250304"/>
    <w:rsid w:val="00250416"/>
    <w:rsid w:val="002505FC"/>
    <w:rsid w:val="00250658"/>
    <w:rsid w:val="002509E8"/>
    <w:rsid w:val="00250D43"/>
    <w:rsid w:val="002511CE"/>
    <w:rsid w:val="00251205"/>
    <w:rsid w:val="00251305"/>
    <w:rsid w:val="002514A2"/>
    <w:rsid w:val="00251736"/>
    <w:rsid w:val="00251D0A"/>
    <w:rsid w:val="002522C9"/>
    <w:rsid w:val="0025260D"/>
    <w:rsid w:val="002526B1"/>
    <w:rsid w:val="002528D8"/>
    <w:rsid w:val="00252DFE"/>
    <w:rsid w:val="00253456"/>
    <w:rsid w:val="002534CD"/>
    <w:rsid w:val="00253691"/>
    <w:rsid w:val="00253F99"/>
    <w:rsid w:val="0025541D"/>
    <w:rsid w:val="002554E8"/>
    <w:rsid w:val="00255628"/>
    <w:rsid w:val="00255751"/>
    <w:rsid w:val="00255C6E"/>
    <w:rsid w:val="00256252"/>
    <w:rsid w:val="002562D9"/>
    <w:rsid w:val="002562FB"/>
    <w:rsid w:val="0025688B"/>
    <w:rsid w:val="00256EAC"/>
    <w:rsid w:val="0025705B"/>
    <w:rsid w:val="00257272"/>
    <w:rsid w:val="00257C3B"/>
    <w:rsid w:val="00257DFB"/>
    <w:rsid w:val="0026031F"/>
    <w:rsid w:val="0026074E"/>
    <w:rsid w:val="002613D2"/>
    <w:rsid w:val="00262602"/>
    <w:rsid w:val="0026394F"/>
    <w:rsid w:val="00263D17"/>
    <w:rsid w:val="002642D0"/>
    <w:rsid w:val="0026435E"/>
    <w:rsid w:val="00264519"/>
    <w:rsid w:val="00264A6E"/>
    <w:rsid w:val="00264EB4"/>
    <w:rsid w:val="002659C9"/>
    <w:rsid w:val="002667D0"/>
    <w:rsid w:val="0026693E"/>
    <w:rsid w:val="00266BD7"/>
    <w:rsid w:val="00267D9D"/>
    <w:rsid w:val="002703DA"/>
    <w:rsid w:val="002704EB"/>
    <w:rsid w:val="002711DA"/>
    <w:rsid w:val="002712B2"/>
    <w:rsid w:val="002730BF"/>
    <w:rsid w:val="0027334B"/>
    <w:rsid w:val="00273A68"/>
    <w:rsid w:val="002745E2"/>
    <w:rsid w:val="002747B6"/>
    <w:rsid w:val="00274F66"/>
    <w:rsid w:val="00275C92"/>
    <w:rsid w:val="00275EF1"/>
    <w:rsid w:val="00275FA3"/>
    <w:rsid w:val="00276193"/>
    <w:rsid w:val="0027622D"/>
    <w:rsid w:val="002763FE"/>
    <w:rsid w:val="00276C84"/>
    <w:rsid w:val="002775DE"/>
    <w:rsid w:val="00277973"/>
    <w:rsid w:val="00277BD0"/>
    <w:rsid w:val="002800FB"/>
    <w:rsid w:val="0028058A"/>
    <w:rsid w:val="002806EB"/>
    <w:rsid w:val="00280891"/>
    <w:rsid w:val="002808A0"/>
    <w:rsid w:val="002809A2"/>
    <w:rsid w:val="002811C3"/>
    <w:rsid w:val="00281339"/>
    <w:rsid w:val="00281FCA"/>
    <w:rsid w:val="002821B3"/>
    <w:rsid w:val="00282462"/>
    <w:rsid w:val="00282613"/>
    <w:rsid w:val="00282DF2"/>
    <w:rsid w:val="002839EC"/>
    <w:rsid w:val="00284604"/>
    <w:rsid w:val="00284DB1"/>
    <w:rsid w:val="0028500C"/>
    <w:rsid w:val="00285222"/>
    <w:rsid w:val="00285DDC"/>
    <w:rsid w:val="00285FE1"/>
    <w:rsid w:val="002863A3"/>
    <w:rsid w:val="00286742"/>
    <w:rsid w:val="00286F4B"/>
    <w:rsid w:val="002879DF"/>
    <w:rsid w:val="00287B60"/>
    <w:rsid w:val="00287CDE"/>
    <w:rsid w:val="00287D16"/>
    <w:rsid w:val="00287E7B"/>
    <w:rsid w:val="00290B08"/>
    <w:rsid w:val="00291454"/>
    <w:rsid w:val="0029176E"/>
    <w:rsid w:val="0029253F"/>
    <w:rsid w:val="00292839"/>
    <w:rsid w:val="0029286E"/>
    <w:rsid w:val="00292A51"/>
    <w:rsid w:val="00292E52"/>
    <w:rsid w:val="002933B8"/>
    <w:rsid w:val="00293667"/>
    <w:rsid w:val="00294884"/>
    <w:rsid w:val="00294E0C"/>
    <w:rsid w:val="00295734"/>
    <w:rsid w:val="0029589B"/>
    <w:rsid w:val="00295CC5"/>
    <w:rsid w:val="002965A4"/>
    <w:rsid w:val="0029683F"/>
    <w:rsid w:val="00297246"/>
    <w:rsid w:val="00297359"/>
    <w:rsid w:val="002975AB"/>
    <w:rsid w:val="00297A66"/>
    <w:rsid w:val="00297C17"/>
    <w:rsid w:val="00297C24"/>
    <w:rsid w:val="00297E85"/>
    <w:rsid w:val="002A0562"/>
    <w:rsid w:val="002A061B"/>
    <w:rsid w:val="002A0A34"/>
    <w:rsid w:val="002A0F23"/>
    <w:rsid w:val="002A101D"/>
    <w:rsid w:val="002A10FD"/>
    <w:rsid w:val="002A285E"/>
    <w:rsid w:val="002A289D"/>
    <w:rsid w:val="002A2902"/>
    <w:rsid w:val="002A431E"/>
    <w:rsid w:val="002A45B8"/>
    <w:rsid w:val="002A48B4"/>
    <w:rsid w:val="002A4DCA"/>
    <w:rsid w:val="002A5CFF"/>
    <w:rsid w:val="002A665E"/>
    <w:rsid w:val="002A6804"/>
    <w:rsid w:val="002A6D25"/>
    <w:rsid w:val="002A6D38"/>
    <w:rsid w:val="002A71CC"/>
    <w:rsid w:val="002A754F"/>
    <w:rsid w:val="002A7EEE"/>
    <w:rsid w:val="002B0600"/>
    <w:rsid w:val="002B070F"/>
    <w:rsid w:val="002B07BA"/>
    <w:rsid w:val="002B0D02"/>
    <w:rsid w:val="002B11F1"/>
    <w:rsid w:val="002B1348"/>
    <w:rsid w:val="002B1480"/>
    <w:rsid w:val="002B19D1"/>
    <w:rsid w:val="002B1C4C"/>
    <w:rsid w:val="002B1EC7"/>
    <w:rsid w:val="002B2338"/>
    <w:rsid w:val="002B2EFB"/>
    <w:rsid w:val="002B40B3"/>
    <w:rsid w:val="002B50F3"/>
    <w:rsid w:val="002B565B"/>
    <w:rsid w:val="002B5BD8"/>
    <w:rsid w:val="002B5D9C"/>
    <w:rsid w:val="002B6418"/>
    <w:rsid w:val="002B670F"/>
    <w:rsid w:val="002B68F6"/>
    <w:rsid w:val="002B714D"/>
    <w:rsid w:val="002B772C"/>
    <w:rsid w:val="002B78F8"/>
    <w:rsid w:val="002B7E7F"/>
    <w:rsid w:val="002B7FB7"/>
    <w:rsid w:val="002C0533"/>
    <w:rsid w:val="002C07AD"/>
    <w:rsid w:val="002C0ABC"/>
    <w:rsid w:val="002C15C9"/>
    <w:rsid w:val="002C210A"/>
    <w:rsid w:val="002C21E0"/>
    <w:rsid w:val="002C2CCD"/>
    <w:rsid w:val="002C2E83"/>
    <w:rsid w:val="002C31D7"/>
    <w:rsid w:val="002C37FE"/>
    <w:rsid w:val="002C3B40"/>
    <w:rsid w:val="002C3F45"/>
    <w:rsid w:val="002C40F3"/>
    <w:rsid w:val="002C49A4"/>
    <w:rsid w:val="002C4A2B"/>
    <w:rsid w:val="002C5B90"/>
    <w:rsid w:val="002C5E6B"/>
    <w:rsid w:val="002C5EA4"/>
    <w:rsid w:val="002C6513"/>
    <w:rsid w:val="002C67F4"/>
    <w:rsid w:val="002C7653"/>
    <w:rsid w:val="002C785A"/>
    <w:rsid w:val="002C7916"/>
    <w:rsid w:val="002D0158"/>
    <w:rsid w:val="002D06EE"/>
    <w:rsid w:val="002D08A0"/>
    <w:rsid w:val="002D0AB9"/>
    <w:rsid w:val="002D10FA"/>
    <w:rsid w:val="002D13C3"/>
    <w:rsid w:val="002D17A4"/>
    <w:rsid w:val="002D1A32"/>
    <w:rsid w:val="002D1AF7"/>
    <w:rsid w:val="002D2141"/>
    <w:rsid w:val="002D22C0"/>
    <w:rsid w:val="002D299E"/>
    <w:rsid w:val="002D31D1"/>
    <w:rsid w:val="002D3873"/>
    <w:rsid w:val="002D38C1"/>
    <w:rsid w:val="002D3ADE"/>
    <w:rsid w:val="002D40A4"/>
    <w:rsid w:val="002D4336"/>
    <w:rsid w:val="002D4840"/>
    <w:rsid w:val="002D4FA7"/>
    <w:rsid w:val="002D54C8"/>
    <w:rsid w:val="002D551A"/>
    <w:rsid w:val="002D5AAF"/>
    <w:rsid w:val="002D6C26"/>
    <w:rsid w:val="002D7549"/>
    <w:rsid w:val="002D79B6"/>
    <w:rsid w:val="002D7E5F"/>
    <w:rsid w:val="002D7F92"/>
    <w:rsid w:val="002E06FE"/>
    <w:rsid w:val="002E077C"/>
    <w:rsid w:val="002E0EB3"/>
    <w:rsid w:val="002E1445"/>
    <w:rsid w:val="002E193A"/>
    <w:rsid w:val="002E1F72"/>
    <w:rsid w:val="002E20DE"/>
    <w:rsid w:val="002E25B4"/>
    <w:rsid w:val="002E2FC5"/>
    <w:rsid w:val="002E32DE"/>
    <w:rsid w:val="002E3393"/>
    <w:rsid w:val="002E373F"/>
    <w:rsid w:val="002E3BED"/>
    <w:rsid w:val="002E3CE4"/>
    <w:rsid w:val="002E402D"/>
    <w:rsid w:val="002E5238"/>
    <w:rsid w:val="002E5AF5"/>
    <w:rsid w:val="002E5BD5"/>
    <w:rsid w:val="002E5DB5"/>
    <w:rsid w:val="002E62F3"/>
    <w:rsid w:val="002E68EF"/>
    <w:rsid w:val="002E6A69"/>
    <w:rsid w:val="002E782A"/>
    <w:rsid w:val="002E7F48"/>
    <w:rsid w:val="002F045E"/>
    <w:rsid w:val="002F0731"/>
    <w:rsid w:val="002F0851"/>
    <w:rsid w:val="002F19A8"/>
    <w:rsid w:val="002F2A76"/>
    <w:rsid w:val="002F2EC7"/>
    <w:rsid w:val="002F3CB9"/>
    <w:rsid w:val="002F4111"/>
    <w:rsid w:val="002F51FD"/>
    <w:rsid w:val="002F5666"/>
    <w:rsid w:val="002F5D24"/>
    <w:rsid w:val="002F61B4"/>
    <w:rsid w:val="002F6259"/>
    <w:rsid w:val="002F6E80"/>
    <w:rsid w:val="002F71BE"/>
    <w:rsid w:val="002F724F"/>
    <w:rsid w:val="002F738A"/>
    <w:rsid w:val="002F7B3E"/>
    <w:rsid w:val="003001E1"/>
    <w:rsid w:val="0030048A"/>
    <w:rsid w:val="00300683"/>
    <w:rsid w:val="00300786"/>
    <w:rsid w:val="00300CCC"/>
    <w:rsid w:val="0030131D"/>
    <w:rsid w:val="003013DA"/>
    <w:rsid w:val="003025D4"/>
    <w:rsid w:val="00302870"/>
    <w:rsid w:val="00302AC7"/>
    <w:rsid w:val="00302C4E"/>
    <w:rsid w:val="003035C9"/>
    <w:rsid w:val="003037C1"/>
    <w:rsid w:val="003037DB"/>
    <w:rsid w:val="00303C00"/>
    <w:rsid w:val="0030405B"/>
    <w:rsid w:val="003042DD"/>
    <w:rsid w:val="003046C7"/>
    <w:rsid w:val="00304B42"/>
    <w:rsid w:val="00304D4C"/>
    <w:rsid w:val="00304E1F"/>
    <w:rsid w:val="00305012"/>
    <w:rsid w:val="003050F4"/>
    <w:rsid w:val="003054AB"/>
    <w:rsid w:val="00305A6B"/>
    <w:rsid w:val="00305E50"/>
    <w:rsid w:val="003063C5"/>
    <w:rsid w:val="0030686E"/>
    <w:rsid w:val="003069E9"/>
    <w:rsid w:val="00306E51"/>
    <w:rsid w:val="003078B5"/>
    <w:rsid w:val="00307F0D"/>
    <w:rsid w:val="00307FEE"/>
    <w:rsid w:val="00310129"/>
    <w:rsid w:val="003111A2"/>
    <w:rsid w:val="00311B80"/>
    <w:rsid w:val="0031211D"/>
    <w:rsid w:val="00312625"/>
    <w:rsid w:val="003126A8"/>
    <w:rsid w:val="003126C3"/>
    <w:rsid w:val="00313B92"/>
    <w:rsid w:val="00313F87"/>
    <w:rsid w:val="0031412D"/>
    <w:rsid w:val="00314343"/>
    <w:rsid w:val="003146DC"/>
    <w:rsid w:val="00314D78"/>
    <w:rsid w:val="00315C80"/>
    <w:rsid w:val="0031667A"/>
    <w:rsid w:val="003166F2"/>
    <w:rsid w:val="003169E6"/>
    <w:rsid w:val="00316F99"/>
    <w:rsid w:val="0031797D"/>
    <w:rsid w:val="00317C47"/>
    <w:rsid w:val="00317FED"/>
    <w:rsid w:val="00320837"/>
    <w:rsid w:val="00320998"/>
    <w:rsid w:val="0032127D"/>
    <w:rsid w:val="00322413"/>
    <w:rsid w:val="0032342B"/>
    <w:rsid w:val="003234A4"/>
    <w:rsid w:val="003238CA"/>
    <w:rsid w:val="00323B32"/>
    <w:rsid w:val="00323E90"/>
    <w:rsid w:val="00324068"/>
    <w:rsid w:val="003246CA"/>
    <w:rsid w:val="00324D5D"/>
    <w:rsid w:val="00324DA4"/>
    <w:rsid w:val="00326162"/>
    <w:rsid w:val="00326364"/>
    <w:rsid w:val="00326FBB"/>
    <w:rsid w:val="00326FC5"/>
    <w:rsid w:val="0032752B"/>
    <w:rsid w:val="00327536"/>
    <w:rsid w:val="00327719"/>
    <w:rsid w:val="0032775C"/>
    <w:rsid w:val="003305BC"/>
    <w:rsid w:val="00330CF7"/>
    <w:rsid w:val="003314D0"/>
    <w:rsid w:val="00331639"/>
    <w:rsid w:val="00331694"/>
    <w:rsid w:val="00331BA3"/>
    <w:rsid w:val="003320DE"/>
    <w:rsid w:val="00332D1D"/>
    <w:rsid w:val="0033307F"/>
    <w:rsid w:val="00333339"/>
    <w:rsid w:val="003335B4"/>
    <w:rsid w:val="003336D9"/>
    <w:rsid w:val="003345EB"/>
    <w:rsid w:val="00334897"/>
    <w:rsid w:val="0033489A"/>
    <w:rsid w:val="00334FEF"/>
    <w:rsid w:val="00334FF8"/>
    <w:rsid w:val="0033530C"/>
    <w:rsid w:val="003353CB"/>
    <w:rsid w:val="0033557D"/>
    <w:rsid w:val="003358B1"/>
    <w:rsid w:val="00335C36"/>
    <w:rsid w:val="00335E17"/>
    <w:rsid w:val="00335F51"/>
    <w:rsid w:val="00336B8C"/>
    <w:rsid w:val="00336E28"/>
    <w:rsid w:val="00336E83"/>
    <w:rsid w:val="00337299"/>
    <w:rsid w:val="00337AEA"/>
    <w:rsid w:val="00337C8A"/>
    <w:rsid w:val="00337FEB"/>
    <w:rsid w:val="00340B95"/>
    <w:rsid w:val="00340C2B"/>
    <w:rsid w:val="00340F71"/>
    <w:rsid w:val="00341A84"/>
    <w:rsid w:val="00341EEB"/>
    <w:rsid w:val="00342651"/>
    <w:rsid w:val="00343D5B"/>
    <w:rsid w:val="00343E00"/>
    <w:rsid w:val="00344F6A"/>
    <w:rsid w:val="003456E6"/>
    <w:rsid w:val="00345787"/>
    <w:rsid w:val="00345936"/>
    <w:rsid w:val="00346316"/>
    <w:rsid w:val="0034636A"/>
    <w:rsid w:val="0034697F"/>
    <w:rsid w:val="00346B68"/>
    <w:rsid w:val="00346B8A"/>
    <w:rsid w:val="00346FCD"/>
    <w:rsid w:val="00347E6B"/>
    <w:rsid w:val="00347F5D"/>
    <w:rsid w:val="00350519"/>
    <w:rsid w:val="0035055A"/>
    <w:rsid w:val="00350964"/>
    <w:rsid w:val="00351300"/>
    <w:rsid w:val="00352597"/>
    <w:rsid w:val="003529DE"/>
    <w:rsid w:val="00352CB9"/>
    <w:rsid w:val="00352CC9"/>
    <w:rsid w:val="00352D54"/>
    <w:rsid w:val="0035310F"/>
    <w:rsid w:val="0035504D"/>
    <w:rsid w:val="0035597E"/>
    <w:rsid w:val="003559FE"/>
    <w:rsid w:val="00355D0D"/>
    <w:rsid w:val="003560CE"/>
    <w:rsid w:val="0035615E"/>
    <w:rsid w:val="00356A7D"/>
    <w:rsid w:val="00356CF3"/>
    <w:rsid w:val="00357EE7"/>
    <w:rsid w:val="0036023A"/>
    <w:rsid w:val="003602D2"/>
    <w:rsid w:val="00360A21"/>
    <w:rsid w:val="00361419"/>
    <w:rsid w:val="00361EAE"/>
    <w:rsid w:val="0036268F"/>
    <w:rsid w:val="00362B80"/>
    <w:rsid w:val="00363237"/>
    <w:rsid w:val="0036374C"/>
    <w:rsid w:val="00364398"/>
    <w:rsid w:val="00364545"/>
    <w:rsid w:val="00364BA6"/>
    <w:rsid w:val="00365415"/>
    <w:rsid w:val="003659BB"/>
    <w:rsid w:val="00365E12"/>
    <w:rsid w:val="00365EEC"/>
    <w:rsid w:val="00366276"/>
    <w:rsid w:val="00366336"/>
    <w:rsid w:val="003663AF"/>
    <w:rsid w:val="00366793"/>
    <w:rsid w:val="00366BD7"/>
    <w:rsid w:val="00366DCD"/>
    <w:rsid w:val="00366DD8"/>
    <w:rsid w:val="00366E9E"/>
    <w:rsid w:val="00366F56"/>
    <w:rsid w:val="0036743D"/>
    <w:rsid w:val="00367A8F"/>
    <w:rsid w:val="00367BBF"/>
    <w:rsid w:val="00367DB6"/>
    <w:rsid w:val="0037016B"/>
    <w:rsid w:val="003707FF"/>
    <w:rsid w:val="00370ADA"/>
    <w:rsid w:val="00370BAF"/>
    <w:rsid w:val="0037125F"/>
    <w:rsid w:val="0037193F"/>
    <w:rsid w:val="003721A5"/>
    <w:rsid w:val="003724E9"/>
    <w:rsid w:val="003726B8"/>
    <w:rsid w:val="00372C82"/>
    <w:rsid w:val="003747A0"/>
    <w:rsid w:val="003747B9"/>
    <w:rsid w:val="00374B03"/>
    <w:rsid w:val="00374DAA"/>
    <w:rsid w:val="003750CA"/>
    <w:rsid w:val="0037542F"/>
    <w:rsid w:val="00376CC6"/>
    <w:rsid w:val="00376E90"/>
    <w:rsid w:val="0037767D"/>
    <w:rsid w:val="00377D7F"/>
    <w:rsid w:val="003800D6"/>
    <w:rsid w:val="00380B00"/>
    <w:rsid w:val="00380D5D"/>
    <w:rsid w:val="00380F24"/>
    <w:rsid w:val="00381785"/>
    <w:rsid w:val="00381802"/>
    <w:rsid w:val="00382111"/>
    <w:rsid w:val="00382511"/>
    <w:rsid w:val="00382AA3"/>
    <w:rsid w:val="00382DF9"/>
    <w:rsid w:val="00382E24"/>
    <w:rsid w:val="003834A6"/>
    <w:rsid w:val="00383542"/>
    <w:rsid w:val="00383F7A"/>
    <w:rsid w:val="00384343"/>
    <w:rsid w:val="00384410"/>
    <w:rsid w:val="00384805"/>
    <w:rsid w:val="00384A05"/>
    <w:rsid w:val="003856DE"/>
    <w:rsid w:val="00385877"/>
    <w:rsid w:val="0038595B"/>
    <w:rsid w:val="00385A83"/>
    <w:rsid w:val="00385D7F"/>
    <w:rsid w:val="00386552"/>
    <w:rsid w:val="00386A42"/>
    <w:rsid w:val="00386A91"/>
    <w:rsid w:val="00386BD1"/>
    <w:rsid w:val="00386E8F"/>
    <w:rsid w:val="0038703B"/>
    <w:rsid w:val="00387C61"/>
    <w:rsid w:val="00391311"/>
    <w:rsid w:val="00391C3A"/>
    <w:rsid w:val="00392293"/>
    <w:rsid w:val="00392480"/>
    <w:rsid w:val="00392A57"/>
    <w:rsid w:val="00392B95"/>
    <w:rsid w:val="00392C9C"/>
    <w:rsid w:val="0039388D"/>
    <w:rsid w:val="00393AD1"/>
    <w:rsid w:val="003944BF"/>
    <w:rsid w:val="00394F95"/>
    <w:rsid w:val="00395063"/>
    <w:rsid w:val="0039556B"/>
    <w:rsid w:val="00395B30"/>
    <w:rsid w:val="00395D3A"/>
    <w:rsid w:val="00396063"/>
    <w:rsid w:val="0039640F"/>
    <w:rsid w:val="00396BD1"/>
    <w:rsid w:val="00397D07"/>
    <w:rsid w:val="00397EEA"/>
    <w:rsid w:val="003A02F3"/>
    <w:rsid w:val="003A0566"/>
    <w:rsid w:val="003A109B"/>
    <w:rsid w:val="003A1446"/>
    <w:rsid w:val="003A1BEB"/>
    <w:rsid w:val="003A2280"/>
    <w:rsid w:val="003A2499"/>
    <w:rsid w:val="003A2995"/>
    <w:rsid w:val="003A3529"/>
    <w:rsid w:val="003A35C1"/>
    <w:rsid w:val="003A3A1C"/>
    <w:rsid w:val="003A3B48"/>
    <w:rsid w:val="003A3DBF"/>
    <w:rsid w:val="003A3E5D"/>
    <w:rsid w:val="003A43C0"/>
    <w:rsid w:val="003A4779"/>
    <w:rsid w:val="003A582F"/>
    <w:rsid w:val="003A5C68"/>
    <w:rsid w:val="003A717C"/>
    <w:rsid w:val="003A739E"/>
    <w:rsid w:val="003A7F0E"/>
    <w:rsid w:val="003B14AA"/>
    <w:rsid w:val="003B14C6"/>
    <w:rsid w:val="003B196B"/>
    <w:rsid w:val="003B1A41"/>
    <w:rsid w:val="003B2270"/>
    <w:rsid w:val="003B28C9"/>
    <w:rsid w:val="003B35AB"/>
    <w:rsid w:val="003B36AD"/>
    <w:rsid w:val="003B3ED1"/>
    <w:rsid w:val="003B4490"/>
    <w:rsid w:val="003B47CD"/>
    <w:rsid w:val="003B4B60"/>
    <w:rsid w:val="003B5903"/>
    <w:rsid w:val="003B66DE"/>
    <w:rsid w:val="003B66E2"/>
    <w:rsid w:val="003B70F9"/>
    <w:rsid w:val="003B763E"/>
    <w:rsid w:val="003C13B9"/>
    <w:rsid w:val="003C1B64"/>
    <w:rsid w:val="003C247E"/>
    <w:rsid w:val="003C2737"/>
    <w:rsid w:val="003C2C85"/>
    <w:rsid w:val="003C3A8C"/>
    <w:rsid w:val="003C56A7"/>
    <w:rsid w:val="003C5862"/>
    <w:rsid w:val="003C6671"/>
    <w:rsid w:val="003C6737"/>
    <w:rsid w:val="003C694E"/>
    <w:rsid w:val="003C6950"/>
    <w:rsid w:val="003C6DD7"/>
    <w:rsid w:val="003C6EA6"/>
    <w:rsid w:val="003C70D9"/>
    <w:rsid w:val="003C71DD"/>
    <w:rsid w:val="003C798B"/>
    <w:rsid w:val="003D07A2"/>
    <w:rsid w:val="003D1247"/>
    <w:rsid w:val="003D2718"/>
    <w:rsid w:val="003D273A"/>
    <w:rsid w:val="003D2BC5"/>
    <w:rsid w:val="003D2C55"/>
    <w:rsid w:val="003D2CE1"/>
    <w:rsid w:val="003D4129"/>
    <w:rsid w:val="003D41B9"/>
    <w:rsid w:val="003D41E3"/>
    <w:rsid w:val="003D421C"/>
    <w:rsid w:val="003D4384"/>
    <w:rsid w:val="003D4713"/>
    <w:rsid w:val="003D482F"/>
    <w:rsid w:val="003D513F"/>
    <w:rsid w:val="003D54F6"/>
    <w:rsid w:val="003D5E31"/>
    <w:rsid w:val="003D612B"/>
    <w:rsid w:val="003D6559"/>
    <w:rsid w:val="003D6C77"/>
    <w:rsid w:val="003D6D83"/>
    <w:rsid w:val="003D6FD6"/>
    <w:rsid w:val="003D725C"/>
    <w:rsid w:val="003D74BF"/>
    <w:rsid w:val="003D777A"/>
    <w:rsid w:val="003D7BD5"/>
    <w:rsid w:val="003D7C43"/>
    <w:rsid w:val="003E0681"/>
    <w:rsid w:val="003E08FE"/>
    <w:rsid w:val="003E0C14"/>
    <w:rsid w:val="003E0DB8"/>
    <w:rsid w:val="003E1EBD"/>
    <w:rsid w:val="003E282E"/>
    <w:rsid w:val="003E30C5"/>
    <w:rsid w:val="003E3427"/>
    <w:rsid w:val="003E3829"/>
    <w:rsid w:val="003E3994"/>
    <w:rsid w:val="003E3F4E"/>
    <w:rsid w:val="003E3F57"/>
    <w:rsid w:val="003E3FF8"/>
    <w:rsid w:val="003E4129"/>
    <w:rsid w:val="003E42A6"/>
    <w:rsid w:val="003E43F4"/>
    <w:rsid w:val="003E4562"/>
    <w:rsid w:val="003E4DBF"/>
    <w:rsid w:val="003E4E20"/>
    <w:rsid w:val="003E505F"/>
    <w:rsid w:val="003E5EAF"/>
    <w:rsid w:val="003E6290"/>
    <w:rsid w:val="003E6471"/>
    <w:rsid w:val="003E75E7"/>
    <w:rsid w:val="003E7816"/>
    <w:rsid w:val="003E7970"/>
    <w:rsid w:val="003E7BD4"/>
    <w:rsid w:val="003F031F"/>
    <w:rsid w:val="003F0655"/>
    <w:rsid w:val="003F0BFF"/>
    <w:rsid w:val="003F0EAA"/>
    <w:rsid w:val="003F21D0"/>
    <w:rsid w:val="003F222A"/>
    <w:rsid w:val="003F22AC"/>
    <w:rsid w:val="003F2DD7"/>
    <w:rsid w:val="003F33B5"/>
    <w:rsid w:val="003F36BF"/>
    <w:rsid w:val="003F3AC3"/>
    <w:rsid w:val="003F3BEC"/>
    <w:rsid w:val="003F3E06"/>
    <w:rsid w:val="003F3FB8"/>
    <w:rsid w:val="003F42A0"/>
    <w:rsid w:val="003F5089"/>
    <w:rsid w:val="003F56F6"/>
    <w:rsid w:val="003F5E54"/>
    <w:rsid w:val="003F68E1"/>
    <w:rsid w:val="003F6938"/>
    <w:rsid w:val="003F6ACD"/>
    <w:rsid w:val="003F6BE9"/>
    <w:rsid w:val="003F7470"/>
    <w:rsid w:val="003F7781"/>
    <w:rsid w:val="003F7895"/>
    <w:rsid w:val="003F7D46"/>
    <w:rsid w:val="004005A3"/>
    <w:rsid w:val="00400754"/>
    <w:rsid w:val="004007A9"/>
    <w:rsid w:val="00400D5C"/>
    <w:rsid w:val="00400DE1"/>
    <w:rsid w:val="00400E6F"/>
    <w:rsid w:val="00400FEA"/>
    <w:rsid w:val="004016B1"/>
    <w:rsid w:val="00401CFC"/>
    <w:rsid w:val="0040212B"/>
    <w:rsid w:val="004022AC"/>
    <w:rsid w:val="004024A9"/>
    <w:rsid w:val="0040325C"/>
    <w:rsid w:val="004039C7"/>
    <w:rsid w:val="00403C4A"/>
    <w:rsid w:val="00404291"/>
    <w:rsid w:val="00404C45"/>
    <w:rsid w:val="004053FC"/>
    <w:rsid w:val="00405686"/>
    <w:rsid w:val="00405724"/>
    <w:rsid w:val="004063D5"/>
    <w:rsid w:val="00406571"/>
    <w:rsid w:val="00407566"/>
    <w:rsid w:val="00410594"/>
    <w:rsid w:val="004107D1"/>
    <w:rsid w:val="004107EC"/>
    <w:rsid w:val="0041085B"/>
    <w:rsid w:val="0041156D"/>
    <w:rsid w:val="00411583"/>
    <w:rsid w:val="00411D44"/>
    <w:rsid w:val="00412509"/>
    <w:rsid w:val="0041257F"/>
    <w:rsid w:val="00412746"/>
    <w:rsid w:val="004127A1"/>
    <w:rsid w:val="00412A7E"/>
    <w:rsid w:val="00412BC4"/>
    <w:rsid w:val="00413CF5"/>
    <w:rsid w:val="00413E27"/>
    <w:rsid w:val="00414501"/>
    <w:rsid w:val="004146AB"/>
    <w:rsid w:val="00414ED1"/>
    <w:rsid w:val="004153DD"/>
    <w:rsid w:val="00415650"/>
    <w:rsid w:val="00415F14"/>
    <w:rsid w:val="00415FE0"/>
    <w:rsid w:val="00416A97"/>
    <w:rsid w:val="00416C22"/>
    <w:rsid w:val="004171B6"/>
    <w:rsid w:val="0041787B"/>
    <w:rsid w:val="004178E6"/>
    <w:rsid w:val="004201CC"/>
    <w:rsid w:val="00420506"/>
    <w:rsid w:val="00420719"/>
    <w:rsid w:val="00420A08"/>
    <w:rsid w:val="00420F9E"/>
    <w:rsid w:val="00421B13"/>
    <w:rsid w:val="004220BF"/>
    <w:rsid w:val="0042228A"/>
    <w:rsid w:val="00422456"/>
    <w:rsid w:val="00422714"/>
    <w:rsid w:val="00422A09"/>
    <w:rsid w:val="00423317"/>
    <w:rsid w:val="004238DC"/>
    <w:rsid w:val="00423EC9"/>
    <w:rsid w:val="004240EA"/>
    <w:rsid w:val="004247E0"/>
    <w:rsid w:val="00425169"/>
    <w:rsid w:val="00425276"/>
    <w:rsid w:val="00425312"/>
    <w:rsid w:val="00425989"/>
    <w:rsid w:val="004261B9"/>
    <w:rsid w:val="0042686D"/>
    <w:rsid w:val="004276CD"/>
    <w:rsid w:val="004278F4"/>
    <w:rsid w:val="00427FE2"/>
    <w:rsid w:val="00427FEC"/>
    <w:rsid w:val="00430416"/>
    <w:rsid w:val="004307BE"/>
    <w:rsid w:val="004313F6"/>
    <w:rsid w:val="00431711"/>
    <w:rsid w:val="0043178B"/>
    <w:rsid w:val="004319E8"/>
    <w:rsid w:val="00431A34"/>
    <w:rsid w:val="00431F91"/>
    <w:rsid w:val="004321BC"/>
    <w:rsid w:val="00432771"/>
    <w:rsid w:val="00432CC6"/>
    <w:rsid w:val="00432F45"/>
    <w:rsid w:val="0043377D"/>
    <w:rsid w:val="00433EBB"/>
    <w:rsid w:val="00433EFB"/>
    <w:rsid w:val="004345AB"/>
    <w:rsid w:val="0043684A"/>
    <w:rsid w:val="00436F3D"/>
    <w:rsid w:val="004374A2"/>
    <w:rsid w:val="00437B14"/>
    <w:rsid w:val="00437CAD"/>
    <w:rsid w:val="00440888"/>
    <w:rsid w:val="004408AF"/>
    <w:rsid w:val="00440C0A"/>
    <w:rsid w:val="00440FD2"/>
    <w:rsid w:val="004418A3"/>
    <w:rsid w:val="00442242"/>
    <w:rsid w:val="00442D04"/>
    <w:rsid w:val="00442EE4"/>
    <w:rsid w:val="00442F65"/>
    <w:rsid w:val="00443456"/>
    <w:rsid w:val="00443639"/>
    <w:rsid w:val="00443C5F"/>
    <w:rsid w:val="00444095"/>
    <w:rsid w:val="004442A0"/>
    <w:rsid w:val="00444A29"/>
    <w:rsid w:val="00444BE2"/>
    <w:rsid w:val="00444ED5"/>
    <w:rsid w:val="00444F3B"/>
    <w:rsid w:val="0044572C"/>
    <w:rsid w:val="00445A09"/>
    <w:rsid w:val="00445BA9"/>
    <w:rsid w:val="0044633C"/>
    <w:rsid w:val="00446452"/>
    <w:rsid w:val="004475B8"/>
    <w:rsid w:val="00447B8C"/>
    <w:rsid w:val="0045074D"/>
    <w:rsid w:val="00450861"/>
    <w:rsid w:val="00451365"/>
    <w:rsid w:val="00451664"/>
    <w:rsid w:val="00451BC5"/>
    <w:rsid w:val="00451C14"/>
    <w:rsid w:val="00452617"/>
    <w:rsid w:val="00452B75"/>
    <w:rsid w:val="00452BD3"/>
    <w:rsid w:val="00452BFD"/>
    <w:rsid w:val="00452F75"/>
    <w:rsid w:val="004531E7"/>
    <w:rsid w:val="00453BF9"/>
    <w:rsid w:val="004542B7"/>
    <w:rsid w:val="00454320"/>
    <w:rsid w:val="00455054"/>
    <w:rsid w:val="00455096"/>
    <w:rsid w:val="00455308"/>
    <w:rsid w:val="00455AC0"/>
    <w:rsid w:val="00455F88"/>
    <w:rsid w:val="00457370"/>
    <w:rsid w:val="00457B5C"/>
    <w:rsid w:val="00460105"/>
    <w:rsid w:val="00460947"/>
    <w:rsid w:val="00460B4B"/>
    <w:rsid w:val="00461329"/>
    <w:rsid w:val="004616F4"/>
    <w:rsid w:val="00461ED0"/>
    <w:rsid w:val="004625A6"/>
    <w:rsid w:val="00462638"/>
    <w:rsid w:val="0046307D"/>
    <w:rsid w:val="004638C1"/>
    <w:rsid w:val="00463AAC"/>
    <w:rsid w:val="00464147"/>
    <w:rsid w:val="004642DF"/>
    <w:rsid w:val="00464B0F"/>
    <w:rsid w:val="0046549C"/>
    <w:rsid w:val="004654F9"/>
    <w:rsid w:val="00465539"/>
    <w:rsid w:val="00465894"/>
    <w:rsid w:val="004660B0"/>
    <w:rsid w:val="00466238"/>
    <w:rsid w:val="00466649"/>
    <w:rsid w:val="004668FC"/>
    <w:rsid w:val="00466940"/>
    <w:rsid w:val="00466AC3"/>
    <w:rsid w:val="00466D90"/>
    <w:rsid w:val="0046725A"/>
    <w:rsid w:val="00467467"/>
    <w:rsid w:val="00467623"/>
    <w:rsid w:val="004676E5"/>
    <w:rsid w:val="00467B6F"/>
    <w:rsid w:val="00470028"/>
    <w:rsid w:val="00470808"/>
    <w:rsid w:val="00470F56"/>
    <w:rsid w:val="00471628"/>
    <w:rsid w:val="004717C4"/>
    <w:rsid w:val="004717EB"/>
    <w:rsid w:val="004726E2"/>
    <w:rsid w:val="00472FDA"/>
    <w:rsid w:val="004730F6"/>
    <w:rsid w:val="00473364"/>
    <w:rsid w:val="00474708"/>
    <w:rsid w:val="00474834"/>
    <w:rsid w:val="00474CD2"/>
    <w:rsid w:val="00474FDF"/>
    <w:rsid w:val="00475004"/>
    <w:rsid w:val="004752E2"/>
    <w:rsid w:val="00475966"/>
    <w:rsid w:val="00475A1B"/>
    <w:rsid w:val="00475E43"/>
    <w:rsid w:val="00476193"/>
    <w:rsid w:val="004761AA"/>
    <w:rsid w:val="004765D0"/>
    <w:rsid w:val="00477113"/>
    <w:rsid w:val="0048059E"/>
    <w:rsid w:val="004809F0"/>
    <w:rsid w:val="00480CB1"/>
    <w:rsid w:val="0048141B"/>
    <w:rsid w:val="00481428"/>
    <w:rsid w:val="00481C4B"/>
    <w:rsid w:val="00482724"/>
    <w:rsid w:val="00482A5F"/>
    <w:rsid w:val="00482CBD"/>
    <w:rsid w:val="00484446"/>
    <w:rsid w:val="004846AA"/>
    <w:rsid w:val="00484A31"/>
    <w:rsid w:val="00484BCF"/>
    <w:rsid w:val="004851A9"/>
    <w:rsid w:val="00485245"/>
    <w:rsid w:val="004854EF"/>
    <w:rsid w:val="004855BD"/>
    <w:rsid w:val="00485861"/>
    <w:rsid w:val="00486205"/>
    <w:rsid w:val="00486246"/>
    <w:rsid w:val="00486458"/>
    <w:rsid w:val="00486511"/>
    <w:rsid w:val="00486528"/>
    <w:rsid w:val="00486741"/>
    <w:rsid w:val="00486952"/>
    <w:rsid w:val="00486A29"/>
    <w:rsid w:val="00487304"/>
    <w:rsid w:val="00487435"/>
    <w:rsid w:val="00487620"/>
    <w:rsid w:val="0048762C"/>
    <w:rsid w:val="00487AFC"/>
    <w:rsid w:val="00487B79"/>
    <w:rsid w:val="00487F25"/>
    <w:rsid w:val="00490669"/>
    <w:rsid w:val="00490842"/>
    <w:rsid w:val="00490F1D"/>
    <w:rsid w:val="00491916"/>
    <w:rsid w:val="00491C60"/>
    <w:rsid w:val="00491D9B"/>
    <w:rsid w:val="00492384"/>
    <w:rsid w:val="00492C93"/>
    <w:rsid w:val="00492D39"/>
    <w:rsid w:val="004930A0"/>
    <w:rsid w:val="004939B3"/>
    <w:rsid w:val="00493EC1"/>
    <w:rsid w:val="00493F2C"/>
    <w:rsid w:val="00495015"/>
    <w:rsid w:val="00495926"/>
    <w:rsid w:val="00496F32"/>
    <w:rsid w:val="0049719D"/>
    <w:rsid w:val="00497728"/>
    <w:rsid w:val="00497759"/>
    <w:rsid w:val="00497B06"/>
    <w:rsid w:val="00497BB7"/>
    <w:rsid w:val="004A03DC"/>
    <w:rsid w:val="004A063E"/>
    <w:rsid w:val="004A0978"/>
    <w:rsid w:val="004A12AC"/>
    <w:rsid w:val="004A1555"/>
    <w:rsid w:val="004A18B0"/>
    <w:rsid w:val="004A1BF0"/>
    <w:rsid w:val="004A1C42"/>
    <w:rsid w:val="004A243A"/>
    <w:rsid w:val="004A2740"/>
    <w:rsid w:val="004A2AAC"/>
    <w:rsid w:val="004A2C40"/>
    <w:rsid w:val="004A337C"/>
    <w:rsid w:val="004A3F56"/>
    <w:rsid w:val="004A5168"/>
    <w:rsid w:val="004A538F"/>
    <w:rsid w:val="004A53BC"/>
    <w:rsid w:val="004A5621"/>
    <w:rsid w:val="004A61F2"/>
    <w:rsid w:val="004A68B6"/>
    <w:rsid w:val="004A729B"/>
    <w:rsid w:val="004A73E1"/>
    <w:rsid w:val="004A752E"/>
    <w:rsid w:val="004A7997"/>
    <w:rsid w:val="004A7DBE"/>
    <w:rsid w:val="004A7F07"/>
    <w:rsid w:val="004B0B21"/>
    <w:rsid w:val="004B1316"/>
    <w:rsid w:val="004B1665"/>
    <w:rsid w:val="004B191F"/>
    <w:rsid w:val="004B1B16"/>
    <w:rsid w:val="004B1F3B"/>
    <w:rsid w:val="004B2DB0"/>
    <w:rsid w:val="004B2F45"/>
    <w:rsid w:val="004B3146"/>
    <w:rsid w:val="004B34F9"/>
    <w:rsid w:val="004B41E8"/>
    <w:rsid w:val="004B4847"/>
    <w:rsid w:val="004B4AB7"/>
    <w:rsid w:val="004B4D30"/>
    <w:rsid w:val="004B4F80"/>
    <w:rsid w:val="004B55D2"/>
    <w:rsid w:val="004B57E8"/>
    <w:rsid w:val="004B5839"/>
    <w:rsid w:val="004B6081"/>
    <w:rsid w:val="004B6111"/>
    <w:rsid w:val="004B6A59"/>
    <w:rsid w:val="004B6A96"/>
    <w:rsid w:val="004B6AB8"/>
    <w:rsid w:val="004B6AD4"/>
    <w:rsid w:val="004B6B78"/>
    <w:rsid w:val="004B6D0B"/>
    <w:rsid w:val="004B6FF6"/>
    <w:rsid w:val="004B7413"/>
    <w:rsid w:val="004B741A"/>
    <w:rsid w:val="004B7B68"/>
    <w:rsid w:val="004B7D4E"/>
    <w:rsid w:val="004B7DE7"/>
    <w:rsid w:val="004B7FCC"/>
    <w:rsid w:val="004C0647"/>
    <w:rsid w:val="004C10E3"/>
    <w:rsid w:val="004C1551"/>
    <w:rsid w:val="004C1C97"/>
    <w:rsid w:val="004C226A"/>
    <w:rsid w:val="004C239B"/>
    <w:rsid w:val="004C255E"/>
    <w:rsid w:val="004C3063"/>
    <w:rsid w:val="004C309E"/>
    <w:rsid w:val="004C3227"/>
    <w:rsid w:val="004C3600"/>
    <w:rsid w:val="004C39DF"/>
    <w:rsid w:val="004C3A35"/>
    <w:rsid w:val="004C3FEE"/>
    <w:rsid w:val="004C4C1B"/>
    <w:rsid w:val="004C4FF6"/>
    <w:rsid w:val="004C5B4D"/>
    <w:rsid w:val="004C629B"/>
    <w:rsid w:val="004C6B8A"/>
    <w:rsid w:val="004C749C"/>
    <w:rsid w:val="004C750F"/>
    <w:rsid w:val="004C7679"/>
    <w:rsid w:val="004C7F37"/>
    <w:rsid w:val="004D0188"/>
    <w:rsid w:val="004D03E6"/>
    <w:rsid w:val="004D05E5"/>
    <w:rsid w:val="004D06F7"/>
    <w:rsid w:val="004D0B98"/>
    <w:rsid w:val="004D0CA9"/>
    <w:rsid w:val="004D0CEB"/>
    <w:rsid w:val="004D0DDF"/>
    <w:rsid w:val="004D21A6"/>
    <w:rsid w:val="004D2278"/>
    <w:rsid w:val="004D2C87"/>
    <w:rsid w:val="004D2CAB"/>
    <w:rsid w:val="004D3840"/>
    <w:rsid w:val="004D3B3F"/>
    <w:rsid w:val="004D3C33"/>
    <w:rsid w:val="004D3E5C"/>
    <w:rsid w:val="004D4287"/>
    <w:rsid w:val="004D4382"/>
    <w:rsid w:val="004D438E"/>
    <w:rsid w:val="004D4FC5"/>
    <w:rsid w:val="004D5134"/>
    <w:rsid w:val="004D52E6"/>
    <w:rsid w:val="004D5457"/>
    <w:rsid w:val="004D549F"/>
    <w:rsid w:val="004D5520"/>
    <w:rsid w:val="004D58EF"/>
    <w:rsid w:val="004D61D7"/>
    <w:rsid w:val="004D63D7"/>
    <w:rsid w:val="004D652E"/>
    <w:rsid w:val="004D6AE6"/>
    <w:rsid w:val="004D6E80"/>
    <w:rsid w:val="004D70BE"/>
    <w:rsid w:val="004D7233"/>
    <w:rsid w:val="004D7FA0"/>
    <w:rsid w:val="004E04D5"/>
    <w:rsid w:val="004E2B4A"/>
    <w:rsid w:val="004E2CE3"/>
    <w:rsid w:val="004E3223"/>
    <w:rsid w:val="004E3C63"/>
    <w:rsid w:val="004E3DB3"/>
    <w:rsid w:val="004E3EBB"/>
    <w:rsid w:val="004E556B"/>
    <w:rsid w:val="004E58F3"/>
    <w:rsid w:val="004E6069"/>
    <w:rsid w:val="004E6205"/>
    <w:rsid w:val="004E6692"/>
    <w:rsid w:val="004E6AE4"/>
    <w:rsid w:val="004E6D04"/>
    <w:rsid w:val="004E7528"/>
    <w:rsid w:val="004E7AEA"/>
    <w:rsid w:val="004E7D6E"/>
    <w:rsid w:val="004E7E95"/>
    <w:rsid w:val="004E7F2D"/>
    <w:rsid w:val="004F061E"/>
    <w:rsid w:val="004F0905"/>
    <w:rsid w:val="004F0AEC"/>
    <w:rsid w:val="004F0F4A"/>
    <w:rsid w:val="004F1485"/>
    <w:rsid w:val="004F19F4"/>
    <w:rsid w:val="004F1AD8"/>
    <w:rsid w:val="004F1E3A"/>
    <w:rsid w:val="004F26C4"/>
    <w:rsid w:val="004F318F"/>
    <w:rsid w:val="004F3577"/>
    <w:rsid w:val="004F3C68"/>
    <w:rsid w:val="004F4133"/>
    <w:rsid w:val="004F476C"/>
    <w:rsid w:val="004F4E33"/>
    <w:rsid w:val="004F50E3"/>
    <w:rsid w:val="004F539D"/>
    <w:rsid w:val="004F56EB"/>
    <w:rsid w:val="004F5D4D"/>
    <w:rsid w:val="004F5F09"/>
    <w:rsid w:val="004F6585"/>
    <w:rsid w:val="004F696D"/>
    <w:rsid w:val="004F6F4B"/>
    <w:rsid w:val="004F73F9"/>
    <w:rsid w:val="004F79F6"/>
    <w:rsid w:val="004F7B99"/>
    <w:rsid w:val="004F7DC8"/>
    <w:rsid w:val="004F7ED4"/>
    <w:rsid w:val="005004CE"/>
    <w:rsid w:val="0050070F"/>
    <w:rsid w:val="00500775"/>
    <w:rsid w:val="00500A17"/>
    <w:rsid w:val="00500BE9"/>
    <w:rsid w:val="00501B32"/>
    <w:rsid w:val="00501BAF"/>
    <w:rsid w:val="00501E23"/>
    <w:rsid w:val="005025B6"/>
    <w:rsid w:val="00502BBC"/>
    <w:rsid w:val="00502CCA"/>
    <w:rsid w:val="00502D48"/>
    <w:rsid w:val="00502DD0"/>
    <w:rsid w:val="00502F2A"/>
    <w:rsid w:val="0050323B"/>
    <w:rsid w:val="0050327E"/>
    <w:rsid w:val="00503733"/>
    <w:rsid w:val="00503E06"/>
    <w:rsid w:val="00503EFB"/>
    <w:rsid w:val="0050401E"/>
    <w:rsid w:val="00504B50"/>
    <w:rsid w:val="005054B3"/>
    <w:rsid w:val="005063FD"/>
    <w:rsid w:val="00506BB3"/>
    <w:rsid w:val="00507315"/>
    <w:rsid w:val="00507595"/>
    <w:rsid w:val="005076EA"/>
    <w:rsid w:val="005078EE"/>
    <w:rsid w:val="00507BF2"/>
    <w:rsid w:val="00510518"/>
    <w:rsid w:val="00510988"/>
    <w:rsid w:val="00511107"/>
    <w:rsid w:val="0051119B"/>
    <w:rsid w:val="0051135D"/>
    <w:rsid w:val="00511C8A"/>
    <w:rsid w:val="00511DB4"/>
    <w:rsid w:val="00512066"/>
    <w:rsid w:val="005128A2"/>
    <w:rsid w:val="00512BAC"/>
    <w:rsid w:val="00512C6D"/>
    <w:rsid w:val="00513246"/>
    <w:rsid w:val="005141D5"/>
    <w:rsid w:val="005142A6"/>
    <w:rsid w:val="0051494F"/>
    <w:rsid w:val="00514972"/>
    <w:rsid w:val="00514B3B"/>
    <w:rsid w:val="005151C8"/>
    <w:rsid w:val="005156AC"/>
    <w:rsid w:val="005157B0"/>
    <w:rsid w:val="00515910"/>
    <w:rsid w:val="00515A43"/>
    <w:rsid w:val="00517261"/>
    <w:rsid w:val="00517899"/>
    <w:rsid w:val="00517A0D"/>
    <w:rsid w:val="00517EC9"/>
    <w:rsid w:val="005202BC"/>
    <w:rsid w:val="005202C1"/>
    <w:rsid w:val="00520B8C"/>
    <w:rsid w:val="00521664"/>
    <w:rsid w:val="0052187D"/>
    <w:rsid w:val="00521D6C"/>
    <w:rsid w:val="00521E5F"/>
    <w:rsid w:val="00522793"/>
    <w:rsid w:val="00522DE1"/>
    <w:rsid w:val="00523107"/>
    <w:rsid w:val="005239A5"/>
    <w:rsid w:val="00523AB1"/>
    <w:rsid w:val="005246AD"/>
    <w:rsid w:val="00524AA5"/>
    <w:rsid w:val="00525445"/>
    <w:rsid w:val="0052548D"/>
    <w:rsid w:val="005257F0"/>
    <w:rsid w:val="0052610A"/>
    <w:rsid w:val="00526788"/>
    <w:rsid w:val="00526B43"/>
    <w:rsid w:val="0052704C"/>
    <w:rsid w:val="00527157"/>
    <w:rsid w:val="005278C0"/>
    <w:rsid w:val="00527A7B"/>
    <w:rsid w:val="00527A87"/>
    <w:rsid w:val="00527B3C"/>
    <w:rsid w:val="00530272"/>
    <w:rsid w:val="005305D3"/>
    <w:rsid w:val="005306A5"/>
    <w:rsid w:val="00530C87"/>
    <w:rsid w:val="00530CBC"/>
    <w:rsid w:val="0053150D"/>
    <w:rsid w:val="00531F3E"/>
    <w:rsid w:val="005324A5"/>
    <w:rsid w:val="0053277B"/>
    <w:rsid w:val="005327BA"/>
    <w:rsid w:val="0053316C"/>
    <w:rsid w:val="00533A16"/>
    <w:rsid w:val="00533A7B"/>
    <w:rsid w:val="00533AAA"/>
    <w:rsid w:val="00533B14"/>
    <w:rsid w:val="0053491D"/>
    <w:rsid w:val="00534EA5"/>
    <w:rsid w:val="0053591E"/>
    <w:rsid w:val="00536318"/>
    <w:rsid w:val="00536640"/>
    <w:rsid w:val="0053672A"/>
    <w:rsid w:val="00537670"/>
    <w:rsid w:val="00537939"/>
    <w:rsid w:val="005409D5"/>
    <w:rsid w:val="00540DE0"/>
    <w:rsid w:val="0054109A"/>
    <w:rsid w:val="00541391"/>
    <w:rsid w:val="005414B7"/>
    <w:rsid w:val="00541F0A"/>
    <w:rsid w:val="005421D4"/>
    <w:rsid w:val="00542949"/>
    <w:rsid w:val="00542AE5"/>
    <w:rsid w:val="00542F75"/>
    <w:rsid w:val="0054302B"/>
    <w:rsid w:val="005438DA"/>
    <w:rsid w:val="00545068"/>
    <w:rsid w:val="00545BDB"/>
    <w:rsid w:val="00545C66"/>
    <w:rsid w:val="005460DF"/>
    <w:rsid w:val="00546A54"/>
    <w:rsid w:val="00546CA6"/>
    <w:rsid w:val="00546D8F"/>
    <w:rsid w:val="00547460"/>
    <w:rsid w:val="00547C26"/>
    <w:rsid w:val="0055009A"/>
    <w:rsid w:val="00550D0F"/>
    <w:rsid w:val="00550DC3"/>
    <w:rsid w:val="00550E7C"/>
    <w:rsid w:val="005510D5"/>
    <w:rsid w:val="00551AFE"/>
    <w:rsid w:val="00551DEC"/>
    <w:rsid w:val="0055219E"/>
    <w:rsid w:val="005522D0"/>
    <w:rsid w:val="005526E6"/>
    <w:rsid w:val="00552773"/>
    <w:rsid w:val="00552ABA"/>
    <w:rsid w:val="00553643"/>
    <w:rsid w:val="00553C02"/>
    <w:rsid w:val="005543A2"/>
    <w:rsid w:val="005552FF"/>
    <w:rsid w:val="00555D05"/>
    <w:rsid w:val="00555E3C"/>
    <w:rsid w:val="0055669F"/>
    <w:rsid w:val="00556E23"/>
    <w:rsid w:val="00556EB5"/>
    <w:rsid w:val="00557220"/>
    <w:rsid w:val="00557284"/>
    <w:rsid w:val="005601E4"/>
    <w:rsid w:val="005601FC"/>
    <w:rsid w:val="0056024F"/>
    <w:rsid w:val="00560444"/>
    <w:rsid w:val="00560739"/>
    <w:rsid w:val="00560EBC"/>
    <w:rsid w:val="00561055"/>
    <w:rsid w:val="0056134D"/>
    <w:rsid w:val="0056174B"/>
    <w:rsid w:val="00561B7B"/>
    <w:rsid w:val="00561CCA"/>
    <w:rsid w:val="005623E9"/>
    <w:rsid w:val="005627AF"/>
    <w:rsid w:val="0056488F"/>
    <w:rsid w:val="00565928"/>
    <w:rsid w:val="00566417"/>
    <w:rsid w:val="0056666B"/>
    <w:rsid w:val="005674D0"/>
    <w:rsid w:val="00567709"/>
    <w:rsid w:val="00567CB6"/>
    <w:rsid w:val="00567F45"/>
    <w:rsid w:val="005701E5"/>
    <w:rsid w:val="0057025E"/>
    <w:rsid w:val="005703B6"/>
    <w:rsid w:val="00570414"/>
    <w:rsid w:val="0057046F"/>
    <w:rsid w:val="005704BD"/>
    <w:rsid w:val="0057091A"/>
    <w:rsid w:val="00570C41"/>
    <w:rsid w:val="00571439"/>
    <w:rsid w:val="00571484"/>
    <w:rsid w:val="00571DD1"/>
    <w:rsid w:val="00572457"/>
    <w:rsid w:val="005727C0"/>
    <w:rsid w:val="00572E93"/>
    <w:rsid w:val="005733DC"/>
    <w:rsid w:val="00574243"/>
    <w:rsid w:val="005747B5"/>
    <w:rsid w:val="00574DF5"/>
    <w:rsid w:val="00574FE9"/>
    <w:rsid w:val="0057512D"/>
    <w:rsid w:val="005752C6"/>
    <w:rsid w:val="00575385"/>
    <w:rsid w:val="00575453"/>
    <w:rsid w:val="00575E48"/>
    <w:rsid w:val="00576003"/>
    <w:rsid w:val="00576335"/>
    <w:rsid w:val="00576591"/>
    <w:rsid w:val="005765A0"/>
    <w:rsid w:val="00576906"/>
    <w:rsid w:val="005771FE"/>
    <w:rsid w:val="005775DF"/>
    <w:rsid w:val="00577837"/>
    <w:rsid w:val="0057790B"/>
    <w:rsid w:val="00577FED"/>
    <w:rsid w:val="00580610"/>
    <w:rsid w:val="005808A3"/>
    <w:rsid w:val="0058098D"/>
    <w:rsid w:val="00580C58"/>
    <w:rsid w:val="005812DD"/>
    <w:rsid w:val="00581C64"/>
    <w:rsid w:val="00581C87"/>
    <w:rsid w:val="005825AF"/>
    <w:rsid w:val="00582A3F"/>
    <w:rsid w:val="00582A5E"/>
    <w:rsid w:val="0058416D"/>
    <w:rsid w:val="00584813"/>
    <w:rsid w:val="00585015"/>
    <w:rsid w:val="005850D0"/>
    <w:rsid w:val="00585FFA"/>
    <w:rsid w:val="005862A5"/>
    <w:rsid w:val="005863C0"/>
    <w:rsid w:val="0058641A"/>
    <w:rsid w:val="00586722"/>
    <w:rsid w:val="00586CB5"/>
    <w:rsid w:val="00586D9A"/>
    <w:rsid w:val="00586DDC"/>
    <w:rsid w:val="00587025"/>
    <w:rsid w:val="005876B5"/>
    <w:rsid w:val="00587FE7"/>
    <w:rsid w:val="005904F3"/>
    <w:rsid w:val="00590D4D"/>
    <w:rsid w:val="005915A0"/>
    <w:rsid w:val="00591B13"/>
    <w:rsid w:val="00592129"/>
    <w:rsid w:val="00592B92"/>
    <w:rsid w:val="00592F92"/>
    <w:rsid w:val="00593B43"/>
    <w:rsid w:val="005942C2"/>
    <w:rsid w:val="00594690"/>
    <w:rsid w:val="005948C2"/>
    <w:rsid w:val="00594F45"/>
    <w:rsid w:val="005950CD"/>
    <w:rsid w:val="00595727"/>
    <w:rsid w:val="00595B18"/>
    <w:rsid w:val="0059739C"/>
    <w:rsid w:val="00597672"/>
    <w:rsid w:val="005978E2"/>
    <w:rsid w:val="005A046A"/>
    <w:rsid w:val="005A060A"/>
    <w:rsid w:val="005A06E3"/>
    <w:rsid w:val="005A08C2"/>
    <w:rsid w:val="005A0C0A"/>
    <w:rsid w:val="005A0D14"/>
    <w:rsid w:val="005A10E2"/>
    <w:rsid w:val="005A15AA"/>
    <w:rsid w:val="005A289C"/>
    <w:rsid w:val="005A2905"/>
    <w:rsid w:val="005A3383"/>
    <w:rsid w:val="005A3511"/>
    <w:rsid w:val="005A3D12"/>
    <w:rsid w:val="005A40C4"/>
    <w:rsid w:val="005A4812"/>
    <w:rsid w:val="005A4AC2"/>
    <w:rsid w:val="005A5055"/>
    <w:rsid w:val="005A52E9"/>
    <w:rsid w:val="005A592A"/>
    <w:rsid w:val="005A5BF2"/>
    <w:rsid w:val="005A5F94"/>
    <w:rsid w:val="005A628B"/>
    <w:rsid w:val="005A7607"/>
    <w:rsid w:val="005A7A12"/>
    <w:rsid w:val="005A7C04"/>
    <w:rsid w:val="005A7F87"/>
    <w:rsid w:val="005B077C"/>
    <w:rsid w:val="005B13CB"/>
    <w:rsid w:val="005B13E7"/>
    <w:rsid w:val="005B149C"/>
    <w:rsid w:val="005B21D5"/>
    <w:rsid w:val="005B2233"/>
    <w:rsid w:val="005B2C98"/>
    <w:rsid w:val="005B2DEA"/>
    <w:rsid w:val="005B3C2F"/>
    <w:rsid w:val="005B4138"/>
    <w:rsid w:val="005B466A"/>
    <w:rsid w:val="005B4921"/>
    <w:rsid w:val="005B4952"/>
    <w:rsid w:val="005B5525"/>
    <w:rsid w:val="005B5EB3"/>
    <w:rsid w:val="005B6072"/>
    <w:rsid w:val="005B68CD"/>
    <w:rsid w:val="005B6A94"/>
    <w:rsid w:val="005B6F5F"/>
    <w:rsid w:val="005B72C5"/>
    <w:rsid w:val="005B7C63"/>
    <w:rsid w:val="005B7CD0"/>
    <w:rsid w:val="005B7F2F"/>
    <w:rsid w:val="005B7F7C"/>
    <w:rsid w:val="005C00FF"/>
    <w:rsid w:val="005C0659"/>
    <w:rsid w:val="005C066E"/>
    <w:rsid w:val="005C0A14"/>
    <w:rsid w:val="005C14FB"/>
    <w:rsid w:val="005C18B7"/>
    <w:rsid w:val="005C1C8B"/>
    <w:rsid w:val="005C1CB8"/>
    <w:rsid w:val="005C1E42"/>
    <w:rsid w:val="005C212A"/>
    <w:rsid w:val="005C23DA"/>
    <w:rsid w:val="005C2A97"/>
    <w:rsid w:val="005C2AB8"/>
    <w:rsid w:val="005C2E8A"/>
    <w:rsid w:val="005C3597"/>
    <w:rsid w:val="005C38B4"/>
    <w:rsid w:val="005C3930"/>
    <w:rsid w:val="005C40F1"/>
    <w:rsid w:val="005C456E"/>
    <w:rsid w:val="005C49D7"/>
    <w:rsid w:val="005C56D0"/>
    <w:rsid w:val="005C68CB"/>
    <w:rsid w:val="005C7006"/>
    <w:rsid w:val="005D018F"/>
    <w:rsid w:val="005D06B2"/>
    <w:rsid w:val="005D0C80"/>
    <w:rsid w:val="005D0F1A"/>
    <w:rsid w:val="005D0FA0"/>
    <w:rsid w:val="005D1488"/>
    <w:rsid w:val="005D1690"/>
    <w:rsid w:val="005D19EC"/>
    <w:rsid w:val="005D220B"/>
    <w:rsid w:val="005D277C"/>
    <w:rsid w:val="005D28AC"/>
    <w:rsid w:val="005D2EEF"/>
    <w:rsid w:val="005D3729"/>
    <w:rsid w:val="005D3CBE"/>
    <w:rsid w:val="005D3DC9"/>
    <w:rsid w:val="005D4568"/>
    <w:rsid w:val="005D45C6"/>
    <w:rsid w:val="005D5565"/>
    <w:rsid w:val="005D5725"/>
    <w:rsid w:val="005D5B75"/>
    <w:rsid w:val="005D62F9"/>
    <w:rsid w:val="005D63F8"/>
    <w:rsid w:val="005D66E9"/>
    <w:rsid w:val="005D7057"/>
    <w:rsid w:val="005D76EB"/>
    <w:rsid w:val="005E03DA"/>
    <w:rsid w:val="005E0C78"/>
    <w:rsid w:val="005E0FF2"/>
    <w:rsid w:val="005E102F"/>
    <w:rsid w:val="005E1D4B"/>
    <w:rsid w:val="005E1DD7"/>
    <w:rsid w:val="005E1ECF"/>
    <w:rsid w:val="005E1F0D"/>
    <w:rsid w:val="005E231C"/>
    <w:rsid w:val="005E2C23"/>
    <w:rsid w:val="005E2DDA"/>
    <w:rsid w:val="005E3348"/>
    <w:rsid w:val="005E416B"/>
    <w:rsid w:val="005E4219"/>
    <w:rsid w:val="005E49BF"/>
    <w:rsid w:val="005E5555"/>
    <w:rsid w:val="005E5862"/>
    <w:rsid w:val="005E5BCC"/>
    <w:rsid w:val="005E5C84"/>
    <w:rsid w:val="005E5CBD"/>
    <w:rsid w:val="005E5D33"/>
    <w:rsid w:val="005E6764"/>
    <w:rsid w:val="005E6C00"/>
    <w:rsid w:val="005E74B4"/>
    <w:rsid w:val="005E7562"/>
    <w:rsid w:val="005F0227"/>
    <w:rsid w:val="005F045B"/>
    <w:rsid w:val="005F0984"/>
    <w:rsid w:val="005F0F44"/>
    <w:rsid w:val="005F0FD8"/>
    <w:rsid w:val="005F1BD8"/>
    <w:rsid w:val="005F1F6F"/>
    <w:rsid w:val="005F2015"/>
    <w:rsid w:val="005F3456"/>
    <w:rsid w:val="005F3B7A"/>
    <w:rsid w:val="005F3BBA"/>
    <w:rsid w:val="005F42EE"/>
    <w:rsid w:val="005F4B82"/>
    <w:rsid w:val="005F4F96"/>
    <w:rsid w:val="005F5A72"/>
    <w:rsid w:val="005F5E3E"/>
    <w:rsid w:val="005F64EE"/>
    <w:rsid w:val="005F6952"/>
    <w:rsid w:val="005F6AAC"/>
    <w:rsid w:val="005F6BF2"/>
    <w:rsid w:val="00600850"/>
    <w:rsid w:val="00600B16"/>
    <w:rsid w:val="00600B1A"/>
    <w:rsid w:val="00601309"/>
    <w:rsid w:val="0060151D"/>
    <w:rsid w:val="00601A7C"/>
    <w:rsid w:val="00601CFC"/>
    <w:rsid w:val="00602319"/>
    <w:rsid w:val="00602F68"/>
    <w:rsid w:val="00603995"/>
    <w:rsid w:val="00603CF7"/>
    <w:rsid w:val="0060405D"/>
    <w:rsid w:val="006041B4"/>
    <w:rsid w:val="006048A8"/>
    <w:rsid w:val="006048CE"/>
    <w:rsid w:val="00604B34"/>
    <w:rsid w:val="00604C82"/>
    <w:rsid w:val="00605032"/>
    <w:rsid w:val="006054EE"/>
    <w:rsid w:val="006055DA"/>
    <w:rsid w:val="00605F04"/>
    <w:rsid w:val="0060603C"/>
    <w:rsid w:val="00606AC6"/>
    <w:rsid w:val="00606D78"/>
    <w:rsid w:val="006070FE"/>
    <w:rsid w:val="00607219"/>
    <w:rsid w:val="006073BD"/>
    <w:rsid w:val="006076E0"/>
    <w:rsid w:val="00607AD2"/>
    <w:rsid w:val="00607B96"/>
    <w:rsid w:val="00607C86"/>
    <w:rsid w:val="00607CCC"/>
    <w:rsid w:val="00610060"/>
    <w:rsid w:val="00610827"/>
    <w:rsid w:val="00610D2B"/>
    <w:rsid w:val="006123B1"/>
    <w:rsid w:val="00612874"/>
    <w:rsid w:val="00612EFC"/>
    <w:rsid w:val="0061324C"/>
    <w:rsid w:val="0061331E"/>
    <w:rsid w:val="00613589"/>
    <w:rsid w:val="006135EE"/>
    <w:rsid w:val="00613F19"/>
    <w:rsid w:val="00614026"/>
    <w:rsid w:val="00614981"/>
    <w:rsid w:val="00615674"/>
    <w:rsid w:val="006158B1"/>
    <w:rsid w:val="006159D8"/>
    <w:rsid w:val="00616025"/>
    <w:rsid w:val="00616637"/>
    <w:rsid w:val="00617176"/>
    <w:rsid w:val="00617A4D"/>
    <w:rsid w:val="00617BA0"/>
    <w:rsid w:val="00617CD6"/>
    <w:rsid w:val="00620293"/>
    <w:rsid w:val="006208AD"/>
    <w:rsid w:val="00620AEB"/>
    <w:rsid w:val="00620DA7"/>
    <w:rsid w:val="00620F9B"/>
    <w:rsid w:val="00620FF7"/>
    <w:rsid w:val="006212B5"/>
    <w:rsid w:val="00622104"/>
    <w:rsid w:val="00622502"/>
    <w:rsid w:val="00622B43"/>
    <w:rsid w:val="00622D20"/>
    <w:rsid w:val="0062327C"/>
    <w:rsid w:val="00623470"/>
    <w:rsid w:val="0062396D"/>
    <w:rsid w:val="00623B4D"/>
    <w:rsid w:val="006245F6"/>
    <w:rsid w:val="006248C0"/>
    <w:rsid w:val="006257A0"/>
    <w:rsid w:val="006258DB"/>
    <w:rsid w:val="00625936"/>
    <w:rsid w:val="00625F82"/>
    <w:rsid w:val="00625FDB"/>
    <w:rsid w:val="006262EA"/>
    <w:rsid w:val="006265E6"/>
    <w:rsid w:val="00627542"/>
    <w:rsid w:val="0062770A"/>
    <w:rsid w:val="006277D7"/>
    <w:rsid w:val="0062782A"/>
    <w:rsid w:val="0062787B"/>
    <w:rsid w:val="00627C5A"/>
    <w:rsid w:val="00630124"/>
    <w:rsid w:val="0063128E"/>
    <w:rsid w:val="00631B66"/>
    <w:rsid w:val="00631C75"/>
    <w:rsid w:val="00631D81"/>
    <w:rsid w:val="00632239"/>
    <w:rsid w:val="00632598"/>
    <w:rsid w:val="00632AC6"/>
    <w:rsid w:val="00632B63"/>
    <w:rsid w:val="00632E9D"/>
    <w:rsid w:val="006335D8"/>
    <w:rsid w:val="0063378D"/>
    <w:rsid w:val="00633AB7"/>
    <w:rsid w:val="00633AFA"/>
    <w:rsid w:val="006345A9"/>
    <w:rsid w:val="0063482C"/>
    <w:rsid w:val="00635900"/>
    <w:rsid w:val="00636100"/>
    <w:rsid w:val="0063659C"/>
    <w:rsid w:val="00636967"/>
    <w:rsid w:val="00636ACA"/>
    <w:rsid w:val="006373F4"/>
    <w:rsid w:val="00637A95"/>
    <w:rsid w:val="00637B97"/>
    <w:rsid w:val="00637BC4"/>
    <w:rsid w:val="00637C12"/>
    <w:rsid w:val="00640266"/>
    <w:rsid w:val="00642195"/>
    <w:rsid w:val="006438EC"/>
    <w:rsid w:val="00643F08"/>
    <w:rsid w:val="00644499"/>
    <w:rsid w:val="0064477C"/>
    <w:rsid w:val="00644DB8"/>
    <w:rsid w:val="00646E07"/>
    <w:rsid w:val="00647278"/>
    <w:rsid w:val="006472A7"/>
    <w:rsid w:val="00647472"/>
    <w:rsid w:val="00647806"/>
    <w:rsid w:val="006478C6"/>
    <w:rsid w:val="00647C11"/>
    <w:rsid w:val="006502CD"/>
    <w:rsid w:val="006503B5"/>
    <w:rsid w:val="00651227"/>
    <w:rsid w:val="00652697"/>
    <w:rsid w:val="00652D52"/>
    <w:rsid w:val="00652D74"/>
    <w:rsid w:val="0065303B"/>
    <w:rsid w:val="00653161"/>
    <w:rsid w:val="006531A0"/>
    <w:rsid w:val="0065344B"/>
    <w:rsid w:val="0065354F"/>
    <w:rsid w:val="00654302"/>
    <w:rsid w:val="0065489B"/>
    <w:rsid w:val="00655D50"/>
    <w:rsid w:val="00655E53"/>
    <w:rsid w:val="0065616B"/>
    <w:rsid w:val="0065652D"/>
    <w:rsid w:val="00657175"/>
    <w:rsid w:val="006574EF"/>
    <w:rsid w:val="006579C4"/>
    <w:rsid w:val="00657ADD"/>
    <w:rsid w:val="00657B2A"/>
    <w:rsid w:val="00657D27"/>
    <w:rsid w:val="00657D81"/>
    <w:rsid w:val="006606D2"/>
    <w:rsid w:val="0066079D"/>
    <w:rsid w:val="00662119"/>
    <w:rsid w:val="00662746"/>
    <w:rsid w:val="00662779"/>
    <w:rsid w:val="00662AEA"/>
    <w:rsid w:val="00662F13"/>
    <w:rsid w:val="0066318D"/>
    <w:rsid w:val="006631F8"/>
    <w:rsid w:val="006632F0"/>
    <w:rsid w:val="006636C8"/>
    <w:rsid w:val="00663798"/>
    <w:rsid w:val="00663C19"/>
    <w:rsid w:val="00663CFB"/>
    <w:rsid w:val="00663DE7"/>
    <w:rsid w:val="00664A19"/>
    <w:rsid w:val="00664F54"/>
    <w:rsid w:val="006651AD"/>
    <w:rsid w:val="00665495"/>
    <w:rsid w:val="00665575"/>
    <w:rsid w:val="00665D6B"/>
    <w:rsid w:val="006660E1"/>
    <w:rsid w:val="0066613D"/>
    <w:rsid w:val="006663C2"/>
    <w:rsid w:val="006663C4"/>
    <w:rsid w:val="00666B4F"/>
    <w:rsid w:val="00666BCF"/>
    <w:rsid w:val="00666E6E"/>
    <w:rsid w:val="00667014"/>
    <w:rsid w:val="00667331"/>
    <w:rsid w:val="00667360"/>
    <w:rsid w:val="00667A21"/>
    <w:rsid w:val="006700CD"/>
    <w:rsid w:val="0067042B"/>
    <w:rsid w:val="00670C9D"/>
    <w:rsid w:val="00671D80"/>
    <w:rsid w:val="00672AA9"/>
    <w:rsid w:val="00672F31"/>
    <w:rsid w:val="00672F6C"/>
    <w:rsid w:val="00673296"/>
    <w:rsid w:val="006735D3"/>
    <w:rsid w:val="006737AC"/>
    <w:rsid w:val="006739A9"/>
    <w:rsid w:val="00673E4E"/>
    <w:rsid w:val="0067456B"/>
    <w:rsid w:val="00674789"/>
    <w:rsid w:val="00674B3E"/>
    <w:rsid w:val="00674DFF"/>
    <w:rsid w:val="00674E25"/>
    <w:rsid w:val="0067536D"/>
    <w:rsid w:val="00675E91"/>
    <w:rsid w:val="00676D7D"/>
    <w:rsid w:val="00676F42"/>
    <w:rsid w:val="00677473"/>
    <w:rsid w:val="00677636"/>
    <w:rsid w:val="00677E56"/>
    <w:rsid w:val="00680EEA"/>
    <w:rsid w:val="006814D4"/>
    <w:rsid w:val="0068189A"/>
    <w:rsid w:val="00681D18"/>
    <w:rsid w:val="006823AD"/>
    <w:rsid w:val="0068345A"/>
    <w:rsid w:val="006834B9"/>
    <w:rsid w:val="00683743"/>
    <w:rsid w:val="00683A76"/>
    <w:rsid w:val="00683F0D"/>
    <w:rsid w:val="00684131"/>
    <w:rsid w:val="00685339"/>
    <w:rsid w:val="00685A31"/>
    <w:rsid w:val="00686321"/>
    <w:rsid w:val="006865CB"/>
    <w:rsid w:val="006866B8"/>
    <w:rsid w:val="006868BC"/>
    <w:rsid w:val="00686E05"/>
    <w:rsid w:val="00686ED0"/>
    <w:rsid w:val="0068752B"/>
    <w:rsid w:val="0069116F"/>
    <w:rsid w:val="006918EF"/>
    <w:rsid w:val="00691DB2"/>
    <w:rsid w:val="00692397"/>
    <w:rsid w:val="006925F3"/>
    <w:rsid w:val="00692E6C"/>
    <w:rsid w:val="00692FB5"/>
    <w:rsid w:val="00693597"/>
    <w:rsid w:val="00693965"/>
    <w:rsid w:val="00693C6E"/>
    <w:rsid w:val="00693DD7"/>
    <w:rsid w:val="00693FA0"/>
    <w:rsid w:val="00694345"/>
    <w:rsid w:val="006943C5"/>
    <w:rsid w:val="00694812"/>
    <w:rsid w:val="00694981"/>
    <w:rsid w:val="006949EC"/>
    <w:rsid w:val="00694AEC"/>
    <w:rsid w:val="00694F1A"/>
    <w:rsid w:val="006956FE"/>
    <w:rsid w:val="006959A1"/>
    <w:rsid w:val="00697190"/>
    <w:rsid w:val="006A0AFC"/>
    <w:rsid w:val="006A0F59"/>
    <w:rsid w:val="006A10DC"/>
    <w:rsid w:val="006A27B7"/>
    <w:rsid w:val="006A2BA4"/>
    <w:rsid w:val="006A31F1"/>
    <w:rsid w:val="006A3BA5"/>
    <w:rsid w:val="006A3D30"/>
    <w:rsid w:val="006A3F53"/>
    <w:rsid w:val="006A41CF"/>
    <w:rsid w:val="006A51E4"/>
    <w:rsid w:val="006A553F"/>
    <w:rsid w:val="006A6196"/>
    <w:rsid w:val="006A6617"/>
    <w:rsid w:val="006A6874"/>
    <w:rsid w:val="006A689C"/>
    <w:rsid w:val="006A6DCE"/>
    <w:rsid w:val="006A78DA"/>
    <w:rsid w:val="006A7923"/>
    <w:rsid w:val="006A7B99"/>
    <w:rsid w:val="006B0885"/>
    <w:rsid w:val="006B13E6"/>
    <w:rsid w:val="006B190E"/>
    <w:rsid w:val="006B1F08"/>
    <w:rsid w:val="006B295D"/>
    <w:rsid w:val="006B3190"/>
    <w:rsid w:val="006B3447"/>
    <w:rsid w:val="006B3E0B"/>
    <w:rsid w:val="006B463F"/>
    <w:rsid w:val="006B4D01"/>
    <w:rsid w:val="006B4DD4"/>
    <w:rsid w:val="006B51C9"/>
    <w:rsid w:val="006B58B9"/>
    <w:rsid w:val="006B671C"/>
    <w:rsid w:val="006B6871"/>
    <w:rsid w:val="006B741A"/>
    <w:rsid w:val="006B7637"/>
    <w:rsid w:val="006B7AFB"/>
    <w:rsid w:val="006C0C7C"/>
    <w:rsid w:val="006C0D70"/>
    <w:rsid w:val="006C116C"/>
    <w:rsid w:val="006C1AEC"/>
    <w:rsid w:val="006C1D9E"/>
    <w:rsid w:val="006C288E"/>
    <w:rsid w:val="006C381C"/>
    <w:rsid w:val="006C39E5"/>
    <w:rsid w:val="006C3CE3"/>
    <w:rsid w:val="006C4161"/>
    <w:rsid w:val="006C4240"/>
    <w:rsid w:val="006C48AD"/>
    <w:rsid w:val="006C4D0F"/>
    <w:rsid w:val="006C5154"/>
    <w:rsid w:val="006C5AFA"/>
    <w:rsid w:val="006C5F93"/>
    <w:rsid w:val="006C60F0"/>
    <w:rsid w:val="006C6606"/>
    <w:rsid w:val="006C6A04"/>
    <w:rsid w:val="006C6D17"/>
    <w:rsid w:val="006C71FB"/>
    <w:rsid w:val="006C7516"/>
    <w:rsid w:val="006C7662"/>
    <w:rsid w:val="006C78E1"/>
    <w:rsid w:val="006C7DC4"/>
    <w:rsid w:val="006C7E14"/>
    <w:rsid w:val="006D0496"/>
    <w:rsid w:val="006D054F"/>
    <w:rsid w:val="006D1087"/>
    <w:rsid w:val="006D2A0A"/>
    <w:rsid w:val="006D3202"/>
    <w:rsid w:val="006D3207"/>
    <w:rsid w:val="006D37AF"/>
    <w:rsid w:val="006D3C5E"/>
    <w:rsid w:val="006D3E9F"/>
    <w:rsid w:val="006D3F7E"/>
    <w:rsid w:val="006D42DC"/>
    <w:rsid w:val="006D4323"/>
    <w:rsid w:val="006D472D"/>
    <w:rsid w:val="006D49C6"/>
    <w:rsid w:val="006D5204"/>
    <w:rsid w:val="006D5214"/>
    <w:rsid w:val="006D5375"/>
    <w:rsid w:val="006D6927"/>
    <w:rsid w:val="006D6E03"/>
    <w:rsid w:val="006D6E69"/>
    <w:rsid w:val="006D6EC6"/>
    <w:rsid w:val="006D73DC"/>
    <w:rsid w:val="006D794E"/>
    <w:rsid w:val="006E05C7"/>
    <w:rsid w:val="006E140A"/>
    <w:rsid w:val="006E168D"/>
    <w:rsid w:val="006E18E6"/>
    <w:rsid w:val="006E271B"/>
    <w:rsid w:val="006E3797"/>
    <w:rsid w:val="006E4788"/>
    <w:rsid w:val="006E4B3A"/>
    <w:rsid w:val="006E5062"/>
    <w:rsid w:val="006E5285"/>
    <w:rsid w:val="006E652E"/>
    <w:rsid w:val="006E6A08"/>
    <w:rsid w:val="006E6E02"/>
    <w:rsid w:val="006E77F3"/>
    <w:rsid w:val="006F04DD"/>
    <w:rsid w:val="006F0942"/>
    <w:rsid w:val="006F0DD2"/>
    <w:rsid w:val="006F115C"/>
    <w:rsid w:val="006F120E"/>
    <w:rsid w:val="006F1939"/>
    <w:rsid w:val="006F1EE8"/>
    <w:rsid w:val="006F246B"/>
    <w:rsid w:val="006F26EA"/>
    <w:rsid w:val="006F278B"/>
    <w:rsid w:val="006F29E3"/>
    <w:rsid w:val="006F2BD9"/>
    <w:rsid w:val="006F3027"/>
    <w:rsid w:val="006F3684"/>
    <w:rsid w:val="006F3B37"/>
    <w:rsid w:val="006F3E02"/>
    <w:rsid w:val="006F3EAB"/>
    <w:rsid w:val="006F41E4"/>
    <w:rsid w:val="006F432B"/>
    <w:rsid w:val="006F4F37"/>
    <w:rsid w:val="006F5371"/>
    <w:rsid w:val="006F5A65"/>
    <w:rsid w:val="006F60FD"/>
    <w:rsid w:val="006F6266"/>
    <w:rsid w:val="006F6FBB"/>
    <w:rsid w:val="006F716F"/>
    <w:rsid w:val="006F733D"/>
    <w:rsid w:val="006F76C9"/>
    <w:rsid w:val="00700229"/>
    <w:rsid w:val="00700C05"/>
    <w:rsid w:val="007013C0"/>
    <w:rsid w:val="00701605"/>
    <w:rsid w:val="0070164C"/>
    <w:rsid w:val="00701C53"/>
    <w:rsid w:val="00702403"/>
    <w:rsid w:val="007026E9"/>
    <w:rsid w:val="007028CF"/>
    <w:rsid w:val="00702BA8"/>
    <w:rsid w:val="00702F30"/>
    <w:rsid w:val="00702F89"/>
    <w:rsid w:val="00703CD9"/>
    <w:rsid w:val="00703D7E"/>
    <w:rsid w:val="007042B4"/>
    <w:rsid w:val="00704791"/>
    <w:rsid w:val="00704FE9"/>
    <w:rsid w:val="007050BE"/>
    <w:rsid w:val="007057AF"/>
    <w:rsid w:val="0070596F"/>
    <w:rsid w:val="00705A14"/>
    <w:rsid w:val="00705DBF"/>
    <w:rsid w:val="00707724"/>
    <w:rsid w:val="00707BAB"/>
    <w:rsid w:val="00707C82"/>
    <w:rsid w:val="00707E52"/>
    <w:rsid w:val="00710219"/>
    <w:rsid w:val="007107A2"/>
    <w:rsid w:val="0071099D"/>
    <w:rsid w:val="00710E47"/>
    <w:rsid w:val="007114AE"/>
    <w:rsid w:val="0071190B"/>
    <w:rsid w:val="00712570"/>
    <w:rsid w:val="007132BC"/>
    <w:rsid w:val="0071353A"/>
    <w:rsid w:val="00713D51"/>
    <w:rsid w:val="00713F43"/>
    <w:rsid w:val="007141B6"/>
    <w:rsid w:val="0071508B"/>
    <w:rsid w:val="0071549D"/>
    <w:rsid w:val="00715875"/>
    <w:rsid w:val="00715CF5"/>
    <w:rsid w:val="007161A0"/>
    <w:rsid w:val="00716398"/>
    <w:rsid w:val="00716F36"/>
    <w:rsid w:val="00716F89"/>
    <w:rsid w:val="00717311"/>
    <w:rsid w:val="0071767F"/>
    <w:rsid w:val="007177BC"/>
    <w:rsid w:val="0072004F"/>
    <w:rsid w:val="00720717"/>
    <w:rsid w:val="00720793"/>
    <w:rsid w:val="00720B9B"/>
    <w:rsid w:val="00720C21"/>
    <w:rsid w:val="0072108E"/>
    <w:rsid w:val="00721188"/>
    <w:rsid w:val="00721484"/>
    <w:rsid w:val="00721600"/>
    <w:rsid w:val="0072225A"/>
    <w:rsid w:val="00722549"/>
    <w:rsid w:val="00722851"/>
    <w:rsid w:val="00723462"/>
    <w:rsid w:val="007235C9"/>
    <w:rsid w:val="00723CFE"/>
    <w:rsid w:val="0072410C"/>
    <w:rsid w:val="0072440C"/>
    <w:rsid w:val="00724470"/>
    <w:rsid w:val="00724665"/>
    <w:rsid w:val="00724CDF"/>
    <w:rsid w:val="007252CA"/>
    <w:rsid w:val="00725D16"/>
    <w:rsid w:val="00726161"/>
    <w:rsid w:val="007267F1"/>
    <w:rsid w:val="00726AE1"/>
    <w:rsid w:val="00726F46"/>
    <w:rsid w:val="007272F8"/>
    <w:rsid w:val="00727A07"/>
    <w:rsid w:val="0073051F"/>
    <w:rsid w:val="0073076F"/>
    <w:rsid w:val="0073077B"/>
    <w:rsid w:val="007309DC"/>
    <w:rsid w:val="00731130"/>
    <w:rsid w:val="007319A9"/>
    <w:rsid w:val="00731B37"/>
    <w:rsid w:val="00731BE5"/>
    <w:rsid w:val="00731CF6"/>
    <w:rsid w:val="00732211"/>
    <w:rsid w:val="00732C44"/>
    <w:rsid w:val="00732CDD"/>
    <w:rsid w:val="00733616"/>
    <w:rsid w:val="00733B35"/>
    <w:rsid w:val="00733CB5"/>
    <w:rsid w:val="007346D5"/>
    <w:rsid w:val="00734A97"/>
    <w:rsid w:val="007354E8"/>
    <w:rsid w:val="00735AC9"/>
    <w:rsid w:val="00735BA0"/>
    <w:rsid w:val="00735C56"/>
    <w:rsid w:val="00735C7C"/>
    <w:rsid w:val="007366DE"/>
    <w:rsid w:val="0073688E"/>
    <w:rsid w:val="00736CF3"/>
    <w:rsid w:val="00736D5C"/>
    <w:rsid w:val="00737296"/>
    <w:rsid w:val="0073743B"/>
    <w:rsid w:val="007378B4"/>
    <w:rsid w:val="00737A23"/>
    <w:rsid w:val="00737F80"/>
    <w:rsid w:val="007404E3"/>
    <w:rsid w:val="00740ABD"/>
    <w:rsid w:val="00741371"/>
    <w:rsid w:val="00741AEE"/>
    <w:rsid w:val="00742AC3"/>
    <w:rsid w:val="007431FF"/>
    <w:rsid w:val="007435A2"/>
    <w:rsid w:val="00743A27"/>
    <w:rsid w:val="00743CDE"/>
    <w:rsid w:val="00743DED"/>
    <w:rsid w:val="00744307"/>
    <w:rsid w:val="00745138"/>
    <w:rsid w:val="007456C6"/>
    <w:rsid w:val="007456FC"/>
    <w:rsid w:val="007457E3"/>
    <w:rsid w:val="00745C33"/>
    <w:rsid w:val="007465C5"/>
    <w:rsid w:val="007468CB"/>
    <w:rsid w:val="00747739"/>
    <w:rsid w:val="00747CAE"/>
    <w:rsid w:val="007500F4"/>
    <w:rsid w:val="00750564"/>
    <w:rsid w:val="00750D2C"/>
    <w:rsid w:val="00750D4B"/>
    <w:rsid w:val="007515C0"/>
    <w:rsid w:val="0075187E"/>
    <w:rsid w:val="00751BB6"/>
    <w:rsid w:val="00751EFF"/>
    <w:rsid w:val="007528F4"/>
    <w:rsid w:val="007529E8"/>
    <w:rsid w:val="00753061"/>
    <w:rsid w:val="00754A1D"/>
    <w:rsid w:val="00754DFE"/>
    <w:rsid w:val="00755255"/>
    <w:rsid w:val="00755878"/>
    <w:rsid w:val="007565F9"/>
    <w:rsid w:val="0075666E"/>
    <w:rsid w:val="007573BF"/>
    <w:rsid w:val="00757AB6"/>
    <w:rsid w:val="00757D53"/>
    <w:rsid w:val="00757F6F"/>
    <w:rsid w:val="00760353"/>
    <w:rsid w:val="00760772"/>
    <w:rsid w:val="00760C7B"/>
    <w:rsid w:val="00760EF3"/>
    <w:rsid w:val="00761681"/>
    <w:rsid w:val="007616E8"/>
    <w:rsid w:val="00761880"/>
    <w:rsid w:val="00761A1D"/>
    <w:rsid w:val="00762E3B"/>
    <w:rsid w:val="007633DD"/>
    <w:rsid w:val="00763593"/>
    <w:rsid w:val="00763A2F"/>
    <w:rsid w:val="00763DD8"/>
    <w:rsid w:val="0076416C"/>
    <w:rsid w:val="0076467F"/>
    <w:rsid w:val="00764870"/>
    <w:rsid w:val="007649B8"/>
    <w:rsid w:val="00764B6C"/>
    <w:rsid w:val="00764FAE"/>
    <w:rsid w:val="00765AB2"/>
    <w:rsid w:val="00765B36"/>
    <w:rsid w:val="007660BA"/>
    <w:rsid w:val="007662FE"/>
    <w:rsid w:val="00767055"/>
    <w:rsid w:val="007677CC"/>
    <w:rsid w:val="00767E4C"/>
    <w:rsid w:val="00767E57"/>
    <w:rsid w:val="00767FB8"/>
    <w:rsid w:val="00770369"/>
    <w:rsid w:val="00770ADC"/>
    <w:rsid w:val="0077119A"/>
    <w:rsid w:val="00771627"/>
    <w:rsid w:val="00771993"/>
    <w:rsid w:val="0077229C"/>
    <w:rsid w:val="00773F65"/>
    <w:rsid w:val="0077410E"/>
    <w:rsid w:val="00774276"/>
    <w:rsid w:val="007744C5"/>
    <w:rsid w:val="00774DBC"/>
    <w:rsid w:val="00774F43"/>
    <w:rsid w:val="0077524C"/>
    <w:rsid w:val="007752DD"/>
    <w:rsid w:val="00775593"/>
    <w:rsid w:val="00775B92"/>
    <w:rsid w:val="007768D7"/>
    <w:rsid w:val="00777808"/>
    <w:rsid w:val="00777B6C"/>
    <w:rsid w:val="00777CA6"/>
    <w:rsid w:val="00780005"/>
    <w:rsid w:val="007826E0"/>
    <w:rsid w:val="00782966"/>
    <w:rsid w:val="00782991"/>
    <w:rsid w:val="00782F29"/>
    <w:rsid w:val="007830F3"/>
    <w:rsid w:val="0078325B"/>
    <w:rsid w:val="00783ABF"/>
    <w:rsid w:val="00783BF3"/>
    <w:rsid w:val="00783DDB"/>
    <w:rsid w:val="00784268"/>
    <w:rsid w:val="00784807"/>
    <w:rsid w:val="00784CAA"/>
    <w:rsid w:val="00786576"/>
    <w:rsid w:val="0078674B"/>
    <w:rsid w:val="00786E1C"/>
    <w:rsid w:val="0078733B"/>
    <w:rsid w:val="00787618"/>
    <w:rsid w:val="0078766E"/>
    <w:rsid w:val="00787DFE"/>
    <w:rsid w:val="007907F3"/>
    <w:rsid w:val="007908C5"/>
    <w:rsid w:val="00790A41"/>
    <w:rsid w:val="007911CC"/>
    <w:rsid w:val="00791E7F"/>
    <w:rsid w:val="00792BB6"/>
    <w:rsid w:val="00792C24"/>
    <w:rsid w:val="00793790"/>
    <w:rsid w:val="00793CF2"/>
    <w:rsid w:val="00793E95"/>
    <w:rsid w:val="00793EBD"/>
    <w:rsid w:val="007942CB"/>
    <w:rsid w:val="0079499C"/>
    <w:rsid w:val="00795453"/>
    <w:rsid w:val="0079577C"/>
    <w:rsid w:val="007958DE"/>
    <w:rsid w:val="0079591C"/>
    <w:rsid w:val="00795DB9"/>
    <w:rsid w:val="007963DE"/>
    <w:rsid w:val="00796EDF"/>
    <w:rsid w:val="00796FC7"/>
    <w:rsid w:val="007978ED"/>
    <w:rsid w:val="00797A63"/>
    <w:rsid w:val="00797B68"/>
    <w:rsid w:val="007A00DD"/>
    <w:rsid w:val="007A0137"/>
    <w:rsid w:val="007A08A3"/>
    <w:rsid w:val="007A09F0"/>
    <w:rsid w:val="007A0EBD"/>
    <w:rsid w:val="007A1C58"/>
    <w:rsid w:val="007A1E08"/>
    <w:rsid w:val="007A2163"/>
    <w:rsid w:val="007A27FB"/>
    <w:rsid w:val="007A2F1E"/>
    <w:rsid w:val="007A3272"/>
    <w:rsid w:val="007A32D9"/>
    <w:rsid w:val="007A38A4"/>
    <w:rsid w:val="007A3C47"/>
    <w:rsid w:val="007A50A9"/>
    <w:rsid w:val="007A54BF"/>
    <w:rsid w:val="007A558F"/>
    <w:rsid w:val="007A55C3"/>
    <w:rsid w:val="007A55D5"/>
    <w:rsid w:val="007A5A8E"/>
    <w:rsid w:val="007A6313"/>
    <w:rsid w:val="007A72AB"/>
    <w:rsid w:val="007A796D"/>
    <w:rsid w:val="007B03D2"/>
    <w:rsid w:val="007B04F9"/>
    <w:rsid w:val="007B0673"/>
    <w:rsid w:val="007B0899"/>
    <w:rsid w:val="007B1821"/>
    <w:rsid w:val="007B1BA8"/>
    <w:rsid w:val="007B2A02"/>
    <w:rsid w:val="007B2A44"/>
    <w:rsid w:val="007B3302"/>
    <w:rsid w:val="007B3640"/>
    <w:rsid w:val="007B4562"/>
    <w:rsid w:val="007B4CD9"/>
    <w:rsid w:val="007B4EAB"/>
    <w:rsid w:val="007B5ED6"/>
    <w:rsid w:val="007B6575"/>
    <w:rsid w:val="007B68B8"/>
    <w:rsid w:val="007B7383"/>
    <w:rsid w:val="007C074B"/>
    <w:rsid w:val="007C0882"/>
    <w:rsid w:val="007C358E"/>
    <w:rsid w:val="007C3EC5"/>
    <w:rsid w:val="007C47D1"/>
    <w:rsid w:val="007C4B40"/>
    <w:rsid w:val="007C5585"/>
    <w:rsid w:val="007C5DB2"/>
    <w:rsid w:val="007C5E3C"/>
    <w:rsid w:val="007C6A3F"/>
    <w:rsid w:val="007C6B7E"/>
    <w:rsid w:val="007C6CB1"/>
    <w:rsid w:val="007C7539"/>
    <w:rsid w:val="007C7A52"/>
    <w:rsid w:val="007C7A67"/>
    <w:rsid w:val="007C7BD1"/>
    <w:rsid w:val="007C7E8B"/>
    <w:rsid w:val="007D0205"/>
    <w:rsid w:val="007D0748"/>
    <w:rsid w:val="007D0B21"/>
    <w:rsid w:val="007D0E9D"/>
    <w:rsid w:val="007D191B"/>
    <w:rsid w:val="007D1C95"/>
    <w:rsid w:val="007D23AE"/>
    <w:rsid w:val="007D24C8"/>
    <w:rsid w:val="007D2563"/>
    <w:rsid w:val="007D2CC7"/>
    <w:rsid w:val="007D2CD3"/>
    <w:rsid w:val="007D2D24"/>
    <w:rsid w:val="007D2ED6"/>
    <w:rsid w:val="007D336F"/>
    <w:rsid w:val="007D35DA"/>
    <w:rsid w:val="007D3612"/>
    <w:rsid w:val="007D368F"/>
    <w:rsid w:val="007D3983"/>
    <w:rsid w:val="007D3AF5"/>
    <w:rsid w:val="007D3B32"/>
    <w:rsid w:val="007D45B0"/>
    <w:rsid w:val="007D49D1"/>
    <w:rsid w:val="007D49E3"/>
    <w:rsid w:val="007D5FDF"/>
    <w:rsid w:val="007D62DF"/>
    <w:rsid w:val="007D72B6"/>
    <w:rsid w:val="007D76D6"/>
    <w:rsid w:val="007D79D3"/>
    <w:rsid w:val="007D7D56"/>
    <w:rsid w:val="007E064D"/>
    <w:rsid w:val="007E0DC7"/>
    <w:rsid w:val="007E18B8"/>
    <w:rsid w:val="007E18FC"/>
    <w:rsid w:val="007E198B"/>
    <w:rsid w:val="007E1A5B"/>
    <w:rsid w:val="007E1D54"/>
    <w:rsid w:val="007E1F8F"/>
    <w:rsid w:val="007E2477"/>
    <w:rsid w:val="007E2B95"/>
    <w:rsid w:val="007E2F19"/>
    <w:rsid w:val="007E3060"/>
    <w:rsid w:val="007E3378"/>
    <w:rsid w:val="007E3F4B"/>
    <w:rsid w:val="007E4083"/>
    <w:rsid w:val="007E44C8"/>
    <w:rsid w:val="007E487A"/>
    <w:rsid w:val="007E4A4D"/>
    <w:rsid w:val="007E4AF9"/>
    <w:rsid w:val="007E5E85"/>
    <w:rsid w:val="007E61E6"/>
    <w:rsid w:val="007E6308"/>
    <w:rsid w:val="007E68E8"/>
    <w:rsid w:val="007E7607"/>
    <w:rsid w:val="007E7C10"/>
    <w:rsid w:val="007E7E25"/>
    <w:rsid w:val="007F004E"/>
    <w:rsid w:val="007F01DC"/>
    <w:rsid w:val="007F06B6"/>
    <w:rsid w:val="007F0A7D"/>
    <w:rsid w:val="007F1692"/>
    <w:rsid w:val="007F2825"/>
    <w:rsid w:val="007F3531"/>
    <w:rsid w:val="007F4DD6"/>
    <w:rsid w:val="007F50AD"/>
    <w:rsid w:val="007F50BF"/>
    <w:rsid w:val="007F636E"/>
    <w:rsid w:val="007F658D"/>
    <w:rsid w:val="007F65C0"/>
    <w:rsid w:val="007F671C"/>
    <w:rsid w:val="007F6FFA"/>
    <w:rsid w:val="007F7057"/>
    <w:rsid w:val="007F7573"/>
    <w:rsid w:val="007F7591"/>
    <w:rsid w:val="007F7C4C"/>
    <w:rsid w:val="007F7F8A"/>
    <w:rsid w:val="00800024"/>
    <w:rsid w:val="00800498"/>
    <w:rsid w:val="00800A14"/>
    <w:rsid w:val="00800EE2"/>
    <w:rsid w:val="00801241"/>
    <w:rsid w:val="008018CA"/>
    <w:rsid w:val="00801D05"/>
    <w:rsid w:val="00802A3A"/>
    <w:rsid w:val="00803C92"/>
    <w:rsid w:val="00804709"/>
    <w:rsid w:val="00804997"/>
    <w:rsid w:val="00805208"/>
    <w:rsid w:val="008054E0"/>
    <w:rsid w:val="008058BC"/>
    <w:rsid w:val="0080593C"/>
    <w:rsid w:val="008059DD"/>
    <w:rsid w:val="00806163"/>
    <w:rsid w:val="0080624C"/>
    <w:rsid w:val="00806293"/>
    <w:rsid w:val="00806829"/>
    <w:rsid w:val="0080694E"/>
    <w:rsid w:val="008106E3"/>
    <w:rsid w:val="00810787"/>
    <w:rsid w:val="00810D10"/>
    <w:rsid w:val="00810E13"/>
    <w:rsid w:val="00810E99"/>
    <w:rsid w:val="00812B8E"/>
    <w:rsid w:val="0081332B"/>
    <w:rsid w:val="008133D3"/>
    <w:rsid w:val="00813634"/>
    <w:rsid w:val="008137D9"/>
    <w:rsid w:val="00813AA3"/>
    <w:rsid w:val="00813CE6"/>
    <w:rsid w:val="00814147"/>
    <w:rsid w:val="008144D8"/>
    <w:rsid w:val="00815EE9"/>
    <w:rsid w:val="00816939"/>
    <w:rsid w:val="00817000"/>
    <w:rsid w:val="0081745D"/>
    <w:rsid w:val="00817CD9"/>
    <w:rsid w:val="00817F91"/>
    <w:rsid w:val="008204DD"/>
    <w:rsid w:val="008207C6"/>
    <w:rsid w:val="00820D2A"/>
    <w:rsid w:val="008210B8"/>
    <w:rsid w:val="008212E2"/>
    <w:rsid w:val="00821555"/>
    <w:rsid w:val="00821DCE"/>
    <w:rsid w:val="00822538"/>
    <w:rsid w:val="00822690"/>
    <w:rsid w:val="0082313A"/>
    <w:rsid w:val="00823A69"/>
    <w:rsid w:val="008240E0"/>
    <w:rsid w:val="008241EF"/>
    <w:rsid w:val="00824629"/>
    <w:rsid w:val="00824EB0"/>
    <w:rsid w:val="008258AB"/>
    <w:rsid w:val="00825E2B"/>
    <w:rsid w:val="00826AF6"/>
    <w:rsid w:val="00826CF8"/>
    <w:rsid w:val="00826E8F"/>
    <w:rsid w:val="0082742B"/>
    <w:rsid w:val="00827BEB"/>
    <w:rsid w:val="008303F8"/>
    <w:rsid w:val="00830E77"/>
    <w:rsid w:val="00831EE3"/>
    <w:rsid w:val="008328F1"/>
    <w:rsid w:val="008332FF"/>
    <w:rsid w:val="008340D9"/>
    <w:rsid w:val="00834267"/>
    <w:rsid w:val="00834F96"/>
    <w:rsid w:val="00835335"/>
    <w:rsid w:val="0083579A"/>
    <w:rsid w:val="0083614C"/>
    <w:rsid w:val="00836453"/>
    <w:rsid w:val="008366C0"/>
    <w:rsid w:val="008369B5"/>
    <w:rsid w:val="00836C4F"/>
    <w:rsid w:val="008370F6"/>
    <w:rsid w:val="0083715A"/>
    <w:rsid w:val="008372D4"/>
    <w:rsid w:val="008375CE"/>
    <w:rsid w:val="00837A1C"/>
    <w:rsid w:val="00837A9B"/>
    <w:rsid w:val="00837B04"/>
    <w:rsid w:val="00837DCE"/>
    <w:rsid w:val="00840A5A"/>
    <w:rsid w:val="00840F19"/>
    <w:rsid w:val="008410CF"/>
    <w:rsid w:val="00841329"/>
    <w:rsid w:val="008415E4"/>
    <w:rsid w:val="008416B3"/>
    <w:rsid w:val="00842037"/>
    <w:rsid w:val="0084242F"/>
    <w:rsid w:val="00842775"/>
    <w:rsid w:val="00842EA6"/>
    <w:rsid w:val="00843CC7"/>
    <w:rsid w:val="008444E3"/>
    <w:rsid w:val="008445B2"/>
    <w:rsid w:val="00844F1D"/>
    <w:rsid w:val="00844F2F"/>
    <w:rsid w:val="00845573"/>
    <w:rsid w:val="008457E7"/>
    <w:rsid w:val="00845BE4"/>
    <w:rsid w:val="00847589"/>
    <w:rsid w:val="008476B9"/>
    <w:rsid w:val="00850A08"/>
    <w:rsid w:val="00850AB9"/>
    <w:rsid w:val="00850C25"/>
    <w:rsid w:val="00851A2B"/>
    <w:rsid w:val="0085225A"/>
    <w:rsid w:val="00852A11"/>
    <w:rsid w:val="00852C54"/>
    <w:rsid w:val="00852D5E"/>
    <w:rsid w:val="008536D1"/>
    <w:rsid w:val="00853D77"/>
    <w:rsid w:val="00853DC3"/>
    <w:rsid w:val="00853ED3"/>
    <w:rsid w:val="00853FBC"/>
    <w:rsid w:val="008543C3"/>
    <w:rsid w:val="008548CB"/>
    <w:rsid w:val="0085498C"/>
    <w:rsid w:val="0085514D"/>
    <w:rsid w:val="008557D5"/>
    <w:rsid w:val="008559AF"/>
    <w:rsid w:val="00855A3B"/>
    <w:rsid w:val="00856468"/>
    <w:rsid w:val="00856A42"/>
    <w:rsid w:val="00856CD1"/>
    <w:rsid w:val="0085708C"/>
    <w:rsid w:val="00857410"/>
    <w:rsid w:val="00857DA2"/>
    <w:rsid w:val="008603C3"/>
    <w:rsid w:val="00860BE4"/>
    <w:rsid w:val="00860C3A"/>
    <w:rsid w:val="00860EE9"/>
    <w:rsid w:val="008615AB"/>
    <w:rsid w:val="008616EF"/>
    <w:rsid w:val="00861F8C"/>
    <w:rsid w:val="008625A3"/>
    <w:rsid w:val="008625E7"/>
    <w:rsid w:val="00862769"/>
    <w:rsid w:val="008627F0"/>
    <w:rsid w:val="00862971"/>
    <w:rsid w:val="008629A2"/>
    <w:rsid w:val="00862C7A"/>
    <w:rsid w:val="008634A5"/>
    <w:rsid w:val="00863548"/>
    <w:rsid w:val="008644F6"/>
    <w:rsid w:val="00864C0B"/>
    <w:rsid w:val="00864EB2"/>
    <w:rsid w:val="00865107"/>
    <w:rsid w:val="008653B9"/>
    <w:rsid w:val="00865723"/>
    <w:rsid w:val="0086666F"/>
    <w:rsid w:val="008666C3"/>
    <w:rsid w:val="00866D51"/>
    <w:rsid w:val="00866EEA"/>
    <w:rsid w:val="00867C7B"/>
    <w:rsid w:val="008701BC"/>
    <w:rsid w:val="008705A8"/>
    <w:rsid w:val="00870D1F"/>
    <w:rsid w:val="00870F22"/>
    <w:rsid w:val="008712BC"/>
    <w:rsid w:val="00871C43"/>
    <w:rsid w:val="00871D82"/>
    <w:rsid w:val="008724CD"/>
    <w:rsid w:val="00872743"/>
    <w:rsid w:val="00873083"/>
    <w:rsid w:val="008730AC"/>
    <w:rsid w:val="0087316C"/>
    <w:rsid w:val="0087391D"/>
    <w:rsid w:val="00873D6E"/>
    <w:rsid w:val="00875BC3"/>
    <w:rsid w:val="00875DBA"/>
    <w:rsid w:val="0087610F"/>
    <w:rsid w:val="00876238"/>
    <w:rsid w:val="008765A9"/>
    <w:rsid w:val="00876636"/>
    <w:rsid w:val="00876A2E"/>
    <w:rsid w:val="00876E4B"/>
    <w:rsid w:val="00877B2F"/>
    <w:rsid w:val="00877C47"/>
    <w:rsid w:val="00877CA6"/>
    <w:rsid w:val="00877D06"/>
    <w:rsid w:val="00880F58"/>
    <w:rsid w:val="00880FCC"/>
    <w:rsid w:val="008812D1"/>
    <w:rsid w:val="0088169E"/>
    <w:rsid w:val="00881959"/>
    <w:rsid w:val="00881E19"/>
    <w:rsid w:val="008823F6"/>
    <w:rsid w:val="008825AC"/>
    <w:rsid w:val="00882CEF"/>
    <w:rsid w:val="00882F77"/>
    <w:rsid w:val="00883208"/>
    <w:rsid w:val="00883A25"/>
    <w:rsid w:val="00883C5D"/>
    <w:rsid w:val="00884A52"/>
    <w:rsid w:val="00884DC8"/>
    <w:rsid w:val="00885724"/>
    <w:rsid w:val="00885834"/>
    <w:rsid w:val="00885840"/>
    <w:rsid w:val="00885C9C"/>
    <w:rsid w:val="00885D72"/>
    <w:rsid w:val="00885DB9"/>
    <w:rsid w:val="00885E36"/>
    <w:rsid w:val="0088625B"/>
    <w:rsid w:val="008870F7"/>
    <w:rsid w:val="008871E8"/>
    <w:rsid w:val="0088753A"/>
    <w:rsid w:val="00887553"/>
    <w:rsid w:val="00887BCB"/>
    <w:rsid w:val="00887FAC"/>
    <w:rsid w:val="008903E8"/>
    <w:rsid w:val="008906AF"/>
    <w:rsid w:val="008906BE"/>
    <w:rsid w:val="008925EE"/>
    <w:rsid w:val="00892A70"/>
    <w:rsid w:val="00892AA9"/>
    <w:rsid w:val="00893578"/>
    <w:rsid w:val="00893C7A"/>
    <w:rsid w:val="00893E47"/>
    <w:rsid w:val="0089466E"/>
    <w:rsid w:val="00894C65"/>
    <w:rsid w:val="00894C92"/>
    <w:rsid w:val="00894D7C"/>
    <w:rsid w:val="00894DAE"/>
    <w:rsid w:val="00896139"/>
    <w:rsid w:val="008966CF"/>
    <w:rsid w:val="008968DB"/>
    <w:rsid w:val="00896E6D"/>
    <w:rsid w:val="008A0545"/>
    <w:rsid w:val="008A09D5"/>
    <w:rsid w:val="008A0A19"/>
    <w:rsid w:val="008A1243"/>
    <w:rsid w:val="008A1845"/>
    <w:rsid w:val="008A1EAD"/>
    <w:rsid w:val="008A25DA"/>
    <w:rsid w:val="008A29E8"/>
    <w:rsid w:val="008A2E74"/>
    <w:rsid w:val="008A34DC"/>
    <w:rsid w:val="008A36A0"/>
    <w:rsid w:val="008A3A5A"/>
    <w:rsid w:val="008A3C8F"/>
    <w:rsid w:val="008A3D51"/>
    <w:rsid w:val="008A3DB6"/>
    <w:rsid w:val="008A41F8"/>
    <w:rsid w:val="008A43C8"/>
    <w:rsid w:val="008A4B9C"/>
    <w:rsid w:val="008A4EAD"/>
    <w:rsid w:val="008A4F2E"/>
    <w:rsid w:val="008A5154"/>
    <w:rsid w:val="008A57CB"/>
    <w:rsid w:val="008A5F09"/>
    <w:rsid w:val="008A5F4C"/>
    <w:rsid w:val="008A6B26"/>
    <w:rsid w:val="008A6DBE"/>
    <w:rsid w:val="008A7677"/>
    <w:rsid w:val="008A7D8C"/>
    <w:rsid w:val="008B0097"/>
    <w:rsid w:val="008B0168"/>
    <w:rsid w:val="008B0169"/>
    <w:rsid w:val="008B0491"/>
    <w:rsid w:val="008B0993"/>
    <w:rsid w:val="008B0B7A"/>
    <w:rsid w:val="008B1B88"/>
    <w:rsid w:val="008B1CB6"/>
    <w:rsid w:val="008B2146"/>
    <w:rsid w:val="008B2556"/>
    <w:rsid w:val="008B2D14"/>
    <w:rsid w:val="008B3819"/>
    <w:rsid w:val="008B3991"/>
    <w:rsid w:val="008B419D"/>
    <w:rsid w:val="008B51B6"/>
    <w:rsid w:val="008B51C1"/>
    <w:rsid w:val="008B53C9"/>
    <w:rsid w:val="008B53F9"/>
    <w:rsid w:val="008B589B"/>
    <w:rsid w:val="008B58F9"/>
    <w:rsid w:val="008B59EE"/>
    <w:rsid w:val="008B5EEA"/>
    <w:rsid w:val="008B6647"/>
    <w:rsid w:val="008B6A1E"/>
    <w:rsid w:val="008B7947"/>
    <w:rsid w:val="008B7FE7"/>
    <w:rsid w:val="008C0313"/>
    <w:rsid w:val="008C078F"/>
    <w:rsid w:val="008C0AC0"/>
    <w:rsid w:val="008C131B"/>
    <w:rsid w:val="008C1659"/>
    <w:rsid w:val="008C18E5"/>
    <w:rsid w:val="008C1C6E"/>
    <w:rsid w:val="008C1FCA"/>
    <w:rsid w:val="008C22DD"/>
    <w:rsid w:val="008C2715"/>
    <w:rsid w:val="008C2A0F"/>
    <w:rsid w:val="008C2C7F"/>
    <w:rsid w:val="008C30C9"/>
    <w:rsid w:val="008C3206"/>
    <w:rsid w:val="008C3314"/>
    <w:rsid w:val="008C349F"/>
    <w:rsid w:val="008C3508"/>
    <w:rsid w:val="008C36D7"/>
    <w:rsid w:val="008C39B0"/>
    <w:rsid w:val="008C47A6"/>
    <w:rsid w:val="008C48DC"/>
    <w:rsid w:val="008C4971"/>
    <w:rsid w:val="008C522B"/>
    <w:rsid w:val="008C5450"/>
    <w:rsid w:val="008C582C"/>
    <w:rsid w:val="008C59E6"/>
    <w:rsid w:val="008C5A33"/>
    <w:rsid w:val="008C6619"/>
    <w:rsid w:val="008C6CF1"/>
    <w:rsid w:val="008C6F70"/>
    <w:rsid w:val="008C75FB"/>
    <w:rsid w:val="008C770D"/>
    <w:rsid w:val="008C7C29"/>
    <w:rsid w:val="008D0533"/>
    <w:rsid w:val="008D1160"/>
    <w:rsid w:val="008D1182"/>
    <w:rsid w:val="008D134C"/>
    <w:rsid w:val="008D18C4"/>
    <w:rsid w:val="008D1F5A"/>
    <w:rsid w:val="008D2397"/>
    <w:rsid w:val="008D244A"/>
    <w:rsid w:val="008D2488"/>
    <w:rsid w:val="008D25B3"/>
    <w:rsid w:val="008D27CA"/>
    <w:rsid w:val="008D298D"/>
    <w:rsid w:val="008D2E01"/>
    <w:rsid w:val="008D2FDB"/>
    <w:rsid w:val="008D304B"/>
    <w:rsid w:val="008D3242"/>
    <w:rsid w:val="008D32A4"/>
    <w:rsid w:val="008D35A9"/>
    <w:rsid w:val="008D44A8"/>
    <w:rsid w:val="008D4641"/>
    <w:rsid w:val="008D46D3"/>
    <w:rsid w:val="008D47A5"/>
    <w:rsid w:val="008D499F"/>
    <w:rsid w:val="008D5827"/>
    <w:rsid w:val="008D6927"/>
    <w:rsid w:val="008D6A6B"/>
    <w:rsid w:val="008D6D03"/>
    <w:rsid w:val="008D7A35"/>
    <w:rsid w:val="008D7B13"/>
    <w:rsid w:val="008E0846"/>
    <w:rsid w:val="008E0BBD"/>
    <w:rsid w:val="008E13A8"/>
    <w:rsid w:val="008E1900"/>
    <w:rsid w:val="008E1D7F"/>
    <w:rsid w:val="008E219C"/>
    <w:rsid w:val="008E2D1A"/>
    <w:rsid w:val="008E2F19"/>
    <w:rsid w:val="008E30FB"/>
    <w:rsid w:val="008E31A9"/>
    <w:rsid w:val="008E3916"/>
    <w:rsid w:val="008E3D0B"/>
    <w:rsid w:val="008E3EE1"/>
    <w:rsid w:val="008E3FB5"/>
    <w:rsid w:val="008E41EE"/>
    <w:rsid w:val="008E4262"/>
    <w:rsid w:val="008E4467"/>
    <w:rsid w:val="008E469A"/>
    <w:rsid w:val="008E48F4"/>
    <w:rsid w:val="008E51AF"/>
    <w:rsid w:val="008E546E"/>
    <w:rsid w:val="008E604E"/>
    <w:rsid w:val="008E6090"/>
    <w:rsid w:val="008E6977"/>
    <w:rsid w:val="008E6F43"/>
    <w:rsid w:val="008E7422"/>
    <w:rsid w:val="008E7934"/>
    <w:rsid w:val="008F0640"/>
    <w:rsid w:val="008F08C1"/>
    <w:rsid w:val="008F0A8D"/>
    <w:rsid w:val="008F0D83"/>
    <w:rsid w:val="008F1296"/>
    <w:rsid w:val="008F1309"/>
    <w:rsid w:val="008F241F"/>
    <w:rsid w:val="008F28E4"/>
    <w:rsid w:val="008F2E78"/>
    <w:rsid w:val="008F30D3"/>
    <w:rsid w:val="008F33EA"/>
    <w:rsid w:val="008F363F"/>
    <w:rsid w:val="008F446C"/>
    <w:rsid w:val="008F512F"/>
    <w:rsid w:val="008F5A1B"/>
    <w:rsid w:val="008F5AEA"/>
    <w:rsid w:val="008F695A"/>
    <w:rsid w:val="008F6CF4"/>
    <w:rsid w:val="008F7436"/>
    <w:rsid w:val="008F76A5"/>
    <w:rsid w:val="008F7882"/>
    <w:rsid w:val="008F7D9D"/>
    <w:rsid w:val="008F7E6F"/>
    <w:rsid w:val="0090021A"/>
    <w:rsid w:val="009004D9"/>
    <w:rsid w:val="0090057E"/>
    <w:rsid w:val="0090067A"/>
    <w:rsid w:val="0090067B"/>
    <w:rsid w:val="00900CDF"/>
    <w:rsid w:val="00900EE0"/>
    <w:rsid w:val="0090103C"/>
    <w:rsid w:val="00901522"/>
    <w:rsid w:val="009017FE"/>
    <w:rsid w:val="00901A4D"/>
    <w:rsid w:val="00901E5D"/>
    <w:rsid w:val="009025E0"/>
    <w:rsid w:val="009025EA"/>
    <w:rsid w:val="0090467F"/>
    <w:rsid w:val="00905188"/>
    <w:rsid w:val="00905695"/>
    <w:rsid w:val="00905D4F"/>
    <w:rsid w:val="00905DB4"/>
    <w:rsid w:val="00906718"/>
    <w:rsid w:val="00906774"/>
    <w:rsid w:val="009067F4"/>
    <w:rsid w:val="00906F7C"/>
    <w:rsid w:val="00907006"/>
    <w:rsid w:val="00907AD8"/>
    <w:rsid w:val="009100DF"/>
    <w:rsid w:val="0091156E"/>
    <w:rsid w:val="009119A2"/>
    <w:rsid w:val="00911C51"/>
    <w:rsid w:val="00911C67"/>
    <w:rsid w:val="00912558"/>
    <w:rsid w:val="00913170"/>
    <w:rsid w:val="009131B5"/>
    <w:rsid w:val="009131E3"/>
    <w:rsid w:val="00913D19"/>
    <w:rsid w:val="0091456E"/>
    <w:rsid w:val="00914583"/>
    <w:rsid w:val="00915221"/>
    <w:rsid w:val="00915472"/>
    <w:rsid w:val="00915501"/>
    <w:rsid w:val="00915765"/>
    <w:rsid w:val="0091604A"/>
    <w:rsid w:val="00916126"/>
    <w:rsid w:val="009161A2"/>
    <w:rsid w:val="00916551"/>
    <w:rsid w:val="00916C22"/>
    <w:rsid w:val="00916E05"/>
    <w:rsid w:val="00916FA8"/>
    <w:rsid w:val="0091731D"/>
    <w:rsid w:val="009179B6"/>
    <w:rsid w:val="00920866"/>
    <w:rsid w:val="00920F4A"/>
    <w:rsid w:val="00921E8C"/>
    <w:rsid w:val="00921F5F"/>
    <w:rsid w:val="00922130"/>
    <w:rsid w:val="00922622"/>
    <w:rsid w:val="00922EB9"/>
    <w:rsid w:val="00923540"/>
    <w:rsid w:val="0092363E"/>
    <w:rsid w:val="009240BD"/>
    <w:rsid w:val="009240F7"/>
    <w:rsid w:val="0092433F"/>
    <w:rsid w:val="00924386"/>
    <w:rsid w:val="00924A3B"/>
    <w:rsid w:val="00924B20"/>
    <w:rsid w:val="009250D1"/>
    <w:rsid w:val="00925140"/>
    <w:rsid w:val="009257E7"/>
    <w:rsid w:val="00926049"/>
    <w:rsid w:val="009264F2"/>
    <w:rsid w:val="00926759"/>
    <w:rsid w:val="00926FB8"/>
    <w:rsid w:val="009273C9"/>
    <w:rsid w:val="00927C0A"/>
    <w:rsid w:val="009301EB"/>
    <w:rsid w:val="0093040E"/>
    <w:rsid w:val="009307D9"/>
    <w:rsid w:val="00930DAE"/>
    <w:rsid w:val="00930E90"/>
    <w:rsid w:val="00931116"/>
    <w:rsid w:val="00931547"/>
    <w:rsid w:val="009317BA"/>
    <w:rsid w:val="009319CE"/>
    <w:rsid w:val="00932480"/>
    <w:rsid w:val="009328A0"/>
    <w:rsid w:val="00932B05"/>
    <w:rsid w:val="00933547"/>
    <w:rsid w:val="00933BDC"/>
    <w:rsid w:val="00934425"/>
    <w:rsid w:val="009345C8"/>
    <w:rsid w:val="00934C08"/>
    <w:rsid w:val="00934DF8"/>
    <w:rsid w:val="00935A52"/>
    <w:rsid w:val="0093610A"/>
    <w:rsid w:val="0093619C"/>
    <w:rsid w:val="00936656"/>
    <w:rsid w:val="00936D24"/>
    <w:rsid w:val="00936F33"/>
    <w:rsid w:val="00940B70"/>
    <w:rsid w:val="00940CFC"/>
    <w:rsid w:val="00940E68"/>
    <w:rsid w:val="0094135E"/>
    <w:rsid w:val="00941767"/>
    <w:rsid w:val="00941A82"/>
    <w:rsid w:val="00941AC3"/>
    <w:rsid w:val="00941D60"/>
    <w:rsid w:val="009424D7"/>
    <w:rsid w:val="009427BE"/>
    <w:rsid w:val="009428E3"/>
    <w:rsid w:val="0094298B"/>
    <w:rsid w:val="00942E89"/>
    <w:rsid w:val="00943235"/>
    <w:rsid w:val="0094348D"/>
    <w:rsid w:val="0094416E"/>
    <w:rsid w:val="0094554F"/>
    <w:rsid w:val="00945E64"/>
    <w:rsid w:val="00946CFB"/>
    <w:rsid w:val="00947B42"/>
    <w:rsid w:val="00947EA9"/>
    <w:rsid w:val="00947EB7"/>
    <w:rsid w:val="0095002F"/>
    <w:rsid w:val="009500DB"/>
    <w:rsid w:val="0095065D"/>
    <w:rsid w:val="00950720"/>
    <w:rsid w:val="009509A0"/>
    <w:rsid w:val="009511D5"/>
    <w:rsid w:val="0095137B"/>
    <w:rsid w:val="00951507"/>
    <w:rsid w:val="0095212D"/>
    <w:rsid w:val="00952154"/>
    <w:rsid w:val="0095220F"/>
    <w:rsid w:val="00952EF1"/>
    <w:rsid w:val="0095354F"/>
    <w:rsid w:val="0095356E"/>
    <w:rsid w:val="00953A17"/>
    <w:rsid w:val="009542A6"/>
    <w:rsid w:val="00954464"/>
    <w:rsid w:val="009546D2"/>
    <w:rsid w:val="00954794"/>
    <w:rsid w:val="0095485A"/>
    <w:rsid w:val="0095529C"/>
    <w:rsid w:val="009554AF"/>
    <w:rsid w:val="009555B8"/>
    <w:rsid w:val="00955674"/>
    <w:rsid w:val="009556EE"/>
    <w:rsid w:val="0095575E"/>
    <w:rsid w:val="00955862"/>
    <w:rsid w:val="00955AC2"/>
    <w:rsid w:val="00955BC3"/>
    <w:rsid w:val="00956060"/>
    <w:rsid w:val="0095619E"/>
    <w:rsid w:val="00956354"/>
    <w:rsid w:val="009568B3"/>
    <w:rsid w:val="00956CA4"/>
    <w:rsid w:val="00956E4F"/>
    <w:rsid w:val="0095711D"/>
    <w:rsid w:val="00957A04"/>
    <w:rsid w:val="009600BE"/>
    <w:rsid w:val="00960755"/>
    <w:rsid w:val="00960CBD"/>
    <w:rsid w:val="00960D92"/>
    <w:rsid w:val="00960DC1"/>
    <w:rsid w:val="0096126A"/>
    <w:rsid w:val="00961282"/>
    <w:rsid w:val="009618B0"/>
    <w:rsid w:val="00961CFE"/>
    <w:rsid w:val="009621C1"/>
    <w:rsid w:val="00962316"/>
    <w:rsid w:val="00962499"/>
    <w:rsid w:val="009624BD"/>
    <w:rsid w:val="00962610"/>
    <w:rsid w:val="009626A9"/>
    <w:rsid w:val="009634E5"/>
    <w:rsid w:val="00963901"/>
    <w:rsid w:val="0096408D"/>
    <w:rsid w:val="009645EA"/>
    <w:rsid w:val="0096505B"/>
    <w:rsid w:val="009653B5"/>
    <w:rsid w:val="009655D9"/>
    <w:rsid w:val="00965850"/>
    <w:rsid w:val="009659E0"/>
    <w:rsid w:val="00965B8B"/>
    <w:rsid w:val="009661C4"/>
    <w:rsid w:val="00966693"/>
    <w:rsid w:val="00966E4C"/>
    <w:rsid w:val="00966EDF"/>
    <w:rsid w:val="00967013"/>
    <w:rsid w:val="00967949"/>
    <w:rsid w:val="00970550"/>
    <w:rsid w:val="00970A0E"/>
    <w:rsid w:val="009716D7"/>
    <w:rsid w:val="00971ED5"/>
    <w:rsid w:val="0097209C"/>
    <w:rsid w:val="009722E5"/>
    <w:rsid w:val="009727AF"/>
    <w:rsid w:val="00972AC8"/>
    <w:rsid w:val="009731AD"/>
    <w:rsid w:val="0097385E"/>
    <w:rsid w:val="00973C5C"/>
    <w:rsid w:val="00973D33"/>
    <w:rsid w:val="00973EA7"/>
    <w:rsid w:val="009740CC"/>
    <w:rsid w:val="00974371"/>
    <w:rsid w:val="0097640E"/>
    <w:rsid w:val="009764C6"/>
    <w:rsid w:val="009766E7"/>
    <w:rsid w:val="00976F31"/>
    <w:rsid w:val="00977304"/>
    <w:rsid w:val="009779C5"/>
    <w:rsid w:val="009804C9"/>
    <w:rsid w:val="00980807"/>
    <w:rsid w:val="00980CDB"/>
    <w:rsid w:val="00981662"/>
    <w:rsid w:val="009816C3"/>
    <w:rsid w:val="00981C8C"/>
    <w:rsid w:val="00982288"/>
    <w:rsid w:val="00982335"/>
    <w:rsid w:val="0098245B"/>
    <w:rsid w:val="009825DB"/>
    <w:rsid w:val="00982EC4"/>
    <w:rsid w:val="00983482"/>
    <w:rsid w:val="00983786"/>
    <w:rsid w:val="00983981"/>
    <w:rsid w:val="00983CC8"/>
    <w:rsid w:val="00983F26"/>
    <w:rsid w:val="00983FF2"/>
    <w:rsid w:val="009848B9"/>
    <w:rsid w:val="009851F1"/>
    <w:rsid w:val="0098536C"/>
    <w:rsid w:val="009853AE"/>
    <w:rsid w:val="00985514"/>
    <w:rsid w:val="0098551D"/>
    <w:rsid w:val="00985C6F"/>
    <w:rsid w:val="00985EF7"/>
    <w:rsid w:val="00985FD7"/>
    <w:rsid w:val="0098633B"/>
    <w:rsid w:val="009868EC"/>
    <w:rsid w:val="00987619"/>
    <w:rsid w:val="00987CFE"/>
    <w:rsid w:val="00990320"/>
    <w:rsid w:val="00991603"/>
    <w:rsid w:val="0099160D"/>
    <w:rsid w:val="00991794"/>
    <w:rsid w:val="00991FC0"/>
    <w:rsid w:val="009927AF"/>
    <w:rsid w:val="00992C7C"/>
    <w:rsid w:val="00993307"/>
    <w:rsid w:val="009941AE"/>
    <w:rsid w:val="00994389"/>
    <w:rsid w:val="00994672"/>
    <w:rsid w:val="0099473F"/>
    <w:rsid w:val="009947F3"/>
    <w:rsid w:val="0099494E"/>
    <w:rsid w:val="00994A32"/>
    <w:rsid w:val="00994C2C"/>
    <w:rsid w:val="00994F91"/>
    <w:rsid w:val="0099567F"/>
    <w:rsid w:val="00995C24"/>
    <w:rsid w:val="00996393"/>
    <w:rsid w:val="00996633"/>
    <w:rsid w:val="009967F6"/>
    <w:rsid w:val="009968BF"/>
    <w:rsid w:val="00996DC2"/>
    <w:rsid w:val="00996ECA"/>
    <w:rsid w:val="009971EA"/>
    <w:rsid w:val="00997290"/>
    <w:rsid w:val="00997825"/>
    <w:rsid w:val="00997CBC"/>
    <w:rsid w:val="00997DB0"/>
    <w:rsid w:val="009A01B6"/>
    <w:rsid w:val="009A0CDE"/>
    <w:rsid w:val="009A10AD"/>
    <w:rsid w:val="009A135E"/>
    <w:rsid w:val="009A18A8"/>
    <w:rsid w:val="009A1AFE"/>
    <w:rsid w:val="009A1DCC"/>
    <w:rsid w:val="009A204B"/>
    <w:rsid w:val="009A2343"/>
    <w:rsid w:val="009A24DE"/>
    <w:rsid w:val="009A252A"/>
    <w:rsid w:val="009A2546"/>
    <w:rsid w:val="009A2568"/>
    <w:rsid w:val="009A29D9"/>
    <w:rsid w:val="009A29E7"/>
    <w:rsid w:val="009A3293"/>
    <w:rsid w:val="009A360A"/>
    <w:rsid w:val="009A3622"/>
    <w:rsid w:val="009A3C64"/>
    <w:rsid w:val="009A3CF7"/>
    <w:rsid w:val="009A40CE"/>
    <w:rsid w:val="009A50D2"/>
    <w:rsid w:val="009A52A0"/>
    <w:rsid w:val="009A5719"/>
    <w:rsid w:val="009A5723"/>
    <w:rsid w:val="009A5836"/>
    <w:rsid w:val="009A5D1D"/>
    <w:rsid w:val="009A5F1B"/>
    <w:rsid w:val="009A6CFD"/>
    <w:rsid w:val="009A7052"/>
    <w:rsid w:val="009A77B2"/>
    <w:rsid w:val="009A7AD2"/>
    <w:rsid w:val="009A7B07"/>
    <w:rsid w:val="009A7BE6"/>
    <w:rsid w:val="009B0119"/>
    <w:rsid w:val="009B0589"/>
    <w:rsid w:val="009B18BC"/>
    <w:rsid w:val="009B19DC"/>
    <w:rsid w:val="009B23E7"/>
    <w:rsid w:val="009B256A"/>
    <w:rsid w:val="009B296A"/>
    <w:rsid w:val="009B2983"/>
    <w:rsid w:val="009B3091"/>
    <w:rsid w:val="009B4E09"/>
    <w:rsid w:val="009B5617"/>
    <w:rsid w:val="009B695F"/>
    <w:rsid w:val="009B7038"/>
    <w:rsid w:val="009B7525"/>
    <w:rsid w:val="009B774D"/>
    <w:rsid w:val="009B7BBA"/>
    <w:rsid w:val="009B7F9F"/>
    <w:rsid w:val="009C0D56"/>
    <w:rsid w:val="009C11E1"/>
    <w:rsid w:val="009C1503"/>
    <w:rsid w:val="009C1565"/>
    <w:rsid w:val="009C36C8"/>
    <w:rsid w:val="009C3744"/>
    <w:rsid w:val="009C38DD"/>
    <w:rsid w:val="009C3ABA"/>
    <w:rsid w:val="009C3AE0"/>
    <w:rsid w:val="009C3EB4"/>
    <w:rsid w:val="009C407E"/>
    <w:rsid w:val="009C4270"/>
    <w:rsid w:val="009C435D"/>
    <w:rsid w:val="009C460C"/>
    <w:rsid w:val="009C4626"/>
    <w:rsid w:val="009C4A06"/>
    <w:rsid w:val="009C5477"/>
    <w:rsid w:val="009C577F"/>
    <w:rsid w:val="009C61D7"/>
    <w:rsid w:val="009C6582"/>
    <w:rsid w:val="009C72D2"/>
    <w:rsid w:val="009C7C1A"/>
    <w:rsid w:val="009D03D0"/>
    <w:rsid w:val="009D11C6"/>
    <w:rsid w:val="009D1C02"/>
    <w:rsid w:val="009D2D36"/>
    <w:rsid w:val="009D302F"/>
    <w:rsid w:val="009D31B2"/>
    <w:rsid w:val="009D33AE"/>
    <w:rsid w:val="009D39A6"/>
    <w:rsid w:val="009D3CF7"/>
    <w:rsid w:val="009D401C"/>
    <w:rsid w:val="009D4055"/>
    <w:rsid w:val="009D460C"/>
    <w:rsid w:val="009D49A9"/>
    <w:rsid w:val="009D4DFD"/>
    <w:rsid w:val="009D4F5C"/>
    <w:rsid w:val="009D505D"/>
    <w:rsid w:val="009D5732"/>
    <w:rsid w:val="009D60BE"/>
    <w:rsid w:val="009D61BF"/>
    <w:rsid w:val="009D67C6"/>
    <w:rsid w:val="009D69A8"/>
    <w:rsid w:val="009D6A69"/>
    <w:rsid w:val="009D6C5A"/>
    <w:rsid w:val="009D7272"/>
    <w:rsid w:val="009D735D"/>
    <w:rsid w:val="009D7B2B"/>
    <w:rsid w:val="009D7B82"/>
    <w:rsid w:val="009D7E3A"/>
    <w:rsid w:val="009E04D2"/>
    <w:rsid w:val="009E051A"/>
    <w:rsid w:val="009E097C"/>
    <w:rsid w:val="009E09C5"/>
    <w:rsid w:val="009E0DAC"/>
    <w:rsid w:val="009E186C"/>
    <w:rsid w:val="009E1942"/>
    <w:rsid w:val="009E1B70"/>
    <w:rsid w:val="009E2020"/>
    <w:rsid w:val="009E24BC"/>
    <w:rsid w:val="009E28B2"/>
    <w:rsid w:val="009E2E6E"/>
    <w:rsid w:val="009E2EDC"/>
    <w:rsid w:val="009E30C4"/>
    <w:rsid w:val="009E31DF"/>
    <w:rsid w:val="009E32FD"/>
    <w:rsid w:val="009E3350"/>
    <w:rsid w:val="009E3742"/>
    <w:rsid w:val="009E377F"/>
    <w:rsid w:val="009E3C7F"/>
    <w:rsid w:val="009E3F12"/>
    <w:rsid w:val="009E3FE0"/>
    <w:rsid w:val="009E40B6"/>
    <w:rsid w:val="009E42CA"/>
    <w:rsid w:val="009E5275"/>
    <w:rsid w:val="009E61C1"/>
    <w:rsid w:val="009E6852"/>
    <w:rsid w:val="009E693B"/>
    <w:rsid w:val="009E6A3A"/>
    <w:rsid w:val="009E7B4C"/>
    <w:rsid w:val="009F1257"/>
    <w:rsid w:val="009F1286"/>
    <w:rsid w:val="009F1859"/>
    <w:rsid w:val="009F278B"/>
    <w:rsid w:val="009F3224"/>
    <w:rsid w:val="009F3236"/>
    <w:rsid w:val="009F3A58"/>
    <w:rsid w:val="009F40C0"/>
    <w:rsid w:val="009F4781"/>
    <w:rsid w:val="009F488E"/>
    <w:rsid w:val="009F5421"/>
    <w:rsid w:val="009F55AE"/>
    <w:rsid w:val="009F58CF"/>
    <w:rsid w:val="009F5C46"/>
    <w:rsid w:val="009F5C65"/>
    <w:rsid w:val="009F5CDF"/>
    <w:rsid w:val="009F648F"/>
    <w:rsid w:val="009F751F"/>
    <w:rsid w:val="009F779F"/>
    <w:rsid w:val="009F7BF0"/>
    <w:rsid w:val="009F7D82"/>
    <w:rsid w:val="00A0049F"/>
    <w:rsid w:val="00A007F3"/>
    <w:rsid w:val="00A00831"/>
    <w:rsid w:val="00A0096E"/>
    <w:rsid w:val="00A0106D"/>
    <w:rsid w:val="00A01412"/>
    <w:rsid w:val="00A01A87"/>
    <w:rsid w:val="00A01C3C"/>
    <w:rsid w:val="00A02099"/>
    <w:rsid w:val="00A0238F"/>
    <w:rsid w:val="00A02460"/>
    <w:rsid w:val="00A024A4"/>
    <w:rsid w:val="00A026C7"/>
    <w:rsid w:val="00A03003"/>
    <w:rsid w:val="00A033AC"/>
    <w:rsid w:val="00A0378B"/>
    <w:rsid w:val="00A037D3"/>
    <w:rsid w:val="00A0396C"/>
    <w:rsid w:val="00A03F16"/>
    <w:rsid w:val="00A04297"/>
    <w:rsid w:val="00A049A9"/>
    <w:rsid w:val="00A04BDF"/>
    <w:rsid w:val="00A05202"/>
    <w:rsid w:val="00A05692"/>
    <w:rsid w:val="00A05987"/>
    <w:rsid w:val="00A05CBB"/>
    <w:rsid w:val="00A05F21"/>
    <w:rsid w:val="00A063FE"/>
    <w:rsid w:val="00A06511"/>
    <w:rsid w:val="00A07002"/>
    <w:rsid w:val="00A0730C"/>
    <w:rsid w:val="00A079C5"/>
    <w:rsid w:val="00A1018C"/>
    <w:rsid w:val="00A1023E"/>
    <w:rsid w:val="00A10851"/>
    <w:rsid w:val="00A10D3A"/>
    <w:rsid w:val="00A111CB"/>
    <w:rsid w:val="00A11F68"/>
    <w:rsid w:val="00A125C1"/>
    <w:rsid w:val="00A12757"/>
    <w:rsid w:val="00A12CC3"/>
    <w:rsid w:val="00A12D1B"/>
    <w:rsid w:val="00A12F47"/>
    <w:rsid w:val="00A131DC"/>
    <w:rsid w:val="00A132E6"/>
    <w:rsid w:val="00A13531"/>
    <w:rsid w:val="00A13D41"/>
    <w:rsid w:val="00A148AE"/>
    <w:rsid w:val="00A14C1D"/>
    <w:rsid w:val="00A14FD0"/>
    <w:rsid w:val="00A15177"/>
    <w:rsid w:val="00A168C1"/>
    <w:rsid w:val="00A16AFD"/>
    <w:rsid w:val="00A16E7F"/>
    <w:rsid w:val="00A204A2"/>
    <w:rsid w:val="00A20D2F"/>
    <w:rsid w:val="00A21A64"/>
    <w:rsid w:val="00A21B84"/>
    <w:rsid w:val="00A21C72"/>
    <w:rsid w:val="00A22441"/>
    <w:rsid w:val="00A22676"/>
    <w:rsid w:val="00A226CA"/>
    <w:rsid w:val="00A22A60"/>
    <w:rsid w:val="00A2335E"/>
    <w:rsid w:val="00A23C99"/>
    <w:rsid w:val="00A2406D"/>
    <w:rsid w:val="00A2440B"/>
    <w:rsid w:val="00A24AC6"/>
    <w:rsid w:val="00A24AD0"/>
    <w:rsid w:val="00A24D51"/>
    <w:rsid w:val="00A256AE"/>
    <w:rsid w:val="00A25854"/>
    <w:rsid w:val="00A25CF8"/>
    <w:rsid w:val="00A276FB"/>
    <w:rsid w:val="00A27D9A"/>
    <w:rsid w:val="00A3036D"/>
    <w:rsid w:val="00A303B3"/>
    <w:rsid w:val="00A30B8E"/>
    <w:rsid w:val="00A30DB7"/>
    <w:rsid w:val="00A310C2"/>
    <w:rsid w:val="00A31D48"/>
    <w:rsid w:val="00A320B5"/>
    <w:rsid w:val="00A32238"/>
    <w:rsid w:val="00A3233C"/>
    <w:rsid w:val="00A323D3"/>
    <w:rsid w:val="00A326F4"/>
    <w:rsid w:val="00A32A70"/>
    <w:rsid w:val="00A33914"/>
    <w:rsid w:val="00A33C4B"/>
    <w:rsid w:val="00A33ED7"/>
    <w:rsid w:val="00A340A9"/>
    <w:rsid w:val="00A34255"/>
    <w:rsid w:val="00A34302"/>
    <w:rsid w:val="00A343D6"/>
    <w:rsid w:val="00A34807"/>
    <w:rsid w:val="00A3488D"/>
    <w:rsid w:val="00A348D4"/>
    <w:rsid w:val="00A34C9A"/>
    <w:rsid w:val="00A34EAB"/>
    <w:rsid w:val="00A352CB"/>
    <w:rsid w:val="00A358C9"/>
    <w:rsid w:val="00A35C61"/>
    <w:rsid w:val="00A36153"/>
    <w:rsid w:val="00A36241"/>
    <w:rsid w:val="00A363C7"/>
    <w:rsid w:val="00A36B73"/>
    <w:rsid w:val="00A36D7D"/>
    <w:rsid w:val="00A37355"/>
    <w:rsid w:val="00A373B3"/>
    <w:rsid w:val="00A373C9"/>
    <w:rsid w:val="00A37DAC"/>
    <w:rsid w:val="00A40342"/>
    <w:rsid w:val="00A4071B"/>
    <w:rsid w:val="00A40FCF"/>
    <w:rsid w:val="00A411A2"/>
    <w:rsid w:val="00A411C8"/>
    <w:rsid w:val="00A413D2"/>
    <w:rsid w:val="00A4145F"/>
    <w:rsid w:val="00A419FD"/>
    <w:rsid w:val="00A41B35"/>
    <w:rsid w:val="00A41F25"/>
    <w:rsid w:val="00A420F8"/>
    <w:rsid w:val="00A425A8"/>
    <w:rsid w:val="00A42B65"/>
    <w:rsid w:val="00A43159"/>
    <w:rsid w:val="00A431FF"/>
    <w:rsid w:val="00A43FB4"/>
    <w:rsid w:val="00A443A3"/>
    <w:rsid w:val="00A44BEF"/>
    <w:rsid w:val="00A44FA5"/>
    <w:rsid w:val="00A4513F"/>
    <w:rsid w:val="00A45344"/>
    <w:rsid w:val="00A45492"/>
    <w:rsid w:val="00A45E33"/>
    <w:rsid w:val="00A4686F"/>
    <w:rsid w:val="00A46F7D"/>
    <w:rsid w:val="00A472D1"/>
    <w:rsid w:val="00A478DE"/>
    <w:rsid w:val="00A47A10"/>
    <w:rsid w:val="00A50364"/>
    <w:rsid w:val="00A508E1"/>
    <w:rsid w:val="00A50B70"/>
    <w:rsid w:val="00A50E24"/>
    <w:rsid w:val="00A51103"/>
    <w:rsid w:val="00A52560"/>
    <w:rsid w:val="00A5276A"/>
    <w:rsid w:val="00A5289A"/>
    <w:rsid w:val="00A532FC"/>
    <w:rsid w:val="00A53622"/>
    <w:rsid w:val="00A5362B"/>
    <w:rsid w:val="00A53866"/>
    <w:rsid w:val="00A53AC3"/>
    <w:rsid w:val="00A5502E"/>
    <w:rsid w:val="00A553F0"/>
    <w:rsid w:val="00A557FD"/>
    <w:rsid w:val="00A56014"/>
    <w:rsid w:val="00A5659F"/>
    <w:rsid w:val="00A566CA"/>
    <w:rsid w:val="00A576F8"/>
    <w:rsid w:val="00A57C54"/>
    <w:rsid w:val="00A57CF5"/>
    <w:rsid w:val="00A607A7"/>
    <w:rsid w:val="00A60AA8"/>
    <w:rsid w:val="00A60ABB"/>
    <w:rsid w:val="00A60B6B"/>
    <w:rsid w:val="00A611DA"/>
    <w:rsid w:val="00A61992"/>
    <w:rsid w:val="00A61B35"/>
    <w:rsid w:val="00A61D7C"/>
    <w:rsid w:val="00A61E99"/>
    <w:rsid w:val="00A61EE6"/>
    <w:rsid w:val="00A620FB"/>
    <w:rsid w:val="00A623DA"/>
    <w:rsid w:val="00A62E77"/>
    <w:rsid w:val="00A63325"/>
    <w:rsid w:val="00A63DD9"/>
    <w:rsid w:val="00A65CD0"/>
    <w:rsid w:val="00A665C6"/>
    <w:rsid w:val="00A66BE6"/>
    <w:rsid w:val="00A66DA7"/>
    <w:rsid w:val="00A66DED"/>
    <w:rsid w:val="00A671C9"/>
    <w:rsid w:val="00A673E9"/>
    <w:rsid w:val="00A67C1E"/>
    <w:rsid w:val="00A67ED6"/>
    <w:rsid w:val="00A702A9"/>
    <w:rsid w:val="00A7067D"/>
    <w:rsid w:val="00A7078B"/>
    <w:rsid w:val="00A712D3"/>
    <w:rsid w:val="00A7161E"/>
    <w:rsid w:val="00A719B8"/>
    <w:rsid w:val="00A7286E"/>
    <w:rsid w:val="00A73A15"/>
    <w:rsid w:val="00A73A3A"/>
    <w:rsid w:val="00A74376"/>
    <w:rsid w:val="00A7443F"/>
    <w:rsid w:val="00A746FD"/>
    <w:rsid w:val="00A74F5E"/>
    <w:rsid w:val="00A753F8"/>
    <w:rsid w:val="00A75757"/>
    <w:rsid w:val="00A75C61"/>
    <w:rsid w:val="00A75E1D"/>
    <w:rsid w:val="00A764FA"/>
    <w:rsid w:val="00A7711A"/>
    <w:rsid w:val="00A772C1"/>
    <w:rsid w:val="00A77B65"/>
    <w:rsid w:val="00A80110"/>
    <w:rsid w:val="00A80A99"/>
    <w:rsid w:val="00A80E5A"/>
    <w:rsid w:val="00A81548"/>
    <w:rsid w:val="00A81786"/>
    <w:rsid w:val="00A82BFC"/>
    <w:rsid w:val="00A841B3"/>
    <w:rsid w:val="00A848FE"/>
    <w:rsid w:val="00A84B0C"/>
    <w:rsid w:val="00A854F7"/>
    <w:rsid w:val="00A85A43"/>
    <w:rsid w:val="00A8686D"/>
    <w:rsid w:val="00A875CE"/>
    <w:rsid w:val="00A87F81"/>
    <w:rsid w:val="00A91D8F"/>
    <w:rsid w:val="00A92395"/>
    <w:rsid w:val="00A92604"/>
    <w:rsid w:val="00A930EE"/>
    <w:rsid w:val="00A9441F"/>
    <w:rsid w:val="00A945A2"/>
    <w:rsid w:val="00A949E5"/>
    <w:rsid w:val="00A955B8"/>
    <w:rsid w:val="00A957BA"/>
    <w:rsid w:val="00A9593A"/>
    <w:rsid w:val="00A95B3F"/>
    <w:rsid w:val="00A95CA0"/>
    <w:rsid w:val="00A95DD8"/>
    <w:rsid w:val="00A96361"/>
    <w:rsid w:val="00A964B1"/>
    <w:rsid w:val="00A9691F"/>
    <w:rsid w:val="00A96922"/>
    <w:rsid w:val="00A96AF8"/>
    <w:rsid w:val="00A96EB9"/>
    <w:rsid w:val="00A97AC0"/>
    <w:rsid w:val="00AA006A"/>
    <w:rsid w:val="00AA01DB"/>
    <w:rsid w:val="00AA1510"/>
    <w:rsid w:val="00AA15B0"/>
    <w:rsid w:val="00AA1BC4"/>
    <w:rsid w:val="00AA1F64"/>
    <w:rsid w:val="00AA1FEC"/>
    <w:rsid w:val="00AA3917"/>
    <w:rsid w:val="00AA4332"/>
    <w:rsid w:val="00AA4A5B"/>
    <w:rsid w:val="00AA4C7E"/>
    <w:rsid w:val="00AA566A"/>
    <w:rsid w:val="00AA5B3A"/>
    <w:rsid w:val="00AA6CD9"/>
    <w:rsid w:val="00AA7927"/>
    <w:rsid w:val="00AA79B4"/>
    <w:rsid w:val="00AA7D52"/>
    <w:rsid w:val="00AB01E7"/>
    <w:rsid w:val="00AB1140"/>
    <w:rsid w:val="00AB1900"/>
    <w:rsid w:val="00AB1B7E"/>
    <w:rsid w:val="00AB2066"/>
    <w:rsid w:val="00AB234F"/>
    <w:rsid w:val="00AB268F"/>
    <w:rsid w:val="00AB2D40"/>
    <w:rsid w:val="00AB3131"/>
    <w:rsid w:val="00AB339F"/>
    <w:rsid w:val="00AB382A"/>
    <w:rsid w:val="00AB39AA"/>
    <w:rsid w:val="00AB3A42"/>
    <w:rsid w:val="00AB3CDB"/>
    <w:rsid w:val="00AB3EC5"/>
    <w:rsid w:val="00AB417E"/>
    <w:rsid w:val="00AB5149"/>
    <w:rsid w:val="00AB5460"/>
    <w:rsid w:val="00AB5D05"/>
    <w:rsid w:val="00AB60FA"/>
    <w:rsid w:val="00AB6903"/>
    <w:rsid w:val="00AB6949"/>
    <w:rsid w:val="00AB6A66"/>
    <w:rsid w:val="00AB6AE1"/>
    <w:rsid w:val="00AB6CFA"/>
    <w:rsid w:val="00AB7C74"/>
    <w:rsid w:val="00AB7D78"/>
    <w:rsid w:val="00AC00E6"/>
    <w:rsid w:val="00AC044D"/>
    <w:rsid w:val="00AC089C"/>
    <w:rsid w:val="00AC0EC9"/>
    <w:rsid w:val="00AC1276"/>
    <w:rsid w:val="00AC189A"/>
    <w:rsid w:val="00AC2819"/>
    <w:rsid w:val="00AC2965"/>
    <w:rsid w:val="00AC29EE"/>
    <w:rsid w:val="00AC2CFA"/>
    <w:rsid w:val="00AC2E7B"/>
    <w:rsid w:val="00AC3E62"/>
    <w:rsid w:val="00AC4974"/>
    <w:rsid w:val="00AC4A2E"/>
    <w:rsid w:val="00AC4CB0"/>
    <w:rsid w:val="00AC4DAA"/>
    <w:rsid w:val="00AC555B"/>
    <w:rsid w:val="00AC60C6"/>
    <w:rsid w:val="00AC6B9A"/>
    <w:rsid w:val="00AC6F8F"/>
    <w:rsid w:val="00AC749F"/>
    <w:rsid w:val="00AC7580"/>
    <w:rsid w:val="00AC7A0D"/>
    <w:rsid w:val="00AD1829"/>
    <w:rsid w:val="00AD1AAC"/>
    <w:rsid w:val="00AD1B11"/>
    <w:rsid w:val="00AD26A0"/>
    <w:rsid w:val="00AD27C3"/>
    <w:rsid w:val="00AD289B"/>
    <w:rsid w:val="00AD2C6F"/>
    <w:rsid w:val="00AD2CA1"/>
    <w:rsid w:val="00AD2FCA"/>
    <w:rsid w:val="00AD39BD"/>
    <w:rsid w:val="00AD3DF1"/>
    <w:rsid w:val="00AD47B4"/>
    <w:rsid w:val="00AD4C58"/>
    <w:rsid w:val="00AD4C85"/>
    <w:rsid w:val="00AD5EF5"/>
    <w:rsid w:val="00AD6444"/>
    <w:rsid w:val="00AD6C0A"/>
    <w:rsid w:val="00AD6FF4"/>
    <w:rsid w:val="00AD75A1"/>
    <w:rsid w:val="00AE01BA"/>
    <w:rsid w:val="00AE090E"/>
    <w:rsid w:val="00AE0E44"/>
    <w:rsid w:val="00AE131A"/>
    <w:rsid w:val="00AE1843"/>
    <w:rsid w:val="00AE1934"/>
    <w:rsid w:val="00AE1F5B"/>
    <w:rsid w:val="00AE1FC5"/>
    <w:rsid w:val="00AE20D4"/>
    <w:rsid w:val="00AE2708"/>
    <w:rsid w:val="00AE3098"/>
    <w:rsid w:val="00AE34A7"/>
    <w:rsid w:val="00AE40FE"/>
    <w:rsid w:val="00AE4B59"/>
    <w:rsid w:val="00AE5017"/>
    <w:rsid w:val="00AE5315"/>
    <w:rsid w:val="00AE5E44"/>
    <w:rsid w:val="00AE6606"/>
    <w:rsid w:val="00AE6BAE"/>
    <w:rsid w:val="00AE6E5A"/>
    <w:rsid w:val="00AE7638"/>
    <w:rsid w:val="00AF0BAA"/>
    <w:rsid w:val="00AF13AB"/>
    <w:rsid w:val="00AF18B2"/>
    <w:rsid w:val="00AF207C"/>
    <w:rsid w:val="00AF215A"/>
    <w:rsid w:val="00AF2502"/>
    <w:rsid w:val="00AF2DD6"/>
    <w:rsid w:val="00AF366C"/>
    <w:rsid w:val="00AF3785"/>
    <w:rsid w:val="00AF3C0D"/>
    <w:rsid w:val="00AF4EF9"/>
    <w:rsid w:val="00AF4F38"/>
    <w:rsid w:val="00AF5253"/>
    <w:rsid w:val="00AF5B3D"/>
    <w:rsid w:val="00AF5D78"/>
    <w:rsid w:val="00AF66EB"/>
    <w:rsid w:val="00B001A6"/>
    <w:rsid w:val="00B002EC"/>
    <w:rsid w:val="00B00455"/>
    <w:rsid w:val="00B009D3"/>
    <w:rsid w:val="00B00CCD"/>
    <w:rsid w:val="00B01014"/>
    <w:rsid w:val="00B01366"/>
    <w:rsid w:val="00B01397"/>
    <w:rsid w:val="00B0164B"/>
    <w:rsid w:val="00B01771"/>
    <w:rsid w:val="00B018B1"/>
    <w:rsid w:val="00B02804"/>
    <w:rsid w:val="00B02C04"/>
    <w:rsid w:val="00B039C6"/>
    <w:rsid w:val="00B03EAC"/>
    <w:rsid w:val="00B03F62"/>
    <w:rsid w:val="00B04418"/>
    <w:rsid w:val="00B046CE"/>
    <w:rsid w:val="00B046E5"/>
    <w:rsid w:val="00B047CB"/>
    <w:rsid w:val="00B05AC6"/>
    <w:rsid w:val="00B05E09"/>
    <w:rsid w:val="00B0616E"/>
    <w:rsid w:val="00B06185"/>
    <w:rsid w:val="00B0660B"/>
    <w:rsid w:val="00B06DA0"/>
    <w:rsid w:val="00B07033"/>
    <w:rsid w:val="00B10045"/>
    <w:rsid w:val="00B1099E"/>
    <w:rsid w:val="00B11FA9"/>
    <w:rsid w:val="00B1214F"/>
    <w:rsid w:val="00B121A9"/>
    <w:rsid w:val="00B12549"/>
    <w:rsid w:val="00B128A9"/>
    <w:rsid w:val="00B12C05"/>
    <w:rsid w:val="00B1316F"/>
    <w:rsid w:val="00B1324B"/>
    <w:rsid w:val="00B13471"/>
    <w:rsid w:val="00B13D1B"/>
    <w:rsid w:val="00B13EB7"/>
    <w:rsid w:val="00B1413A"/>
    <w:rsid w:val="00B1416F"/>
    <w:rsid w:val="00B143BB"/>
    <w:rsid w:val="00B146D4"/>
    <w:rsid w:val="00B1483A"/>
    <w:rsid w:val="00B1497D"/>
    <w:rsid w:val="00B14A2A"/>
    <w:rsid w:val="00B14BBA"/>
    <w:rsid w:val="00B14DD5"/>
    <w:rsid w:val="00B151A8"/>
    <w:rsid w:val="00B1582C"/>
    <w:rsid w:val="00B160D7"/>
    <w:rsid w:val="00B1667D"/>
    <w:rsid w:val="00B16BEB"/>
    <w:rsid w:val="00B16C93"/>
    <w:rsid w:val="00B17150"/>
    <w:rsid w:val="00B17A15"/>
    <w:rsid w:val="00B17BEB"/>
    <w:rsid w:val="00B201D5"/>
    <w:rsid w:val="00B2079E"/>
    <w:rsid w:val="00B21B3D"/>
    <w:rsid w:val="00B225DF"/>
    <w:rsid w:val="00B22618"/>
    <w:rsid w:val="00B227F5"/>
    <w:rsid w:val="00B2281D"/>
    <w:rsid w:val="00B229FE"/>
    <w:rsid w:val="00B22F4F"/>
    <w:rsid w:val="00B231EF"/>
    <w:rsid w:val="00B23FE4"/>
    <w:rsid w:val="00B240C4"/>
    <w:rsid w:val="00B2416A"/>
    <w:rsid w:val="00B24201"/>
    <w:rsid w:val="00B244BE"/>
    <w:rsid w:val="00B24698"/>
    <w:rsid w:val="00B246D2"/>
    <w:rsid w:val="00B24B02"/>
    <w:rsid w:val="00B24DBD"/>
    <w:rsid w:val="00B25059"/>
    <w:rsid w:val="00B250F7"/>
    <w:rsid w:val="00B254A0"/>
    <w:rsid w:val="00B25809"/>
    <w:rsid w:val="00B259BA"/>
    <w:rsid w:val="00B268BF"/>
    <w:rsid w:val="00B268FE"/>
    <w:rsid w:val="00B26ABA"/>
    <w:rsid w:val="00B26E5B"/>
    <w:rsid w:val="00B27F7B"/>
    <w:rsid w:val="00B30322"/>
    <w:rsid w:val="00B30403"/>
    <w:rsid w:val="00B30681"/>
    <w:rsid w:val="00B30719"/>
    <w:rsid w:val="00B30953"/>
    <w:rsid w:val="00B30A3E"/>
    <w:rsid w:val="00B30F16"/>
    <w:rsid w:val="00B3274E"/>
    <w:rsid w:val="00B32938"/>
    <w:rsid w:val="00B330E3"/>
    <w:rsid w:val="00B33731"/>
    <w:rsid w:val="00B33A96"/>
    <w:rsid w:val="00B34217"/>
    <w:rsid w:val="00B343F9"/>
    <w:rsid w:val="00B345A3"/>
    <w:rsid w:val="00B34826"/>
    <w:rsid w:val="00B34941"/>
    <w:rsid w:val="00B34C97"/>
    <w:rsid w:val="00B35111"/>
    <w:rsid w:val="00B35EC3"/>
    <w:rsid w:val="00B35F39"/>
    <w:rsid w:val="00B3634D"/>
    <w:rsid w:val="00B36B86"/>
    <w:rsid w:val="00B36FAB"/>
    <w:rsid w:val="00B4026C"/>
    <w:rsid w:val="00B40E54"/>
    <w:rsid w:val="00B4167D"/>
    <w:rsid w:val="00B41AC9"/>
    <w:rsid w:val="00B41C55"/>
    <w:rsid w:val="00B4214A"/>
    <w:rsid w:val="00B429CC"/>
    <w:rsid w:val="00B42E8B"/>
    <w:rsid w:val="00B43203"/>
    <w:rsid w:val="00B43B5C"/>
    <w:rsid w:val="00B43C48"/>
    <w:rsid w:val="00B4436E"/>
    <w:rsid w:val="00B44BD2"/>
    <w:rsid w:val="00B4578C"/>
    <w:rsid w:val="00B45DFA"/>
    <w:rsid w:val="00B464A3"/>
    <w:rsid w:val="00B4668E"/>
    <w:rsid w:val="00B46DD5"/>
    <w:rsid w:val="00B473FD"/>
    <w:rsid w:val="00B4752C"/>
    <w:rsid w:val="00B47B5B"/>
    <w:rsid w:val="00B47EC4"/>
    <w:rsid w:val="00B50019"/>
    <w:rsid w:val="00B5017A"/>
    <w:rsid w:val="00B502A9"/>
    <w:rsid w:val="00B51CD0"/>
    <w:rsid w:val="00B5395C"/>
    <w:rsid w:val="00B54514"/>
    <w:rsid w:val="00B54689"/>
    <w:rsid w:val="00B54C75"/>
    <w:rsid w:val="00B556E3"/>
    <w:rsid w:val="00B55EF9"/>
    <w:rsid w:val="00B56D42"/>
    <w:rsid w:val="00B56D69"/>
    <w:rsid w:val="00B60395"/>
    <w:rsid w:val="00B60840"/>
    <w:rsid w:val="00B60E03"/>
    <w:rsid w:val="00B61445"/>
    <w:rsid w:val="00B618BB"/>
    <w:rsid w:val="00B61978"/>
    <w:rsid w:val="00B619A6"/>
    <w:rsid w:val="00B61B18"/>
    <w:rsid w:val="00B6252D"/>
    <w:rsid w:val="00B62842"/>
    <w:rsid w:val="00B62A0D"/>
    <w:rsid w:val="00B62E11"/>
    <w:rsid w:val="00B632EB"/>
    <w:rsid w:val="00B6335E"/>
    <w:rsid w:val="00B63E0C"/>
    <w:rsid w:val="00B63EFF"/>
    <w:rsid w:val="00B63F57"/>
    <w:rsid w:val="00B6419E"/>
    <w:rsid w:val="00B6430A"/>
    <w:rsid w:val="00B64D86"/>
    <w:rsid w:val="00B65114"/>
    <w:rsid w:val="00B652B2"/>
    <w:rsid w:val="00B6539D"/>
    <w:rsid w:val="00B65875"/>
    <w:rsid w:val="00B65ED3"/>
    <w:rsid w:val="00B663BF"/>
    <w:rsid w:val="00B6685E"/>
    <w:rsid w:val="00B66968"/>
    <w:rsid w:val="00B669A1"/>
    <w:rsid w:val="00B678DE"/>
    <w:rsid w:val="00B67D26"/>
    <w:rsid w:val="00B70255"/>
    <w:rsid w:val="00B7060D"/>
    <w:rsid w:val="00B7067E"/>
    <w:rsid w:val="00B70691"/>
    <w:rsid w:val="00B707DF"/>
    <w:rsid w:val="00B70823"/>
    <w:rsid w:val="00B70A35"/>
    <w:rsid w:val="00B70C2F"/>
    <w:rsid w:val="00B70C7D"/>
    <w:rsid w:val="00B70DD2"/>
    <w:rsid w:val="00B70FD8"/>
    <w:rsid w:val="00B7148A"/>
    <w:rsid w:val="00B714D8"/>
    <w:rsid w:val="00B7196A"/>
    <w:rsid w:val="00B72AC5"/>
    <w:rsid w:val="00B72CE8"/>
    <w:rsid w:val="00B73541"/>
    <w:rsid w:val="00B74D96"/>
    <w:rsid w:val="00B75BF5"/>
    <w:rsid w:val="00B75D27"/>
    <w:rsid w:val="00B763DD"/>
    <w:rsid w:val="00B7703B"/>
    <w:rsid w:val="00B778DC"/>
    <w:rsid w:val="00B77F4C"/>
    <w:rsid w:val="00B801EB"/>
    <w:rsid w:val="00B802F3"/>
    <w:rsid w:val="00B80F79"/>
    <w:rsid w:val="00B811F0"/>
    <w:rsid w:val="00B81C69"/>
    <w:rsid w:val="00B82211"/>
    <w:rsid w:val="00B82C3C"/>
    <w:rsid w:val="00B82FCD"/>
    <w:rsid w:val="00B834AA"/>
    <w:rsid w:val="00B834C3"/>
    <w:rsid w:val="00B84539"/>
    <w:rsid w:val="00B847C4"/>
    <w:rsid w:val="00B84D1E"/>
    <w:rsid w:val="00B84D3A"/>
    <w:rsid w:val="00B84F4C"/>
    <w:rsid w:val="00B85A38"/>
    <w:rsid w:val="00B85E02"/>
    <w:rsid w:val="00B862D8"/>
    <w:rsid w:val="00B8634B"/>
    <w:rsid w:val="00B86480"/>
    <w:rsid w:val="00B86593"/>
    <w:rsid w:val="00B865C0"/>
    <w:rsid w:val="00B866D4"/>
    <w:rsid w:val="00B87079"/>
    <w:rsid w:val="00B87907"/>
    <w:rsid w:val="00B87D0D"/>
    <w:rsid w:val="00B87E29"/>
    <w:rsid w:val="00B87E6C"/>
    <w:rsid w:val="00B901E4"/>
    <w:rsid w:val="00B901F6"/>
    <w:rsid w:val="00B91375"/>
    <w:rsid w:val="00B91537"/>
    <w:rsid w:val="00B91819"/>
    <w:rsid w:val="00B9193B"/>
    <w:rsid w:val="00B91C4E"/>
    <w:rsid w:val="00B92459"/>
    <w:rsid w:val="00B92476"/>
    <w:rsid w:val="00B92705"/>
    <w:rsid w:val="00B92D00"/>
    <w:rsid w:val="00B92EB7"/>
    <w:rsid w:val="00B92FEC"/>
    <w:rsid w:val="00B933EE"/>
    <w:rsid w:val="00B93A11"/>
    <w:rsid w:val="00B93AC8"/>
    <w:rsid w:val="00B93BFB"/>
    <w:rsid w:val="00B947EE"/>
    <w:rsid w:val="00B948E1"/>
    <w:rsid w:val="00B94ADB"/>
    <w:rsid w:val="00B9566F"/>
    <w:rsid w:val="00B958BB"/>
    <w:rsid w:val="00B96724"/>
    <w:rsid w:val="00B96B4F"/>
    <w:rsid w:val="00B96CE7"/>
    <w:rsid w:val="00B97908"/>
    <w:rsid w:val="00B97A6F"/>
    <w:rsid w:val="00B97EDF"/>
    <w:rsid w:val="00BA048D"/>
    <w:rsid w:val="00BA0816"/>
    <w:rsid w:val="00BA096A"/>
    <w:rsid w:val="00BA0A7F"/>
    <w:rsid w:val="00BA11F9"/>
    <w:rsid w:val="00BA217B"/>
    <w:rsid w:val="00BA2187"/>
    <w:rsid w:val="00BA233D"/>
    <w:rsid w:val="00BA2458"/>
    <w:rsid w:val="00BA24A2"/>
    <w:rsid w:val="00BA26F1"/>
    <w:rsid w:val="00BA3012"/>
    <w:rsid w:val="00BA32E6"/>
    <w:rsid w:val="00BA33E0"/>
    <w:rsid w:val="00BA3426"/>
    <w:rsid w:val="00BA3ED4"/>
    <w:rsid w:val="00BA42C3"/>
    <w:rsid w:val="00BA48FB"/>
    <w:rsid w:val="00BA4F9E"/>
    <w:rsid w:val="00BA5063"/>
    <w:rsid w:val="00BA522D"/>
    <w:rsid w:val="00BA6044"/>
    <w:rsid w:val="00BA6261"/>
    <w:rsid w:val="00BA68E4"/>
    <w:rsid w:val="00BA6ACB"/>
    <w:rsid w:val="00BA6C81"/>
    <w:rsid w:val="00BA6CB4"/>
    <w:rsid w:val="00BA77CC"/>
    <w:rsid w:val="00BB00B8"/>
    <w:rsid w:val="00BB09F2"/>
    <w:rsid w:val="00BB0B27"/>
    <w:rsid w:val="00BB1974"/>
    <w:rsid w:val="00BB1FAA"/>
    <w:rsid w:val="00BB242E"/>
    <w:rsid w:val="00BB324D"/>
    <w:rsid w:val="00BB359F"/>
    <w:rsid w:val="00BB38C1"/>
    <w:rsid w:val="00BB3B5A"/>
    <w:rsid w:val="00BB3F3A"/>
    <w:rsid w:val="00BB40BB"/>
    <w:rsid w:val="00BB53AC"/>
    <w:rsid w:val="00BB5E40"/>
    <w:rsid w:val="00BB65C1"/>
    <w:rsid w:val="00BB678E"/>
    <w:rsid w:val="00BB698A"/>
    <w:rsid w:val="00BB6BA7"/>
    <w:rsid w:val="00BB6D7A"/>
    <w:rsid w:val="00BB759C"/>
    <w:rsid w:val="00BC0438"/>
    <w:rsid w:val="00BC1119"/>
    <w:rsid w:val="00BC1C27"/>
    <w:rsid w:val="00BC1CB9"/>
    <w:rsid w:val="00BC206B"/>
    <w:rsid w:val="00BC24B5"/>
    <w:rsid w:val="00BC25DD"/>
    <w:rsid w:val="00BC28F7"/>
    <w:rsid w:val="00BC40F8"/>
    <w:rsid w:val="00BC4127"/>
    <w:rsid w:val="00BC4591"/>
    <w:rsid w:val="00BC49F1"/>
    <w:rsid w:val="00BC4A02"/>
    <w:rsid w:val="00BC4DC9"/>
    <w:rsid w:val="00BC4EFF"/>
    <w:rsid w:val="00BC51A6"/>
    <w:rsid w:val="00BC5363"/>
    <w:rsid w:val="00BC5842"/>
    <w:rsid w:val="00BC5D70"/>
    <w:rsid w:val="00BC6179"/>
    <w:rsid w:val="00BC64E9"/>
    <w:rsid w:val="00BC66CC"/>
    <w:rsid w:val="00BC6E9C"/>
    <w:rsid w:val="00BC7214"/>
    <w:rsid w:val="00BC760B"/>
    <w:rsid w:val="00BD0ABE"/>
    <w:rsid w:val="00BD0B67"/>
    <w:rsid w:val="00BD0EE5"/>
    <w:rsid w:val="00BD11AC"/>
    <w:rsid w:val="00BD12AD"/>
    <w:rsid w:val="00BD13BC"/>
    <w:rsid w:val="00BD1BCD"/>
    <w:rsid w:val="00BD1ECB"/>
    <w:rsid w:val="00BD1FE7"/>
    <w:rsid w:val="00BD2518"/>
    <w:rsid w:val="00BD25F2"/>
    <w:rsid w:val="00BD2A37"/>
    <w:rsid w:val="00BD3031"/>
    <w:rsid w:val="00BD4010"/>
    <w:rsid w:val="00BD410D"/>
    <w:rsid w:val="00BD4261"/>
    <w:rsid w:val="00BD45D7"/>
    <w:rsid w:val="00BD4721"/>
    <w:rsid w:val="00BD4D84"/>
    <w:rsid w:val="00BD4E9D"/>
    <w:rsid w:val="00BD51FD"/>
    <w:rsid w:val="00BD61C9"/>
    <w:rsid w:val="00BD6287"/>
    <w:rsid w:val="00BD7191"/>
    <w:rsid w:val="00BD7A6B"/>
    <w:rsid w:val="00BE077C"/>
    <w:rsid w:val="00BE0CFC"/>
    <w:rsid w:val="00BE1BDE"/>
    <w:rsid w:val="00BE2C10"/>
    <w:rsid w:val="00BE2DA1"/>
    <w:rsid w:val="00BE2FC0"/>
    <w:rsid w:val="00BE3671"/>
    <w:rsid w:val="00BE3697"/>
    <w:rsid w:val="00BE38EB"/>
    <w:rsid w:val="00BE3C8F"/>
    <w:rsid w:val="00BE530A"/>
    <w:rsid w:val="00BE553E"/>
    <w:rsid w:val="00BE5C25"/>
    <w:rsid w:val="00BE5FF1"/>
    <w:rsid w:val="00BE64E1"/>
    <w:rsid w:val="00BE6FB8"/>
    <w:rsid w:val="00BE730D"/>
    <w:rsid w:val="00BE78A0"/>
    <w:rsid w:val="00BE7AE2"/>
    <w:rsid w:val="00BF0046"/>
    <w:rsid w:val="00BF0AE6"/>
    <w:rsid w:val="00BF10F5"/>
    <w:rsid w:val="00BF180D"/>
    <w:rsid w:val="00BF1BF8"/>
    <w:rsid w:val="00BF1DFC"/>
    <w:rsid w:val="00BF1E98"/>
    <w:rsid w:val="00BF2488"/>
    <w:rsid w:val="00BF26AE"/>
    <w:rsid w:val="00BF26E5"/>
    <w:rsid w:val="00BF2A48"/>
    <w:rsid w:val="00BF2D64"/>
    <w:rsid w:val="00BF31C2"/>
    <w:rsid w:val="00BF327D"/>
    <w:rsid w:val="00BF3345"/>
    <w:rsid w:val="00BF38A9"/>
    <w:rsid w:val="00BF3F15"/>
    <w:rsid w:val="00BF4201"/>
    <w:rsid w:val="00BF44BF"/>
    <w:rsid w:val="00BF5269"/>
    <w:rsid w:val="00BF538A"/>
    <w:rsid w:val="00BF5525"/>
    <w:rsid w:val="00BF584D"/>
    <w:rsid w:val="00BF5891"/>
    <w:rsid w:val="00BF5EA2"/>
    <w:rsid w:val="00BF5FEA"/>
    <w:rsid w:val="00BF639E"/>
    <w:rsid w:val="00BF652C"/>
    <w:rsid w:val="00BF6545"/>
    <w:rsid w:val="00BF658F"/>
    <w:rsid w:val="00BF6690"/>
    <w:rsid w:val="00BF6A18"/>
    <w:rsid w:val="00BF6EC6"/>
    <w:rsid w:val="00BF7F67"/>
    <w:rsid w:val="00C003D9"/>
    <w:rsid w:val="00C00BAE"/>
    <w:rsid w:val="00C00CDB"/>
    <w:rsid w:val="00C0128E"/>
    <w:rsid w:val="00C0147B"/>
    <w:rsid w:val="00C015F9"/>
    <w:rsid w:val="00C01652"/>
    <w:rsid w:val="00C0180E"/>
    <w:rsid w:val="00C02AB9"/>
    <w:rsid w:val="00C03B1D"/>
    <w:rsid w:val="00C03C89"/>
    <w:rsid w:val="00C042BD"/>
    <w:rsid w:val="00C04B16"/>
    <w:rsid w:val="00C061D6"/>
    <w:rsid w:val="00C06C51"/>
    <w:rsid w:val="00C06D5C"/>
    <w:rsid w:val="00C06D6C"/>
    <w:rsid w:val="00C070A6"/>
    <w:rsid w:val="00C0723B"/>
    <w:rsid w:val="00C0739F"/>
    <w:rsid w:val="00C0745C"/>
    <w:rsid w:val="00C079DA"/>
    <w:rsid w:val="00C07AC4"/>
    <w:rsid w:val="00C07B9D"/>
    <w:rsid w:val="00C07F70"/>
    <w:rsid w:val="00C104A3"/>
    <w:rsid w:val="00C10ECE"/>
    <w:rsid w:val="00C11810"/>
    <w:rsid w:val="00C12034"/>
    <w:rsid w:val="00C120CE"/>
    <w:rsid w:val="00C1254A"/>
    <w:rsid w:val="00C12CDF"/>
    <w:rsid w:val="00C12D1B"/>
    <w:rsid w:val="00C1312E"/>
    <w:rsid w:val="00C131A4"/>
    <w:rsid w:val="00C1359B"/>
    <w:rsid w:val="00C136C6"/>
    <w:rsid w:val="00C13819"/>
    <w:rsid w:val="00C13BB2"/>
    <w:rsid w:val="00C13E73"/>
    <w:rsid w:val="00C14329"/>
    <w:rsid w:val="00C1438D"/>
    <w:rsid w:val="00C14FD5"/>
    <w:rsid w:val="00C1523A"/>
    <w:rsid w:val="00C154AC"/>
    <w:rsid w:val="00C15F50"/>
    <w:rsid w:val="00C1689E"/>
    <w:rsid w:val="00C16B4A"/>
    <w:rsid w:val="00C16C76"/>
    <w:rsid w:val="00C16D71"/>
    <w:rsid w:val="00C1710F"/>
    <w:rsid w:val="00C1720B"/>
    <w:rsid w:val="00C17335"/>
    <w:rsid w:val="00C177A0"/>
    <w:rsid w:val="00C17BCB"/>
    <w:rsid w:val="00C17FB9"/>
    <w:rsid w:val="00C20854"/>
    <w:rsid w:val="00C208A8"/>
    <w:rsid w:val="00C208B2"/>
    <w:rsid w:val="00C218E6"/>
    <w:rsid w:val="00C221D2"/>
    <w:rsid w:val="00C23028"/>
    <w:rsid w:val="00C2477D"/>
    <w:rsid w:val="00C24C5A"/>
    <w:rsid w:val="00C25336"/>
    <w:rsid w:val="00C2543C"/>
    <w:rsid w:val="00C25738"/>
    <w:rsid w:val="00C261B2"/>
    <w:rsid w:val="00C267AC"/>
    <w:rsid w:val="00C26AD3"/>
    <w:rsid w:val="00C271E1"/>
    <w:rsid w:val="00C2724E"/>
    <w:rsid w:val="00C27729"/>
    <w:rsid w:val="00C27B19"/>
    <w:rsid w:val="00C300AC"/>
    <w:rsid w:val="00C30A41"/>
    <w:rsid w:val="00C30CB8"/>
    <w:rsid w:val="00C31A22"/>
    <w:rsid w:val="00C32365"/>
    <w:rsid w:val="00C32702"/>
    <w:rsid w:val="00C32C06"/>
    <w:rsid w:val="00C33764"/>
    <w:rsid w:val="00C3376E"/>
    <w:rsid w:val="00C340C0"/>
    <w:rsid w:val="00C34187"/>
    <w:rsid w:val="00C345C1"/>
    <w:rsid w:val="00C34654"/>
    <w:rsid w:val="00C34A89"/>
    <w:rsid w:val="00C34B56"/>
    <w:rsid w:val="00C365D7"/>
    <w:rsid w:val="00C3662E"/>
    <w:rsid w:val="00C3695D"/>
    <w:rsid w:val="00C36EEB"/>
    <w:rsid w:val="00C36FC2"/>
    <w:rsid w:val="00C37025"/>
    <w:rsid w:val="00C37312"/>
    <w:rsid w:val="00C377BA"/>
    <w:rsid w:val="00C37E07"/>
    <w:rsid w:val="00C40BE7"/>
    <w:rsid w:val="00C42208"/>
    <w:rsid w:val="00C426B5"/>
    <w:rsid w:val="00C4281F"/>
    <w:rsid w:val="00C43357"/>
    <w:rsid w:val="00C438A4"/>
    <w:rsid w:val="00C44882"/>
    <w:rsid w:val="00C45281"/>
    <w:rsid w:val="00C45381"/>
    <w:rsid w:val="00C45CD8"/>
    <w:rsid w:val="00C467EC"/>
    <w:rsid w:val="00C46B22"/>
    <w:rsid w:val="00C47026"/>
    <w:rsid w:val="00C4706B"/>
    <w:rsid w:val="00C47CDE"/>
    <w:rsid w:val="00C47D7B"/>
    <w:rsid w:val="00C50791"/>
    <w:rsid w:val="00C50793"/>
    <w:rsid w:val="00C50900"/>
    <w:rsid w:val="00C50CBD"/>
    <w:rsid w:val="00C51D4F"/>
    <w:rsid w:val="00C5216D"/>
    <w:rsid w:val="00C522F5"/>
    <w:rsid w:val="00C52766"/>
    <w:rsid w:val="00C532BE"/>
    <w:rsid w:val="00C536C1"/>
    <w:rsid w:val="00C5390C"/>
    <w:rsid w:val="00C53C18"/>
    <w:rsid w:val="00C5466D"/>
    <w:rsid w:val="00C546BC"/>
    <w:rsid w:val="00C54E49"/>
    <w:rsid w:val="00C55092"/>
    <w:rsid w:val="00C55186"/>
    <w:rsid w:val="00C55357"/>
    <w:rsid w:val="00C55604"/>
    <w:rsid w:val="00C55795"/>
    <w:rsid w:val="00C55B77"/>
    <w:rsid w:val="00C55D15"/>
    <w:rsid w:val="00C5603B"/>
    <w:rsid w:val="00C561C2"/>
    <w:rsid w:val="00C56C3B"/>
    <w:rsid w:val="00C56D33"/>
    <w:rsid w:val="00C574E8"/>
    <w:rsid w:val="00C57739"/>
    <w:rsid w:val="00C5774E"/>
    <w:rsid w:val="00C57908"/>
    <w:rsid w:val="00C57F39"/>
    <w:rsid w:val="00C60270"/>
    <w:rsid w:val="00C60738"/>
    <w:rsid w:val="00C60F9D"/>
    <w:rsid w:val="00C61672"/>
    <w:rsid w:val="00C621F4"/>
    <w:rsid w:val="00C62532"/>
    <w:rsid w:val="00C62A19"/>
    <w:rsid w:val="00C62AD2"/>
    <w:rsid w:val="00C62BDF"/>
    <w:rsid w:val="00C62E4F"/>
    <w:rsid w:val="00C62F1C"/>
    <w:rsid w:val="00C63300"/>
    <w:rsid w:val="00C63346"/>
    <w:rsid w:val="00C633A8"/>
    <w:rsid w:val="00C6357B"/>
    <w:rsid w:val="00C63ADD"/>
    <w:rsid w:val="00C63AFE"/>
    <w:rsid w:val="00C64F4E"/>
    <w:rsid w:val="00C6517D"/>
    <w:rsid w:val="00C653A0"/>
    <w:rsid w:val="00C654A0"/>
    <w:rsid w:val="00C66B9D"/>
    <w:rsid w:val="00C66D05"/>
    <w:rsid w:val="00C670E3"/>
    <w:rsid w:val="00C6779D"/>
    <w:rsid w:val="00C702A7"/>
    <w:rsid w:val="00C705F8"/>
    <w:rsid w:val="00C70722"/>
    <w:rsid w:val="00C70B00"/>
    <w:rsid w:val="00C729A2"/>
    <w:rsid w:val="00C733CE"/>
    <w:rsid w:val="00C73427"/>
    <w:rsid w:val="00C73E43"/>
    <w:rsid w:val="00C7417A"/>
    <w:rsid w:val="00C7449C"/>
    <w:rsid w:val="00C74FC3"/>
    <w:rsid w:val="00C75621"/>
    <w:rsid w:val="00C76381"/>
    <w:rsid w:val="00C764C0"/>
    <w:rsid w:val="00C76B17"/>
    <w:rsid w:val="00C76D0D"/>
    <w:rsid w:val="00C77099"/>
    <w:rsid w:val="00C7797B"/>
    <w:rsid w:val="00C77AA7"/>
    <w:rsid w:val="00C80FD2"/>
    <w:rsid w:val="00C81892"/>
    <w:rsid w:val="00C818FF"/>
    <w:rsid w:val="00C81BD9"/>
    <w:rsid w:val="00C821B1"/>
    <w:rsid w:val="00C8230B"/>
    <w:rsid w:val="00C83275"/>
    <w:rsid w:val="00C8357B"/>
    <w:rsid w:val="00C83D4B"/>
    <w:rsid w:val="00C841A5"/>
    <w:rsid w:val="00C84D02"/>
    <w:rsid w:val="00C84DDA"/>
    <w:rsid w:val="00C8587E"/>
    <w:rsid w:val="00C8633D"/>
    <w:rsid w:val="00C864E4"/>
    <w:rsid w:val="00C867CB"/>
    <w:rsid w:val="00C8691D"/>
    <w:rsid w:val="00C8695D"/>
    <w:rsid w:val="00C86C08"/>
    <w:rsid w:val="00C871C4"/>
    <w:rsid w:val="00C87575"/>
    <w:rsid w:val="00C9015C"/>
    <w:rsid w:val="00C90F0D"/>
    <w:rsid w:val="00C910BF"/>
    <w:rsid w:val="00C9149B"/>
    <w:rsid w:val="00C916F1"/>
    <w:rsid w:val="00C91FB2"/>
    <w:rsid w:val="00C91FFB"/>
    <w:rsid w:val="00C9212F"/>
    <w:rsid w:val="00C92786"/>
    <w:rsid w:val="00C92881"/>
    <w:rsid w:val="00C92ABE"/>
    <w:rsid w:val="00C92BC0"/>
    <w:rsid w:val="00C92C23"/>
    <w:rsid w:val="00C9401C"/>
    <w:rsid w:val="00C94169"/>
    <w:rsid w:val="00C94705"/>
    <w:rsid w:val="00C956CF"/>
    <w:rsid w:val="00C959DA"/>
    <w:rsid w:val="00C95C72"/>
    <w:rsid w:val="00C9721E"/>
    <w:rsid w:val="00C976A8"/>
    <w:rsid w:val="00C97E9D"/>
    <w:rsid w:val="00CA0952"/>
    <w:rsid w:val="00CA25D2"/>
    <w:rsid w:val="00CA34CD"/>
    <w:rsid w:val="00CA3766"/>
    <w:rsid w:val="00CA3CED"/>
    <w:rsid w:val="00CA4716"/>
    <w:rsid w:val="00CA4BC6"/>
    <w:rsid w:val="00CA4E7F"/>
    <w:rsid w:val="00CA5D89"/>
    <w:rsid w:val="00CA6369"/>
    <w:rsid w:val="00CA6DBB"/>
    <w:rsid w:val="00CA71E3"/>
    <w:rsid w:val="00CB00E8"/>
    <w:rsid w:val="00CB0306"/>
    <w:rsid w:val="00CB0AF2"/>
    <w:rsid w:val="00CB161A"/>
    <w:rsid w:val="00CB1EEA"/>
    <w:rsid w:val="00CB1F9F"/>
    <w:rsid w:val="00CB2A7F"/>
    <w:rsid w:val="00CB2E32"/>
    <w:rsid w:val="00CB3157"/>
    <w:rsid w:val="00CB3A3B"/>
    <w:rsid w:val="00CB3D8A"/>
    <w:rsid w:val="00CB446F"/>
    <w:rsid w:val="00CB459A"/>
    <w:rsid w:val="00CB45D5"/>
    <w:rsid w:val="00CB498F"/>
    <w:rsid w:val="00CB4F4C"/>
    <w:rsid w:val="00CB5E86"/>
    <w:rsid w:val="00CB5F50"/>
    <w:rsid w:val="00CB6194"/>
    <w:rsid w:val="00CB673A"/>
    <w:rsid w:val="00CB6780"/>
    <w:rsid w:val="00CB733E"/>
    <w:rsid w:val="00CB7526"/>
    <w:rsid w:val="00CB754B"/>
    <w:rsid w:val="00CB7848"/>
    <w:rsid w:val="00CB7D4E"/>
    <w:rsid w:val="00CC0051"/>
    <w:rsid w:val="00CC1C89"/>
    <w:rsid w:val="00CC2985"/>
    <w:rsid w:val="00CC31ED"/>
    <w:rsid w:val="00CC35B9"/>
    <w:rsid w:val="00CC3E94"/>
    <w:rsid w:val="00CC42F7"/>
    <w:rsid w:val="00CC4C20"/>
    <w:rsid w:val="00CC4E26"/>
    <w:rsid w:val="00CC51D6"/>
    <w:rsid w:val="00CC59DE"/>
    <w:rsid w:val="00CC5A52"/>
    <w:rsid w:val="00CC5A77"/>
    <w:rsid w:val="00CC5BEF"/>
    <w:rsid w:val="00CC5F2B"/>
    <w:rsid w:val="00CC6621"/>
    <w:rsid w:val="00CC6B31"/>
    <w:rsid w:val="00CC7046"/>
    <w:rsid w:val="00CC71C3"/>
    <w:rsid w:val="00CC746B"/>
    <w:rsid w:val="00CC7AF6"/>
    <w:rsid w:val="00CC7BE6"/>
    <w:rsid w:val="00CC7D8E"/>
    <w:rsid w:val="00CC7F1C"/>
    <w:rsid w:val="00CD0294"/>
    <w:rsid w:val="00CD049A"/>
    <w:rsid w:val="00CD04AA"/>
    <w:rsid w:val="00CD0B1E"/>
    <w:rsid w:val="00CD0ECA"/>
    <w:rsid w:val="00CD1AA4"/>
    <w:rsid w:val="00CD1F17"/>
    <w:rsid w:val="00CD1F8F"/>
    <w:rsid w:val="00CD2080"/>
    <w:rsid w:val="00CD21E1"/>
    <w:rsid w:val="00CD22E3"/>
    <w:rsid w:val="00CD2378"/>
    <w:rsid w:val="00CD23F9"/>
    <w:rsid w:val="00CD2C80"/>
    <w:rsid w:val="00CD3629"/>
    <w:rsid w:val="00CD3742"/>
    <w:rsid w:val="00CD407B"/>
    <w:rsid w:val="00CD45F8"/>
    <w:rsid w:val="00CD4EE0"/>
    <w:rsid w:val="00CD5C6E"/>
    <w:rsid w:val="00CD60CB"/>
    <w:rsid w:val="00CD6474"/>
    <w:rsid w:val="00CD6C16"/>
    <w:rsid w:val="00CD6C6A"/>
    <w:rsid w:val="00CD7090"/>
    <w:rsid w:val="00CD764F"/>
    <w:rsid w:val="00CD7AFD"/>
    <w:rsid w:val="00CD7CD1"/>
    <w:rsid w:val="00CD7D20"/>
    <w:rsid w:val="00CE0270"/>
    <w:rsid w:val="00CE03C4"/>
    <w:rsid w:val="00CE0578"/>
    <w:rsid w:val="00CE05C0"/>
    <w:rsid w:val="00CE08C6"/>
    <w:rsid w:val="00CE0D97"/>
    <w:rsid w:val="00CE10B0"/>
    <w:rsid w:val="00CE1E7C"/>
    <w:rsid w:val="00CE246F"/>
    <w:rsid w:val="00CE249C"/>
    <w:rsid w:val="00CE25B7"/>
    <w:rsid w:val="00CE27E3"/>
    <w:rsid w:val="00CE2AA6"/>
    <w:rsid w:val="00CE2F72"/>
    <w:rsid w:val="00CE2F91"/>
    <w:rsid w:val="00CE3186"/>
    <w:rsid w:val="00CE389F"/>
    <w:rsid w:val="00CE39E2"/>
    <w:rsid w:val="00CE42D7"/>
    <w:rsid w:val="00CE5042"/>
    <w:rsid w:val="00CE5342"/>
    <w:rsid w:val="00CE5445"/>
    <w:rsid w:val="00CE56FE"/>
    <w:rsid w:val="00CE5836"/>
    <w:rsid w:val="00CE592A"/>
    <w:rsid w:val="00CE5B81"/>
    <w:rsid w:val="00CE6E1F"/>
    <w:rsid w:val="00CE7471"/>
    <w:rsid w:val="00CE7614"/>
    <w:rsid w:val="00CE7CB1"/>
    <w:rsid w:val="00CE7DF0"/>
    <w:rsid w:val="00CF0358"/>
    <w:rsid w:val="00CF05AF"/>
    <w:rsid w:val="00CF0725"/>
    <w:rsid w:val="00CF0749"/>
    <w:rsid w:val="00CF09E2"/>
    <w:rsid w:val="00CF151B"/>
    <w:rsid w:val="00CF1F41"/>
    <w:rsid w:val="00CF206B"/>
    <w:rsid w:val="00CF20D3"/>
    <w:rsid w:val="00CF2D15"/>
    <w:rsid w:val="00CF32E1"/>
    <w:rsid w:val="00CF3931"/>
    <w:rsid w:val="00CF3A84"/>
    <w:rsid w:val="00CF3C56"/>
    <w:rsid w:val="00CF4065"/>
    <w:rsid w:val="00CF4758"/>
    <w:rsid w:val="00CF4E97"/>
    <w:rsid w:val="00CF51E5"/>
    <w:rsid w:val="00CF561F"/>
    <w:rsid w:val="00CF5881"/>
    <w:rsid w:val="00CF6392"/>
    <w:rsid w:val="00CF6548"/>
    <w:rsid w:val="00CF66C1"/>
    <w:rsid w:val="00D00048"/>
    <w:rsid w:val="00D000AB"/>
    <w:rsid w:val="00D0064C"/>
    <w:rsid w:val="00D00A8C"/>
    <w:rsid w:val="00D00B4A"/>
    <w:rsid w:val="00D016FE"/>
    <w:rsid w:val="00D0188A"/>
    <w:rsid w:val="00D01984"/>
    <w:rsid w:val="00D01B08"/>
    <w:rsid w:val="00D01E3B"/>
    <w:rsid w:val="00D0253F"/>
    <w:rsid w:val="00D026CE"/>
    <w:rsid w:val="00D03146"/>
    <w:rsid w:val="00D033E7"/>
    <w:rsid w:val="00D03445"/>
    <w:rsid w:val="00D03809"/>
    <w:rsid w:val="00D03FF8"/>
    <w:rsid w:val="00D04C1E"/>
    <w:rsid w:val="00D05005"/>
    <w:rsid w:val="00D05269"/>
    <w:rsid w:val="00D05741"/>
    <w:rsid w:val="00D062FA"/>
    <w:rsid w:val="00D0630A"/>
    <w:rsid w:val="00D06588"/>
    <w:rsid w:val="00D0675D"/>
    <w:rsid w:val="00D06899"/>
    <w:rsid w:val="00D06E91"/>
    <w:rsid w:val="00D07837"/>
    <w:rsid w:val="00D07C94"/>
    <w:rsid w:val="00D07EE4"/>
    <w:rsid w:val="00D10397"/>
    <w:rsid w:val="00D109C9"/>
    <w:rsid w:val="00D1118C"/>
    <w:rsid w:val="00D111F9"/>
    <w:rsid w:val="00D114FD"/>
    <w:rsid w:val="00D1177B"/>
    <w:rsid w:val="00D126F0"/>
    <w:rsid w:val="00D12AAD"/>
    <w:rsid w:val="00D1301F"/>
    <w:rsid w:val="00D1319C"/>
    <w:rsid w:val="00D132BA"/>
    <w:rsid w:val="00D1345E"/>
    <w:rsid w:val="00D13A22"/>
    <w:rsid w:val="00D13F2A"/>
    <w:rsid w:val="00D14C6C"/>
    <w:rsid w:val="00D151A2"/>
    <w:rsid w:val="00D1524F"/>
    <w:rsid w:val="00D1565A"/>
    <w:rsid w:val="00D156A3"/>
    <w:rsid w:val="00D16674"/>
    <w:rsid w:val="00D1690F"/>
    <w:rsid w:val="00D16B7B"/>
    <w:rsid w:val="00D16D6B"/>
    <w:rsid w:val="00D16F7E"/>
    <w:rsid w:val="00D1701E"/>
    <w:rsid w:val="00D170D3"/>
    <w:rsid w:val="00D1720D"/>
    <w:rsid w:val="00D17A6E"/>
    <w:rsid w:val="00D17CA4"/>
    <w:rsid w:val="00D17ECA"/>
    <w:rsid w:val="00D20257"/>
    <w:rsid w:val="00D20295"/>
    <w:rsid w:val="00D20E75"/>
    <w:rsid w:val="00D20FA9"/>
    <w:rsid w:val="00D21277"/>
    <w:rsid w:val="00D213DE"/>
    <w:rsid w:val="00D2156D"/>
    <w:rsid w:val="00D21601"/>
    <w:rsid w:val="00D21A04"/>
    <w:rsid w:val="00D2234F"/>
    <w:rsid w:val="00D22BF0"/>
    <w:rsid w:val="00D22E68"/>
    <w:rsid w:val="00D22F92"/>
    <w:rsid w:val="00D23522"/>
    <w:rsid w:val="00D23EFF"/>
    <w:rsid w:val="00D241DB"/>
    <w:rsid w:val="00D24956"/>
    <w:rsid w:val="00D251E3"/>
    <w:rsid w:val="00D2554B"/>
    <w:rsid w:val="00D25CF5"/>
    <w:rsid w:val="00D25D3F"/>
    <w:rsid w:val="00D25E07"/>
    <w:rsid w:val="00D260C0"/>
    <w:rsid w:val="00D2674E"/>
    <w:rsid w:val="00D26A8C"/>
    <w:rsid w:val="00D26D2D"/>
    <w:rsid w:val="00D26FFE"/>
    <w:rsid w:val="00D276DB"/>
    <w:rsid w:val="00D27A8B"/>
    <w:rsid w:val="00D30427"/>
    <w:rsid w:val="00D30695"/>
    <w:rsid w:val="00D307C9"/>
    <w:rsid w:val="00D308CD"/>
    <w:rsid w:val="00D31BC8"/>
    <w:rsid w:val="00D31ECB"/>
    <w:rsid w:val="00D320EB"/>
    <w:rsid w:val="00D328AF"/>
    <w:rsid w:val="00D32A3C"/>
    <w:rsid w:val="00D32A50"/>
    <w:rsid w:val="00D3304E"/>
    <w:rsid w:val="00D330CA"/>
    <w:rsid w:val="00D338D1"/>
    <w:rsid w:val="00D345DE"/>
    <w:rsid w:val="00D346D3"/>
    <w:rsid w:val="00D34D0D"/>
    <w:rsid w:val="00D34DAF"/>
    <w:rsid w:val="00D36BA8"/>
    <w:rsid w:val="00D37799"/>
    <w:rsid w:val="00D37BC3"/>
    <w:rsid w:val="00D407A4"/>
    <w:rsid w:val="00D407F4"/>
    <w:rsid w:val="00D40E08"/>
    <w:rsid w:val="00D4183B"/>
    <w:rsid w:val="00D41E47"/>
    <w:rsid w:val="00D41F1B"/>
    <w:rsid w:val="00D426A9"/>
    <w:rsid w:val="00D42E44"/>
    <w:rsid w:val="00D44198"/>
    <w:rsid w:val="00D443C1"/>
    <w:rsid w:val="00D445D9"/>
    <w:rsid w:val="00D45894"/>
    <w:rsid w:val="00D459C4"/>
    <w:rsid w:val="00D45EE9"/>
    <w:rsid w:val="00D4623E"/>
    <w:rsid w:val="00D46515"/>
    <w:rsid w:val="00D4661C"/>
    <w:rsid w:val="00D4680A"/>
    <w:rsid w:val="00D46A95"/>
    <w:rsid w:val="00D46DA0"/>
    <w:rsid w:val="00D47859"/>
    <w:rsid w:val="00D50240"/>
    <w:rsid w:val="00D5054F"/>
    <w:rsid w:val="00D5066C"/>
    <w:rsid w:val="00D50D49"/>
    <w:rsid w:val="00D5127E"/>
    <w:rsid w:val="00D5173D"/>
    <w:rsid w:val="00D5185F"/>
    <w:rsid w:val="00D51C54"/>
    <w:rsid w:val="00D529CE"/>
    <w:rsid w:val="00D52B8B"/>
    <w:rsid w:val="00D54938"/>
    <w:rsid w:val="00D54B2F"/>
    <w:rsid w:val="00D54D2D"/>
    <w:rsid w:val="00D54E6D"/>
    <w:rsid w:val="00D559C4"/>
    <w:rsid w:val="00D55DCA"/>
    <w:rsid w:val="00D562B5"/>
    <w:rsid w:val="00D569CA"/>
    <w:rsid w:val="00D56C28"/>
    <w:rsid w:val="00D56FBF"/>
    <w:rsid w:val="00D57028"/>
    <w:rsid w:val="00D57B48"/>
    <w:rsid w:val="00D60138"/>
    <w:rsid w:val="00D609C8"/>
    <w:rsid w:val="00D60BDD"/>
    <w:rsid w:val="00D60E2C"/>
    <w:rsid w:val="00D60F19"/>
    <w:rsid w:val="00D61CBC"/>
    <w:rsid w:val="00D61CCB"/>
    <w:rsid w:val="00D61E70"/>
    <w:rsid w:val="00D62086"/>
    <w:rsid w:val="00D6214D"/>
    <w:rsid w:val="00D6292B"/>
    <w:rsid w:val="00D62F08"/>
    <w:rsid w:val="00D635FB"/>
    <w:rsid w:val="00D63831"/>
    <w:rsid w:val="00D639AA"/>
    <w:rsid w:val="00D63E38"/>
    <w:rsid w:val="00D6448B"/>
    <w:rsid w:val="00D647A5"/>
    <w:rsid w:val="00D647E3"/>
    <w:rsid w:val="00D64B90"/>
    <w:rsid w:val="00D654F7"/>
    <w:rsid w:val="00D65DBD"/>
    <w:rsid w:val="00D6628D"/>
    <w:rsid w:val="00D6712A"/>
    <w:rsid w:val="00D6718D"/>
    <w:rsid w:val="00D67430"/>
    <w:rsid w:val="00D675DA"/>
    <w:rsid w:val="00D67643"/>
    <w:rsid w:val="00D6796D"/>
    <w:rsid w:val="00D702D5"/>
    <w:rsid w:val="00D705CE"/>
    <w:rsid w:val="00D707BA"/>
    <w:rsid w:val="00D70B11"/>
    <w:rsid w:val="00D70BC1"/>
    <w:rsid w:val="00D70C22"/>
    <w:rsid w:val="00D7102E"/>
    <w:rsid w:val="00D7116E"/>
    <w:rsid w:val="00D714B4"/>
    <w:rsid w:val="00D716D2"/>
    <w:rsid w:val="00D7190F"/>
    <w:rsid w:val="00D7193F"/>
    <w:rsid w:val="00D71C53"/>
    <w:rsid w:val="00D728FA"/>
    <w:rsid w:val="00D73105"/>
    <w:rsid w:val="00D7317C"/>
    <w:rsid w:val="00D735CD"/>
    <w:rsid w:val="00D7365E"/>
    <w:rsid w:val="00D73AC0"/>
    <w:rsid w:val="00D73BC4"/>
    <w:rsid w:val="00D73E93"/>
    <w:rsid w:val="00D7430E"/>
    <w:rsid w:val="00D750C9"/>
    <w:rsid w:val="00D753B1"/>
    <w:rsid w:val="00D75677"/>
    <w:rsid w:val="00D75694"/>
    <w:rsid w:val="00D756BC"/>
    <w:rsid w:val="00D75D50"/>
    <w:rsid w:val="00D7684C"/>
    <w:rsid w:val="00D7684F"/>
    <w:rsid w:val="00D76AD4"/>
    <w:rsid w:val="00D7707F"/>
    <w:rsid w:val="00D772EA"/>
    <w:rsid w:val="00D80679"/>
    <w:rsid w:val="00D8097E"/>
    <w:rsid w:val="00D80EAF"/>
    <w:rsid w:val="00D8114C"/>
    <w:rsid w:val="00D8129E"/>
    <w:rsid w:val="00D81691"/>
    <w:rsid w:val="00D81A62"/>
    <w:rsid w:val="00D81D19"/>
    <w:rsid w:val="00D81DCA"/>
    <w:rsid w:val="00D8266F"/>
    <w:rsid w:val="00D82B3C"/>
    <w:rsid w:val="00D83267"/>
    <w:rsid w:val="00D83335"/>
    <w:rsid w:val="00D83A45"/>
    <w:rsid w:val="00D84263"/>
    <w:rsid w:val="00D843E5"/>
    <w:rsid w:val="00D854A2"/>
    <w:rsid w:val="00D8552A"/>
    <w:rsid w:val="00D8580A"/>
    <w:rsid w:val="00D85D6E"/>
    <w:rsid w:val="00D860ED"/>
    <w:rsid w:val="00D8617B"/>
    <w:rsid w:val="00D86301"/>
    <w:rsid w:val="00D86551"/>
    <w:rsid w:val="00D86904"/>
    <w:rsid w:val="00D86C87"/>
    <w:rsid w:val="00D86EAA"/>
    <w:rsid w:val="00D87E6F"/>
    <w:rsid w:val="00D90577"/>
    <w:rsid w:val="00D90D6C"/>
    <w:rsid w:val="00D90F54"/>
    <w:rsid w:val="00D91CCF"/>
    <w:rsid w:val="00D91DEA"/>
    <w:rsid w:val="00D92104"/>
    <w:rsid w:val="00D922BC"/>
    <w:rsid w:val="00D922ED"/>
    <w:rsid w:val="00D927B6"/>
    <w:rsid w:val="00D927C4"/>
    <w:rsid w:val="00D92A35"/>
    <w:rsid w:val="00D92AD4"/>
    <w:rsid w:val="00D93D7B"/>
    <w:rsid w:val="00D93E84"/>
    <w:rsid w:val="00D93F53"/>
    <w:rsid w:val="00D94429"/>
    <w:rsid w:val="00D946B1"/>
    <w:rsid w:val="00D9546F"/>
    <w:rsid w:val="00D95C3C"/>
    <w:rsid w:val="00D95FD0"/>
    <w:rsid w:val="00D960DF"/>
    <w:rsid w:val="00D96992"/>
    <w:rsid w:val="00D96F63"/>
    <w:rsid w:val="00D977B1"/>
    <w:rsid w:val="00D977CA"/>
    <w:rsid w:val="00D97C7D"/>
    <w:rsid w:val="00D97E0B"/>
    <w:rsid w:val="00D97F71"/>
    <w:rsid w:val="00DA012A"/>
    <w:rsid w:val="00DA0429"/>
    <w:rsid w:val="00DA0670"/>
    <w:rsid w:val="00DA0B53"/>
    <w:rsid w:val="00DA1051"/>
    <w:rsid w:val="00DA1BFD"/>
    <w:rsid w:val="00DA28EA"/>
    <w:rsid w:val="00DA29CC"/>
    <w:rsid w:val="00DA334F"/>
    <w:rsid w:val="00DA36BA"/>
    <w:rsid w:val="00DA3917"/>
    <w:rsid w:val="00DA3D16"/>
    <w:rsid w:val="00DA49C9"/>
    <w:rsid w:val="00DA5B60"/>
    <w:rsid w:val="00DA64C7"/>
    <w:rsid w:val="00DA68C5"/>
    <w:rsid w:val="00DA69D7"/>
    <w:rsid w:val="00DA770B"/>
    <w:rsid w:val="00DA7EA3"/>
    <w:rsid w:val="00DB02A3"/>
    <w:rsid w:val="00DB04F6"/>
    <w:rsid w:val="00DB080E"/>
    <w:rsid w:val="00DB1136"/>
    <w:rsid w:val="00DB1FA5"/>
    <w:rsid w:val="00DB216A"/>
    <w:rsid w:val="00DB2341"/>
    <w:rsid w:val="00DB2458"/>
    <w:rsid w:val="00DB25AD"/>
    <w:rsid w:val="00DB2750"/>
    <w:rsid w:val="00DB2CE9"/>
    <w:rsid w:val="00DB2D8C"/>
    <w:rsid w:val="00DB2DCD"/>
    <w:rsid w:val="00DB339E"/>
    <w:rsid w:val="00DB3B83"/>
    <w:rsid w:val="00DB3B88"/>
    <w:rsid w:val="00DB3F0B"/>
    <w:rsid w:val="00DB40D9"/>
    <w:rsid w:val="00DB4AB0"/>
    <w:rsid w:val="00DB5162"/>
    <w:rsid w:val="00DB56CE"/>
    <w:rsid w:val="00DB5A6C"/>
    <w:rsid w:val="00DB60B4"/>
    <w:rsid w:val="00DB6109"/>
    <w:rsid w:val="00DB623C"/>
    <w:rsid w:val="00DB6A35"/>
    <w:rsid w:val="00DB6BB2"/>
    <w:rsid w:val="00DB6D16"/>
    <w:rsid w:val="00DB6D6D"/>
    <w:rsid w:val="00DB6E7E"/>
    <w:rsid w:val="00DB71E5"/>
    <w:rsid w:val="00DB740D"/>
    <w:rsid w:val="00DB7418"/>
    <w:rsid w:val="00DB78AA"/>
    <w:rsid w:val="00DB79B3"/>
    <w:rsid w:val="00DB7A56"/>
    <w:rsid w:val="00DB7CB4"/>
    <w:rsid w:val="00DC0A30"/>
    <w:rsid w:val="00DC11CE"/>
    <w:rsid w:val="00DC24F4"/>
    <w:rsid w:val="00DC2E5D"/>
    <w:rsid w:val="00DC2F3F"/>
    <w:rsid w:val="00DC3084"/>
    <w:rsid w:val="00DC32C8"/>
    <w:rsid w:val="00DC3552"/>
    <w:rsid w:val="00DC3B8D"/>
    <w:rsid w:val="00DC49BF"/>
    <w:rsid w:val="00DC4DCA"/>
    <w:rsid w:val="00DC4E8F"/>
    <w:rsid w:val="00DC4F5B"/>
    <w:rsid w:val="00DC5E88"/>
    <w:rsid w:val="00DC600C"/>
    <w:rsid w:val="00DC621F"/>
    <w:rsid w:val="00DC6604"/>
    <w:rsid w:val="00DC69DA"/>
    <w:rsid w:val="00DC78D2"/>
    <w:rsid w:val="00DD0199"/>
    <w:rsid w:val="00DD0516"/>
    <w:rsid w:val="00DD0566"/>
    <w:rsid w:val="00DD0785"/>
    <w:rsid w:val="00DD0E35"/>
    <w:rsid w:val="00DD13C6"/>
    <w:rsid w:val="00DD2AA4"/>
    <w:rsid w:val="00DD2EB9"/>
    <w:rsid w:val="00DD2F7F"/>
    <w:rsid w:val="00DD2FFA"/>
    <w:rsid w:val="00DD34C9"/>
    <w:rsid w:val="00DD4921"/>
    <w:rsid w:val="00DD5135"/>
    <w:rsid w:val="00DD55A0"/>
    <w:rsid w:val="00DD57FD"/>
    <w:rsid w:val="00DD5840"/>
    <w:rsid w:val="00DD592C"/>
    <w:rsid w:val="00DD6A49"/>
    <w:rsid w:val="00DD6DA0"/>
    <w:rsid w:val="00DD7978"/>
    <w:rsid w:val="00DD7CE1"/>
    <w:rsid w:val="00DE00C9"/>
    <w:rsid w:val="00DE0E22"/>
    <w:rsid w:val="00DE170F"/>
    <w:rsid w:val="00DE18FB"/>
    <w:rsid w:val="00DE1965"/>
    <w:rsid w:val="00DE1E10"/>
    <w:rsid w:val="00DE20BB"/>
    <w:rsid w:val="00DE2184"/>
    <w:rsid w:val="00DE2573"/>
    <w:rsid w:val="00DE27CB"/>
    <w:rsid w:val="00DE2C19"/>
    <w:rsid w:val="00DE2D10"/>
    <w:rsid w:val="00DE2D2D"/>
    <w:rsid w:val="00DE315A"/>
    <w:rsid w:val="00DE3F79"/>
    <w:rsid w:val="00DE454A"/>
    <w:rsid w:val="00DE4B01"/>
    <w:rsid w:val="00DE4BE9"/>
    <w:rsid w:val="00DE4DE1"/>
    <w:rsid w:val="00DE5B3E"/>
    <w:rsid w:val="00DE6127"/>
    <w:rsid w:val="00DE639A"/>
    <w:rsid w:val="00DE704D"/>
    <w:rsid w:val="00DE77C5"/>
    <w:rsid w:val="00DE7A50"/>
    <w:rsid w:val="00DE7D9F"/>
    <w:rsid w:val="00DE7F2E"/>
    <w:rsid w:val="00DF0190"/>
    <w:rsid w:val="00DF0651"/>
    <w:rsid w:val="00DF09C8"/>
    <w:rsid w:val="00DF0F29"/>
    <w:rsid w:val="00DF1623"/>
    <w:rsid w:val="00DF1CDF"/>
    <w:rsid w:val="00DF1FDD"/>
    <w:rsid w:val="00DF2219"/>
    <w:rsid w:val="00DF2512"/>
    <w:rsid w:val="00DF2668"/>
    <w:rsid w:val="00DF2AC2"/>
    <w:rsid w:val="00DF2FC1"/>
    <w:rsid w:val="00DF300F"/>
    <w:rsid w:val="00DF413C"/>
    <w:rsid w:val="00DF42BD"/>
    <w:rsid w:val="00DF43EF"/>
    <w:rsid w:val="00DF5F6C"/>
    <w:rsid w:val="00DF6047"/>
    <w:rsid w:val="00DF639F"/>
    <w:rsid w:val="00DF6FAE"/>
    <w:rsid w:val="00DF727B"/>
    <w:rsid w:val="00DF79A5"/>
    <w:rsid w:val="00E003F8"/>
    <w:rsid w:val="00E00532"/>
    <w:rsid w:val="00E014E9"/>
    <w:rsid w:val="00E017A6"/>
    <w:rsid w:val="00E01BF7"/>
    <w:rsid w:val="00E01C2E"/>
    <w:rsid w:val="00E02157"/>
    <w:rsid w:val="00E023FB"/>
    <w:rsid w:val="00E024E2"/>
    <w:rsid w:val="00E0294E"/>
    <w:rsid w:val="00E02BA6"/>
    <w:rsid w:val="00E02DEA"/>
    <w:rsid w:val="00E02EB2"/>
    <w:rsid w:val="00E03206"/>
    <w:rsid w:val="00E0353A"/>
    <w:rsid w:val="00E03924"/>
    <w:rsid w:val="00E039FE"/>
    <w:rsid w:val="00E03A90"/>
    <w:rsid w:val="00E03F9C"/>
    <w:rsid w:val="00E044B1"/>
    <w:rsid w:val="00E049F5"/>
    <w:rsid w:val="00E05060"/>
    <w:rsid w:val="00E0680A"/>
    <w:rsid w:val="00E06811"/>
    <w:rsid w:val="00E07941"/>
    <w:rsid w:val="00E07A15"/>
    <w:rsid w:val="00E10DD6"/>
    <w:rsid w:val="00E114F3"/>
    <w:rsid w:val="00E120F0"/>
    <w:rsid w:val="00E1294B"/>
    <w:rsid w:val="00E12C24"/>
    <w:rsid w:val="00E12F99"/>
    <w:rsid w:val="00E1347C"/>
    <w:rsid w:val="00E13B94"/>
    <w:rsid w:val="00E13FE9"/>
    <w:rsid w:val="00E14447"/>
    <w:rsid w:val="00E144C1"/>
    <w:rsid w:val="00E14682"/>
    <w:rsid w:val="00E14B1C"/>
    <w:rsid w:val="00E15608"/>
    <w:rsid w:val="00E15BF4"/>
    <w:rsid w:val="00E1699D"/>
    <w:rsid w:val="00E17223"/>
    <w:rsid w:val="00E17561"/>
    <w:rsid w:val="00E17562"/>
    <w:rsid w:val="00E17D22"/>
    <w:rsid w:val="00E17DF8"/>
    <w:rsid w:val="00E209E3"/>
    <w:rsid w:val="00E20BFC"/>
    <w:rsid w:val="00E210DC"/>
    <w:rsid w:val="00E21277"/>
    <w:rsid w:val="00E21927"/>
    <w:rsid w:val="00E2197E"/>
    <w:rsid w:val="00E219F3"/>
    <w:rsid w:val="00E22414"/>
    <w:rsid w:val="00E22422"/>
    <w:rsid w:val="00E22B9B"/>
    <w:rsid w:val="00E238EC"/>
    <w:rsid w:val="00E24C10"/>
    <w:rsid w:val="00E24D4C"/>
    <w:rsid w:val="00E24EB1"/>
    <w:rsid w:val="00E25109"/>
    <w:rsid w:val="00E25AC8"/>
    <w:rsid w:val="00E25F9C"/>
    <w:rsid w:val="00E27C12"/>
    <w:rsid w:val="00E27EEE"/>
    <w:rsid w:val="00E30ABD"/>
    <w:rsid w:val="00E31372"/>
    <w:rsid w:val="00E314E0"/>
    <w:rsid w:val="00E31597"/>
    <w:rsid w:val="00E31AA6"/>
    <w:rsid w:val="00E31ACB"/>
    <w:rsid w:val="00E31EFC"/>
    <w:rsid w:val="00E328BB"/>
    <w:rsid w:val="00E32FBC"/>
    <w:rsid w:val="00E33147"/>
    <w:rsid w:val="00E3324F"/>
    <w:rsid w:val="00E33602"/>
    <w:rsid w:val="00E3388C"/>
    <w:rsid w:val="00E33F04"/>
    <w:rsid w:val="00E342B8"/>
    <w:rsid w:val="00E34339"/>
    <w:rsid w:val="00E35778"/>
    <w:rsid w:val="00E35861"/>
    <w:rsid w:val="00E35ECE"/>
    <w:rsid w:val="00E365B7"/>
    <w:rsid w:val="00E36D6D"/>
    <w:rsid w:val="00E3722F"/>
    <w:rsid w:val="00E379A6"/>
    <w:rsid w:val="00E37FEA"/>
    <w:rsid w:val="00E404AD"/>
    <w:rsid w:val="00E412C0"/>
    <w:rsid w:val="00E422F5"/>
    <w:rsid w:val="00E42692"/>
    <w:rsid w:val="00E428B2"/>
    <w:rsid w:val="00E42C06"/>
    <w:rsid w:val="00E436B1"/>
    <w:rsid w:val="00E450FC"/>
    <w:rsid w:val="00E452ED"/>
    <w:rsid w:val="00E455C9"/>
    <w:rsid w:val="00E47055"/>
    <w:rsid w:val="00E47291"/>
    <w:rsid w:val="00E478F4"/>
    <w:rsid w:val="00E50E41"/>
    <w:rsid w:val="00E512DD"/>
    <w:rsid w:val="00E51333"/>
    <w:rsid w:val="00E514F5"/>
    <w:rsid w:val="00E51B45"/>
    <w:rsid w:val="00E51FD2"/>
    <w:rsid w:val="00E52CFF"/>
    <w:rsid w:val="00E5335B"/>
    <w:rsid w:val="00E5373F"/>
    <w:rsid w:val="00E539AD"/>
    <w:rsid w:val="00E53FF2"/>
    <w:rsid w:val="00E54597"/>
    <w:rsid w:val="00E54A49"/>
    <w:rsid w:val="00E54EB1"/>
    <w:rsid w:val="00E54F8C"/>
    <w:rsid w:val="00E55128"/>
    <w:rsid w:val="00E5543C"/>
    <w:rsid w:val="00E55B6F"/>
    <w:rsid w:val="00E55D01"/>
    <w:rsid w:val="00E55EBF"/>
    <w:rsid w:val="00E55F8D"/>
    <w:rsid w:val="00E56085"/>
    <w:rsid w:val="00E5653B"/>
    <w:rsid w:val="00E56B1C"/>
    <w:rsid w:val="00E57607"/>
    <w:rsid w:val="00E57ABC"/>
    <w:rsid w:val="00E57EED"/>
    <w:rsid w:val="00E57FBF"/>
    <w:rsid w:val="00E6004E"/>
    <w:rsid w:val="00E60642"/>
    <w:rsid w:val="00E60EBB"/>
    <w:rsid w:val="00E6136E"/>
    <w:rsid w:val="00E61E0F"/>
    <w:rsid w:val="00E623CB"/>
    <w:rsid w:val="00E6250B"/>
    <w:rsid w:val="00E6274A"/>
    <w:rsid w:val="00E62BBA"/>
    <w:rsid w:val="00E62CE8"/>
    <w:rsid w:val="00E62E1A"/>
    <w:rsid w:val="00E62FB4"/>
    <w:rsid w:val="00E63039"/>
    <w:rsid w:val="00E637DA"/>
    <w:rsid w:val="00E63B34"/>
    <w:rsid w:val="00E64152"/>
    <w:rsid w:val="00E64441"/>
    <w:rsid w:val="00E64E43"/>
    <w:rsid w:val="00E65466"/>
    <w:rsid w:val="00E668B4"/>
    <w:rsid w:val="00E66F08"/>
    <w:rsid w:val="00E67DCF"/>
    <w:rsid w:val="00E70292"/>
    <w:rsid w:val="00E70390"/>
    <w:rsid w:val="00E7071F"/>
    <w:rsid w:val="00E709E0"/>
    <w:rsid w:val="00E715ED"/>
    <w:rsid w:val="00E72F5B"/>
    <w:rsid w:val="00E72FD0"/>
    <w:rsid w:val="00E73026"/>
    <w:rsid w:val="00E7335C"/>
    <w:rsid w:val="00E74454"/>
    <w:rsid w:val="00E747CD"/>
    <w:rsid w:val="00E749A2"/>
    <w:rsid w:val="00E7529A"/>
    <w:rsid w:val="00E75F75"/>
    <w:rsid w:val="00E7655F"/>
    <w:rsid w:val="00E767C1"/>
    <w:rsid w:val="00E76FBE"/>
    <w:rsid w:val="00E77E1B"/>
    <w:rsid w:val="00E77F29"/>
    <w:rsid w:val="00E8016A"/>
    <w:rsid w:val="00E80178"/>
    <w:rsid w:val="00E809CD"/>
    <w:rsid w:val="00E80A95"/>
    <w:rsid w:val="00E80FC6"/>
    <w:rsid w:val="00E81555"/>
    <w:rsid w:val="00E81573"/>
    <w:rsid w:val="00E8158B"/>
    <w:rsid w:val="00E8173D"/>
    <w:rsid w:val="00E81924"/>
    <w:rsid w:val="00E81A9F"/>
    <w:rsid w:val="00E81D4C"/>
    <w:rsid w:val="00E82D6E"/>
    <w:rsid w:val="00E8458E"/>
    <w:rsid w:val="00E8552D"/>
    <w:rsid w:val="00E85BF3"/>
    <w:rsid w:val="00E85DC5"/>
    <w:rsid w:val="00E86422"/>
    <w:rsid w:val="00E86932"/>
    <w:rsid w:val="00E86C11"/>
    <w:rsid w:val="00E87095"/>
    <w:rsid w:val="00E87268"/>
    <w:rsid w:val="00E87941"/>
    <w:rsid w:val="00E87FA2"/>
    <w:rsid w:val="00E918F2"/>
    <w:rsid w:val="00E920F8"/>
    <w:rsid w:val="00E92298"/>
    <w:rsid w:val="00E92842"/>
    <w:rsid w:val="00E9290D"/>
    <w:rsid w:val="00E9339F"/>
    <w:rsid w:val="00E938D5"/>
    <w:rsid w:val="00E93A7B"/>
    <w:rsid w:val="00E93F72"/>
    <w:rsid w:val="00E94243"/>
    <w:rsid w:val="00E94A3D"/>
    <w:rsid w:val="00E9557F"/>
    <w:rsid w:val="00E95E63"/>
    <w:rsid w:val="00E965DE"/>
    <w:rsid w:val="00E97338"/>
    <w:rsid w:val="00E97643"/>
    <w:rsid w:val="00E978C9"/>
    <w:rsid w:val="00E97C46"/>
    <w:rsid w:val="00EA0974"/>
    <w:rsid w:val="00EA0A49"/>
    <w:rsid w:val="00EA0B06"/>
    <w:rsid w:val="00EA0BF7"/>
    <w:rsid w:val="00EA0E22"/>
    <w:rsid w:val="00EA124A"/>
    <w:rsid w:val="00EA1CF8"/>
    <w:rsid w:val="00EA24D2"/>
    <w:rsid w:val="00EA2A27"/>
    <w:rsid w:val="00EA2F48"/>
    <w:rsid w:val="00EA3404"/>
    <w:rsid w:val="00EA3936"/>
    <w:rsid w:val="00EA4456"/>
    <w:rsid w:val="00EA4BEC"/>
    <w:rsid w:val="00EA4E0A"/>
    <w:rsid w:val="00EA518E"/>
    <w:rsid w:val="00EA525C"/>
    <w:rsid w:val="00EA53B8"/>
    <w:rsid w:val="00EA54B0"/>
    <w:rsid w:val="00EA5CAD"/>
    <w:rsid w:val="00EA5EF9"/>
    <w:rsid w:val="00EA6B6A"/>
    <w:rsid w:val="00EA6DCD"/>
    <w:rsid w:val="00EA7538"/>
    <w:rsid w:val="00EA7B10"/>
    <w:rsid w:val="00EA7F97"/>
    <w:rsid w:val="00EB0274"/>
    <w:rsid w:val="00EB0840"/>
    <w:rsid w:val="00EB0EBD"/>
    <w:rsid w:val="00EB0FEA"/>
    <w:rsid w:val="00EB1CD1"/>
    <w:rsid w:val="00EB257D"/>
    <w:rsid w:val="00EB3047"/>
    <w:rsid w:val="00EB381E"/>
    <w:rsid w:val="00EB3A14"/>
    <w:rsid w:val="00EB3B03"/>
    <w:rsid w:val="00EB3FAC"/>
    <w:rsid w:val="00EB4433"/>
    <w:rsid w:val="00EB448A"/>
    <w:rsid w:val="00EB4ABF"/>
    <w:rsid w:val="00EB4D03"/>
    <w:rsid w:val="00EB552E"/>
    <w:rsid w:val="00EB5DDA"/>
    <w:rsid w:val="00EB60E7"/>
    <w:rsid w:val="00EB6248"/>
    <w:rsid w:val="00EB6E33"/>
    <w:rsid w:val="00EB71D4"/>
    <w:rsid w:val="00EB73A7"/>
    <w:rsid w:val="00EB753A"/>
    <w:rsid w:val="00EB76B1"/>
    <w:rsid w:val="00EB7A7D"/>
    <w:rsid w:val="00EC0D76"/>
    <w:rsid w:val="00EC1BF6"/>
    <w:rsid w:val="00EC1DEB"/>
    <w:rsid w:val="00EC21DE"/>
    <w:rsid w:val="00EC29C1"/>
    <w:rsid w:val="00EC2AEF"/>
    <w:rsid w:val="00EC2B68"/>
    <w:rsid w:val="00EC2DF6"/>
    <w:rsid w:val="00EC3A04"/>
    <w:rsid w:val="00EC3B47"/>
    <w:rsid w:val="00EC4103"/>
    <w:rsid w:val="00EC4EE2"/>
    <w:rsid w:val="00EC542D"/>
    <w:rsid w:val="00EC57C6"/>
    <w:rsid w:val="00EC6449"/>
    <w:rsid w:val="00EC6452"/>
    <w:rsid w:val="00EC64C4"/>
    <w:rsid w:val="00EC6FFE"/>
    <w:rsid w:val="00EC78CE"/>
    <w:rsid w:val="00EC7938"/>
    <w:rsid w:val="00ED07F4"/>
    <w:rsid w:val="00ED0806"/>
    <w:rsid w:val="00ED0B2E"/>
    <w:rsid w:val="00ED0C8F"/>
    <w:rsid w:val="00ED106D"/>
    <w:rsid w:val="00ED10B0"/>
    <w:rsid w:val="00ED11C9"/>
    <w:rsid w:val="00ED128F"/>
    <w:rsid w:val="00ED244D"/>
    <w:rsid w:val="00ED259E"/>
    <w:rsid w:val="00ED2709"/>
    <w:rsid w:val="00ED2FA4"/>
    <w:rsid w:val="00ED33AA"/>
    <w:rsid w:val="00ED3757"/>
    <w:rsid w:val="00ED389F"/>
    <w:rsid w:val="00ED3E6E"/>
    <w:rsid w:val="00ED442B"/>
    <w:rsid w:val="00ED4537"/>
    <w:rsid w:val="00ED5BA0"/>
    <w:rsid w:val="00ED5BC9"/>
    <w:rsid w:val="00ED649C"/>
    <w:rsid w:val="00ED65A5"/>
    <w:rsid w:val="00ED6805"/>
    <w:rsid w:val="00ED681A"/>
    <w:rsid w:val="00ED6B30"/>
    <w:rsid w:val="00ED7607"/>
    <w:rsid w:val="00ED7A3C"/>
    <w:rsid w:val="00EE0493"/>
    <w:rsid w:val="00EE0AB1"/>
    <w:rsid w:val="00EE0D1E"/>
    <w:rsid w:val="00EE1193"/>
    <w:rsid w:val="00EE1409"/>
    <w:rsid w:val="00EE158A"/>
    <w:rsid w:val="00EE191E"/>
    <w:rsid w:val="00EE1AAA"/>
    <w:rsid w:val="00EE1AC5"/>
    <w:rsid w:val="00EE206E"/>
    <w:rsid w:val="00EE2323"/>
    <w:rsid w:val="00EE233B"/>
    <w:rsid w:val="00EE2533"/>
    <w:rsid w:val="00EE356F"/>
    <w:rsid w:val="00EE3A8B"/>
    <w:rsid w:val="00EE42DA"/>
    <w:rsid w:val="00EE4868"/>
    <w:rsid w:val="00EE4FB1"/>
    <w:rsid w:val="00EE50AA"/>
    <w:rsid w:val="00EE520E"/>
    <w:rsid w:val="00EE5ABA"/>
    <w:rsid w:val="00EE5B85"/>
    <w:rsid w:val="00EE64CF"/>
    <w:rsid w:val="00EE67F7"/>
    <w:rsid w:val="00EE6949"/>
    <w:rsid w:val="00EE6978"/>
    <w:rsid w:val="00EE6CD8"/>
    <w:rsid w:val="00EE72E4"/>
    <w:rsid w:val="00EE7953"/>
    <w:rsid w:val="00EE7B79"/>
    <w:rsid w:val="00EE7F4F"/>
    <w:rsid w:val="00EF043D"/>
    <w:rsid w:val="00EF0907"/>
    <w:rsid w:val="00EF0E3D"/>
    <w:rsid w:val="00EF1351"/>
    <w:rsid w:val="00EF13B5"/>
    <w:rsid w:val="00EF1EF8"/>
    <w:rsid w:val="00EF2774"/>
    <w:rsid w:val="00EF28D4"/>
    <w:rsid w:val="00EF2ACE"/>
    <w:rsid w:val="00EF2F98"/>
    <w:rsid w:val="00EF3573"/>
    <w:rsid w:val="00EF3FB7"/>
    <w:rsid w:val="00EF45F8"/>
    <w:rsid w:val="00EF4B35"/>
    <w:rsid w:val="00EF557C"/>
    <w:rsid w:val="00EF56AF"/>
    <w:rsid w:val="00EF610C"/>
    <w:rsid w:val="00EF6418"/>
    <w:rsid w:val="00EF669C"/>
    <w:rsid w:val="00EF69D2"/>
    <w:rsid w:val="00EF70FF"/>
    <w:rsid w:val="00EF76EB"/>
    <w:rsid w:val="00EF76FD"/>
    <w:rsid w:val="00EF7965"/>
    <w:rsid w:val="00EF7B23"/>
    <w:rsid w:val="00EF7C34"/>
    <w:rsid w:val="00EF7C4D"/>
    <w:rsid w:val="00F0046B"/>
    <w:rsid w:val="00F00566"/>
    <w:rsid w:val="00F0096D"/>
    <w:rsid w:val="00F00CF4"/>
    <w:rsid w:val="00F0108C"/>
    <w:rsid w:val="00F0124F"/>
    <w:rsid w:val="00F0155A"/>
    <w:rsid w:val="00F025EE"/>
    <w:rsid w:val="00F02C74"/>
    <w:rsid w:val="00F034A7"/>
    <w:rsid w:val="00F03537"/>
    <w:rsid w:val="00F0356E"/>
    <w:rsid w:val="00F03A9F"/>
    <w:rsid w:val="00F03E4A"/>
    <w:rsid w:val="00F03FA9"/>
    <w:rsid w:val="00F040B1"/>
    <w:rsid w:val="00F04F94"/>
    <w:rsid w:val="00F0541B"/>
    <w:rsid w:val="00F0590B"/>
    <w:rsid w:val="00F05BAF"/>
    <w:rsid w:val="00F05DF6"/>
    <w:rsid w:val="00F06071"/>
    <w:rsid w:val="00F0612A"/>
    <w:rsid w:val="00F061B5"/>
    <w:rsid w:val="00F0624E"/>
    <w:rsid w:val="00F062B9"/>
    <w:rsid w:val="00F06486"/>
    <w:rsid w:val="00F06873"/>
    <w:rsid w:val="00F06D59"/>
    <w:rsid w:val="00F07204"/>
    <w:rsid w:val="00F0773E"/>
    <w:rsid w:val="00F07B58"/>
    <w:rsid w:val="00F10703"/>
    <w:rsid w:val="00F11145"/>
    <w:rsid w:val="00F11470"/>
    <w:rsid w:val="00F118D0"/>
    <w:rsid w:val="00F11A0A"/>
    <w:rsid w:val="00F11F93"/>
    <w:rsid w:val="00F11FA0"/>
    <w:rsid w:val="00F121FC"/>
    <w:rsid w:val="00F12752"/>
    <w:rsid w:val="00F1379D"/>
    <w:rsid w:val="00F13A00"/>
    <w:rsid w:val="00F13F26"/>
    <w:rsid w:val="00F14229"/>
    <w:rsid w:val="00F144AD"/>
    <w:rsid w:val="00F14725"/>
    <w:rsid w:val="00F14972"/>
    <w:rsid w:val="00F14AA9"/>
    <w:rsid w:val="00F14E62"/>
    <w:rsid w:val="00F150FF"/>
    <w:rsid w:val="00F154CF"/>
    <w:rsid w:val="00F1578F"/>
    <w:rsid w:val="00F161A3"/>
    <w:rsid w:val="00F16270"/>
    <w:rsid w:val="00F16A69"/>
    <w:rsid w:val="00F17042"/>
    <w:rsid w:val="00F171C9"/>
    <w:rsid w:val="00F175FD"/>
    <w:rsid w:val="00F17A91"/>
    <w:rsid w:val="00F2006E"/>
    <w:rsid w:val="00F2031F"/>
    <w:rsid w:val="00F20920"/>
    <w:rsid w:val="00F20CB9"/>
    <w:rsid w:val="00F21411"/>
    <w:rsid w:val="00F2198A"/>
    <w:rsid w:val="00F21C98"/>
    <w:rsid w:val="00F22191"/>
    <w:rsid w:val="00F2302E"/>
    <w:rsid w:val="00F2303A"/>
    <w:rsid w:val="00F23A2D"/>
    <w:rsid w:val="00F23CFE"/>
    <w:rsid w:val="00F23EAD"/>
    <w:rsid w:val="00F2502C"/>
    <w:rsid w:val="00F25C9A"/>
    <w:rsid w:val="00F260FE"/>
    <w:rsid w:val="00F263A2"/>
    <w:rsid w:val="00F26671"/>
    <w:rsid w:val="00F26684"/>
    <w:rsid w:val="00F274A8"/>
    <w:rsid w:val="00F274D5"/>
    <w:rsid w:val="00F300BA"/>
    <w:rsid w:val="00F30AAA"/>
    <w:rsid w:val="00F310CF"/>
    <w:rsid w:val="00F31134"/>
    <w:rsid w:val="00F3127B"/>
    <w:rsid w:val="00F317D6"/>
    <w:rsid w:val="00F31BB6"/>
    <w:rsid w:val="00F31D7E"/>
    <w:rsid w:val="00F33537"/>
    <w:rsid w:val="00F33773"/>
    <w:rsid w:val="00F33CA8"/>
    <w:rsid w:val="00F33E96"/>
    <w:rsid w:val="00F33FC2"/>
    <w:rsid w:val="00F3419B"/>
    <w:rsid w:val="00F34256"/>
    <w:rsid w:val="00F34303"/>
    <w:rsid w:val="00F346F3"/>
    <w:rsid w:val="00F3470C"/>
    <w:rsid w:val="00F350D8"/>
    <w:rsid w:val="00F355E0"/>
    <w:rsid w:val="00F35C97"/>
    <w:rsid w:val="00F35D8F"/>
    <w:rsid w:val="00F360EE"/>
    <w:rsid w:val="00F36952"/>
    <w:rsid w:val="00F36A7D"/>
    <w:rsid w:val="00F37646"/>
    <w:rsid w:val="00F37A64"/>
    <w:rsid w:val="00F37B3E"/>
    <w:rsid w:val="00F37BD9"/>
    <w:rsid w:val="00F37DB4"/>
    <w:rsid w:val="00F40208"/>
    <w:rsid w:val="00F40995"/>
    <w:rsid w:val="00F40AE3"/>
    <w:rsid w:val="00F41110"/>
    <w:rsid w:val="00F412C1"/>
    <w:rsid w:val="00F418FB"/>
    <w:rsid w:val="00F42941"/>
    <w:rsid w:val="00F43E21"/>
    <w:rsid w:val="00F44F68"/>
    <w:rsid w:val="00F458B9"/>
    <w:rsid w:val="00F458F4"/>
    <w:rsid w:val="00F467AF"/>
    <w:rsid w:val="00F46890"/>
    <w:rsid w:val="00F46BB9"/>
    <w:rsid w:val="00F46CD0"/>
    <w:rsid w:val="00F46D3C"/>
    <w:rsid w:val="00F46FDF"/>
    <w:rsid w:val="00F47020"/>
    <w:rsid w:val="00F474C4"/>
    <w:rsid w:val="00F47A05"/>
    <w:rsid w:val="00F47A8C"/>
    <w:rsid w:val="00F47EE1"/>
    <w:rsid w:val="00F47F33"/>
    <w:rsid w:val="00F47FFE"/>
    <w:rsid w:val="00F5012A"/>
    <w:rsid w:val="00F50A26"/>
    <w:rsid w:val="00F51172"/>
    <w:rsid w:val="00F511BE"/>
    <w:rsid w:val="00F5139D"/>
    <w:rsid w:val="00F51433"/>
    <w:rsid w:val="00F5166E"/>
    <w:rsid w:val="00F516EC"/>
    <w:rsid w:val="00F5191E"/>
    <w:rsid w:val="00F53766"/>
    <w:rsid w:val="00F53D2E"/>
    <w:rsid w:val="00F53DE7"/>
    <w:rsid w:val="00F53E45"/>
    <w:rsid w:val="00F5471D"/>
    <w:rsid w:val="00F54D67"/>
    <w:rsid w:val="00F552CD"/>
    <w:rsid w:val="00F55546"/>
    <w:rsid w:val="00F559A3"/>
    <w:rsid w:val="00F56AD3"/>
    <w:rsid w:val="00F56E50"/>
    <w:rsid w:val="00F57654"/>
    <w:rsid w:val="00F57BE2"/>
    <w:rsid w:val="00F57EFB"/>
    <w:rsid w:val="00F60753"/>
    <w:rsid w:val="00F60C64"/>
    <w:rsid w:val="00F60C86"/>
    <w:rsid w:val="00F60DF8"/>
    <w:rsid w:val="00F610E3"/>
    <w:rsid w:val="00F617CD"/>
    <w:rsid w:val="00F6180B"/>
    <w:rsid w:val="00F618AF"/>
    <w:rsid w:val="00F626D9"/>
    <w:rsid w:val="00F62A74"/>
    <w:rsid w:val="00F62EE9"/>
    <w:rsid w:val="00F63089"/>
    <w:rsid w:val="00F63534"/>
    <w:rsid w:val="00F6393A"/>
    <w:rsid w:val="00F63E95"/>
    <w:rsid w:val="00F6413B"/>
    <w:rsid w:val="00F6419E"/>
    <w:rsid w:val="00F649D3"/>
    <w:rsid w:val="00F64AD6"/>
    <w:rsid w:val="00F64BF1"/>
    <w:rsid w:val="00F64D75"/>
    <w:rsid w:val="00F651F3"/>
    <w:rsid w:val="00F652EA"/>
    <w:rsid w:val="00F655BE"/>
    <w:rsid w:val="00F659E5"/>
    <w:rsid w:val="00F65D54"/>
    <w:rsid w:val="00F65D86"/>
    <w:rsid w:val="00F65F4B"/>
    <w:rsid w:val="00F65FB4"/>
    <w:rsid w:val="00F6631E"/>
    <w:rsid w:val="00F6652F"/>
    <w:rsid w:val="00F66846"/>
    <w:rsid w:val="00F66B16"/>
    <w:rsid w:val="00F672DA"/>
    <w:rsid w:val="00F6747F"/>
    <w:rsid w:val="00F67866"/>
    <w:rsid w:val="00F679AB"/>
    <w:rsid w:val="00F67E1A"/>
    <w:rsid w:val="00F70366"/>
    <w:rsid w:val="00F7036C"/>
    <w:rsid w:val="00F7041E"/>
    <w:rsid w:val="00F709D9"/>
    <w:rsid w:val="00F70C36"/>
    <w:rsid w:val="00F7104C"/>
    <w:rsid w:val="00F714B0"/>
    <w:rsid w:val="00F716E1"/>
    <w:rsid w:val="00F71806"/>
    <w:rsid w:val="00F7223E"/>
    <w:rsid w:val="00F729D4"/>
    <w:rsid w:val="00F72CC7"/>
    <w:rsid w:val="00F72E80"/>
    <w:rsid w:val="00F72EB1"/>
    <w:rsid w:val="00F731F3"/>
    <w:rsid w:val="00F7334C"/>
    <w:rsid w:val="00F7398C"/>
    <w:rsid w:val="00F73F1E"/>
    <w:rsid w:val="00F742DB"/>
    <w:rsid w:val="00F74582"/>
    <w:rsid w:val="00F74C14"/>
    <w:rsid w:val="00F74E99"/>
    <w:rsid w:val="00F74FEE"/>
    <w:rsid w:val="00F756E5"/>
    <w:rsid w:val="00F75848"/>
    <w:rsid w:val="00F762D9"/>
    <w:rsid w:val="00F768AB"/>
    <w:rsid w:val="00F76F4F"/>
    <w:rsid w:val="00F7761A"/>
    <w:rsid w:val="00F77926"/>
    <w:rsid w:val="00F803BF"/>
    <w:rsid w:val="00F80827"/>
    <w:rsid w:val="00F809EE"/>
    <w:rsid w:val="00F80AA7"/>
    <w:rsid w:val="00F80BC8"/>
    <w:rsid w:val="00F80EBC"/>
    <w:rsid w:val="00F8103C"/>
    <w:rsid w:val="00F8139D"/>
    <w:rsid w:val="00F81522"/>
    <w:rsid w:val="00F821FA"/>
    <w:rsid w:val="00F83416"/>
    <w:rsid w:val="00F835FD"/>
    <w:rsid w:val="00F836F7"/>
    <w:rsid w:val="00F83EA3"/>
    <w:rsid w:val="00F83F8E"/>
    <w:rsid w:val="00F84DF1"/>
    <w:rsid w:val="00F85161"/>
    <w:rsid w:val="00F85577"/>
    <w:rsid w:val="00F8570A"/>
    <w:rsid w:val="00F859C2"/>
    <w:rsid w:val="00F86687"/>
    <w:rsid w:val="00F86BCE"/>
    <w:rsid w:val="00F872F3"/>
    <w:rsid w:val="00F87395"/>
    <w:rsid w:val="00F87C8E"/>
    <w:rsid w:val="00F87E2F"/>
    <w:rsid w:val="00F90093"/>
    <w:rsid w:val="00F90366"/>
    <w:rsid w:val="00F90456"/>
    <w:rsid w:val="00F90584"/>
    <w:rsid w:val="00F90F0E"/>
    <w:rsid w:val="00F91F21"/>
    <w:rsid w:val="00F92C23"/>
    <w:rsid w:val="00F938E2"/>
    <w:rsid w:val="00F9411B"/>
    <w:rsid w:val="00F953D6"/>
    <w:rsid w:val="00F95826"/>
    <w:rsid w:val="00F95AFC"/>
    <w:rsid w:val="00F95D68"/>
    <w:rsid w:val="00F96964"/>
    <w:rsid w:val="00F96D31"/>
    <w:rsid w:val="00F96FC7"/>
    <w:rsid w:val="00F9723F"/>
    <w:rsid w:val="00F97C84"/>
    <w:rsid w:val="00F97ED9"/>
    <w:rsid w:val="00FA020B"/>
    <w:rsid w:val="00FA0607"/>
    <w:rsid w:val="00FA0742"/>
    <w:rsid w:val="00FA07E1"/>
    <w:rsid w:val="00FA08EB"/>
    <w:rsid w:val="00FA0A77"/>
    <w:rsid w:val="00FA18CB"/>
    <w:rsid w:val="00FA1B7B"/>
    <w:rsid w:val="00FA25C7"/>
    <w:rsid w:val="00FA2B53"/>
    <w:rsid w:val="00FA2BB7"/>
    <w:rsid w:val="00FA2C1A"/>
    <w:rsid w:val="00FA308D"/>
    <w:rsid w:val="00FA3150"/>
    <w:rsid w:val="00FA317C"/>
    <w:rsid w:val="00FA32BF"/>
    <w:rsid w:val="00FA32FD"/>
    <w:rsid w:val="00FA3624"/>
    <w:rsid w:val="00FA37F0"/>
    <w:rsid w:val="00FA4BDF"/>
    <w:rsid w:val="00FA4E5E"/>
    <w:rsid w:val="00FA4F1E"/>
    <w:rsid w:val="00FA5402"/>
    <w:rsid w:val="00FA549E"/>
    <w:rsid w:val="00FA54D7"/>
    <w:rsid w:val="00FA572E"/>
    <w:rsid w:val="00FA598F"/>
    <w:rsid w:val="00FA5BB9"/>
    <w:rsid w:val="00FA63A1"/>
    <w:rsid w:val="00FA6785"/>
    <w:rsid w:val="00FA67D4"/>
    <w:rsid w:val="00FA691F"/>
    <w:rsid w:val="00FA6E78"/>
    <w:rsid w:val="00FA7AB8"/>
    <w:rsid w:val="00FA7BE1"/>
    <w:rsid w:val="00FB013D"/>
    <w:rsid w:val="00FB06A6"/>
    <w:rsid w:val="00FB140C"/>
    <w:rsid w:val="00FB1840"/>
    <w:rsid w:val="00FB19A0"/>
    <w:rsid w:val="00FB1DCA"/>
    <w:rsid w:val="00FB209D"/>
    <w:rsid w:val="00FB27DA"/>
    <w:rsid w:val="00FB29BD"/>
    <w:rsid w:val="00FB2F1D"/>
    <w:rsid w:val="00FB31FA"/>
    <w:rsid w:val="00FB3B11"/>
    <w:rsid w:val="00FB3F86"/>
    <w:rsid w:val="00FB41EA"/>
    <w:rsid w:val="00FB4CDE"/>
    <w:rsid w:val="00FB5360"/>
    <w:rsid w:val="00FB5902"/>
    <w:rsid w:val="00FB5962"/>
    <w:rsid w:val="00FB59B6"/>
    <w:rsid w:val="00FB5D9C"/>
    <w:rsid w:val="00FB5EAD"/>
    <w:rsid w:val="00FB5F0D"/>
    <w:rsid w:val="00FB6C3D"/>
    <w:rsid w:val="00FB6D01"/>
    <w:rsid w:val="00FB6D66"/>
    <w:rsid w:val="00FB7039"/>
    <w:rsid w:val="00FB768E"/>
    <w:rsid w:val="00FB770E"/>
    <w:rsid w:val="00FB7B2A"/>
    <w:rsid w:val="00FC0548"/>
    <w:rsid w:val="00FC0A1B"/>
    <w:rsid w:val="00FC0F8C"/>
    <w:rsid w:val="00FC1441"/>
    <w:rsid w:val="00FC23A5"/>
    <w:rsid w:val="00FC267E"/>
    <w:rsid w:val="00FC2D1D"/>
    <w:rsid w:val="00FC2EA3"/>
    <w:rsid w:val="00FC30DD"/>
    <w:rsid w:val="00FC33AD"/>
    <w:rsid w:val="00FC3413"/>
    <w:rsid w:val="00FC3488"/>
    <w:rsid w:val="00FC362E"/>
    <w:rsid w:val="00FC41AA"/>
    <w:rsid w:val="00FC4489"/>
    <w:rsid w:val="00FC51C9"/>
    <w:rsid w:val="00FC53A9"/>
    <w:rsid w:val="00FC54A4"/>
    <w:rsid w:val="00FC630C"/>
    <w:rsid w:val="00FC6F1F"/>
    <w:rsid w:val="00FC71CA"/>
    <w:rsid w:val="00FC742D"/>
    <w:rsid w:val="00FC753C"/>
    <w:rsid w:val="00FC7A73"/>
    <w:rsid w:val="00FC7F4A"/>
    <w:rsid w:val="00FD03B3"/>
    <w:rsid w:val="00FD0979"/>
    <w:rsid w:val="00FD0AD9"/>
    <w:rsid w:val="00FD0BF6"/>
    <w:rsid w:val="00FD1551"/>
    <w:rsid w:val="00FD1C91"/>
    <w:rsid w:val="00FD1D29"/>
    <w:rsid w:val="00FD2815"/>
    <w:rsid w:val="00FD2E92"/>
    <w:rsid w:val="00FD3663"/>
    <w:rsid w:val="00FD3F82"/>
    <w:rsid w:val="00FD4491"/>
    <w:rsid w:val="00FD4774"/>
    <w:rsid w:val="00FD4C15"/>
    <w:rsid w:val="00FD4C1C"/>
    <w:rsid w:val="00FD4CFD"/>
    <w:rsid w:val="00FD516B"/>
    <w:rsid w:val="00FD5244"/>
    <w:rsid w:val="00FD5318"/>
    <w:rsid w:val="00FD5EB7"/>
    <w:rsid w:val="00FD6518"/>
    <w:rsid w:val="00FD655A"/>
    <w:rsid w:val="00FD6E85"/>
    <w:rsid w:val="00FD6F1C"/>
    <w:rsid w:val="00FD71F7"/>
    <w:rsid w:val="00FD72E7"/>
    <w:rsid w:val="00FD7307"/>
    <w:rsid w:val="00FD7401"/>
    <w:rsid w:val="00FD78CD"/>
    <w:rsid w:val="00FD7CB9"/>
    <w:rsid w:val="00FD7FB0"/>
    <w:rsid w:val="00FE0432"/>
    <w:rsid w:val="00FE12DA"/>
    <w:rsid w:val="00FE25A4"/>
    <w:rsid w:val="00FE29FE"/>
    <w:rsid w:val="00FE30F0"/>
    <w:rsid w:val="00FE32F3"/>
    <w:rsid w:val="00FE367A"/>
    <w:rsid w:val="00FE3810"/>
    <w:rsid w:val="00FE39DC"/>
    <w:rsid w:val="00FE3EF1"/>
    <w:rsid w:val="00FE4112"/>
    <w:rsid w:val="00FE429A"/>
    <w:rsid w:val="00FE5026"/>
    <w:rsid w:val="00FE5809"/>
    <w:rsid w:val="00FE58C3"/>
    <w:rsid w:val="00FE594C"/>
    <w:rsid w:val="00FE5CF4"/>
    <w:rsid w:val="00FE5CF9"/>
    <w:rsid w:val="00FE60D0"/>
    <w:rsid w:val="00FE62DA"/>
    <w:rsid w:val="00FE69CE"/>
    <w:rsid w:val="00FE730F"/>
    <w:rsid w:val="00FE74E9"/>
    <w:rsid w:val="00FE75F4"/>
    <w:rsid w:val="00FE7BF0"/>
    <w:rsid w:val="00FF01EA"/>
    <w:rsid w:val="00FF079D"/>
    <w:rsid w:val="00FF0AC4"/>
    <w:rsid w:val="00FF20D5"/>
    <w:rsid w:val="00FF2AC1"/>
    <w:rsid w:val="00FF2D53"/>
    <w:rsid w:val="00FF31B1"/>
    <w:rsid w:val="00FF3508"/>
    <w:rsid w:val="00FF39A0"/>
    <w:rsid w:val="00FF3A76"/>
    <w:rsid w:val="00FF3C08"/>
    <w:rsid w:val="00FF3E02"/>
    <w:rsid w:val="00FF405A"/>
    <w:rsid w:val="00FF4427"/>
    <w:rsid w:val="00FF4794"/>
    <w:rsid w:val="00FF4867"/>
    <w:rsid w:val="00FF514B"/>
    <w:rsid w:val="00FF5BB9"/>
    <w:rsid w:val="00FF6103"/>
    <w:rsid w:val="00FF6501"/>
    <w:rsid w:val="00FF6516"/>
    <w:rsid w:val="00FF6885"/>
    <w:rsid w:val="00FF6F42"/>
    <w:rsid w:val="00FF7999"/>
    <w:rsid w:val="05630537"/>
    <w:rsid w:val="05DC75F5"/>
    <w:rsid w:val="074765F3"/>
    <w:rsid w:val="08AC3205"/>
    <w:rsid w:val="10B4735E"/>
    <w:rsid w:val="11A77B7E"/>
    <w:rsid w:val="11B278AB"/>
    <w:rsid w:val="13696DD5"/>
    <w:rsid w:val="16615A3E"/>
    <w:rsid w:val="17AD1B26"/>
    <w:rsid w:val="1B8F7AAC"/>
    <w:rsid w:val="1DD538BC"/>
    <w:rsid w:val="1E923409"/>
    <w:rsid w:val="203E3959"/>
    <w:rsid w:val="21852507"/>
    <w:rsid w:val="24604198"/>
    <w:rsid w:val="25095D5F"/>
    <w:rsid w:val="27D2415E"/>
    <w:rsid w:val="293B6EFE"/>
    <w:rsid w:val="2D2E5D8D"/>
    <w:rsid w:val="325E2FFA"/>
    <w:rsid w:val="38107602"/>
    <w:rsid w:val="390C6326"/>
    <w:rsid w:val="3AF35240"/>
    <w:rsid w:val="463C694B"/>
    <w:rsid w:val="46486AB7"/>
    <w:rsid w:val="4E8D210E"/>
    <w:rsid w:val="533F4C60"/>
    <w:rsid w:val="57D50B55"/>
    <w:rsid w:val="5AC96A96"/>
    <w:rsid w:val="5BFE2E6D"/>
    <w:rsid w:val="5E0C243A"/>
    <w:rsid w:val="60E528B9"/>
    <w:rsid w:val="6B640F49"/>
    <w:rsid w:val="6F4B1C99"/>
    <w:rsid w:val="6F9E7C10"/>
    <w:rsid w:val="6FA006CA"/>
    <w:rsid w:val="737D445A"/>
    <w:rsid w:val="749A22D4"/>
    <w:rsid w:val="766B3248"/>
    <w:rsid w:val="78907FA3"/>
    <w:rsid w:val="7965771A"/>
    <w:rsid w:val="797F1501"/>
    <w:rsid w:val="7986251C"/>
    <w:rsid w:val="7A336824"/>
    <w:rsid w:val="7B93CE7F"/>
    <w:rsid w:val="7E9748FE"/>
    <w:rsid w:val="7EEF37A7"/>
    <w:rsid w:val="7F280A6F"/>
    <w:rsid w:val="BBFFAAB8"/>
    <w:rsid w:val="D5C5C838"/>
    <w:rsid w:val="E5FF7EEF"/>
    <w:rsid w:val="EBDD1392"/>
    <w:rsid w:val="FC4DD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8">
    <w:name w:val="Note Heading"/>
    <w:basedOn w:val="1"/>
    <w:next w:val="1"/>
    <w:link w:val="48"/>
    <w:qFormat/>
    <w:uiPriority w:val="0"/>
    <w:pPr>
      <w:jc w:val="center"/>
    </w:pPr>
    <w:rPr>
      <w:rFonts w:ascii="宋体"/>
      <w:kern w:val="0"/>
      <w:sz w:val="20"/>
    </w:rPr>
  </w:style>
  <w:style w:type="paragraph" w:styleId="9">
    <w:name w:val="Normal Indent"/>
    <w:basedOn w:val="1"/>
    <w:next w:val="6"/>
    <w:link w:val="51"/>
    <w:qFormat/>
    <w:uiPriority w:val="0"/>
    <w:pPr>
      <w:ind w:firstLine="420"/>
    </w:pPr>
    <w:rPr>
      <w:rFonts w:ascii="Arial" w:hAnsi="Arial"/>
      <w:sz w:val="24"/>
    </w:r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Body Text 3"/>
    <w:basedOn w:val="1"/>
    <w:qFormat/>
    <w:uiPriority w:val="0"/>
    <w:pPr>
      <w:jc w:val="center"/>
    </w:pPr>
    <w:rPr>
      <w:sz w:val="24"/>
    </w:rPr>
  </w:style>
  <w:style w:type="paragraph" w:styleId="13">
    <w:name w:val="Body Text"/>
    <w:basedOn w:val="1"/>
    <w:link w:val="44"/>
    <w:qFormat/>
    <w:uiPriority w:val="0"/>
    <w:rPr>
      <w:rFonts w:eastAsia="黑体"/>
      <w:sz w:val="28"/>
    </w:rPr>
  </w:style>
  <w:style w:type="paragraph" w:styleId="14">
    <w:name w:val="Body Text Indent"/>
    <w:basedOn w:val="1"/>
    <w:link w:val="83"/>
    <w:qFormat/>
    <w:uiPriority w:val="0"/>
    <w:pPr>
      <w:ind w:firstLine="585"/>
    </w:pPr>
    <w:rPr>
      <w:sz w:val="28"/>
    </w:rPr>
  </w:style>
  <w:style w:type="paragraph" w:styleId="15">
    <w:name w:val="Block Text"/>
    <w:basedOn w:val="1"/>
    <w:qFormat/>
    <w:uiPriority w:val="0"/>
    <w:pPr>
      <w:widowControl/>
      <w:spacing w:line="440" w:lineRule="exact"/>
      <w:ind w:left="113" w:right="113" w:firstLine="567"/>
    </w:pPr>
    <w:rPr>
      <w:rFonts w:ascii="仿宋_GB2312" w:eastAsia="仿宋_GB2312"/>
      <w:kern w:val="0"/>
      <w:sz w:val="28"/>
    </w:rPr>
  </w:style>
  <w:style w:type="paragraph" w:styleId="16">
    <w:name w:val="Plain Text"/>
    <w:basedOn w:val="1"/>
    <w:link w:val="53"/>
    <w:qFormat/>
    <w:uiPriority w:val="0"/>
    <w:rPr>
      <w:rFonts w:ascii="宋体" w:hAnsi="Courier New"/>
    </w:rPr>
  </w:style>
  <w:style w:type="paragraph" w:styleId="17">
    <w:name w:val="Date"/>
    <w:basedOn w:val="1"/>
    <w:next w:val="1"/>
    <w:qFormat/>
    <w:uiPriority w:val="0"/>
    <w:rPr>
      <w:sz w:val="28"/>
    </w:rPr>
  </w:style>
  <w:style w:type="paragraph" w:styleId="18">
    <w:name w:val="Body Text Indent 2"/>
    <w:basedOn w:val="1"/>
    <w:link w:val="54"/>
    <w:qFormat/>
    <w:uiPriority w:val="0"/>
    <w:pPr>
      <w:ind w:firstLine="480"/>
    </w:pPr>
    <w:rPr>
      <w:sz w:val="24"/>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tabs>
        <w:tab w:val="center" w:pos="4153"/>
        <w:tab w:val="right" w:pos="8306"/>
      </w:tabs>
      <w:snapToGrid w:val="0"/>
      <w:jc w:val="center"/>
    </w:pPr>
    <w:rPr>
      <w:sz w:val="18"/>
      <w:szCs w:val="18"/>
    </w:rPr>
  </w:style>
  <w:style w:type="paragraph" w:styleId="22">
    <w:name w:val="Body Text Indent 3"/>
    <w:basedOn w:val="1"/>
    <w:qFormat/>
    <w:uiPriority w:val="0"/>
    <w:pPr>
      <w:spacing w:line="360" w:lineRule="exact"/>
      <w:ind w:firstLine="408"/>
    </w:pPr>
    <w:rPr>
      <w:sz w:val="24"/>
    </w:rPr>
  </w:style>
  <w:style w:type="paragraph" w:styleId="23">
    <w:name w:val="toc 2"/>
    <w:basedOn w:val="1"/>
    <w:next w:val="1"/>
    <w:qFormat/>
    <w:uiPriority w:val="0"/>
    <w:pPr>
      <w:tabs>
        <w:tab w:val="right" w:leader="dot" w:pos="8460"/>
      </w:tabs>
      <w:spacing w:line="400" w:lineRule="exact"/>
      <w:ind w:left="210"/>
      <w:jc w:val="left"/>
    </w:pPr>
    <w:rPr>
      <w:smallCaps/>
      <w:sz w:val="28"/>
    </w:rPr>
  </w:style>
  <w:style w:type="paragraph" w:styleId="24">
    <w:name w:val="Body Text 2"/>
    <w:basedOn w:val="1"/>
    <w:qFormat/>
    <w:uiPriority w:val="0"/>
    <w:pPr>
      <w:jc w:val="center"/>
    </w:pPr>
  </w:style>
  <w:style w:type="paragraph" w:styleId="25">
    <w:name w:val="Normal (Web)"/>
    <w:basedOn w:val="1"/>
    <w:link w:val="100"/>
    <w:qFormat/>
    <w:uiPriority w:val="0"/>
    <w:pPr>
      <w:widowControl/>
      <w:spacing w:before="100" w:beforeAutospacing="1" w:after="100" w:afterAutospacing="1"/>
      <w:jc w:val="left"/>
    </w:pPr>
    <w:rPr>
      <w:rFonts w:hint="eastAsia" w:ascii="宋体" w:hAnsi="宋体"/>
      <w:kern w:val="0"/>
      <w:sz w:val="24"/>
      <w:szCs w:val="24"/>
    </w:rPr>
  </w:style>
  <w:style w:type="paragraph" w:styleId="26">
    <w:name w:val="annotation subject"/>
    <w:basedOn w:val="11"/>
    <w:next w:val="11"/>
    <w:semiHidden/>
    <w:qFormat/>
    <w:uiPriority w:val="0"/>
    <w:rPr>
      <w:b/>
      <w:bCs/>
    </w:rPr>
  </w:style>
  <w:style w:type="paragraph" w:styleId="27">
    <w:name w:val="Body Text First Indent 2"/>
    <w:basedOn w:val="14"/>
    <w:link w:val="84"/>
    <w:qFormat/>
    <w:uiPriority w:val="0"/>
    <w:pPr>
      <w:spacing w:after="120"/>
      <w:ind w:left="420" w:leftChars="200"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Emphasis"/>
    <w:basedOn w:val="30"/>
    <w:qFormat/>
    <w:uiPriority w:val="0"/>
    <w:rPr>
      <w:i/>
    </w:rPr>
  </w:style>
  <w:style w:type="character" w:styleId="34">
    <w:name w:val="Hyperlink"/>
    <w:basedOn w:val="30"/>
    <w:qFormat/>
    <w:uiPriority w:val="99"/>
    <w:rPr>
      <w:color w:val="0000FF"/>
      <w:u w:val="single"/>
    </w:rPr>
  </w:style>
  <w:style w:type="character" w:styleId="35">
    <w:name w:val="annotation reference"/>
    <w:semiHidden/>
    <w:qFormat/>
    <w:uiPriority w:val="0"/>
    <w:rPr>
      <w:sz w:val="21"/>
      <w:szCs w:val="21"/>
    </w:rPr>
  </w:style>
  <w:style w:type="character" w:customStyle="1" w:styleId="36">
    <w:name w:val="apple-style-span"/>
    <w:basedOn w:val="30"/>
    <w:qFormat/>
    <w:uiPriority w:val="0"/>
  </w:style>
  <w:style w:type="character" w:customStyle="1" w:styleId="37">
    <w:name w:val="正文(首行缩进) Char"/>
    <w:link w:val="38"/>
    <w:qFormat/>
    <w:uiPriority w:val="0"/>
    <w:rPr>
      <w:rFonts w:eastAsia="仿宋_GB2312"/>
      <w:kern w:val="2"/>
      <w:sz w:val="21"/>
      <w:szCs w:val="21"/>
      <w:lang w:val="en-US" w:eastAsia="zh-CN" w:bidi="ar-SA"/>
    </w:rPr>
  </w:style>
  <w:style w:type="paragraph" w:customStyle="1" w:styleId="38">
    <w:name w:val="正文(首行缩进)"/>
    <w:basedOn w:val="1"/>
    <w:link w:val="37"/>
    <w:qFormat/>
    <w:uiPriority w:val="0"/>
    <w:pPr>
      <w:spacing w:line="360" w:lineRule="auto"/>
    </w:pPr>
    <w:rPr>
      <w:rFonts w:eastAsia="仿宋_GB2312"/>
      <w:szCs w:val="21"/>
    </w:rPr>
  </w:style>
  <w:style w:type="character" w:customStyle="1" w:styleId="39">
    <w:name w:val="标题 3 Char"/>
    <w:link w:val="5"/>
    <w:qFormat/>
    <w:uiPriority w:val="0"/>
    <w:rPr>
      <w:rFonts w:eastAsia="宋体"/>
      <w:b/>
      <w:bCs/>
      <w:kern w:val="2"/>
      <w:sz w:val="32"/>
      <w:szCs w:val="32"/>
      <w:lang w:val="en-US" w:eastAsia="zh-CN" w:bidi="ar-SA"/>
    </w:rPr>
  </w:style>
  <w:style w:type="character" w:customStyle="1" w:styleId="40">
    <w:name w:val="font11"/>
    <w:qFormat/>
    <w:uiPriority w:val="0"/>
  </w:style>
  <w:style w:type="character" w:customStyle="1" w:styleId="41">
    <w:name w:val="ae正文zzzzzzzz Char"/>
    <w:link w:val="42"/>
    <w:qFormat/>
    <w:uiPriority w:val="0"/>
    <w:rPr>
      <w:kern w:val="2"/>
      <w:sz w:val="24"/>
      <w:szCs w:val="24"/>
    </w:rPr>
  </w:style>
  <w:style w:type="paragraph" w:customStyle="1" w:styleId="42">
    <w:name w:val="ae正文zzzzzzzz"/>
    <w:basedOn w:val="1"/>
    <w:link w:val="41"/>
    <w:qFormat/>
    <w:uiPriority w:val="0"/>
    <w:pPr>
      <w:spacing w:line="520" w:lineRule="exact"/>
      <w:ind w:firstLine="200" w:firstLineChars="200"/>
    </w:pPr>
    <w:rPr>
      <w:sz w:val="24"/>
      <w:szCs w:val="24"/>
    </w:rPr>
  </w:style>
  <w:style w:type="character" w:customStyle="1" w:styleId="43">
    <w:name w:val="apple-converted-space"/>
    <w:basedOn w:val="30"/>
    <w:qFormat/>
    <w:uiPriority w:val="0"/>
  </w:style>
  <w:style w:type="character" w:customStyle="1" w:styleId="44">
    <w:name w:val="正文文本 Char"/>
    <w:link w:val="13"/>
    <w:qFormat/>
    <w:uiPriority w:val="0"/>
    <w:rPr>
      <w:rFonts w:eastAsia="黑体"/>
      <w:kern w:val="2"/>
      <w:sz w:val="28"/>
      <w:lang w:val="en-US" w:eastAsia="zh-CN" w:bidi="ar-SA"/>
    </w:rPr>
  </w:style>
  <w:style w:type="character" w:customStyle="1" w:styleId="45">
    <w:name w:val="标题 2 Char"/>
    <w:link w:val="4"/>
    <w:qFormat/>
    <w:uiPriority w:val="0"/>
    <w:rPr>
      <w:rFonts w:ascii="Arial" w:hAnsi="Arial" w:eastAsia="黑体"/>
      <w:b/>
      <w:bCs/>
      <w:kern w:val="2"/>
      <w:sz w:val="32"/>
      <w:szCs w:val="32"/>
      <w:lang w:val="en-US" w:eastAsia="zh-CN" w:bidi="ar-SA"/>
    </w:rPr>
  </w:style>
  <w:style w:type="character" w:customStyle="1" w:styleId="46">
    <w:name w:val="样式1 Char Char"/>
    <w:link w:val="47"/>
    <w:qFormat/>
    <w:uiPriority w:val="0"/>
    <w:rPr>
      <w:rFonts w:eastAsia="宋体"/>
      <w:sz w:val="24"/>
      <w:lang w:bidi="ar-SA"/>
    </w:rPr>
  </w:style>
  <w:style w:type="paragraph" w:customStyle="1" w:styleId="47">
    <w:name w:val="样式1"/>
    <w:basedOn w:val="1"/>
    <w:link w:val="46"/>
    <w:qFormat/>
    <w:uiPriority w:val="0"/>
    <w:pPr>
      <w:spacing w:line="360" w:lineRule="auto"/>
      <w:ind w:firstLine="720" w:firstLineChars="200"/>
    </w:pPr>
    <w:rPr>
      <w:kern w:val="0"/>
      <w:sz w:val="24"/>
    </w:rPr>
  </w:style>
  <w:style w:type="character" w:customStyle="1" w:styleId="48">
    <w:name w:val="注释标题 Char"/>
    <w:link w:val="8"/>
    <w:qFormat/>
    <w:locked/>
    <w:uiPriority w:val="0"/>
    <w:rPr>
      <w:rFonts w:ascii="宋体" w:eastAsia="宋体"/>
      <w:lang w:bidi="ar-SA"/>
    </w:rPr>
  </w:style>
  <w:style w:type="character" w:customStyle="1" w:styleId="49">
    <w:name w:val="表格 Char"/>
    <w:basedOn w:val="30"/>
    <w:link w:val="50"/>
    <w:qFormat/>
    <w:uiPriority w:val="0"/>
    <w:rPr>
      <w:rFonts w:eastAsia="KaiTi_GB2312"/>
      <w:sz w:val="21"/>
    </w:rPr>
  </w:style>
  <w:style w:type="paragraph" w:customStyle="1" w:styleId="50">
    <w:name w:val="表格"/>
    <w:basedOn w:val="1"/>
    <w:link w:val="49"/>
    <w:qFormat/>
    <w:uiPriority w:val="0"/>
    <w:pPr>
      <w:autoSpaceDE w:val="0"/>
      <w:autoSpaceDN w:val="0"/>
      <w:adjustRightInd w:val="0"/>
      <w:jc w:val="center"/>
    </w:pPr>
    <w:rPr>
      <w:rFonts w:eastAsia="KaiTi_GB2312"/>
      <w:kern w:val="0"/>
    </w:rPr>
  </w:style>
  <w:style w:type="character" w:customStyle="1" w:styleId="51">
    <w:name w:val="正文缩进 Char"/>
    <w:link w:val="9"/>
    <w:qFormat/>
    <w:locked/>
    <w:uiPriority w:val="99"/>
    <w:rPr>
      <w:rFonts w:ascii="Arial" w:hAnsi="Arial" w:eastAsia="宋体"/>
      <w:kern w:val="2"/>
      <w:sz w:val="24"/>
      <w:lang w:val="en-US" w:eastAsia="zh-CN" w:bidi="ar-SA"/>
    </w:rPr>
  </w:style>
  <w:style w:type="character" w:customStyle="1" w:styleId="52">
    <w:name w:val="纯文本 Char1"/>
    <w:basedOn w:val="30"/>
    <w:qFormat/>
    <w:uiPriority w:val="0"/>
    <w:rPr>
      <w:rFonts w:ascii="宋体" w:hAnsi="Courier New" w:cs="Courier New"/>
      <w:kern w:val="2"/>
      <w:sz w:val="21"/>
      <w:szCs w:val="21"/>
    </w:rPr>
  </w:style>
  <w:style w:type="character" w:customStyle="1" w:styleId="53">
    <w:name w:val="纯文本 Char"/>
    <w:link w:val="16"/>
    <w:qFormat/>
    <w:uiPriority w:val="0"/>
    <w:rPr>
      <w:rFonts w:ascii="宋体" w:hAnsi="Courier New"/>
      <w:kern w:val="2"/>
      <w:sz w:val="21"/>
      <w:lang w:bidi="ar-SA"/>
    </w:rPr>
  </w:style>
  <w:style w:type="character" w:customStyle="1" w:styleId="54">
    <w:name w:val="正文文本缩进 2 Char"/>
    <w:basedOn w:val="30"/>
    <w:link w:val="18"/>
    <w:qFormat/>
    <w:locked/>
    <w:uiPriority w:val="0"/>
    <w:rPr>
      <w:rFonts w:eastAsia="宋体"/>
      <w:kern w:val="2"/>
      <w:sz w:val="24"/>
      <w:lang w:val="en-US" w:eastAsia="zh-CN" w:bidi="ar-SA"/>
    </w:rPr>
  </w:style>
  <w:style w:type="character" w:customStyle="1" w:styleId="55">
    <w:name w:val="小标题 Char"/>
    <w:link w:val="56"/>
    <w:qFormat/>
    <w:uiPriority w:val="0"/>
    <w:rPr>
      <w:rFonts w:ascii="宋体" w:hAnsi="宋体" w:eastAsia="黑体"/>
      <w:b/>
      <w:kern w:val="21"/>
      <w:sz w:val="24"/>
      <w:lang w:bidi="ar-SA"/>
    </w:rPr>
  </w:style>
  <w:style w:type="paragraph" w:customStyle="1" w:styleId="56">
    <w:name w:val="小标题"/>
    <w:basedOn w:val="1"/>
    <w:link w:val="55"/>
    <w:qFormat/>
    <w:uiPriority w:val="0"/>
    <w:pPr>
      <w:adjustRightInd w:val="0"/>
      <w:snapToGrid w:val="0"/>
      <w:spacing w:line="360" w:lineRule="auto"/>
      <w:ind w:firstLine="480" w:firstLineChars="200"/>
    </w:pPr>
    <w:rPr>
      <w:rFonts w:ascii="宋体" w:hAnsi="宋体" w:eastAsia="黑体"/>
      <w:b/>
      <w:kern w:val="21"/>
      <w:sz w:val="24"/>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font61"/>
    <w:basedOn w:val="30"/>
    <w:qFormat/>
    <w:uiPriority w:val="0"/>
    <w:rPr>
      <w:rFonts w:hint="eastAsia" w:ascii="宋体" w:hAnsi="宋体" w:eastAsia="宋体" w:cs="宋体"/>
      <w:color w:val="000000"/>
      <w:sz w:val="20"/>
      <w:szCs w:val="20"/>
      <w:u w:val="none"/>
    </w:rPr>
  </w:style>
  <w:style w:type="character" w:customStyle="1" w:styleId="59">
    <w:name w:val="表格内容 Char"/>
    <w:link w:val="60"/>
    <w:qFormat/>
    <w:uiPriority w:val="0"/>
    <w:rPr>
      <w:rFonts w:eastAsia="Times New Roman"/>
      <w:color w:val="000000"/>
      <w:sz w:val="21"/>
      <w:szCs w:val="24"/>
      <w:lang w:val="en-US" w:eastAsia="zh-CN" w:bidi="ar-SA"/>
    </w:rPr>
  </w:style>
  <w:style w:type="paragraph" w:customStyle="1" w:styleId="60">
    <w:name w:val="表格内容"/>
    <w:link w:val="59"/>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61">
    <w:name w:val="默认段落字体 Para Char Char Char Char Char Char Char Char Char Char"/>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2">
    <w:name w:val="Char"/>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63">
    <w:name w:val="默认段落字体 Para Char Char Char Char Char Char Char"/>
    <w:basedOn w:val="1"/>
    <w:qFormat/>
    <w:uiPriority w:val="0"/>
    <w:pPr>
      <w:adjustRightInd w:val="0"/>
      <w:spacing w:line="360" w:lineRule="auto"/>
      <w:textAlignment w:val="baseline"/>
    </w:pPr>
    <w:rPr>
      <w:kern w:val="0"/>
      <w:sz w:val="24"/>
    </w:rPr>
  </w:style>
  <w:style w:type="paragraph" w:customStyle="1" w:styleId="64">
    <w:name w:val="1"/>
    <w:basedOn w:val="1"/>
    <w:qFormat/>
    <w:uiPriority w:val="0"/>
    <w:rPr>
      <w:szCs w:val="24"/>
    </w:rPr>
  </w:style>
  <w:style w:type="paragraph" w:customStyle="1" w:styleId="65">
    <w:name w:val="Char11"/>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6">
    <w:name w:val="Char Char Char Char Char Char1 Char Char Char Char"/>
    <w:basedOn w:val="1"/>
    <w:qFormat/>
    <w:uiPriority w:val="0"/>
    <w:rPr>
      <w:rFonts w:ascii="Tahoma" w:hAnsi="Tahoma"/>
      <w:sz w:val="24"/>
    </w:rPr>
  </w:style>
  <w:style w:type="paragraph" w:customStyle="1" w:styleId="67">
    <w:name w:val="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68">
    <w:name w:val="Char Char Char Char"/>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9">
    <w:name w:val="正文01"/>
    <w:basedOn w:val="1"/>
    <w:qFormat/>
    <w:uiPriority w:val="0"/>
    <w:pPr>
      <w:adjustRightInd w:val="0"/>
      <w:snapToGrid w:val="0"/>
      <w:spacing w:before="60" w:line="460" w:lineRule="exact"/>
      <w:ind w:firstLine="200" w:firstLineChars="200"/>
    </w:pPr>
    <w:rPr>
      <w:sz w:val="24"/>
      <w:szCs w:val="24"/>
    </w:rPr>
  </w:style>
  <w:style w:type="paragraph" w:customStyle="1" w:styleId="70">
    <w:name w:val="4"/>
    <w:basedOn w:val="1"/>
    <w:qFormat/>
    <w:uiPriority w:val="0"/>
    <w:pPr>
      <w:spacing w:line="360" w:lineRule="auto"/>
      <w:ind w:firstLine="466" w:firstLineChars="200"/>
    </w:pPr>
    <w:rPr>
      <w:rFonts w:ascii="宋体" w:hAnsi="宋体"/>
      <w:sz w:val="24"/>
    </w:rPr>
  </w:style>
  <w:style w:type="paragraph" w:customStyle="1" w:styleId="71">
    <w:name w:val="表"/>
    <w:basedOn w:val="1"/>
    <w:qFormat/>
    <w:uiPriority w:val="0"/>
    <w:pPr>
      <w:snapToGrid w:val="0"/>
      <w:jc w:val="center"/>
    </w:pPr>
    <w:rPr>
      <w:spacing w:val="2"/>
    </w:rPr>
  </w:style>
  <w:style w:type="paragraph" w:customStyle="1" w:styleId="72">
    <w:name w:val="默认段落字体 Para Char Char Char Char"/>
    <w:basedOn w:val="1"/>
    <w:qFormat/>
    <w:uiPriority w:val="0"/>
    <w:pPr>
      <w:snapToGrid w:val="0"/>
    </w:pPr>
    <w:rPr>
      <w:rFonts w:ascii="Arial" w:hAnsi="Arial" w:cs="Arial"/>
      <w:szCs w:val="21"/>
    </w:rPr>
  </w:style>
  <w:style w:type="paragraph" w:customStyle="1" w:styleId="73">
    <w:name w:val="1正文段落"/>
    <w:basedOn w:val="1"/>
    <w:qFormat/>
    <w:uiPriority w:val="0"/>
    <w:pPr>
      <w:spacing w:line="360" w:lineRule="auto"/>
      <w:ind w:firstLine="480" w:firstLineChars="200"/>
      <w:jc w:val="left"/>
    </w:pPr>
    <w:rPr>
      <w:snapToGrid w:val="0"/>
      <w:kern w:val="0"/>
      <w:sz w:val="24"/>
      <w:szCs w:val="24"/>
    </w:rPr>
  </w:style>
  <w:style w:type="paragraph" w:customStyle="1" w:styleId="74">
    <w:name w:val="Pa1"/>
    <w:basedOn w:val="1"/>
    <w:next w:val="1"/>
    <w:qFormat/>
    <w:uiPriority w:val="0"/>
    <w:pPr>
      <w:autoSpaceDE w:val="0"/>
      <w:autoSpaceDN w:val="0"/>
      <w:spacing w:line="221" w:lineRule="atLeast"/>
      <w:jc w:val="left"/>
    </w:pPr>
    <w:rPr>
      <w:rFonts w:ascii="黑体" w:hAnsi="黑体" w:eastAsia="黑体"/>
      <w:color w:val="000000"/>
      <w:kern w:val="0"/>
      <w:sz w:val="24"/>
    </w:rPr>
  </w:style>
  <w:style w:type="paragraph" w:styleId="75">
    <w:name w:val="List Paragraph"/>
    <w:basedOn w:val="1"/>
    <w:qFormat/>
    <w:uiPriority w:val="99"/>
    <w:pPr>
      <w:ind w:firstLine="420" w:firstLineChars="200"/>
    </w:pPr>
  </w:style>
  <w:style w:type="paragraph" w:customStyle="1" w:styleId="76">
    <w:name w:val="p16"/>
    <w:basedOn w:val="1"/>
    <w:qFormat/>
    <w:uiPriority w:val="0"/>
    <w:pPr>
      <w:widowControl/>
      <w:spacing w:line="560" w:lineRule="atLeast"/>
      <w:ind w:firstLine="420" w:firstLineChars="200"/>
    </w:pPr>
    <w:rPr>
      <w:color w:val="000000"/>
      <w:spacing w:val="10"/>
      <w:kern w:val="0"/>
      <w:sz w:val="28"/>
      <w:szCs w:val="28"/>
    </w:rPr>
  </w:style>
  <w:style w:type="paragraph" w:customStyle="1" w:styleId="77">
    <w:name w:val="默认段落字体 Para Char"/>
    <w:basedOn w:val="1"/>
    <w:qFormat/>
    <w:uiPriority w:val="0"/>
    <w:rPr>
      <w:sz w:val="24"/>
      <w:szCs w:val="24"/>
    </w:rPr>
  </w:style>
  <w:style w:type="paragraph" w:customStyle="1" w:styleId="78">
    <w:name w:val="Char Char Char Char Char Char Char"/>
    <w:basedOn w:val="1"/>
    <w:qFormat/>
    <w:uiPriority w:val="0"/>
    <w:rPr>
      <w:sz w:val="28"/>
    </w:rPr>
  </w:style>
  <w:style w:type="paragraph" w:customStyle="1" w:styleId="79">
    <w:name w:val="p0"/>
    <w:basedOn w:val="1"/>
    <w:qFormat/>
    <w:uiPriority w:val="0"/>
    <w:pPr>
      <w:widowControl/>
    </w:pPr>
    <w:rPr>
      <w:kern w:val="0"/>
      <w:szCs w:val="28"/>
    </w:rPr>
  </w:style>
  <w:style w:type="paragraph" w:customStyle="1" w:styleId="80">
    <w:name w:val="GF报告正文不缩进"/>
    <w:basedOn w:val="1"/>
    <w:qFormat/>
    <w:uiPriority w:val="0"/>
    <w:pPr>
      <w:widowControl/>
      <w:spacing w:line="360" w:lineRule="atLeast"/>
    </w:pPr>
    <w:rPr>
      <w:kern w:val="0"/>
    </w:rPr>
  </w:style>
  <w:style w:type="paragraph" w:customStyle="1" w:styleId="81">
    <w:name w:val="_Style 77"/>
    <w:basedOn w:val="1"/>
    <w:next w:val="1"/>
    <w:qFormat/>
    <w:uiPriority w:val="0"/>
    <w:pPr>
      <w:tabs>
        <w:tab w:val="right" w:leader="dot" w:pos="8460"/>
      </w:tabs>
      <w:spacing w:line="400" w:lineRule="exact"/>
      <w:ind w:left="210"/>
      <w:jc w:val="left"/>
    </w:pPr>
    <w:rPr>
      <w:smallCaps/>
      <w:sz w:val="28"/>
    </w:rPr>
  </w:style>
  <w:style w:type="character" w:styleId="82">
    <w:name w:val="Placeholder Text"/>
    <w:basedOn w:val="30"/>
    <w:unhideWhenUsed/>
    <w:qFormat/>
    <w:uiPriority w:val="99"/>
    <w:rPr>
      <w:color w:val="808080"/>
    </w:rPr>
  </w:style>
  <w:style w:type="character" w:customStyle="1" w:styleId="83">
    <w:name w:val="正文文本缩进 Char"/>
    <w:basedOn w:val="30"/>
    <w:link w:val="14"/>
    <w:qFormat/>
    <w:uiPriority w:val="0"/>
    <w:rPr>
      <w:kern w:val="2"/>
      <w:sz w:val="28"/>
    </w:rPr>
  </w:style>
  <w:style w:type="character" w:customStyle="1" w:styleId="84">
    <w:name w:val="正文首行缩进 2 Char"/>
    <w:basedOn w:val="83"/>
    <w:link w:val="27"/>
    <w:qFormat/>
    <w:uiPriority w:val="0"/>
  </w:style>
  <w:style w:type="character" w:customStyle="1" w:styleId="85">
    <w:name w:val="报告书正文 Char"/>
    <w:link w:val="86"/>
    <w:semiHidden/>
    <w:qFormat/>
    <w:uiPriority w:val="0"/>
    <w:rPr>
      <w:rFonts w:ascii="宋体"/>
      <w:spacing w:val="5"/>
      <w:kern w:val="2"/>
      <w:sz w:val="24"/>
      <w:szCs w:val="25"/>
    </w:rPr>
  </w:style>
  <w:style w:type="paragraph" w:customStyle="1" w:styleId="86">
    <w:name w:val="报告书正文"/>
    <w:basedOn w:val="1"/>
    <w:link w:val="85"/>
    <w:semiHidden/>
    <w:qFormat/>
    <w:uiPriority w:val="0"/>
    <w:pPr>
      <w:spacing w:line="360" w:lineRule="auto"/>
      <w:ind w:firstLine="480" w:firstLineChars="200"/>
    </w:pPr>
    <w:rPr>
      <w:rFonts w:ascii="宋体"/>
      <w:spacing w:val="5"/>
      <w:sz w:val="24"/>
      <w:szCs w:val="25"/>
    </w:rPr>
  </w:style>
  <w:style w:type="paragraph" w:customStyle="1" w:styleId="87">
    <w:name w:val="表格中"/>
    <w:basedOn w:val="1"/>
    <w:qFormat/>
    <w:uiPriority w:val="0"/>
    <w:pPr>
      <w:adjustRightInd w:val="0"/>
      <w:snapToGrid w:val="0"/>
      <w:spacing w:line="0" w:lineRule="atLeast"/>
      <w:ind w:right="358" w:rightChars="136"/>
      <w:jc w:val="center"/>
    </w:pPr>
    <w:rPr>
      <w:rFonts w:ascii="宋体"/>
      <w:spacing w:val="5"/>
      <w:sz w:val="18"/>
      <w:szCs w:val="25"/>
    </w:rPr>
  </w:style>
  <w:style w:type="paragraph" w:customStyle="1" w:styleId="88">
    <w:name w:val="Char1"/>
    <w:basedOn w:val="1"/>
    <w:qFormat/>
    <w:uiPriority w:val="0"/>
    <w:pPr>
      <w:ind w:left="510"/>
    </w:pPr>
  </w:style>
  <w:style w:type="character" w:customStyle="1" w:styleId="89">
    <w:name w:val="正文缩进 字符"/>
    <w:qFormat/>
    <w:uiPriority w:val="0"/>
    <w:rPr>
      <w:rFonts w:eastAsia="宋体"/>
      <w:kern w:val="2"/>
      <w:sz w:val="21"/>
      <w:szCs w:val="24"/>
      <w:lang w:val="en-US" w:eastAsia="zh-CN" w:bidi="ar-SA"/>
    </w:rPr>
  </w:style>
  <w:style w:type="paragraph" w:customStyle="1" w:styleId="90">
    <w:name w:val="_Style 88"/>
    <w:basedOn w:val="1"/>
    <w:next w:val="1"/>
    <w:qFormat/>
    <w:uiPriority w:val="0"/>
    <w:pPr>
      <w:tabs>
        <w:tab w:val="right" w:leader="dot" w:pos="8460"/>
      </w:tabs>
      <w:spacing w:line="400" w:lineRule="exact"/>
      <w:ind w:left="210"/>
      <w:jc w:val="left"/>
    </w:pPr>
    <w:rPr>
      <w:smallCaps/>
      <w:sz w:val="28"/>
    </w:rPr>
  </w:style>
  <w:style w:type="paragraph" w:customStyle="1" w:styleId="91">
    <w:name w:val="表格样式"/>
    <w:basedOn w:val="1"/>
    <w:qFormat/>
    <w:uiPriority w:val="99"/>
    <w:pPr>
      <w:adjustRightInd w:val="0"/>
      <w:snapToGrid w:val="0"/>
      <w:jc w:val="center"/>
      <w:textAlignment w:val="center"/>
    </w:pPr>
    <w:rPr>
      <w:rFonts w:ascii="??" w:hAnsi="??" w:cs="??"/>
      <w:sz w:val="28"/>
      <w:szCs w:val="28"/>
    </w:rPr>
  </w:style>
  <w:style w:type="paragraph" w:customStyle="1" w:styleId="92">
    <w:name w:val="文"/>
    <w:basedOn w:val="1"/>
    <w:qFormat/>
    <w:uiPriority w:val="0"/>
    <w:pPr>
      <w:spacing w:line="360" w:lineRule="auto"/>
      <w:ind w:firstLine="480" w:firstLineChars="200"/>
    </w:pPr>
    <w:rPr>
      <w:sz w:val="24"/>
      <w:szCs w:val="24"/>
    </w:rPr>
  </w:style>
  <w:style w:type="paragraph" w:customStyle="1" w:styleId="93">
    <w:name w:val="表格正文"/>
    <w:basedOn w:val="1"/>
    <w:next w:val="1"/>
    <w:qFormat/>
    <w:uiPriority w:val="0"/>
    <w:pPr>
      <w:adjustRightInd w:val="0"/>
      <w:snapToGrid w:val="0"/>
      <w:jc w:val="center"/>
      <w:textAlignment w:val="baseline"/>
    </w:pPr>
    <w:rPr>
      <w:rFonts w:ascii="宋体"/>
      <w:snapToGrid w:val="0"/>
      <w:spacing w:val="4"/>
    </w:rPr>
  </w:style>
  <w:style w:type="paragraph" w:customStyle="1" w:styleId="94">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95">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96">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97">
    <w:name w:val="图表"/>
    <w:basedOn w:val="1"/>
    <w:qFormat/>
    <w:uiPriority w:val="0"/>
    <w:pPr>
      <w:jc w:val="center"/>
    </w:pPr>
    <w:rPr>
      <w:rFonts w:eastAsia="黑体"/>
      <w:sz w:val="24"/>
    </w:rPr>
  </w:style>
  <w:style w:type="paragraph" w:customStyle="1" w:styleId="98">
    <w:name w:val="2"/>
    <w:basedOn w:val="1"/>
    <w:next w:val="1"/>
    <w:qFormat/>
    <w:uiPriority w:val="0"/>
    <w:pPr>
      <w:snapToGrid w:val="0"/>
      <w:spacing w:line="360" w:lineRule="auto"/>
      <w:ind w:firstLine="529" w:firstLineChars="200"/>
    </w:pPr>
    <w:rPr>
      <w:szCs w:val="24"/>
    </w:rPr>
  </w:style>
  <w:style w:type="paragraph" w:customStyle="1" w:styleId="99">
    <w:name w:val="Table Paragraph"/>
    <w:basedOn w:val="1"/>
    <w:qFormat/>
    <w:uiPriority w:val="1"/>
    <w:rPr>
      <w:rFonts w:ascii="仿宋" w:hAnsi="仿宋" w:eastAsia="仿宋" w:cs="仿宋"/>
      <w:szCs w:val="24"/>
      <w:lang w:val="zh-CN" w:bidi="zh-CN"/>
    </w:rPr>
  </w:style>
  <w:style w:type="character" w:customStyle="1" w:styleId="100">
    <w:name w:val="普通(网站) Char"/>
    <w:link w:val="25"/>
    <w:qFormat/>
    <w:locked/>
    <w:uiPriority w:val="0"/>
    <w:rPr>
      <w:rFonts w:ascii="宋体" w:hAnsi="宋体"/>
      <w:sz w:val="24"/>
      <w:szCs w:val="24"/>
    </w:rPr>
  </w:style>
  <w:style w:type="paragraph" w:customStyle="1" w:styleId="101">
    <w:name w:val="Char12"/>
    <w:basedOn w:val="1"/>
    <w:qFormat/>
    <w:uiPriority w:val="0"/>
    <w:pPr>
      <w:ind w:left="51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35457</Words>
  <Characters>7473</Characters>
  <Lines>62</Lines>
  <Paragraphs>85</Paragraphs>
  <TotalTime>775</TotalTime>
  <ScaleCrop>false</ScaleCrop>
  <LinksUpToDate>false</LinksUpToDate>
  <CharactersWithSpaces>42845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2021-10-18T03:21:00Z</dcterms:created>
  <dc:creator>zhu</dc:creator>
  <cp:lastModifiedBy>wxak</cp:lastModifiedBy>
  <cp:lastPrinted>2019-11-12T04:47:00Z</cp:lastPrinted>
  <dcterms:modified xsi:type="dcterms:W3CDTF">2025-03-14T09:55:36Z</dcterms:modified>
  <dc:title>环 境 影 响 评 价 资 格 证 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F344A3CC88104DDE89D737C4D6E540FC</vt:lpwstr>
  </property>
</Properties>
</file>