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hAnsi="Times New Roman" w:cs="Times New Roman"/>
          <w:color w:val="auto"/>
          <w:sz w:val="20"/>
        </w:rPr>
      </w:pPr>
      <w:bookmarkStart w:id="7" w:name="_GoBack"/>
      <w:bookmarkEnd w:id="7"/>
    </w:p>
    <w:p>
      <w:pPr>
        <w:pStyle w:val="10"/>
        <w:rPr>
          <w:rFonts w:ascii="Times New Roman" w:hAnsi="Times New Roman" w:cs="Times New Roman"/>
          <w:color w:val="auto"/>
          <w:sz w:val="20"/>
        </w:rPr>
      </w:pPr>
    </w:p>
    <w:p>
      <w:pPr>
        <w:pStyle w:val="10"/>
        <w:rPr>
          <w:rFonts w:ascii="Times New Roman" w:hAnsi="Times New Roman" w:cs="Times New Roman"/>
          <w:color w:val="auto"/>
          <w:sz w:val="20"/>
        </w:rPr>
      </w:pPr>
    </w:p>
    <w:p>
      <w:pPr>
        <w:pStyle w:val="10"/>
        <w:spacing w:before="2"/>
        <w:rPr>
          <w:rFonts w:ascii="Times New Roman" w:hAnsi="Times New Roman" w:cs="Times New Roman"/>
          <w:color w:val="auto"/>
          <w:sz w:val="21"/>
        </w:rPr>
      </w:pPr>
    </w:p>
    <w:p>
      <w:pPr>
        <w:rPr>
          <w:rFonts w:ascii="Times New Roman" w:hAnsi="Times New Roman" w:eastAsia="仿宋_GB2312" w:cs="Times New Roman"/>
          <w:color w:val="auto"/>
          <w:sz w:val="36"/>
          <w:szCs w:val="36"/>
        </w:rPr>
      </w:pPr>
    </w:p>
    <w:p>
      <w:pPr>
        <w:adjustRightInd w:val="0"/>
        <w:snapToGrid w:val="0"/>
        <w:spacing w:before="120" w:beforeLines="50"/>
        <w:jc w:val="center"/>
        <w:outlineLvl w:val="0"/>
        <w:rPr>
          <w:rFonts w:ascii="Times New Roman" w:hAnsi="Times New Roman" w:eastAsia="方正小标宋_GBK" w:cs="Times New Roman"/>
          <w:bCs/>
          <w:color w:val="auto"/>
          <w:sz w:val="72"/>
          <w:szCs w:val="72"/>
        </w:rPr>
      </w:pPr>
      <w:r>
        <w:rPr>
          <w:rFonts w:ascii="Times New Roman" w:hAnsi="Times New Roman" w:eastAsia="方正小标宋_GBK" w:cs="Times New Roman"/>
          <w:bCs/>
          <w:color w:val="auto"/>
          <w:sz w:val="72"/>
          <w:szCs w:val="72"/>
        </w:rPr>
        <w:t>建设项目环境影响报告表</w:t>
      </w:r>
    </w:p>
    <w:p>
      <w:pPr>
        <w:adjustRightInd w:val="0"/>
        <w:snapToGrid w:val="0"/>
        <w:spacing w:before="192" w:beforeLines="80"/>
        <w:jc w:val="center"/>
        <w:rPr>
          <w:rFonts w:ascii="Times New Roman" w:hAnsi="Times New Roman" w:eastAsia="楷体_GB2312" w:cs="Times New Roman"/>
          <w:bCs/>
          <w:color w:val="auto"/>
          <w:sz w:val="48"/>
          <w:szCs w:val="48"/>
          <w:lang w:val="en-US"/>
        </w:rPr>
      </w:pPr>
      <w:r>
        <w:rPr>
          <w:rFonts w:ascii="Times New Roman" w:hAnsi="Times New Roman" w:eastAsia="楷体_GB2312" w:cs="Times New Roman"/>
          <w:bCs/>
          <w:color w:val="auto"/>
          <w:sz w:val="48"/>
          <w:szCs w:val="48"/>
        </w:rPr>
        <w:t>（污染影响类）</w:t>
      </w:r>
    </w:p>
    <w:p>
      <w:pPr>
        <w:jc w:val="center"/>
        <w:rPr>
          <w:rFonts w:ascii="Times New Roman" w:hAnsi="Times New Roman" w:eastAsia="仿宋" w:cs="Times New Roman"/>
          <w:color w:val="auto"/>
          <w:sz w:val="52"/>
          <w:szCs w:val="52"/>
        </w:rPr>
      </w:pPr>
    </w:p>
    <w:p>
      <w:pPr>
        <w:ind w:firstLine="1040"/>
        <w:rPr>
          <w:rFonts w:ascii="Times New Roman" w:hAnsi="Times New Roman" w:eastAsia="仿宋" w:cs="Times New Roman"/>
          <w:color w:val="auto"/>
          <w:sz w:val="44"/>
          <w:szCs w:val="44"/>
        </w:rPr>
      </w:pPr>
    </w:p>
    <w:p>
      <w:pPr>
        <w:pStyle w:val="15"/>
        <w:rPr>
          <w:color w:val="auto"/>
        </w:rPr>
      </w:pPr>
    </w:p>
    <w:p>
      <w:pPr>
        <w:ind w:firstLine="1040"/>
        <w:rPr>
          <w:rFonts w:ascii="Times New Roman" w:hAnsi="Times New Roman" w:eastAsia="仿宋" w:cs="Times New Roman"/>
          <w:color w:val="auto"/>
          <w:sz w:val="44"/>
          <w:szCs w:val="44"/>
        </w:rPr>
      </w:pPr>
    </w:p>
    <w:p>
      <w:pPr>
        <w:ind w:firstLine="1040"/>
        <w:rPr>
          <w:rFonts w:ascii="Times New Roman" w:hAnsi="Times New Roman" w:eastAsia="仿宋" w:cs="Times New Roman"/>
          <w:color w:val="auto"/>
          <w:sz w:val="44"/>
          <w:szCs w:val="44"/>
        </w:rPr>
      </w:pPr>
    </w:p>
    <w:p>
      <w:pPr>
        <w:ind w:firstLine="1040"/>
        <w:rPr>
          <w:rFonts w:ascii="Times New Roman" w:hAnsi="Times New Roman" w:eastAsia="仿宋" w:cs="Times New Roman"/>
          <w:color w:val="auto"/>
          <w:sz w:val="44"/>
          <w:szCs w:val="44"/>
        </w:rPr>
      </w:pPr>
    </w:p>
    <w:p>
      <w:pPr>
        <w:adjustRightInd w:val="0"/>
        <w:snapToGrid w:val="0"/>
        <w:spacing w:line="288" w:lineRule="auto"/>
        <w:ind w:firstLine="1040"/>
        <w:rPr>
          <w:rFonts w:ascii="Times New Roman" w:hAnsi="Times New Roman" w:eastAsia="仿宋_GB2312" w:cs="Times New Roman"/>
          <w:color w:val="auto"/>
          <w:sz w:val="36"/>
          <w:szCs w:val="36"/>
        </w:rPr>
      </w:pPr>
    </w:p>
    <w:p>
      <w:pPr>
        <w:adjustRightInd w:val="0"/>
        <w:snapToGrid w:val="0"/>
        <w:spacing w:line="288" w:lineRule="auto"/>
        <w:ind w:firstLine="1040"/>
        <w:rPr>
          <w:rFonts w:ascii="Times New Roman" w:hAnsi="Times New Roman" w:eastAsia="仿宋_GB2312" w:cs="Times New Roman"/>
          <w:color w:val="auto"/>
          <w:sz w:val="36"/>
          <w:szCs w:val="36"/>
        </w:rPr>
      </w:pPr>
    </w:p>
    <w:p>
      <w:pPr>
        <w:adjustRightInd w:val="0"/>
        <w:snapToGrid w:val="0"/>
        <w:spacing w:line="288" w:lineRule="auto"/>
        <w:ind w:left="2514" w:leftChars="300" w:right="669" w:rightChars="304" w:hanging="1854" w:hangingChars="515"/>
        <w:rPr>
          <w:rFonts w:ascii="Times New Roman" w:hAnsi="Times New Roman" w:eastAsia="仿宋_GB2312" w:cs="Times New Roman"/>
          <w:color w:val="auto"/>
          <w:sz w:val="32"/>
          <w:szCs w:val="32"/>
          <w:u w:val="single"/>
          <w:lang w:val="en-US"/>
        </w:rPr>
      </w:pPr>
      <w:r>
        <w:rPr>
          <w:rFonts w:ascii="Times New Roman" w:hAnsi="Times New Roman" w:eastAsia="仿宋_GB2312" w:cs="Times New Roman"/>
          <w:color w:val="auto"/>
          <w:sz w:val="36"/>
          <w:szCs w:val="36"/>
        </w:rPr>
        <w:t>项目名称</w:t>
      </w:r>
      <w:r>
        <w:rPr>
          <w:rFonts w:hint="eastAsia"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u w:val="single"/>
        </w:rPr>
        <w:t>魏县</w:t>
      </w:r>
      <w:r>
        <w:rPr>
          <w:rFonts w:hint="eastAsia" w:ascii="Times New Roman" w:hAnsi="Times New Roman" w:eastAsia="仿宋_GB2312" w:cs="Times New Roman"/>
          <w:color w:val="auto"/>
          <w:sz w:val="36"/>
          <w:szCs w:val="36"/>
          <w:u w:val="single"/>
          <w:lang w:val="en-US"/>
        </w:rPr>
        <w:t>顺驰商砼加工有限公司</w:t>
      </w:r>
      <w:r>
        <w:rPr>
          <w:rFonts w:hint="eastAsia" w:ascii="Times New Roman" w:hAnsi="Times New Roman" w:eastAsia="仿宋_GB2312" w:cs="Times New Roman"/>
          <w:color w:val="auto"/>
          <w:sz w:val="36"/>
          <w:szCs w:val="36"/>
          <w:u w:val="single"/>
        </w:rPr>
        <w:t>年产</w:t>
      </w:r>
      <w:r>
        <w:rPr>
          <w:rFonts w:hint="eastAsia" w:ascii="Times New Roman" w:hAnsi="Times New Roman" w:eastAsia="仿宋_GB2312" w:cs="Times New Roman"/>
          <w:color w:val="auto"/>
          <w:sz w:val="36"/>
          <w:szCs w:val="36"/>
          <w:u w:val="single"/>
          <w:lang w:val="en-US"/>
        </w:rPr>
        <w:t>30</w:t>
      </w:r>
      <w:r>
        <w:rPr>
          <w:rFonts w:hint="eastAsia" w:ascii="Times New Roman" w:hAnsi="Times New Roman" w:eastAsia="仿宋_GB2312" w:cs="Times New Roman"/>
          <w:color w:val="auto"/>
          <w:sz w:val="36"/>
          <w:szCs w:val="36"/>
          <w:u w:val="single"/>
        </w:rPr>
        <w:t>万立方米湿拌砂浆生产项目</w:t>
      </w:r>
      <w:r>
        <w:rPr>
          <w:rFonts w:hint="eastAsia" w:ascii="Times New Roman" w:hAnsi="Times New Roman" w:eastAsia="仿宋_GB2312" w:cs="Times New Roman"/>
          <w:color w:val="auto"/>
          <w:sz w:val="32"/>
          <w:szCs w:val="32"/>
          <w:u w:val="single"/>
          <w:lang w:val="en-US"/>
        </w:rPr>
        <w:t xml:space="preserve">                           </w:t>
      </w:r>
    </w:p>
    <w:p>
      <w:pPr>
        <w:adjustRightInd w:val="0"/>
        <w:snapToGrid w:val="0"/>
        <w:spacing w:line="288" w:lineRule="auto"/>
        <w:ind w:left="2514" w:leftChars="300" w:right="669" w:rightChars="304" w:hanging="1854" w:hangingChars="515"/>
        <w:rPr>
          <w:rFonts w:ascii="Times New Roman" w:hAnsi="Times New Roman" w:eastAsia="仿宋_GB2312" w:cs="Times New Roman"/>
          <w:color w:val="auto"/>
          <w:sz w:val="36"/>
          <w:szCs w:val="36"/>
          <w:lang w:val="en-US"/>
        </w:rPr>
      </w:pPr>
      <w:r>
        <w:rPr>
          <w:rFonts w:ascii="Times New Roman" w:hAnsi="Times New Roman" w:eastAsia="仿宋_GB2312" w:cs="Times New Roman"/>
          <w:color w:val="auto"/>
          <w:sz w:val="36"/>
          <w:szCs w:val="36"/>
        </w:rPr>
        <w:t>建设单位（盖章）：</w:t>
      </w:r>
      <w:r>
        <w:rPr>
          <w:rFonts w:hint="eastAsia" w:ascii="Times New Roman" w:hAnsi="Times New Roman" w:eastAsia="仿宋_GB2312" w:cs="Times New Roman"/>
          <w:color w:val="auto"/>
          <w:sz w:val="36"/>
          <w:szCs w:val="36"/>
          <w:u w:val="single"/>
          <w:lang w:val="en-US"/>
        </w:rPr>
        <w:t xml:space="preserve">魏县顺驰商砼加工有限公司   </w:t>
      </w:r>
    </w:p>
    <w:p>
      <w:pPr>
        <w:adjustRightInd w:val="0"/>
        <w:snapToGrid w:val="0"/>
        <w:spacing w:line="288" w:lineRule="auto"/>
        <w:ind w:left="2514" w:leftChars="300" w:right="669" w:rightChars="304" w:hanging="1854" w:hangingChars="515"/>
        <w:rPr>
          <w:rFonts w:ascii="Times New Roman" w:hAnsi="Times New Roman" w:eastAsia="仿宋_GB2312" w:cs="Times New Roman"/>
          <w:color w:val="auto"/>
          <w:sz w:val="36"/>
          <w:szCs w:val="36"/>
          <w:u w:val="single"/>
        </w:rPr>
      </w:pPr>
      <w:r>
        <w:rPr>
          <w:rFonts w:ascii="Times New Roman" w:hAnsi="Times New Roman" w:eastAsia="仿宋_GB2312" w:cs="Times New Roman"/>
          <w:color w:val="auto"/>
          <w:sz w:val="36"/>
          <w:szCs w:val="36"/>
        </w:rPr>
        <w:t>编制日期：</w:t>
      </w:r>
      <w:r>
        <w:rPr>
          <w:rFonts w:ascii="Times New Roman" w:hAnsi="Times New Roman" w:eastAsia="仿宋_GB2312" w:cs="Times New Roman"/>
          <w:color w:val="auto"/>
          <w:sz w:val="36"/>
          <w:szCs w:val="36"/>
          <w:u w:val="single"/>
        </w:rPr>
        <w:t xml:space="preserve"> </w:t>
      </w:r>
      <w:r>
        <w:rPr>
          <w:rFonts w:ascii="Times New Roman" w:hAnsi="Times New Roman" w:eastAsia="仿宋_GB2312" w:cs="Times New Roman"/>
          <w:color w:val="auto"/>
          <w:sz w:val="36"/>
          <w:szCs w:val="36"/>
          <w:u w:val="single"/>
          <w:lang w:val="en-US"/>
        </w:rPr>
        <w:t xml:space="preserve">       </w:t>
      </w:r>
      <w:r>
        <w:rPr>
          <w:rFonts w:hint="eastAsia" w:ascii="Times New Roman" w:hAnsi="Times New Roman" w:eastAsia="仿宋_GB2312" w:cs="Times New Roman"/>
          <w:color w:val="auto"/>
          <w:sz w:val="36"/>
          <w:szCs w:val="36"/>
          <w:u w:val="single"/>
          <w:lang w:val="en-US"/>
        </w:rPr>
        <w:t xml:space="preserve">    </w:t>
      </w:r>
      <w:r>
        <w:rPr>
          <w:rFonts w:ascii="Times New Roman" w:hAnsi="Times New Roman" w:eastAsia="仿宋_GB2312" w:cs="Times New Roman"/>
          <w:color w:val="auto"/>
          <w:sz w:val="36"/>
          <w:szCs w:val="36"/>
          <w:u w:val="single"/>
          <w:lang w:val="en-US"/>
        </w:rPr>
        <w:t>202</w:t>
      </w:r>
      <w:r>
        <w:rPr>
          <w:rFonts w:hint="eastAsia" w:ascii="Times New Roman" w:hAnsi="Times New Roman" w:eastAsia="仿宋_GB2312" w:cs="Times New Roman"/>
          <w:color w:val="auto"/>
          <w:sz w:val="36"/>
          <w:szCs w:val="36"/>
          <w:u w:val="single"/>
          <w:lang w:val="en-US"/>
        </w:rPr>
        <w:t xml:space="preserve">4 </w:t>
      </w:r>
      <w:r>
        <w:rPr>
          <w:rFonts w:ascii="Times New Roman" w:hAnsi="Times New Roman" w:eastAsia="仿宋_GB2312" w:cs="Times New Roman"/>
          <w:color w:val="auto"/>
          <w:sz w:val="36"/>
          <w:szCs w:val="36"/>
          <w:u w:val="single"/>
          <w:lang w:val="en-US"/>
        </w:rPr>
        <w:t>年</w:t>
      </w:r>
      <w:r>
        <w:rPr>
          <w:rFonts w:hint="eastAsia" w:ascii="Times New Roman" w:hAnsi="Times New Roman" w:eastAsia="仿宋_GB2312" w:cs="Times New Roman"/>
          <w:color w:val="auto"/>
          <w:sz w:val="36"/>
          <w:szCs w:val="36"/>
          <w:u w:val="single"/>
          <w:lang w:val="en-US"/>
        </w:rPr>
        <w:t xml:space="preserve"> 12 </w:t>
      </w:r>
      <w:r>
        <w:rPr>
          <w:rFonts w:ascii="Times New Roman" w:hAnsi="Times New Roman" w:eastAsia="仿宋_GB2312" w:cs="Times New Roman"/>
          <w:color w:val="auto"/>
          <w:sz w:val="36"/>
          <w:szCs w:val="36"/>
          <w:u w:val="single"/>
          <w:lang w:val="en-US"/>
        </w:rPr>
        <w:t xml:space="preserve">月 </w:t>
      </w:r>
      <w:r>
        <w:rPr>
          <w:rFonts w:ascii="Times New Roman" w:hAnsi="Times New Roman" w:eastAsia="仿宋_GB2312" w:cs="Times New Roman"/>
          <w:color w:val="auto"/>
          <w:sz w:val="36"/>
          <w:szCs w:val="36"/>
          <w:u w:val="single"/>
        </w:rPr>
        <w:t xml:space="preserve"> </w:t>
      </w:r>
      <w:r>
        <w:rPr>
          <w:rFonts w:hint="eastAsia" w:ascii="Times New Roman" w:hAnsi="Times New Roman" w:eastAsia="仿宋_GB2312" w:cs="Times New Roman"/>
          <w:color w:val="auto"/>
          <w:sz w:val="36"/>
          <w:szCs w:val="36"/>
          <w:u w:val="single"/>
          <w:lang w:val="en-US"/>
        </w:rPr>
        <w:t xml:space="preserve">  </w:t>
      </w:r>
      <w:r>
        <w:rPr>
          <w:rFonts w:ascii="Times New Roman" w:hAnsi="Times New Roman" w:eastAsia="仿宋_GB2312" w:cs="Times New Roman"/>
          <w:color w:val="auto"/>
          <w:sz w:val="36"/>
          <w:szCs w:val="36"/>
          <w:u w:val="single"/>
          <w:lang w:val="en-US"/>
        </w:rPr>
        <w:t xml:space="preserve"> </w:t>
      </w:r>
      <w:r>
        <w:rPr>
          <w:rFonts w:hint="eastAsia" w:ascii="Times New Roman" w:hAnsi="Times New Roman" w:eastAsia="仿宋_GB2312" w:cs="Times New Roman"/>
          <w:color w:val="auto"/>
          <w:sz w:val="36"/>
          <w:szCs w:val="36"/>
          <w:u w:val="single"/>
          <w:lang w:val="en-US"/>
        </w:rPr>
        <w:t xml:space="preserve"> </w:t>
      </w:r>
      <w:r>
        <w:rPr>
          <w:rFonts w:ascii="Times New Roman" w:hAnsi="Times New Roman" w:eastAsia="仿宋_GB2312" w:cs="Times New Roman"/>
          <w:color w:val="auto"/>
          <w:sz w:val="36"/>
          <w:szCs w:val="36"/>
          <w:u w:val="single"/>
          <w:lang w:val="en-US"/>
        </w:rPr>
        <w:t xml:space="preserve">     </w:t>
      </w:r>
      <w:bookmarkStart w:id="0" w:name="_Hlk57884087"/>
    </w:p>
    <w:p>
      <w:pPr>
        <w:adjustRightInd w:val="0"/>
        <w:snapToGrid w:val="0"/>
        <w:spacing w:line="288" w:lineRule="auto"/>
        <w:ind w:firstLine="1040"/>
        <w:rPr>
          <w:rFonts w:ascii="Times New Roman" w:hAnsi="Times New Roman" w:eastAsia="仿宋_GB2312" w:cs="Times New Roman"/>
          <w:color w:val="auto"/>
          <w:sz w:val="36"/>
          <w:szCs w:val="36"/>
        </w:rPr>
      </w:pPr>
    </w:p>
    <w:p>
      <w:pPr>
        <w:rPr>
          <w:color w:val="auto"/>
        </w:rPr>
      </w:pPr>
    </w:p>
    <w:p>
      <w:pPr>
        <w:pStyle w:val="5"/>
        <w:spacing w:before="120" w:after="120"/>
        <w:rPr>
          <w:color w:val="auto"/>
        </w:rPr>
      </w:pPr>
    </w:p>
    <w:p>
      <w:pPr>
        <w:adjustRightInd w:val="0"/>
        <w:snapToGrid w:val="0"/>
        <w:spacing w:line="288" w:lineRule="auto"/>
        <w:ind w:firstLine="1040"/>
        <w:rPr>
          <w:rFonts w:ascii="Times New Roman" w:hAnsi="Times New Roman" w:eastAsia="仿宋_GB2312" w:cs="Times New Roman"/>
          <w:color w:val="auto"/>
          <w:sz w:val="36"/>
          <w:szCs w:val="36"/>
        </w:rPr>
      </w:pPr>
    </w:p>
    <w:p>
      <w:pPr>
        <w:rPr>
          <w:color w:val="auto"/>
        </w:rPr>
      </w:pPr>
    </w:p>
    <w:bookmarkEnd w:id="0"/>
    <w:p>
      <w:pPr>
        <w:adjustRightInd w:val="0"/>
        <w:snapToGrid w:val="0"/>
        <w:spacing w:line="288" w:lineRule="auto"/>
        <w:jc w:val="center"/>
        <w:rPr>
          <w:rFonts w:ascii="Times New Roman" w:hAnsi="Times New Roman" w:eastAsia="楷体_GB2312" w:cs="Times New Roman"/>
          <w:color w:val="auto"/>
          <w:sz w:val="36"/>
          <w:szCs w:val="36"/>
        </w:rPr>
        <w:sectPr>
          <w:footerReference r:id="rId3" w:type="default"/>
          <w:footerReference r:id="rId4" w:type="even"/>
          <w:pgSz w:w="11910" w:h="16840"/>
          <w:pgMar w:top="1580" w:right="1320" w:bottom="1240" w:left="1340" w:header="0" w:footer="1043" w:gutter="0"/>
          <w:cols w:space="720" w:num="1"/>
        </w:sectPr>
      </w:pPr>
      <w:r>
        <w:rPr>
          <w:rFonts w:ascii="Times New Roman" w:hAnsi="Times New Roman" w:eastAsia="楷体_GB2312" w:cs="Times New Roman"/>
          <w:color w:val="auto"/>
          <w:sz w:val="36"/>
          <w:szCs w:val="36"/>
        </w:rPr>
        <w:t>中华人民共和国生态环境部制</w:t>
      </w:r>
    </w:p>
    <w:p>
      <w:pPr>
        <w:rPr>
          <w:rFonts w:ascii="Times New Roman" w:hAnsi="Times New Roman" w:cs="Times New Roman"/>
          <w:color w:val="auto"/>
        </w:rPr>
        <w:sectPr>
          <w:pgSz w:w="11910" w:h="16840"/>
          <w:pgMar w:top="1580" w:right="1320" w:bottom="1240" w:left="1340" w:header="0" w:footer="1043" w:gutter="0"/>
          <w:cols w:space="720" w:num="1"/>
        </w:sectPr>
      </w:pPr>
    </w:p>
    <w:p>
      <w:pPr>
        <w:pStyle w:val="2"/>
        <w:rPr>
          <w:rFonts w:ascii="黑体" w:hAnsi="黑体" w:eastAsia="黑体" w:cs="黑体"/>
          <w:color w:val="auto"/>
          <w:sz w:val="30"/>
          <w:szCs w:val="30"/>
        </w:rPr>
      </w:pPr>
      <w:r>
        <w:rPr>
          <w:rFonts w:ascii="黑体" w:hAnsi="黑体" w:eastAsia="黑体" w:cs="黑体"/>
          <w:color w:val="auto"/>
          <w:sz w:val="30"/>
          <w:szCs w:val="30"/>
        </w:rPr>
        <w:t>一、建设项目基本情况</w:t>
      </w:r>
    </w:p>
    <w:tbl>
      <w:tblPr>
        <w:tblStyle w:val="32"/>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721"/>
        <w:gridCol w:w="36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建设项目名称 </w:t>
            </w:r>
          </w:p>
        </w:tc>
        <w:tc>
          <w:tcPr>
            <w:tcW w:w="7918" w:type="dxa"/>
            <w:gridSpan w:val="3"/>
            <w:tcBorders>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魏县</w:t>
            </w:r>
            <w:r>
              <w:rPr>
                <w:rFonts w:hint="eastAsia" w:ascii="Times New Roman" w:hAnsi="Times New Roman" w:cs="Times New Roman"/>
                <w:color w:val="auto"/>
                <w:sz w:val="21"/>
                <w:szCs w:val="21"/>
                <w:lang w:val="en-US"/>
              </w:rPr>
              <w:t>顺驰商砼加工有限公司</w:t>
            </w:r>
            <w:r>
              <w:rPr>
                <w:rFonts w:hint="eastAsia" w:ascii="Times New Roman" w:hAnsi="Times New Roman" w:cs="Times New Roman"/>
                <w:color w:val="auto"/>
                <w:sz w:val="21"/>
                <w:szCs w:val="21"/>
              </w:rPr>
              <w:t>年产</w:t>
            </w:r>
            <w:r>
              <w:rPr>
                <w:rFonts w:hint="eastAsia" w:ascii="Times New Roman" w:hAnsi="Times New Roman" w:cs="Times New Roman"/>
                <w:color w:val="auto"/>
                <w:sz w:val="21"/>
                <w:szCs w:val="21"/>
                <w:lang w:val="en-US"/>
              </w:rPr>
              <w:t>30</w:t>
            </w:r>
            <w:r>
              <w:rPr>
                <w:rFonts w:hint="eastAsia" w:ascii="Times New Roman" w:hAnsi="Times New Roman" w:cs="Times New Roman"/>
                <w:color w:val="auto"/>
                <w:sz w:val="21"/>
                <w:szCs w:val="21"/>
              </w:rPr>
              <w:t>万立方米湿拌砂浆生产项目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5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2412-130434-89-01-392736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王彦录</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b/>
                <w:bCs/>
                <w:color w:val="auto"/>
                <w:sz w:val="21"/>
                <w:szCs w:val="21"/>
              </w:rPr>
              <w:t xml:space="preserve">联系方式 </w:t>
            </w:r>
          </w:p>
        </w:tc>
        <w:tc>
          <w:tcPr>
            <w:tcW w:w="3672" w:type="dxa"/>
            <w:tcBorders>
              <w:top w:val="single" w:color="000000" w:sz="4" w:space="0"/>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15324001200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建设地点 </w:t>
            </w:r>
          </w:p>
        </w:tc>
        <w:tc>
          <w:tcPr>
            <w:tcW w:w="7918" w:type="dxa"/>
            <w:gridSpan w:val="3"/>
            <w:tcBorders>
              <w:top w:val="single" w:color="000000" w:sz="4" w:space="0"/>
              <w:left w:val="single" w:color="000000" w:sz="4" w:space="0"/>
              <w:bottom w:val="nil"/>
            </w:tcBorders>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河北省</w:t>
            </w:r>
            <w:r>
              <w:rPr>
                <w:rFonts w:hint="eastAsia" w:ascii="Times New Roman" w:hAnsi="Times New Roman" w:cs="Times New Roman"/>
                <w:color w:val="auto"/>
                <w:sz w:val="21"/>
                <w:szCs w:val="21"/>
                <w:lang w:val="en-US"/>
              </w:rPr>
              <w:t>邯郸市魏县德政镇王庄村北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jc w:val="center"/>
              <w:rPr>
                <w:rFonts w:ascii="Times New Roman" w:hAnsi="Times New Roman" w:cs="Times New Roman"/>
                <w:color w:val="auto"/>
                <w:sz w:val="21"/>
                <w:szCs w:val="21"/>
              </w:rPr>
            </w:pPr>
            <w:r>
              <w:rPr>
                <w:rFonts w:ascii="Times New Roman" w:hAnsi="Times New Roman"/>
                <w:color w:val="auto"/>
                <w:sz w:val="21"/>
                <w:szCs w:val="20"/>
              </w:rPr>
              <w:t>东经114°55′</w:t>
            </w:r>
            <w:r>
              <w:rPr>
                <w:rFonts w:hint="eastAsia" w:ascii="Times New Roman" w:hAnsi="Times New Roman"/>
                <w:color w:val="auto"/>
                <w:sz w:val="21"/>
                <w:szCs w:val="20"/>
                <w:lang w:val="en-US"/>
              </w:rPr>
              <w:t>41.157</w:t>
            </w:r>
            <w:r>
              <w:rPr>
                <w:rFonts w:ascii="Times New Roman" w:hAnsi="Times New Roman"/>
                <w:color w:val="auto"/>
                <w:sz w:val="21"/>
                <w:szCs w:val="20"/>
              </w:rPr>
              <w:t>″，北纬36°18′</w:t>
            </w:r>
            <w:r>
              <w:rPr>
                <w:rFonts w:hint="eastAsia" w:ascii="Times New Roman" w:hAnsi="Times New Roman"/>
                <w:color w:val="auto"/>
                <w:sz w:val="21"/>
                <w:szCs w:val="20"/>
              </w:rPr>
              <w:t>52.157</w:t>
            </w:r>
            <w:r>
              <w:rPr>
                <w:rFonts w:ascii="Times New Roman" w:hAnsi="Times New Roman"/>
                <w:color w:val="auto"/>
                <w:sz w:val="21"/>
                <w:szCs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C3021 水泥制品制造</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建设项目行业类别 </w:t>
            </w:r>
          </w:p>
        </w:tc>
        <w:tc>
          <w:tcPr>
            <w:tcW w:w="3672" w:type="dxa"/>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二十七、非金属矿物制品业-55.石膏、水泥制品及类似制品制造-商品混凝土；砼结构构件制造；水泥制品制造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2"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z w:val="21"/>
                <w:szCs w:val="21"/>
              </w:rPr>
              <w:t xml:space="preserve">新建（迁建） </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1"/>
                <w:sz w:val="21"/>
                <w:szCs w:val="21"/>
              </w:rPr>
              <w:t>改建</w:t>
            </w:r>
            <w:r>
              <w:rPr>
                <w:rFonts w:ascii="Times New Roman" w:hAnsi="Times New Roman" w:cs="Times New Roman"/>
                <w:color w:val="auto"/>
                <w:sz w:val="21"/>
                <w:szCs w:val="21"/>
              </w:rPr>
              <w:t xml:space="preserve"> </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1"/>
                <w:sz w:val="21"/>
                <w:szCs w:val="21"/>
              </w:rPr>
              <w:t>扩建</w:t>
            </w:r>
            <w:r>
              <w:rPr>
                <w:rFonts w:ascii="Times New Roman" w:hAnsi="Times New Roman" w:cs="Times New Roman"/>
                <w:color w:val="auto"/>
                <w:sz w:val="21"/>
                <w:szCs w:val="21"/>
              </w:rPr>
              <w:t xml:space="preserve"> </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z w:val="21"/>
                <w:szCs w:val="21"/>
              </w:rPr>
              <w:t xml:space="preserve">技术改造 </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建设项目申报情形 </w:t>
            </w:r>
          </w:p>
        </w:tc>
        <w:tc>
          <w:tcPr>
            <w:tcW w:w="3672" w:type="dxa"/>
            <w:tcBorders>
              <w:top w:val="single" w:color="000000" w:sz="4" w:space="0"/>
              <w:left w:val="single" w:color="000000" w:sz="4" w:space="0"/>
              <w:bottom w:val="single" w:color="000000" w:sz="4" w:space="0"/>
            </w:tcBorders>
            <w:vAlign w:val="center"/>
          </w:tcPr>
          <w:p>
            <w:pPr>
              <w:pStyle w:val="52"/>
              <w:tabs>
                <w:tab w:val="left" w:pos="200"/>
              </w:tabs>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 xml:space="preserve">首次申报项目  </w:t>
            </w:r>
            <w:r>
              <w:rPr>
                <w:rFonts w:ascii="Times New Roman" w:hAnsi="Times New Roman" w:cs="Times New Roman"/>
                <w:color w:val="auto"/>
                <w:sz w:val="21"/>
                <w:szCs w:val="21"/>
              </w:rPr>
              <w:t xml:space="preserve">   </w:t>
            </w:r>
            <w:r>
              <w:rPr>
                <w:rFonts w:ascii="Times New Roman" w:hAnsi="Times New Roman" w:cs="Times New Roman"/>
                <w:color w:val="auto"/>
                <w:spacing w:val="-3"/>
                <w:sz w:val="21"/>
                <w:szCs w:val="21"/>
              </w:rPr>
              <w:t xml:space="preserve"> </w:t>
            </w:r>
            <w:r>
              <w:rPr>
                <w:rFonts w:ascii="Times New Roman" w:hAnsi="Times New Roman" w:cs="Times New Roman"/>
                <w:color w:val="auto"/>
                <w:sz w:val="21"/>
                <w:szCs w:val="21"/>
              </w:rPr>
              <w:t xml:space="preserve">  </w:t>
            </w:r>
            <w:r>
              <w:rPr>
                <w:rFonts w:ascii="Times New Roman" w:hAnsi="Times New Roman" w:cs="Times New Roman"/>
                <w:color w:val="auto"/>
                <w:spacing w:val="-3"/>
                <w:sz w:val="21"/>
                <w:szCs w:val="21"/>
              </w:rPr>
              <w:t xml:space="preserve"> </w:t>
            </w:r>
            <w:r>
              <w:rPr>
                <w:rFonts w:ascii="Times New Roman" w:hAnsi="Times New Roman" w:cs="Times New Roman"/>
                <w:color w:val="auto"/>
                <w:sz w:val="21"/>
                <w:szCs w:val="21"/>
              </w:rPr>
              <w:t xml:space="preserve">  </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 xml:space="preserve">不予批准后再次申报项目 </w:t>
            </w:r>
          </w:p>
          <w:p>
            <w:pPr>
              <w:pStyle w:val="52"/>
              <w:tabs>
                <w:tab w:val="left" w:pos="200"/>
              </w:tabs>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超五年重新审核项目</w:t>
            </w:r>
            <w:r>
              <w:rPr>
                <w:rFonts w:ascii="Times New Roman" w:hAnsi="Times New Roman" w:cs="Times New Roman"/>
                <w:color w:val="auto"/>
                <w:sz w:val="21"/>
                <w:szCs w:val="21"/>
              </w:rPr>
              <w:t xml:space="preserve">  </w:t>
            </w:r>
            <w:r>
              <w:rPr>
                <w:rFonts w:ascii="Times New Roman" w:hAnsi="Times New Roman" w:cs="Times New Roman"/>
                <w:color w:val="auto"/>
                <w:spacing w:val="-3"/>
                <w:sz w:val="21"/>
                <w:szCs w:val="21"/>
              </w:rPr>
              <w:t xml:space="preserve"> </w:t>
            </w:r>
            <w:r>
              <w:rPr>
                <w:rFonts w:ascii="Times New Roman" w:hAnsi="Times New Roman" w:cs="Times New Roman"/>
                <w:color w:val="auto"/>
                <w:sz w:val="21"/>
                <w:szCs w:val="21"/>
              </w:rPr>
              <w:t xml:space="preserve">  </w:t>
            </w:r>
          </w:p>
          <w:p>
            <w:pPr>
              <w:pStyle w:val="52"/>
              <w:ind w:firstLine="204" w:firstLineChars="100"/>
              <w:rPr>
                <w:rFonts w:ascii="Times New Roman" w:hAnsi="Times New Roman" w:cs="Times New Roman"/>
                <w:color w:val="auto"/>
                <w:sz w:val="21"/>
                <w:szCs w:val="21"/>
              </w:rPr>
            </w:pPr>
            <w:r>
              <w:rPr>
                <w:rFonts w:hint="eastAsia" w:ascii="Times New Roman" w:hAnsi="Times New Roman" w:cs="Times New Roman"/>
                <w:color w:val="auto"/>
                <w:spacing w:val="-3"/>
                <w:sz w:val="21"/>
                <w:szCs w:val="21"/>
              </w:rPr>
              <w:t>□</w:t>
            </w:r>
            <w:r>
              <w:rPr>
                <w:rFonts w:ascii="Times New Roman" w:hAnsi="Times New Roman" w:cs="Times New Roman"/>
                <w:color w:val="auto"/>
                <w:spacing w:val="-3"/>
                <w:sz w:val="21"/>
                <w:szCs w:val="21"/>
              </w:rPr>
              <w:t>重大变动重新报批项目</w:t>
            </w:r>
            <w:r>
              <w:rPr>
                <w:rFonts w:ascii="Times New Roman" w:hAnsi="Times New Roman"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2"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pacing w:val="-1"/>
                <w:sz w:val="21"/>
                <w:szCs w:val="21"/>
              </w:rPr>
              <w:t>项目审批</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核准</w:t>
            </w:r>
            <w:r>
              <w:rPr>
                <w:rFonts w:ascii="Times New Roman" w:hAnsi="Times New Roman" w:cs="Times New Roman"/>
                <w:b/>
                <w:bCs/>
                <w:color w:val="auto"/>
                <w:spacing w:val="-3"/>
                <w:sz w:val="21"/>
                <w:szCs w:val="21"/>
              </w:rPr>
              <w:t xml:space="preserve">/ </w:t>
            </w:r>
            <w:r>
              <w:rPr>
                <w:rFonts w:ascii="Times New Roman" w:hAnsi="Times New Roman" w:cs="Times New Roman"/>
                <w:b/>
                <w:bCs/>
                <w:color w:val="auto"/>
                <w:sz w:val="21"/>
                <w:szCs w:val="21"/>
              </w:rPr>
              <w:t>备案</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部门</w:t>
            </w:r>
            <w:r>
              <w:rPr>
                <w:rFonts w:ascii="Times New Roman" w:hAnsi="Times New Roman" w:cs="Times New Roman"/>
                <w:b/>
                <w:bCs/>
                <w:color w:val="auto"/>
                <w:sz w:val="21"/>
                <w:szCs w:val="21"/>
              </w:rPr>
              <w:t>（</w:t>
            </w:r>
            <w:r>
              <w:rPr>
                <w:rFonts w:ascii="Times New Roman" w:hAnsi="Times New Roman" w:cs="Times New Roman"/>
                <w:b/>
                <w:bCs/>
                <w:color w:val="auto"/>
                <w:spacing w:val="-2"/>
                <w:sz w:val="21"/>
                <w:szCs w:val="21"/>
              </w:rPr>
              <w:t>选填</w:t>
            </w:r>
            <w:r>
              <w:rPr>
                <w:rFonts w:ascii="Times New Roman" w:hAnsi="Times New Roman" w:cs="Times New Roman"/>
                <w:b/>
                <w:bCs/>
                <w:color w:val="auto"/>
                <w:spacing w:val="-3"/>
                <w:sz w:val="21"/>
                <w:szCs w:val="21"/>
              </w:rPr>
              <w:t>）</w:t>
            </w:r>
            <w:r>
              <w:rPr>
                <w:rFonts w:ascii="Times New Roman" w:hAnsi="Times New Roman"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color w:val="auto"/>
                <w:sz w:val="21"/>
                <w:szCs w:val="21"/>
              </w:rPr>
              <w:t>魏县行政审批局</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pacing w:val="-1"/>
                <w:sz w:val="21"/>
                <w:szCs w:val="21"/>
              </w:rPr>
              <w:t>项目审批</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核准</w:t>
            </w:r>
            <w:r>
              <w:rPr>
                <w:rFonts w:ascii="Times New Roman" w:hAnsi="Times New Roman" w:cs="Times New Roman"/>
                <w:b/>
                <w:bCs/>
                <w:color w:val="auto"/>
                <w:spacing w:val="-3"/>
                <w:sz w:val="21"/>
                <w:szCs w:val="21"/>
              </w:rPr>
              <w:t xml:space="preserve">/ </w:t>
            </w:r>
            <w:r>
              <w:rPr>
                <w:rFonts w:ascii="Times New Roman" w:hAnsi="Times New Roman" w:cs="Times New Roman"/>
                <w:b/>
                <w:bCs/>
                <w:color w:val="auto"/>
                <w:sz w:val="21"/>
                <w:szCs w:val="21"/>
              </w:rPr>
              <w:t>备案</w:t>
            </w:r>
            <w:r>
              <w:rPr>
                <w:rFonts w:ascii="Times New Roman" w:hAnsi="Times New Roman" w:cs="Times New Roman"/>
                <w:b/>
                <w:bCs/>
                <w:color w:val="auto"/>
                <w:spacing w:val="-3"/>
                <w:sz w:val="21"/>
                <w:szCs w:val="21"/>
              </w:rPr>
              <w:t>）</w:t>
            </w:r>
            <w:r>
              <w:rPr>
                <w:rFonts w:ascii="Times New Roman" w:hAnsi="Times New Roman" w:cs="Times New Roman"/>
                <w:b/>
                <w:bCs/>
                <w:color w:val="auto"/>
                <w:spacing w:val="-2"/>
                <w:sz w:val="21"/>
                <w:szCs w:val="21"/>
              </w:rPr>
              <w:t>文号</w:t>
            </w:r>
            <w:r>
              <w:rPr>
                <w:rFonts w:ascii="Times New Roman" w:hAnsi="Times New Roman" w:cs="Times New Roman"/>
                <w:b/>
                <w:bCs/>
                <w:color w:val="auto"/>
                <w:sz w:val="21"/>
                <w:szCs w:val="21"/>
              </w:rPr>
              <w:t>（</w:t>
            </w:r>
            <w:r>
              <w:rPr>
                <w:rFonts w:ascii="Times New Roman" w:hAnsi="Times New Roman" w:cs="Times New Roman"/>
                <w:b/>
                <w:bCs/>
                <w:color w:val="auto"/>
                <w:spacing w:val="-2"/>
                <w:sz w:val="21"/>
                <w:szCs w:val="21"/>
              </w:rPr>
              <w:t>选填</w:t>
            </w:r>
            <w:r>
              <w:rPr>
                <w:rFonts w:ascii="Times New Roman" w:hAnsi="Times New Roman" w:cs="Times New Roman"/>
                <w:b/>
                <w:bCs/>
                <w:color w:val="auto"/>
                <w:spacing w:val="-3"/>
                <w:sz w:val="21"/>
                <w:szCs w:val="21"/>
              </w:rPr>
              <w:t>）</w:t>
            </w:r>
            <w:r>
              <w:rPr>
                <w:rFonts w:ascii="Times New Roman" w:hAnsi="Times New Roman"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pPr>
              <w:tabs>
                <w:tab w:val="left" w:pos="713"/>
              </w:tabs>
              <w:ind w:left="210" w:hanging="210" w:hangingChars="10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魏审批备字[2024]079号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300</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环保投资（万元） </w:t>
            </w:r>
          </w:p>
        </w:tc>
        <w:tc>
          <w:tcPr>
            <w:tcW w:w="3672" w:type="dxa"/>
            <w:tcBorders>
              <w:top w:val="single" w:color="000000" w:sz="4" w:space="0"/>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环保投资占比</w:t>
            </w:r>
          </w:p>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6.67</w:t>
            </w:r>
            <w:r>
              <w:rPr>
                <w:rFonts w:ascii="Times New Roman" w:hAnsi="Times New Roman" w:cs="Times New Roman"/>
                <w:color w:val="auto"/>
                <w:sz w:val="21"/>
                <w:szCs w:val="21"/>
                <w:lang w:val="en-US"/>
              </w:rPr>
              <w:t>%</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施工工期 </w:t>
            </w:r>
          </w:p>
        </w:tc>
        <w:tc>
          <w:tcPr>
            <w:tcW w:w="3672" w:type="dxa"/>
            <w:tcBorders>
              <w:top w:val="single" w:color="000000" w:sz="4" w:space="0"/>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52"/>
              <w:tabs>
                <w:tab w:val="left" w:pos="199"/>
              </w:tabs>
              <w:ind w:firstLine="210" w:firstLineChars="100"/>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pacing w:val="-3"/>
                <w:sz w:val="21"/>
                <w:szCs w:val="21"/>
              </w:rPr>
              <w:t>否</w:t>
            </w:r>
            <w:r>
              <w:rPr>
                <w:rFonts w:ascii="Times New Roman" w:hAnsi="Times New Roman" w:cs="Times New Roman"/>
                <w:color w:val="auto"/>
                <w:sz w:val="21"/>
                <w:szCs w:val="21"/>
              </w:rPr>
              <w:t xml:space="preserve"> </w:t>
            </w:r>
          </w:p>
          <w:p>
            <w:pPr>
              <w:pStyle w:val="52"/>
              <w:tabs>
                <w:tab w:val="left" w:pos="199"/>
              </w:tabs>
              <w:spacing w:line="250" w:lineRule="exact"/>
              <w:ind w:firstLine="210" w:firstLineChars="100"/>
              <w:rPr>
                <w:rFonts w:ascii="Times New Roman" w:hAnsi="Times New Roman" w:cs="Times New Roman"/>
                <w:color w:val="auto"/>
                <w:sz w:val="21"/>
                <w:szCs w:val="21"/>
              </w:rPr>
            </w:pPr>
            <w:r>
              <w:rPr>
                <w:rFonts w:ascii="Times New Roman" w:hAnsi="Times New Roman" w:cs="Times New Roman"/>
                <w:color w:val="auto"/>
                <w:sz w:val="21"/>
                <w:szCs w:val="21"/>
              </w:rPr>
              <w:t>□是：</w:t>
            </w:r>
            <w:r>
              <w:rPr>
                <w:rFonts w:ascii="Times New Roman" w:hAnsi="Times New Roman" w:cs="Times New Roman"/>
                <w:color w:val="auto"/>
                <w:spacing w:val="-3"/>
                <w:sz w:val="21"/>
                <w:szCs w:val="21"/>
                <w:u w:val="single"/>
              </w:rPr>
              <w:t xml:space="preserve"> </w:t>
            </w:r>
            <w:r>
              <w:rPr>
                <w:rFonts w:ascii="Times New Roman" w:hAnsi="Times New Roman" w:cs="Times New Roman"/>
                <w:color w:val="auto"/>
                <w:sz w:val="21"/>
                <w:szCs w:val="21"/>
                <w:u w:val="single"/>
              </w:rPr>
              <w:t xml:space="preserve">   </w:t>
            </w:r>
            <w:r>
              <w:rPr>
                <w:rFonts w:ascii="Times New Roman" w:hAnsi="Times New Roman" w:cs="Times New Roman"/>
                <w:color w:val="auto"/>
                <w:sz w:val="21"/>
                <w:szCs w:val="21"/>
                <w:u w:val="single"/>
                <w:lang w:val="en-US"/>
              </w:rPr>
              <w:t xml:space="preserve">          </w:t>
            </w:r>
            <w:r>
              <w:rPr>
                <w:rFonts w:ascii="Times New Roman" w:hAnsi="Times New Roman" w:cs="Times New Roman"/>
                <w:color w:val="auto"/>
                <w:sz w:val="21"/>
                <w:szCs w:val="21"/>
                <w:u w:val="single"/>
              </w:rPr>
              <w:t xml:space="preserve"> </w:t>
            </w:r>
            <w:r>
              <w:rPr>
                <w:rFonts w:ascii="Times New Roman" w:hAnsi="Times New Roman" w:cs="Times New Roman"/>
                <w:color w:val="auto"/>
                <w:spacing w:val="-3"/>
                <w:sz w:val="21"/>
                <w:szCs w:val="21"/>
                <w:u w:val="single"/>
              </w:rPr>
              <w:t xml:space="preserve"> </w:t>
            </w:r>
            <w:r>
              <w:rPr>
                <w:rFonts w:ascii="Times New Roman" w:hAnsi="Times New Roman" w:cs="Times New Roman"/>
                <w:color w:val="auto"/>
                <w:sz w:val="21"/>
                <w:szCs w:val="21"/>
              </w:rPr>
              <w:t xml:space="preserve"> </w:t>
            </w:r>
          </w:p>
        </w:tc>
        <w:tc>
          <w:tcPr>
            <w:tcW w:w="1721"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用地（用海）面积（m</w:t>
            </w:r>
            <w:r>
              <w:rPr>
                <w:rFonts w:ascii="Times New Roman" w:hAnsi="Times New Roman" w:cs="Times New Roman"/>
                <w:b/>
                <w:bCs/>
                <w:color w:val="auto"/>
                <w:sz w:val="21"/>
                <w:szCs w:val="21"/>
                <w:vertAlign w:val="superscript"/>
                <w:lang w:val="en-US"/>
              </w:rPr>
              <w:t>2</w:t>
            </w:r>
            <w:r>
              <w:rPr>
                <w:rFonts w:ascii="Times New Roman" w:hAnsi="Times New Roman" w:cs="Times New Roman"/>
                <w:b/>
                <w:bCs/>
                <w:color w:val="auto"/>
                <w:sz w:val="21"/>
                <w:szCs w:val="21"/>
              </w:rPr>
              <w:t xml:space="preserve">） </w:t>
            </w:r>
          </w:p>
        </w:tc>
        <w:tc>
          <w:tcPr>
            <w:tcW w:w="3672" w:type="dxa"/>
            <w:tcBorders>
              <w:top w:val="single" w:color="000000" w:sz="4" w:space="0"/>
              <w:left w:val="single" w:color="000000" w:sz="4" w:space="0"/>
              <w:bottom w:val="single" w:color="000000" w:sz="4" w:space="0"/>
            </w:tcBorders>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18667（新增占地面积为0）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专项评价设置情况</w:t>
            </w:r>
          </w:p>
        </w:tc>
        <w:tc>
          <w:tcPr>
            <w:tcW w:w="7918" w:type="dxa"/>
            <w:gridSpan w:val="3"/>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olor w:val="auto"/>
                <w:sz w:val="21"/>
                <w:szCs w:val="21"/>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5" w:hRule="atLeast"/>
          <w:jc w:val="center"/>
        </w:trPr>
        <w:tc>
          <w:tcPr>
            <w:tcW w:w="1492"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规划情况</w:t>
            </w:r>
          </w:p>
        </w:tc>
        <w:tc>
          <w:tcPr>
            <w:tcW w:w="7918" w:type="dxa"/>
            <w:gridSpan w:val="3"/>
            <w:tcBorders>
              <w:top w:val="single" w:color="000000" w:sz="4" w:space="0"/>
              <w:left w:val="single" w:color="000000" w:sz="4" w:space="0"/>
              <w:bottom w:val="single" w:color="000000" w:sz="4" w:space="0"/>
            </w:tcBorders>
            <w:vAlign w:val="center"/>
          </w:tcPr>
          <w:p>
            <w:pPr>
              <w:spacing w:line="480" w:lineRule="exact"/>
              <w:jc w:val="center"/>
              <w:rPr>
                <w:rFonts w:ascii="Times New Roman" w:hAnsi="Times New Roman" w:cs="Times New Roman"/>
                <w:color w:val="auto"/>
                <w:sz w:val="21"/>
                <w:szCs w:val="21"/>
              </w:rPr>
            </w:pPr>
            <w:r>
              <w:rPr>
                <w:rFonts w:hint="eastAsia" w:ascii="Times New Roman" w:hAnsi="Times New Roman"/>
                <w:color w:val="auto"/>
                <w:sz w:val="21"/>
                <w:szCs w:val="21"/>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1" w:hRule="atLeast"/>
          <w:jc w:val="center"/>
        </w:trPr>
        <w:tc>
          <w:tcPr>
            <w:tcW w:w="1492" w:type="dxa"/>
            <w:tcBorders>
              <w:top w:val="single" w:color="000000" w:sz="4" w:space="0"/>
              <w:bottom w:val="single" w:color="000000" w:sz="4" w:space="0"/>
              <w:right w:val="single" w:color="000000" w:sz="4" w:space="0"/>
            </w:tcBorders>
            <w:vAlign w:val="center"/>
          </w:tcPr>
          <w:p>
            <w:pPr>
              <w:pStyle w:val="52"/>
              <w:spacing w:line="243"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规划环境影</w:t>
            </w:r>
          </w:p>
          <w:p>
            <w:pPr>
              <w:pStyle w:val="52"/>
              <w:spacing w:line="243"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响评价情况</w:t>
            </w:r>
          </w:p>
        </w:tc>
        <w:tc>
          <w:tcPr>
            <w:tcW w:w="7918" w:type="dxa"/>
            <w:gridSpan w:val="3"/>
            <w:tcBorders>
              <w:top w:val="single" w:color="000000" w:sz="4" w:space="0"/>
              <w:left w:val="single" w:color="000000" w:sz="4" w:space="0"/>
              <w:bottom w:val="single" w:color="000000" w:sz="4" w:space="0"/>
            </w:tcBorders>
            <w:vAlign w:val="center"/>
          </w:tcPr>
          <w:p>
            <w:pPr>
              <w:spacing w:line="480" w:lineRule="exact"/>
              <w:jc w:val="center"/>
              <w:rPr>
                <w:rFonts w:ascii="Times New Roman" w:hAnsi="Times New Roman" w:cs="Times New Roman"/>
                <w:color w:val="auto"/>
                <w:sz w:val="21"/>
                <w:szCs w:val="21"/>
              </w:rPr>
            </w:pPr>
            <w:r>
              <w:rPr>
                <w:rFonts w:hint="eastAsia" w:ascii="Times New Roman" w:hAnsi="Times New Roman"/>
                <w:color w:val="auto"/>
                <w:kern w:val="2"/>
                <w:sz w:val="21"/>
                <w:szCs w:val="21"/>
                <w:lang w:val="en-US"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52"/>
              <w:spacing w:line="245"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规划及规划</w:t>
            </w:r>
          </w:p>
          <w:p>
            <w:pPr>
              <w:pStyle w:val="52"/>
              <w:spacing w:line="245"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环境影响评价</w:t>
            </w:r>
          </w:p>
          <w:p>
            <w:pPr>
              <w:pStyle w:val="52"/>
              <w:spacing w:line="245"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符合性分析</w:t>
            </w:r>
          </w:p>
        </w:tc>
        <w:tc>
          <w:tcPr>
            <w:tcW w:w="7918" w:type="dxa"/>
            <w:gridSpan w:val="3"/>
            <w:tcBorders>
              <w:top w:val="single" w:color="000000" w:sz="4" w:space="0"/>
              <w:left w:val="single" w:color="000000" w:sz="4" w:space="0"/>
              <w:bottom w:val="single" w:color="000000" w:sz="4" w:space="0"/>
            </w:tcBorders>
            <w:vAlign w:val="center"/>
          </w:tcPr>
          <w:p>
            <w:pPr>
              <w:spacing w:line="480" w:lineRule="exact"/>
              <w:jc w:val="center"/>
              <w:rPr>
                <w:rFonts w:ascii="Times New Roman" w:hAnsi="Times New Roman" w:cs="Times New Roman"/>
                <w:color w:val="auto"/>
                <w:sz w:val="21"/>
                <w:szCs w:val="21"/>
              </w:rPr>
            </w:pPr>
            <w:r>
              <w:rPr>
                <w:rFonts w:hint="eastAsia" w:ascii="Times New Roman" w:hAnsi="Times New Roman"/>
                <w:color w:val="auto"/>
                <w:kern w:val="2"/>
                <w:sz w:val="21"/>
                <w:szCs w:val="21"/>
                <w:lang w:val="en-US"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5" w:hRule="atLeast"/>
          <w:jc w:val="center"/>
        </w:trPr>
        <w:tc>
          <w:tcPr>
            <w:tcW w:w="1492" w:type="dxa"/>
            <w:tcBorders>
              <w:top w:val="single" w:color="000000" w:sz="4" w:space="0"/>
              <w:right w:val="single" w:color="000000" w:sz="4" w:space="0"/>
            </w:tcBorders>
            <w:vAlign w:val="center"/>
          </w:tcPr>
          <w:p>
            <w:pPr>
              <w:pStyle w:val="52"/>
              <w:spacing w:before="1"/>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其他符合性分析</w:t>
            </w:r>
          </w:p>
        </w:tc>
        <w:tc>
          <w:tcPr>
            <w:tcW w:w="7918" w:type="dxa"/>
            <w:gridSpan w:val="3"/>
            <w:tcBorders>
              <w:top w:val="single" w:color="000000" w:sz="4" w:space="0"/>
              <w:left w:val="single" w:color="000000" w:sz="4" w:space="0"/>
            </w:tcBorders>
            <w:vAlign w:val="center"/>
          </w:tcPr>
          <w:p>
            <w:pPr>
              <w:spacing w:line="400" w:lineRule="exact"/>
              <w:ind w:left="110" w:leftChars="50" w:firstLine="421" w:firstLineChars="200"/>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1、产业政策符合性</w:t>
            </w:r>
          </w:p>
          <w:p>
            <w:pPr>
              <w:wordWrap w:val="0"/>
              <w:spacing w:line="400" w:lineRule="exact"/>
              <w:ind w:left="110" w:leftChars="50" w:firstLine="420" w:firstLineChars="200"/>
              <w:rPr>
                <w:rFonts w:hint="eastAsia" w:ascii="Times New Roman" w:hAnsi="Times New Roman" w:eastAsia="宋体" w:cs="Times New Roman"/>
                <w:b/>
                <w:bCs/>
                <w:color w:val="auto"/>
                <w:sz w:val="21"/>
                <w:szCs w:val="21"/>
                <w:lang w:eastAsia="zh-CN"/>
              </w:rPr>
            </w:pPr>
            <w:r>
              <w:rPr>
                <w:rFonts w:ascii="Times New Roman" w:hAnsi="Times New Roman" w:cs="Times New Roman"/>
                <w:color w:val="auto"/>
                <w:sz w:val="21"/>
                <w:szCs w:val="21"/>
              </w:rPr>
              <w:t>根据《国民经济行业分类》（GB/T4754-2017）及其修改单，本项目属于</w:t>
            </w:r>
            <w:r>
              <w:rPr>
                <w:rFonts w:hint="eastAsia" w:ascii="Times New Roman" w:hAnsi="Times New Roman" w:cs="Times New Roman"/>
                <w:color w:val="auto"/>
                <w:sz w:val="21"/>
                <w:szCs w:val="21"/>
              </w:rPr>
              <w:t>“C3021 水泥制品制造”</w:t>
            </w:r>
            <w:r>
              <w:rPr>
                <w:rFonts w:ascii="Times New Roman" w:hAnsi="Times New Roman" w:cs="Times New Roman"/>
                <w:color w:val="auto"/>
                <w:sz w:val="21"/>
                <w:szCs w:val="21"/>
              </w:rPr>
              <w:t>，对照《产业结构调整指导目录（</w:t>
            </w:r>
            <w:r>
              <w:rPr>
                <w:rFonts w:hint="eastAsia" w:ascii="Times New Roman" w:hAnsi="Times New Roman" w:cs="Times New Roman"/>
                <w:color w:val="auto"/>
                <w:sz w:val="21"/>
                <w:szCs w:val="21"/>
                <w:lang w:val="en-US"/>
              </w:rPr>
              <w:t>2024</w:t>
            </w:r>
            <w:r>
              <w:rPr>
                <w:rFonts w:ascii="Times New Roman" w:hAnsi="Times New Roman" w:cs="Times New Roman"/>
                <w:color w:val="auto"/>
                <w:sz w:val="21"/>
                <w:szCs w:val="21"/>
              </w:rPr>
              <w:t>年本）》，本项目不属于名录中限制及淘汰类项目，属于允许类。且不属于《市场准入负面清单》（2022年）中禁止类项目，属于市场准入负面清单以外的行业、领域、业务等，市场主体可依法平等进入。</w:t>
            </w:r>
            <w:r>
              <w:rPr>
                <w:rFonts w:hint="eastAsia" w:ascii="Times New Roman" w:hAnsi="Times New Roman" w:cs="Times New Roman"/>
                <w:color w:val="auto"/>
                <w:sz w:val="21"/>
                <w:szCs w:val="21"/>
                <w:lang w:val="en-US" w:eastAsia="zh-CN"/>
              </w:rPr>
              <w:t>项目已在魏县行政审批局备案，备案编号为：魏审批备字[2024]079号。</w:t>
            </w:r>
          </w:p>
          <w:p>
            <w:pPr>
              <w:wordWrap w:val="0"/>
              <w:spacing w:line="400" w:lineRule="exact"/>
              <w:ind w:left="110" w:leftChars="50"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rPr>
              <w:t>综上，本项目建设符合国家和地方产业政策要求。</w:t>
            </w:r>
          </w:p>
          <w:p>
            <w:pPr>
              <w:pStyle w:val="52"/>
              <w:spacing w:line="400" w:lineRule="exact"/>
              <w:ind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“三线一单”符合性分析</w:t>
            </w:r>
          </w:p>
          <w:p>
            <w:pPr>
              <w:widowControl/>
              <w:autoSpaceDE/>
              <w:autoSpaceDN/>
              <w:spacing w:line="400" w:lineRule="exact"/>
              <w:ind w:firstLine="421" w:firstLineChars="200"/>
              <w:rPr>
                <w:rFonts w:ascii="Times New Roman" w:hAnsi="Times New Roman" w:cs="Times New Roman"/>
                <w:b/>
                <w:bCs/>
                <w:color w:val="auto"/>
                <w:kern w:val="2"/>
                <w:sz w:val="21"/>
                <w:szCs w:val="21"/>
                <w:lang w:val="en-US" w:bidi="ar-SA"/>
              </w:rPr>
            </w:pPr>
            <w:r>
              <w:rPr>
                <w:rFonts w:hint="eastAsia" w:ascii="Times New Roman" w:hAnsi="Times New Roman" w:cs="Times New Roman"/>
                <w:b/>
                <w:bCs/>
                <w:color w:val="auto"/>
                <w:kern w:val="2"/>
                <w:sz w:val="21"/>
                <w:szCs w:val="21"/>
                <w:lang w:val="en-US" w:bidi="ar-SA"/>
              </w:rPr>
              <w:t>1）</w:t>
            </w:r>
            <w:r>
              <w:rPr>
                <w:rFonts w:ascii="Times New Roman" w:hAnsi="Times New Roman" w:cs="Times New Roman"/>
                <w:b/>
                <w:bCs/>
                <w:color w:val="auto"/>
                <w:kern w:val="2"/>
                <w:sz w:val="21"/>
                <w:szCs w:val="21"/>
                <w:lang w:val="en-US" w:bidi="ar-SA"/>
              </w:rPr>
              <w:t>项目与《河北省人民政府关于加快实施“三线一单”生态环境分区管控的意见》(冀政字[2020]71号)的符合性</w:t>
            </w:r>
          </w:p>
          <w:p>
            <w:pPr>
              <w:adjustRightInd w:val="0"/>
              <w:snapToGrid w:val="0"/>
              <w:spacing w:line="400" w:lineRule="exact"/>
              <w:ind w:firstLine="420" w:firstLineChars="200"/>
              <w:jc w:val="both"/>
              <w:rPr>
                <w:rFonts w:ascii="Times New Roman" w:hAnsi="Times New Roman" w:cs="Times New Roman"/>
                <w:color w:val="auto"/>
                <w:kern w:val="2"/>
                <w:sz w:val="24"/>
                <w:szCs w:val="24"/>
                <w:lang w:val="en-US" w:bidi="ar-SA"/>
              </w:rPr>
            </w:pPr>
            <w:r>
              <w:rPr>
                <w:rFonts w:ascii="Times New Roman" w:hAnsi="Times New Roman" w:cs="Times New Roman"/>
                <w:color w:val="auto"/>
                <w:kern w:val="2"/>
                <w:sz w:val="21"/>
                <w:szCs w:val="21"/>
                <w:lang w:val="en-US" w:bidi="ar-SA"/>
              </w:rPr>
              <w:t>本项目与《河北省人民政府关于加快实施</w:t>
            </w:r>
            <w:r>
              <w:rPr>
                <w:rFonts w:hint="eastAsia" w:cs="Times New Roman"/>
                <w:color w:val="auto"/>
                <w:kern w:val="2"/>
                <w:sz w:val="21"/>
                <w:szCs w:val="21"/>
                <w:lang w:val="en-US" w:bidi="ar-SA"/>
              </w:rPr>
              <w:t>“</w:t>
            </w:r>
            <w:r>
              <w:rPr>
                <w:rFonts w:ascii="Times New Roman" w:hAnsi="Times New Roman" w:cs="Times New Roman"/>
                <w:color w:val="auto"/>
                <w:kern w:val="2"/>
                <w:sz w:val="21"/>
                <w:szCs w:val="21"/>
                <w:lang w:val="en-US" w:bidi="ar-SA"/>
              </w:rPr>
              <w:t>三线一单</w:t>
            </w:r>
            <w:r>
              <w:rPr>
                <w:rFonts w:hint="eastAsia" w:cs="Times New Roman"/>
                <w:color w:val="auto"/>
                <w:kern w:val="2"/>
                <w:sz w:val="21"/>
                <w:szCs w:val="21"/>
                <w:lang w:val="en-US" w:bidi="ar-SA"/>
              </w:rPr>
              <w:t>”</w:t>
            </w:r>
            <w:r>
              <w:rPr>
                <w:rFonts w:ascii="Times New Roman" w:hAnsi="Times New Roman" w:cs="Times New Roman"/>
                <w:color w:val="auto"/>
                <w:kern w:val="2"/>
                <w:sz w:val="21"/>
                <w:szCs w:val="21"/>
                <w:lang w:val="en-US" w:bidi="ar-SA"/>
              </w:rPr>
              <w:t>生态环境分区管控的意见》(冀政字[2020]71号)的符合性分析见表。</w:t>
            </w:r>
          </w:p>
          <w:p>
            <w:pPr>
              <w:tabs>
                <w:tab w:val="right" w:leader="dot" w:pos="8300"/>
              </w:tabs>
              <w:autoSpaceDE/>
              <w:autoSpaceDN/>
              <w:spacing w:line="240" w:lineRule="exact"/>
              <w:ind w:left="220" w:leftChars="10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表</w:t>
            </w:r>
            <w:r>
              <w:rPr>
                <w:rFonts w:hint="eastAsia" w:ascii="Times New Roman" w:hAnsi="Times New Roman" w:cs="Times New Roman"/>
                <w:b/>
                <w:bCs/>
                <w:color w:val="auto"/>
                <w:kern w:val="2"/>
                <w:sz w:val="21"/>
                <w:szCs w:val="21"/>
                <w:lang w:val="en-US" w:bidi="ar-SA"/>
              </w:rPr>
              <w:t>1.1</w:t>
            </w:r>
            <w:r>
              <w:rPr>
                <w:rFonts w:ascii="Times New Roman" w:hAnsi="Times New Roman" w:cs="Times New Roman"/>
                <w:b/>
                <w:bCs/>
                <w:color w:val="auto"/>
                <w:kern w:val="2"/>
                <w:sz w:val="21"/>
                <w:szCs w:val="21"/>
                <w:lang w:val="en-US" w:bidi="ar-SA"/>
              </w:rPr>
              <w:t xml:space="preserve"> </w:t>
            </w:r>
            <w:r>
              <w:rPr>
                <w:rFonts w:hint="eastAsia" w:ascii="Times New Roman" w:hAnsi="Times New Roman" w:cs="Times New Roman"/>
                <w:b/>
                <w:bCs/>
                <w:color w:val="auto"/>
                <w:kern w:val="2"/>
                <w:sz w:val="21"/>
                <w:szCs w:val="21"/>
                <w:lang w:val="en-US" w:bidi="ar-SA"/>
              </w:rPr>
              <w:t xml:space="preserve"> </w:t>
            </w:r>
            <w:r>
              <w:rPr>
                <w:rFonts w:ascii="Times New Roman" w:hAnsi="Times New Roman" w:cs="Times New Roman"/>
                <w:b/>
                <w:bCs/>
                <w:color w:val="auto"/>
                <w:kern w:val="2"/>
                <w:sz w:val="21"/>
                <w:szCs w:val="21"/>
                <w:lang w:val="en-US" w:bidi="ar-SA"/>
              </w:rPr>
              <w:t>本项目与河北省“三线一单”对比结果一览表</w:t>
            </w:r>
          </w:p>
          <w:tbl>
            <w:tblPr>
              <w:tblStyle w:val="33"/>
              <w:tblW w:w="486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3247"/>
              <w:gridCol w:w="2633"/>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分类</w:t>
                  </w:r>
                </w:p>
              </w:tc>
              <w:tc>
                <w:tcPr>
                  <w:tcW w:w="2111"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管控要求</w:t>
                  </w:r>
                </w:p>
              </w:tc>
              <w:tc>
                <w:tcPr>
                  <w:tcW w:w="1712"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本项目</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96"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生态保护红线</w:t>
                  </w:r>
                </w:p>
              </w:tc>
              <w:tc>
                <w:tcPr>
                  <w:tcW w:w="2111"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重要生态功能区域生态功能不降低、面积不减少、性质不改变。</w:t>
                  </w:r>
                </w:p>
              </w:tc>
              <w:tc>
                <w:tcPr>
                  <w:tcW w:w="1712" w:type="pct"/>
                  <w:tcBorders>
                    <w:tl2br w:val="nil"/>
                    <w:tr2bl w:val="nil"/>
                  </w:tcBorders>
                  <w:vAlign w:val="center"/>
                </w:tcPr>
                <w:p>
                  <w:pPr>
                    <w:autoSpaceDE/>
                    <w:autoSpaceDN/>
                    <w:adjustRightInd w:val="0"/>
                    <w:snapToGrid w:val="0"/>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本项目</w:t>
                  </w:r>
                  <w:r>
                    <w:rPr>
                      <w:rFonts w:ascii="Times New Roman" w:hAnsi="Times New Roman" w:cs="Times New Roman"/>
                      <w:color w:val="auto"/>
                      <w:kern w:val="2"/>
                      <w:sz w:val="21"/>
                      <w:szCs w:val="21"/>
                      <w:lang w:val="en-US" w:bidi="ar-SA"/>
                    </w:rPr>
                    <w:t>占</w:t>
                  </w:r>
                  <w:r>
                    <w:rPr>
                      <w:rFonts w:ascii="Times New Roman" w:hAnsi="Times New Roman" w:cs="Times New Roman"/>
                      <w:color w:val="auto"/>
                      <w:kern w:val="2"/>
                      <w:sz w:val="21"/>
                      <w:szCs w:val="24"/>
                      <w:lang w:val="en-US" w:bidi="ar-SA"/>
                    </w:rPr>
                    <w:t>地为</w:t>
                  </w:r>
                  <w:r>
                    <w:rPr>
                      <w:rFonts w:hint="eastAsia" w:ascii="Times New Roman" w:hAnsi="Times New Roman" w:cs="Times New Roman"/>
                      <w:color w:val="auto"/>
                      <w:kern w:val="2"/>
                      <w:sz w:val="21"/>
                      <w:szCs w:val="24"/>
                      <w:lang w:val="en-US" w:bidi="ar-SA"/>
                    </w:rPr>
                    <w:t>建设用地</w:t>
                  </w:r>
                  <w:r>
                    <w:rPr>
                      <w:rFonts w:ascii="Times New Roman" w:hAnsi="Times New Roman" w:cs="Times New Roman"/>
                      <w:color w:val="auto"/>
                      <w:kern w:val="2"/>
                      <w:sz w:val="21"/>
                      <w:szCs w:val="24"/>
                      <w:lang w:val="en-US" w:bidi="ar-SA"/>
                    </w:rPr>
                    <w:t>，占地范围不涉及各类生态保护红线。</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环境质量底线</w:t>
                  </w:r>
                </w:p>
              </w:tc>
              <w:tc>
                <w:tcPr>
                  <w:tcW w:w="2111"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到2025年，地表水国考断面优良(Ⅲ类以上)比例、近岸海域优良海水比例逐步提升；空气中PM</w:t>
                  </w:r>
                  <w:r>
                    <w:rPr>
                      <w:rFonts w:ascii="Times New Roman" w:hAnsi="Times New Roman" w:cs="Times New Roman"/>
                      <w:color w:val="auto"/>
                      <w:kern w:val="2"/>
                      <w:sz w:val="21"/>
                      <w:szCs w:val="24"/>
                      <w:vertAlign w:val="subscript"/>
                      <w:lang w:val="en-US" w:bidi="ar-SA"/>
                    </w:rPr>
                    <w:t>2.5</w:t>
                  </w:r>
                  <w:r>
                    <w:rPr>
                      <w:rFonts w:ascii="Times New Roman" w:hAnsi="Times New Roman" w:cs="Times New Roman"/>
                      <w:color w:val="auto"/>
                      <w:kern w:val="2"/>
                      <w:sz w:val="21"/>
                      <w:szCs w:val="24"/>
                      <w:lang w:val="en-US" w:bidi="ar-SA"/>
                    </w:rPr>
                    <w:t>年均浓度持续降低、优良天数比例稳步提升；土壤受污染耕地安全利用率、污染地块安全利用率进一步提升。</w:t>
                  </w:r>
                </w:p>
              </w:tc>
              <w:tc>
                <w:tcPr>
                  <w:tcW w:w="1712"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kern w:val="2"/>
                      <w:sz w:val="21"/>
                      <w:szCs w:val="24"/>
                      <w:lang w:val="en-US" w:bidi="ar-SA"/>
                    </w:rPr>
                    <w:t>本项目不新增劳动定员，不新增生活污水，车辆冲洗废水经沉淀池沉淀后，回用于车辆冲洗，不外排；废气经处理后均达标排放。项目占地为</w:t>
                  </w:r>
                  <w:r>
                    <w:rPr>
                      <w:rFonts w:hint="eastAsia" w:cs="Times New Roman"/>
                      <w:color w:val="auto"/>
                      <w:sz w:val="21"/>
                      <w:szCs w:val="21"/>
                    </w:rPr>
                    <w:t>建设用地</w:t>
                  </w:r>
                  <w:r>
                    <w:rPr>
                      <w:rFonts w:hint="eastAsia" w:ascii="Times New Roman" w:hAnsi="Times New Roman" w:cs="Times New Roman"/>
                      <w:color w:val="auto"/>
                      <w:kern w:val="2"/>
                      <w:sz w:val="21"/>
                      <w:szCs w:val="24"/>
                      <w:lang w:val="en-US" w:bidi="ar-SA"/>
                    </w:rPr>
                    <w:t>，符合环境质量底线要求。</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资源利用上限</w:t>
                  </w:r>
                </w:p>
              </w:tc>
              <w:tc>
                <w:tcPr>
                  <w:tcW w:w="2111"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1、以保障生态安全、改善环境质量为核心，合理确定全省资源利用上线目标，实现水资源与水环境、能源与大气环境、岸线与海洋环境的协同管控。</w:t>
                  </w:r>
                </w:p>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2、到2035年，广泛形成绿色生产生活方式，生态环境根本转变，建成蓝天、碧水、净土的美丽河北。</w:t>
                  </w:r>
                </w:p>
              </w:tc>
              <w:tc>
                <w:tcPr>
                  <w:tcW w:w="1712"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sz w:val="21"/>
                      <w:szCs w:val="21"/>
                    </w:rPr>
                    <w:t>项目产品生产所需的原辅材料外购，供水、供电均由</w:t>
                  </w:r>
                  <w:r>
                    <w:rPr>
                      <w:rFonts w:hint="eastAsia" w:ascii="Times New Roman" w:hAnsi="Times New Roman" w:cs="Times New Roman"/>
                      <w:color w:val="auto"/>
                      <w:sz w:val="21"/>
                      <w:szCs w:val="21"/>
                    </w:rPr>
                    <w:t>当地管网</w:t>
                  </w:r>
                  <w:r>
                    <w:rPr>
                      <w:rFonts w:ascii="Times New Roman" w:hAnsi="Times New Roman" w:cs="Times New Roman"/>
                      <w:color w:val="auto"/>
                      <w:sz w:val="21"/>
                      <w:szCs w:val="21"/>
                    </w:rPr>
                    <w:t>供给，项目原料、水、电供应充足，生产过程节约用电，最大的减少物耗、能耗</w:t>
                  </w:r>
                  <w:r>
                    <w:rPr>
                      <w:rFonts w:hint="eastAsia" w:ascii="Times New Roman" w:hAnsi="Times New Roman" w:cs="Times New Roman"/>
                      <w:color w:val="auto"/>
                      <w:sz w:val="21"/>
                      <w:szCs w:val="21"/>
                    </w:rPr>
                    <w:t>。</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596" w:type="pct"/>
                  <w:tcBorders>
                    <w:tl2br w:val="nil"/>
                    <w:tr2bl w:val="nil"/>
                  </w:tcBorders>
                  <w:vAlign w:val="center"/>
                </w:tcPr>
                <w:p>
                  <w:pPr>
                    <w:widowControl/>
                    <w:autoSpaceDE/>
                    <w:autoSpaceDN/>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生态环境管控总体要求</w:t>
                  </w:r>
                </w:p>
              </w:tc>
              <w:tc>
                <w:tcPr>
                  <w:tcW w:w="2111"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优先保护单元：严格落实生态保护红线管理要求，除有限人为活动外，依法依规禁止其他城镇和建设活动。一般生态空间突出生态保护，严禁不符合主体功能定位的各类开发活动，严禁任意改变用途。重大引水工程、白洋淀入淀河流两侧范围严格执行引调水工程等相关法律规定。</w:t>
                  </w:r>
                </w:p>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重点管控单元：省级以上产业园区重点管控单元。严格产业准入，完善园区设施建设，推动设施提标改造；实施污染物总量控制，落实排污许可证制度；强化资源利用效率和地下水开采管控。</w:t>
                  </w:r>
                </w:p>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一般管控单元：严格执行国家和省关于产业准入、总量控制和污染物排放标准等管控要求。</w:t>
                  </w:r>
                </w:p>
              </w:tc>
              <w:tc>
                <w:tcPr>
                  <w:tcW w:w="1712" w:type="pct"/>
                  <w:tcBorders>
                    <w:tl2br w:val="nil"/>
                    <w:tr2bl w:val="nil"/>
                  </w:tcBorders>
                  <w:vAlign w:val="center"/>
                </w:tcPr>
                <w:p>
                  <w:pPr>
                    <w:widowControl/>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sz w:val="21"/>
                      <w:szCs w:val="21"/>
                      <w:lang w:val="en-US"/>
                    </w:rPr>
                    <w:t>本项目位于</w:t>
                  </w:r>
                  <w:r>
                    <w:rPr>
                      <w:rFonts w:hint="eastAsia" w:ascii="Times New Roman" w:hAnsi="Times New Roman" w:cs="Times New Roman"/>
                      <w:color w:val="auto"/>
                      <w:sz w:val="21"/>
                      <w:szCs w:val="21"/>
                      <w:lang w:val="en-US"/>
                    </w:rPr>
                    <w:t>河北省邯郸市魏县德政镇王庄村北，所在单元类别为一般管控单元</w:t>
                  </w:r>
                  <w:r>
                    <w:rPr>
                      <w:rFonts w:ascii="Times New Roman" w:hAnsi="Times New Roman" w:cs="Times New Roman"/>
                      <w:color w:val="auto"/>
                      <w:kern w:val="2"/>
                      <w:sz w:val="21"/>
                      <w:szCs w:val="24"/>
                      <w:lang w:val="en-US" w:bidi="ar-SA"/>
                    </w:rPr>
                    <w:t>。</w:t>
                  </w:r>
                </w:p>
              </w:tc>
              <w:tc>
                <w:tcPr>
                  <w:tcW w:w="579" w:type="pct"/>
                  <w:tcBorders>
                    <w:tl2br w:val="nil"/>
                    <w:tr2bl w:val="nil"/>
                  </w:tcBorders>
                  <w:vAlign w:val="center"/>
                </w:tcPr>
                <w:p>
                  <w:pPr>
                    <w:autoSpaceDE/>
                    <w:autoSpaceDN/>
                    <w:jc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kern w:val="2"/>
                      <w:sz w:val="21"/>
                      <w:szCs w:val="24"/>
                      <w:lang w:val="en-US" w:bidi="ar-SA"/>
                    </w:rPr>
                    <w:t>符合</w:t>
                  </w:r>
                </w:p>
              </w:tc>
            </w:tr>
          </w:tbl>
          <w:p>
            <w:pPr>
              <w:spacing w:line="400" w:lineRule="exact"/>
              <w:ind w:left="110" w:leftChars="50" w:firstLine="420" w:firstLineChars="200"/>
              <w:jc w:val="both"/>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由上表分析可知，本项目符合河北省“三线一单”相关要求</w:t>
            </w:r>
            <w:r>
              <w:rPr>
                <w:rFonts w:hint="eastAsia" w:ascii="Times New Roman" w:hAnsi="Times New Roman" w:cs="Times New Roman"/>
                <w:color w:val="auto"/>
                <w:kern w:val="2"/>
                <w:sz w:val="21"/>
                <w:szCs w:val="21"/>
                <w:lang w:val="en-US" w:bidi="ar-SA"/>
              </w:rPr>
              <w:t>。</w:t>
            </w:r>
          </w:p>
          <w:p>
            <w:pPr>
              <w:spacing w:line="400" w:lineRule="exact"/>
              <w:ind w:left="110" w:leftChars="50" w:firstLine="421" w:firstLineChars="200"/>
              <w:jc w:val="both"/>
              <w:rPr>
                <w:rFonts w:ascii="Times New Roman" w:hAnsi="Times New Roman" w:cs="Times New Roman"/>
                <w:b/>
                <w:bCs/>
                <w:color w:val="auto"/>
                <w:kern w:val="2"/>
                <w:sz w:val="21"/>
                <w:szCs w:val="21"/>
                <w:lang w:val="en-US" w:bidi="ar-SA"/>
              </w:rPr>
            </w:pPr>
            <w:r>
              <w:rPr>
                <w:rFonts w:hint="eastAsia" w:ascii="Times New Roman" w:hAnsi="Times New Roman" w:cs="Times New Roman"/>
                <w:b/>
                <w:bCs/>
                <w:color w:val="auto"/>
                <w:kern w:val="2"/>
                <w:sz w:val="21"/>
                <w:szCs w:val="21"/>
                <w:lang w:val="en-US" w:bidi="ar-SA"/>
              </w:rPr>
              <w:t>2）《邯郸市生态环境准入清单（2023年版）》符合性分析</w:t>
            </w:r>
          </w:p>
          <w:p>
            <w:pPr>
              <w:spacing w:line="400" w:lineRule="exact"/>
              <w:ind w:left="110" w:lef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kern w:val="2"/>
                <w:sz w:val="21"/>
                <w:szCs w:val="21"/>
                <w:lang w:val="en-US" w:bidi="ar-SA"/>
              </w:rPr>
              <w:t>根据《邯郸市生态环境准入清单（2023年版）》（二零二四年三月）要求。邯郸市环境管控单元图见附图6。逐条分析项目情况如下：</w:t>
            </w:r>
          </w:p>
          <w:p>
            <w:pPr>
              <w:adjustRightInd w:val="0"/>
              <w:snapToGrid w:val="0"/>
              <w:spacing w:line="40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2 </w:t>
            </w:r>
            <w:r>
              <w:rPr>
                <w:rFonts w:hint="eastAsia" w:ascii="Times New Roman" w:hAnsi="Times New Roman" w:cs="Times New Roman"/>
                <w:b/>
                <w:bCs/>
                <w:color w:val="auto"/>
                <w:sz w:val="21"/>
                <w:szCs w:val="21"/>
              </w:rPr>
              <w:t>全市大气环境总体管控符合性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1"/>
              <w:gridCol w:w="273"/>
              <w:gridCol w:w="273"/>
              <w:gridCol w:w="709"/>
              <w:gridCol w:w="5470"/>
              <w:gridCol w:w="7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8" w:type="dxa"/>
                  <w:gridSpan w:val="2"/>
                  <w:tcBorders>
                    <w:bottom w:val="single" w:color="000000" w:sz="4" w:space="0"/>
                    <w:right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属性</w:t>
                  </w:r>
                </w:p>
              </w:tc>
              <w:tc>
                <w:tcPr>
                  <w:tcW w:w="972" w:type="dxa"/>
                  <w:gridSpan w:val="2"/>
                  <w:tcBorders>
                    <w:left w:val="single" w:color="000000" w:sz="4" w:space="0"/>
                    <w:bottom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w:t>
                  </w:r>
                </w:p>
              </w:tc>
              <w:tc>
                <w:tcPr>
                  <w:tcW w:w="5412"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lang w:val="en-US"/>
                    </w:rPr>
                  </w:pPr>
                  <w:r>
                    <w:rPr>
                      <w:rFonts w:hint="eastAsia" w:ascii="Times New Roman" w:hAnsi="Times New Roman" w:cs="Times New Roman"/>
                      <w:b/>
                      <w:color w:val="auto"/>
                      <w:sz w:val="21"/>
                      <w:szCs w:val="21"/>
                      <w:lang w:val="en-US"/>
                    </w:rPr>
                    <w:t>管控要求</w:t>
                  </w:r>
                </w:p>
              </w:tc>
              <w:tc>
                <w:tcPr>
                  <w:tcW w:w="789"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518" w:type="dxa"/>
                  <w:gridSpan w:val="2"/>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生态保护红线</w:t>
                  </w:r>
                </w:p>
              </w:tc>
              <w:tc>
                <w:tcPr>
                  <w:tcW w:w="270"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空间布局约束</w:t>
                  </w:r>
                </w:p>
              </w:tc>
              <w:tc>
                <w:tcPr>
                  <w:tcW w:w="702" w:type="dxa"/>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w:t>
                  </w:r>
                  <w:r>
                    <w:rPr>
                      <w:rFonts w:hint="eastAsia" w:ascii="Times New Roman" w:hAnsi="Times New Roman" w:cs="Times New Roman"/>
                      <w:color w:val="auto"/>
                      <w:sz w:val="21"/>
                      <w:szCs w:val="21"/>
                      <w:lang w:val="en-US"/>
                    </w:rPr>
                    <w:t>3.生态保护红线内，自然保护地核心保护区原则上禁止人为活动，其他区域严格禁止开发性、生产性建设活动，法律法规另有规定的，从其规定。</w:t>
                  </w:r>
                </w:p>
              </w:tc>
              <w:tc>
                <w:tcPr>
                  <w:tcW w:w="789"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本项目不在生态保护红线内，本项目建设符合</w:t>
                  </w:r>
                  <w:r>
                    <w:rPr>
                      <w:rFonts w:hint="eastAsia" w:cs="Times New Roman"/>
                      <w:color w:val="auto"/>
                      <w:sz w:val="21"/>
                      <w:szCs w:val="21"/>
                    </w:rPr>
                    <w:t>当地</w:t>
                  </w:r>
                  <w:r>
                    <w:rPr>
                      <w:rFonts w:ascii="Times New Roman" w:hAnsi="Times New Roman" w:cs="Times New Roman"/>
                      <w:color w:val="auto"/>
                      <w:sz w:val="21"/>
                      <w:szCs w:val="21"/>
                    </w:rPr>
                    <w:t>规划</w:t>
                  </w:r>
                  <w:r>
                    <w:rPr>
                      <w:rFonts w:hint="eastAsia" w:cs="Times New Roman"/>
                      <w:color w:val="auto"/>
                      <w:sz w:val="21"/>
                      <w:szCs w:val="21"/>
                    </w:rPr>
                    <w:t>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518" w:type="dxa"/>
                  <w:gridSpan w:val="2"/>
                  <w:vMerge w:val="continue"/>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c>
                <w:tcPr>
                  <w:tcW w:w="702" w:type="dxa"/>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top w:val="single" w:color="000000" w:sz="4" w:space="0"/>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因国家重大战略资源勘查需要，在不影响主体功能定位的前提下，经依法批准后予以安排勘查项目。</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鼓励按照规划开展维护、修复和提升生态功能的活动。</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生态保护红线是国土空间规划中的重要</w:t>
                  </w:r>
                  <w:r>
                    <w:rPr>
                      <w:rFonts w:hint="eastAsia" w:ascii="Times New Roman" w:hAnsi="Times New Roman" w:cs="Times New Roman"/>
                      <w:color w:val="auto"/>
                      <w:sz w:val="21"/>
                      <w:szCs w:val="21"/>
                    </w:rPr>
                    <w:t>管控边界，生态保护红线内自然保护地核心保护区外，禁止开发性、生产性建设活动，在符合法律法规的前提下，仅允许《自然资源部 生态环境部 国家林业和草原局关于加强生态保护红线管理的通知（试行）》（自然资发〔2022〕142 号）中对生态功能不造成破坏的有限人为活动。</w:t>
                  </w:r>
                </w:p>
              </w:tc>
              <w:tc>
                <w:tcPr>
                  <w:tcW w:w="78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一般生态空间</w:t>
                  </w:r>
                </w:p>
              </w:tc>
              <w:tc>
                <w:tcPr>
                  <w:tcW w:w="270" w:type="dxa"/>
                  <w:vMerge w:val="restart"/>
                  <w:tcBorders>
                    <w:top w:val="single" w:color="000000" w:sz="4" w:space="0"/>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总体要求</w:t>
                  </w:r>
                </w:p>
              </w:tc>
              <w:tc>
                <w:tcPr>
                  <w:tcW w:w="270" w:type="dxa"/>
                  <w:vMerge w:val="restart"/>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限制类活动</w:t>
                  </w:r>
                </w:p>
              </w:tc>
              <w:tc>
                <w:tcPr>
                  <w:tcW w:w="5412" w:type="dxa"/>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789" w:type="dxa"/>
                  <w:vMerge w:val="restart"/>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本项目占地为</w:t>
                  </w:r>
                  <w:r>
                    <w:rPr>
                      <w:rFonts w:hint="eastAsia" w:cs="Times New Roman"/>
                      <w:color w:val="auto"/>
                      <w:sz w:val="21"/>
                      <w:szCs w:val="21"/>
                    </w:rPr>
                    <w:t>建设</w:t>
                  </w:r>
                  <w:r>
                    <w:rPr>
                      <w:rFonts w:hint="eastAsia" w:ascii="Times New Roman" w:hAnsi="Times New Roman" w:cs="Times New Roman"/>
                      <w:color w:val="auto"/>
                      <w:sz w:val="21"/>
                      <w:szCs w:val="21"/>
                    </w:rPr>
                    <w:t>用地</w:t>
                  </w:r>
                  <w:r>
                    <w:rPr>
                      <w:rFonts w:ascii="Times New Roman" w:hAnsi="Times New Roman" w:cs="Times New Roman"/>
                      <w:color w:val="auto"/>
                      <w:sz w:val="21"/>
                      <w:szCs w:val="21"/>
                    </w:rPr>
                    <w:t>，未占用生态空间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c>
                <w:tcPr>
                  <w:tcW w:w="702" w:type="dxa"/>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允许类活动相关要求</w:t>
                  </w:r>
                </w:p>
              </w:tc>
              <w:tc>
                <w:tcPr>
                  <w:tcW w:w="5412" w:type="dxa"/>
                  <w:tcBorders>
                    <w:top w:val="nil"/>
                    <w:lef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鼓励城镇空间和符合国家生态退耕条件的农业空间转为生态空间。</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鼓励各地根据生态保护需要和规划，结合土地综合整治、工矿废弃地复垦利用、矿山环境恢复治理等各类工程实施，因地制宜促进生态空间内建设用地逐步有序退出</w:t>
                  </w:r>
                  <w:r>
                    <w:rPr>
                      <w:rFonts w:hint="eastAsia" w:ascii="Times New Roman" w:hAnsi="Times New Roman" w:cs="Times New Roman"/>
                      <w:color w:val="auto"/>
                      <w:sz w:val="21"/>
                      <w:szCs w:val="21"/>
                    </w:rPr>
                    <w:t>。</w:t>
                  </w:r>
                </w:p>
              </w:tc>
              <w:tc>
                <w:tcPr>
                  <w:tcW w:w="78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restart"/>
                  <w:tcBorders>
                    <w:top w:val="single" w:color="auto" w:sz="4" w:space="0"/>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水源涵养</w:t>
                  </w:r>
                </w:p>
              </w:tc>
              <w:tc>
                <w:tcPr>
                  <w:tcW w:w="270" w:type="dxa"/>
                  <w:vMerge w:val="restart"/>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空间布局约束</w:t>
                  </w:r>
                </w:p>
              </w:tc>
              <w:tc>
                <w:tcPr>
                  <w:tcW w:w="702" w:type="dxa"/>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禁止类活动</w:t>
                  </w:r>
                </w:p>
              </w:tc>
              <w:tc>
                <w:tcPr>
                  <w:tcW w:w="5412" w:type="dxa"/>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严格保护具有重要水源涵养功能的自然植被，限制或禁止各种损害生态系统水源涵养功能的经济社会活动和生产方式，如无序采矿、毁林开荒、湿地和草地开垦、过度放牧、道路建设等。2.控制水污染，减轻水污染负荷，禁止导致水体污染的产业发展，开展生态清洁小流域的建设</w:t>
                  </w:r>
                  <w:r>
                    <w:rPr>
                      <w:rFonts w:hint="eastAsia" w:ascii="Times New Roman" w:hAnsi="Times New Roman" w:cs="Times New Roman"/>
                      <w:color w:val="auto"/>
                      <w:sz w:val="21"/>
                      <w:szCs w:val="21"/>
                    </w:rPr>
                    <w:t>。</w:t>
                  </w:r>
                </w:p>
              </w:tc>
              <w:tc>
                <w:tcPr>
                  <w:tcW w:w="789" w:type="dxa"/>
                  <w:vMerge w:val="restart"/>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不会</w:t>
                  </w:r>
                  <w:r>
                    <w:rPr>
                      <w:rFonts w:ascii="Times New Roman" w:hAnsi="Times New Roman" w:cs="Times New Roman"/>
                      <w:color w:val="auto"/>
                      <w:sz w:val="21"/>
                      <w:szCs w:val="21"/>
                    </w:rPr>
                    <w:t>损害生态系统水源涵养功能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lang w:val="en-US"/>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允许类活动相关要求</w:t>
                  </w:r>
                </w:p>
              </w:tc>
              <w:tc>
                <w:tcPr>
                  <w:tcW w:w="5412" w:type="dxa"/>
                  <w:tcBorders>
                    <w:top w:val="single" w:color="auto" w:sz="4" w:space="0"/>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坚持自然恢复为主，严格限制在水源涵养区大规模人工造林。</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严格控制载畜量，实行以草定畜，在农牧交错区提倡农牧结合，发展生态产业，培育替代产业减轻区内畜牧业对水源和生态系统的压力</w:t>
                  </w:r>
                  <w:r>
                    <w:rPr>
                      <w:rFonts w:hint="eastAsia" w:ascii="Times New Roman" w:hAnsi="Times New Roman" w:cs="Times New Roman"/>
                      <w:color w:val="auto"/>
                      <w:sz w:val="21"/>
                      <w:szCs w:val="21"/>
                    </w:rPr>
                    <w:t>。</w:t>
                  </w:r>
                </w:p>
              </w:tc>
              <w:tc>
                <w:tcPr>
                  <w:tcW w:w="789"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防风固沙</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动</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加强对内陆河流的规划和管理，保护沙区湿地，禁止发展高耗水工业</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不占用河道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转变畜牧业生产方式，实行禁牧休牧，推行舍饲圈养，以草定畜，严格控制载畜量</w:t>
                  </w:r>
                  <w:r>
                    <w:rPr>
                      <w:rFonts w:hint="eastAsia" w:ascii="Times New Roman" w:hAnsi="Times New Roman" w:cs="Times New Roman"/>
                      <w:color w:val="auto"/>
                      <w:sz w:val="21"/>
                      <w:szCs w:val="21"/>
                    </w:rPr>
                    <w:t>。</w:t>
                  </w:r>
                </w:p>
              </w:tc>
              <w:tc>
                <w:tcPr>
                  <w:tcW w:w="789"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水土保持</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1.严禁陡坡垦殖和过度放牧。2.禁止毁林开荒、烧山开荒和陡坡地开垦，合理开发自然资源，保护和恢复自然生态系统，增强区域水土保持能力</w:t>
                  </w:r>
                  <w:r>
                    <w:rPr>
                      <w:rFonts w:hint="eastAsia" w:ascii="Times New Roman" w:hAnsi="Times New Roman" w:cs="Times New Roman"/>
                      <w:color w:val="auto"/>
                      <w:sz w:val="21"/>
                      <w:szCs w:val="21"/>
                      <w:lang w:val="en-US"/>
                    </w:rPr>
                    <w:t>。</w:t>
                  </w:r>
                </w:p>
              </w:tc>
              <w:tc>
                <w:tcPr>
                  <w:tcW w:w="789"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w:t>
                  </w:r>
                  <w:r>
                    <w:rPr>
                      <w:rFonts w:hint="eastAsia" w:ascii="Times New Roman" w:hAnsi="Times New Roman" w:cs="Times New Roman"/>
                      <w:color w:val="auto"/>
                      <w:sz w:val="21"/>
                      <w:szCs w:val="21"/>
                      <w:lang w:val="en-US"/>
                    </w:rPr>
                    <w:t>利用现有土地，不涉及毁林开荒、烧山开荒和陡坡地开垦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严格资源开发和建设项目的生态监管，控制新的人为水土流失。</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对水土保持林只能进行抚育和更新性质的采伐；对采伐区和集材道应当采取防止水土流失的措施，并在采伐后及时更新造林</w:t>
                  </w:r>
                  <w:r>
                    <w:rPr>
                      <w:rFonts w:hint="eastAsia" w:ascii="Times New Roman" w:hAnsi="Times New Roman" w:cs="Times New Roman"/>
                      <w:color w:val="auto"/>
                      <w:sz w:val="21"/>
                      <w:szCs w:val="21"/>
                      <w:lang w:val="en-US"/>
                    </w:rPr>
                    <w:t>。</w:t>
                  </w:r>
                </w:p>
              </w:tc>
              <w:tc>
                <w:tcPr>
                  <w:tcW w:w="789"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生物</w:t>
                  </w:r>
                  <w:r>
                    <w:rPr>
                      <w:rFonts w:ascii="Times New Roman" w:hAnsi="Times New Roman" w:cs="Times New Roman"/>
                      <w:color w:val="auto"/>
                      <w:sz w:val="21"/>
                      <w:szCs w:val="21"/>
                    </w:rPr>
                    <w:t>多样性维护</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本项目不在生态保护区</w:t>
                  </w:r>
                  <w:r>
                    <w:rPr>
                      <w:rFonts w:hint="eastAsia" w:ascii="Times New Roman" w:hAnsi="Times New Roman" w:cs="Times New Roman"/>
                      <w:color w:val="auto"/>
                      <w:sz w:val="21"/>
                      <w:szCs w:val="21"/>
                    </w:rPr>
                    <w:t>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lang w:val="en-US"/>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严格控制高耗能、高排放行业发展，新引入的行业、企业不得对优先区域生物多样性造成影响。</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保护自然生态系统与重要物种栖息地，限制或禁止各种损害栖息地的经济社会活动和生产方式，如无序采矿、毁林开荒、湿地和草地开垦、道路建设等。防止生态建设导致栖息环境的改变。</w:t>
                  </w:r>
                </w:p>
              </w:tc>
              <w:tc>
                <w:tcPr>
                  <w:tcW w:w="789"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水土流失</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本项目不在崩塌、滑坡危险区和泥石流易发区，不属于植物保护带，项目建设不会带来水土流失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1.有关基础设施建设、矿产资源开发、城镇建设、公共服务设施建设等方面的规划，在实施过</w:t>
                  </w:r>
                  <w:r>
                    <w:rPr>
                      <w:rFonts w:hint="eastAsia" w:ascii="Times New Roman" w:hAnsi="Times New Roman" w:cs="Times New Roman"/>
                      <w:color w:val="auto"/>
                      <w:sz w:val="21"/>
                      <w:szCs w:val="21"/>
                    </w:rPr>
                    <w:t>程中可能造成水土流失的，规划的组织编制机关应当在规划中提出水土流失预防和治理的对策和措施。2.对采伐区和集材道应当采取防止水土流失的措施，并在采伐后及时更新造林。</w:t>
                  </w:r>
                  <w:r>
                    <w:rPr>
                      <w:rFonts w:hint="eastAsia" w:ascii="Times New Roman" w:hAnsi="Times New Roman" w:cs="Times New Roman"/>
                      <w:color w:val="auto"/>
                      <w:sz w:val="21"/>
                      <w:szCs w:val="21"/>
                      <w:lang w:val="en-US"/>
                    </w:rPr>
                    <w:t>3.生产建设项目选址、选线应当避让水土流失重点预防区和重点治理区；无法避让的，应当提高防治标准，优化施工工艺，减少地表扰动和植被损坏范围，有效控制可能造成的水土流失。4.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w:t>
                  </w:r>
                </w:p>
              </w:tc>
              <w:tc>
                <w:tcPr>
                  <w:tcW w:w="789" w:type="dxa"/>
                  <w:vMerge w:val="continue"/>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土地沙化</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1.禁止在沙化土地上砍挖灌木、药材及其他固沙植物。2.在沙化土地封禁保护区范围内，禁止一切破坏植被的活动。禁止在沙化土地封禁保护区范围内安置移民</w:t>
                  </w:r>
                  <w:r>
                    <w:rPr>
                      <w:rFonts w:hint="eastAsia" w:cs="Times New Roman"/>
                      <w:color w:val="auto"/>
                      <w:sz w:val="21"/>
                      <w:szCs w:val="21"/>
                    </w:rPr>
                    <w:t>。</w:t>
                  </w:r>
                </w:p>
              </w:tc>
              <w:tc>
                <w:tcPr>
                  <w:tcW w:w="789" w:type="dxa"/>
                  <w:vMerge w:val="restart"/>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项目占地不属于沙化土地封禁保护区，项目建设不会带来土地沙化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在对防风固沙林网、林带进行抚育更新性质的采伐之前，必须在其附近预先形成接替林网和林带。</w:t>
                  </w:r>
                </w:p>
              </w:tc>
              <w:tc>
                <w:tcPr>
                  <w:tcW w:w="789" w:type="dxa"/>
                  <w:vMerge w:val="continue"/>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restart"/>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河湖滨岸带</w:t>
                  </w:r>
                </w:p>
              </w:tc>
              <w:tc>
                <w:tcPr>
                  <w:tcW w:w="270" w:type="dxa"/>
                  <w:vMerge w:val="restart"/>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空间布局约束</w:t>
                  </w: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禁止类活动</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任何单位和个人不得擅自占用湿地或者改变湿地用途。确需占用或者征收湿地的，应当按照有关法律、法规的规定办理相应手续。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4.在河道管理范围内，禁止堆放、倾倒、掩埋、排放污染水体的物体。禁止在河道内清洗装贮过油类或者有毒污染物的车辆、容器</w:t>
                  </w:r>
                  <w:r>
                    <w:rPr>
                      <w:rFonts w:hint="eastAsia" w:ascii="Times New Roman" w:hAnsi="Times New Roman" w:cs="Times New Roman"/>
                      <w:color w:val="auto"/>
                      <w:sz w:val="21"/>
                      <w:szCs w:val="21"/>
                    </w:rPr>
                    <w:t>。</w:t>
                  </w:r>
                </w:p>
              </w:tc>
              <w:tc>
                <w:tcPr>
                  <w:tcW w:w="789" w:type="dxa"/>
                  <w:vMerge w:val="restart"/>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本项目占地不属于湿地、水生动物洄游通道、野生动物栖息地，项目周边无水利工程、河道、湖泊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248" w:type="dxa"/>
                  <w:vMerge w:val="continue"/>
                  <w:tcBorders>
                    <w:right w:val="single" w:color="000000" w:sz="4" w:space="0"/>
                  </w:tcBorders>
                  <w:vAlign w:val="center"/>
                </w:tcPr>
                <w:p>
                  <w:pPr>
                    <w:tabs>
                      <w:tab w:val="left" w:pos="828"/>
                    </w:tabs>
                    <w:autoSpaceDE/>
                    <w:autoSpaceDN/>
                    <w:jc w:val="center"/>
                    <w:rPr>
                      <w:rFonts w:ascii="Times New Roman" w:hAnsi="Times New Roman" w:cs="Times New Roman"/>
                      <w:color w:val="auto"/>
                      <w:sz w:val="21"/>
                      <w:szCs w:val="21"/>
                    </w:rPr>
                  </w:pPr>
                </w:p>
              </w:tc>
              <w:tc>
                <w:tcPr>
                  <w:tcW w:w="270" w:type="dxa"/>
                  <w:vMerge w:val="continue"/>
                  <w:tcBorders>
                    <w:left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270" w:type="dxa"/>
                  <w:vMerge w:val="continue"/>
                  <w:tcBorders>
                    <w:left w:val="single" w:color="auto" w:sz="4" w:space="0"/>
                  </w:tcBorders>
                  <w:vAlign w:val="center"/>
                </w:tcPr>
                <w:p>
                  <w:pPr>
                    <w:autoSpaceDE/>
                    <w:autoSpaceDN/>
                    <w:jc w:val="center"/>
                    <w:rPr>
                      <w:rFonts w:ascii="Times New Roman" w:hAnsi="Times New Roman" w:cs="Times New Roman"/>
                      <w:color w:val="auto"/>
                      <w:sz w:val="21"/>
                      <w:szCs w:val="21"/>
                    </w:rPr>
                  </w:pPr>
                </w:p>
              </w:tc>
              <w:tc>
                <w:tcPr>
                  <w:tcW w:w="702" w:type="dxa"/>
                  <w:tcBorders>
                    <w:left w:val="single" w:color="auto"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允许类活动相关要求</w:t>
                  </w:r>
                </w:p>
              </w:tc>
              <w:tc>
                <w:tcPr>
                  <w:tcW w:w="5412" w:type="dxa"/>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因建设工程等特殊需要确需临时占用湿地的，应当经县级人民政府有关湿地保护管理部门批准。临时占用湿地的期限不得超过二年，不得修筑永久性建筑物。占用期满后，用地单位应当按照有关标准进行生态修复。</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在湿地内从事生产经营、观赏旅游、科学研究、调查观测、科普教育等活动，应当避免影响、降低湿地生态功能和对野生生物物种造成损害。</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在河道管理范围内进行下列活动，必须报经河道主管机关批准；涉及其他部门的，由河道主管机关会同有关部门批准：采砂、取土、淘金、弃置砂石或者淤泥；爆破、钻探、挖筑鱼塘；在河道滩地存放物料、修建厂房或者其他建筑设施；在河道滩地开采地下资源及进行考古发掘。</w:t>
                  </w:r>
                  <w:r>
                    <w:rPr>
                      <w:rFonts w:hint="eastAsia" w:ascii="Times New Roman" w:hAnsi="Times New Roman" w:cs="Times New Roman"/>
                      <w:color w:val="auto"/>
                      <w:sz w:val="21"/>
                      <w:szCs w:val="21"/>
                      <w:lang w:val="en-US"/>
                    </w:rPr>
                    <w:t>4.</w:t>
                  </w:r>
                  <w:r>
                    <w:rPr>
                      <w:rFonts w:ascii="Times New Roman" w:hAnsi="Times New Roman" w:cs="Times New Roman"/>
                      <w:color w:val="auto"/>
                      <w:sz w:val="21"/>
                      <w:szCs w:val="21"/>
                    </w:rPr>
                    <w:t>向河道、湖泊排污的排污口的设置和扩大，排污单位在向生态环境部门申报之前，应当征得河道主管机关的同意</w:t>
                  </w:r>
                  <w:r>
                    <w:rPr>
                      <w:rFonts w:hint="eastAsia" w:ascii="Times New Roman" w:hAnsi="Times New Roman" w:cs="Times New Roman"/>
                      <w:color w:val="auto"/>
                      <w:sz w:val="21"/>
                      <w:szCs w:val="21"/>
                    </w:rPr>
                    <w:t>。</w:t>
                  </w:r>
                </w:p>
              </w:tc>
              <w:tc>
                <w:tcPr>
                  <w:tcW w:w="789" w:type="dxa"/>
                  <w:vMerge w:val="continue"/>
                  <w:tcBorders>
                    <w:left w:val="single" w:color="auto" w:sz="4" w:space="0"/>
                  </w:tcBorders>
                  <w:vAlign w:val="center"/>
                </w:tcPr>
                <w:p>
                  <w:pPr>
                    <w:tabs>
                      <w:tab w:val="left" w:pos="828"/>
                    </w:tabs>
                    <w:autoSpaceDE/>
                    <w:autoSpaceDN/>
                    <w:jc w:val="center"/>
                    <w:rPr>
                      <w:rFonts w:ascii="Times New Roman" w:hAnsi="Times New Roman" w:cs="Times New Roman"/>
                      <w:color w:val="auto"/>
                      <w:sz w:val="21"/>
                      <w:szCs w:val="21"/>
                    </w:rPr>
                  </w:pPr>
                </w:p>
              </w:tc>
            </w:tr>
          </w:tbl>
          <w:p>
            <w:pPr>
              <w:adjustRightInd w:val="0"/>
              <w:snapToGrid w:val="0"/>
              <w:spacing w:line="48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表1</w:t>
            </w: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全市各类自然保护地总体管控符合性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8"/>
              <w:gridCol w:w="350"/>
              <w:gridCol w:w="618"/>
              <w:gridCol w:w="5983"/>
              <w:gridCol w:w="3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tcBorders>
                    <w:bottom w:val="single" w:color="000000" w:sz="4" w:space="0"/>
                    <w:right w:val="single" w:color="000000" w:sz="4" w:space="0"/>
                  </w:tcBorders>
                  <w:vAlign w:val="center"/>
                </w:tcPr>
                <w:p>
                  <w:pPr>
                    <w:autoSpaceDE/>
                    <w:autoSpaceDN/>
                    <w:jc w:val="center"/>
                    <w:rPr>
                      <w:b/>
                      <w:color w:val="auto"/>
                      <w:sz w:val="21"/>
                      <w:szCs w:val="21"/>
                    </w:rPr>
                  </w:pPr>
                  <w:r>
                    <w:rPr>
                      <w:rFonts w:hint="eastAsia"/>
                      <w:b/>
                      <w:color w:val="auto"/>
                      <w:sz w:val="21"/>
                      <w:szCs w:val="21"/>
                    </w:rPr>
                    <w:t>属性</w:t>
                  </w:r>
                </w:p>
              </w:tc>
              <w:tc>
                <w:tcPr>
                  <w:tcW w:w="954" w:type="dxa"/>
                  <w:gridSpan w:val="2"/>
                  <w:tcBorders>
                    <w:left w:val="single" w:color="000000" w:sz="4" w:space="0"/>
                    <w:bottom w:val="single" w:color="000000" w:sz="4" w:space="0"/>
                  </w:tcBorders>
                  <w:vAlign w:val="center"/>
                </w:tcPr>
                <w:p>
                  <w:pPr>
                    <w:autoSpaceDE/>
                    <w:autoSpaceDN/>
                    <w:jc w:val="center"/>
                    <w:rPr>
                      <w:b/>
                      <w:color w:val="auto"/>
                      <w:sz w:val="21"/>
                      <w:szCs w:val="21"/>
                    </w:rPr>
                  </w:pPr>
                  <w:r>
                    <w:rPr>
                      <w:rFonts w:hint="eastAsia"/>
                      <w:b/>
                      <w:color w:val="auto"/>
                      <w:sz w:val="21"/>
                      <w:szCs w:val="21"/>
                    </w:rPr>
                    <w:t>管控</w:t>
                  </w:r>
                </w:p>
              </w:tc>
              <w:tc>
                <w:tcPr>
                  <w:tcW w:w="5892" w:type="dxa"/>
                  <w:tcBorders>
                    <w:left w:val="single" w:color="000000" w:sz="4" w:space="0"/>
                    <w:bottom w:val="single" w:color="000000" w:sz="4" w:space="0"/>
                  </w:tcBorders>
                  <w:vAlign w:val="center"/>
                </w:tcPr>
                <w:p>
                  <w:pPr>
                    <w:tabs>
                      <w:tab w:val="left" w:pos="759"/>
                    </w:tabs>
                    <w:autoSpaceDE/>
                    <w:autoSpaceDN/>
                    <w:jc w:val="center"/>
                    <w:rPr>
                      <w:b/>
                      <w:color w:val="auto"/>
                      <w:sz w:val="21"/>
                      <w:szCs w:val="21"/>
                    </w:rPr>
                  </w:pPr>
                  <w:r>
                    <w:rPr>
                      <w:rFonts w:hint="eastAsia"/>
                      <w:b/>
                      <w:color w:val="auto"/>
                      <w:sz w:val="21"/>
                      <w:szCs w:val="21"/>
                    </w:rPr>
                    <w:t>管控要求</w:t>
                  </w:r>
                </w:p>
              </w:tc>
              <w:tc>
                <w:tcPr>
                  <w:tcW w:w="299" w:type="dxa"/>
                  <w:tcBorders>
                    <w:left w:val="single" w:color="000000" w:sz="4" w:space="0"/>
                    <w:bottom w:val="single" w:color="000000" w:sz="4" w:space="0"/>
                  </w:tcBorders>
                  <w:vAlign w:val="center"/>
                </w:tcPr>
                <w:p>
                  <w:pPr>
                    <w:tabs>
                      <w:tab w:val="left" w:pos="759"/>
                    </w:tabs>
                    <w:autoSpaceDE/>
                    <w:autoSpaceDN/>
                    <w:jc w:val="center"/>
                    <w:rPr>
                      <w:b/>
                      <w:color w:val="auto"/>
                      <w:sz w:val="21"/>
                      <w:szCs w:val="21"/>
                    </w:rPr>
                  </w:pPr>
                  <w:r>
                    <w:rPr>
                      <w:rFonts w:hint="eastAsia"/>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restart"/>
                  <w:tcBorders>
                    <w:top w:val="single" w:color="000000" w:sz="4" w:space="0"/>
                    <w:right w:val="single" w:color="000000" w:sz="4" w:space="0"/>
                  </w:tcBorders>
                  <w:vAlign w:val="center"/>
                </w:tcPr>
                <w:p>
                  <w:pPr>
                    <w:autoSpaceDE/>
                    <w:autoSpaceDN/>
                    <w:jc w:val="center"/>
                    <w:rPr>
                      <w:color w:val="auto"/>
                      <w:sz w:val="21"/>
                      <w:szCs w:val="21"/>
                    </w:rPr>
                  </w:pPr>
                  <w:r>
                    <w:rPr>
                      <w:rFonts w:hint="eastAsia"/>
                      <w:color w:val="auto"/>
                      <w:sz w:val="21"/>
                      <w:szCs w:val="21"/>
                    </w:rPr>
                    <w:t>自然保护区</w:t>
                  </w:r>
                </w:p>
              </w:tc>
              <w:tc>
                <w:tcPr>
                  <w:tcW w:w="345" w:type="dxa"/>
                  <w:vMerge w:val="restart"/>
                  <w:tcBorders>
                    <w:top w:val="single" w:color="000000" w:sz="4" w:space="0"/>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609" w:type="dxa"/>
                  <w:tcBorders>
                    <w:top w:val="single" w:color="000000" w:sz="4" w:space="0"/>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5892" w:type="dxa"/>
                  <w:tcBorders>
                    <w:top w:val="single" w:color="000000" w:sz="4" w:space="0"/>
                    <w:left w:val="single" w:color="000000" w:sz="4" w:space="0"/>
                  </w:tcBorders>
                  <w:vAlign w:val="center"/>
                </w:tcPr>
                <w:p>
                  <w:pPr>
                    <w:autoSpaceDE/>
                    <w:autoSpaceDN/>
                    <w:jc w:val="center"/>
                    <w:rPr>
                      <w:color w:val="auto"/>
                      <w:sz w:val="21"/>
                      <w:szCs w:val="21"/>
                    </w:rPr>
                  </w:pPr>
                  <w:r>
                    <w:rPr>
                      <w:rFonts w:hint="eastAsia"/>
                      <w:color w:val="auto"/>
                      <w:sz w:val="21"/>
                      <w:szCs w:val="21"/>
                    </w:rPr>
                    <w:t>1.禁止在自然保护区内进行砍伐、放牧、狩猎、捕捞、采药、开垦、烧荒、开矿、采石、挖沙等活动；但是，法律、行政法规另有规定的除外。2.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3.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4.在自然保护区的核心区和缓冲区内，不得建设任何生产设施。</w:t>
                  </w:r>
                </w:p>
              </w:tc>
              <w:tc>
                <w:tcPr>
                  <w:tcW w:w="299" w:type="dxa"/>
                  <w:vMerge w:val="restart"/>
                  <w:tcBorders>
                    <w:top w:val="single" w:color="000000" w:sz="4" w:space="0"/>
                    <w:left w:val="single" w:color="000000" w:sz="4" w:space="0"/>
                  </w:tcBorders>
                  <w:vAlign w:val="center"/>
                </w:tcPr>
                <w:p>
                  <w:pPr>
                    <w:autoSpaceDE/>
                    <w:autoSpaceDN/>
                    <w:jc w:val="center"/>
                    <w:rPr>
                      <w:color w:val="auto"/>
                      <w:kern w:val="2"/>
                      <w:sz w:val="21"/>
                      <w:szCs w:val="21"/>
                    </w:rPr>
                  </w:pPr>
                  <w:r>
                    <w:rPr>
                      <w:rFonts w:hint="eastAsia"/>
                      <w:color w:val="auto"/>
                      <w:sz w:val="21"/>
                      <w:szCs w:val="21"/>
                    </w:rPr>
                    <w:t>本项目占地不涉及自然保护区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continue"/>
                  <w:tcBorders>
                    <w:bottom w:val="single" w:color="000000" w:sz="4" w:space="0"/>
                    <w:right w:val="single" w:color="000000" w:sz="4" w:space="0"/>
                  </w:tcBorders>
                  <w:vAlign w:val="center"/>
                </w:tcPr>
                <w:p>
                  <w:pPr>
                    <w:autoSpaceDE/>
                    <w:autoSpaceDN/>
                    <w:jc w:val="center"/>
                    <w:rPr>
                      <w:color w:val="auto"/>
                      <w:sz w:val="21"/>
                      <w:szCs w:val="21"/>
                    </w:rPr>
                  </w:pPr>
                </w:p>
              </w:tc>
              <w:tc>
                <w:tcPr>
                  <w:tcW w:w="345" w:type="dxa"/>
                  <w:vMerge w:val="continue"/>
                  <w:tcBorders>
                    <w:left w:val="single" w:color="000000" w:sz="4" w:space="0"/>
                  </w:tcBorders>
                  <w:vAlign w:val="center"/>
                </w:tcPr>
                <w:p>
                  <w:pPr>
                    <w:autoSpaceDE/>
                    <w:autoSpaceDN/>
                    <w:jc w:val="center"/>
                    <w:rPr>
                      <w:color w:val="auto"/>
                      <w:sz w:val="21"/>
                      <w:szCs w:val="21"/>
                    </w:rPr>
                  </w:pPr>
                </w:p>
              </w:tc>
              <w:tc>
                <w:tcPr>
                  <w:tcW w:w="60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5892" w:type="dxa"/>
                  <w:tcBorders>
                    <w:left w:val="single" w:color="000000" w:sz="4" w:space="0"/>
                  </w:tcBorders>
                  <w:vAlign w:val="center"/>
                </w:tcPr>
                <w:p>
                  <w:pPr>
                    <w:autoSpaceDE/>
                    <w:autoSpaceDN/>
                    <w:jc w:val="center"/>
                    <w:rPr>
                      <w:color w:val="auto"/>
                      <w:sz w:val="21"/>
                      <w:szCs w:val="21"/>
                      <w:lang w:val="en-US"/>
                    </w:rPr>
                  </w:pPr>
                  <w:r>
                    <w:rPr>
                      <w:color w:val="auto"/>
                      <w:sz w:val="21"/>
                      <w:szCs w:val="21"/>
                    </w:rPr>
                    <w:t>1.在自然保护区组织参观、旅游活动的，应当严格按照前款规定的方案进行，并加强管理；进入自然保护区参观、旅游的单位和个人，应当服从自然保护区管理机构的管理。</w:t>
                  </w:r>
                  <w:r>
                    <w:rPr>
                      <w:rFonts w:hint="eastAsia"/>
                      <w:color w:val="auto"/>
                      <w:sz w:val="21"/>
                      <w:szCs w:val="21"/>
                      <w:lang w:val="en-US"/>
                    </w:rPr>
                    <w:t>2.在自然保护区的外围保护地带建设的项目，不得损害自然保护区内的环境质量；已造成损害的，应当限期治理。限期治理决定由法律、法规规定的机关作出，被限期治理的企业事业单位必须按期完成治理任务。</w:t>
                  </w:r>
                </w:p>
              </w:tc>
              <w:tc>
                <w:tcPr>
                  <w:tcW w:w="299" w:type="dxa"/>
                  <w:vMerge w:val="continue"/>
                  <w:tcBorders>
                    <w:left w:val="single" w:color="000000" w:sz="4" w:space="0"/>
                  </w:tcBorders>
                  <w:vAlign w:val="center"/>
                </w:tcPr>
                <w:p>
                  <w:pPr>
                    <w:autoSpaceDE/>
                    <w:autoSpaceDN/>
                    <w:jc w:val="center"/>
                    <w:rPr>
                      <w:color w:val="auto"/>
                      <w:kern w:val="2"/>
                      <w:sz w:val="21"/>
                      <w:szCs w:val="21"/>
                      <w:lang w:val="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restart"/>
                  <w:tcBorders>
                    <w:top w:val="single" w:color="000000" w:sz="4" w:space="0"/>
                    <w:right w:val="single" w:color="000000" w:sz="4" w:space="0"/>
                  </w:tcBorders>
                  <w:vAlign w:val="center"/>
                </w:tcPr>
                <w:p>
                  <w:pPr>
                    <w:autoSpaceDE/>
                    <w:autoSpaceDN/>
                    <w:jc w:val="center"/>
                    <w:rPr>
                      <w:color w:val="auto"/>
                      <w:sz w:val="21"/>
                      <w:szCs w:val="21"/>
                    </w:rPr>
                  </w:pPr>
                  <w:r>
                    <w:rPr>
                      <w:rFonts w:hint="eastAsia"/>
                      <w:color w:val="auto"/>
                      <w:sz w:val="21"/>
                      <w:szCs w:val="21"/>
                    </w:rPr>
                    <w:t>风景名胜区</w:t>
                  </w:r>
                </w:p>
              </w:tc>
              <w:tc>
                <w:tcPr>
                  <w:tcW w:w="345" w:type="dxa"/>
                  <w:vMerge w:val="restart"/>
                  <w:tcBorders>
                    <w:top w:val="nil"/>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609" w:type="dxa"/>
                  <w:tcBorders>
                    <w:top w:val="nil"/>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5892" w:type="dxa"/>
                  <w:tcBorders>
                    <w:top w:val="nil"/>
                    <w:left w:val="single" w:color="000000" w:sz="4" w:space="0"/>
                  </w:tcBorders>
                  <w:vAlign w:val="center"/>
                </w:tcPr>
                <w:p>
                  <w:pPr>
                    <w:jc w:val="center"/>
                    <w:rPr>
                      <w:color w:val="auto"/>
                    </w:rPr>
                  </w:pPr>
                  <w:r>
                    <w:rPr>
                      <w:rFonts w:hint="eastAsia"/>
                      <w:color w:val="auto"/>
                      <w:sz w:val="21"/>
                      <w:szCs w:val="21"/>
                    </w:rPr>
                    <w:t>1.在风景名胜区内禁止进行下列活动：开山、采石、开矿、开荒、修坟立碑等破坏景观、植被和地形地貌的活动；修建储存爆炸性、易燃性、放射性、毒害性、腐蚀性物品的设施；在景物或者设施上刻划、涂污；乱扔垃圾；排放、倾倒污染环境的废水、废气和废渣；采伐、毁坏古树名木。2.禁止违反风景名胜区规划，在风景名胜区内设立各类开发区和在核心景区内建设宾馆、招待所、培训中心、疗养院以及与风景名胜资源保护无关的其他建筑物；已经建设的，应当按照风景名胜区规划，逐步迁出。3.风景名胜区外围保护地带不得建设影响景观、污染环境的工业设施或者场所</w:t>
                  </w:r>
                </w:p>
              </w:tc>
              <w:tc>
                <w:tcPr>
                  <w:tcW w:w="299" w:type="dxa"/>
                  <w:vMerge w:val="restart"/>
                  <w:tcBorders>
                    <w:left w:val="single" w:color="000000" w:sz="4" w:space="0"/>
                  </w:tcBorders>
                  <w:vAlign w:val="center"/>
                </w:tcPr>
                <w:p>
                  <w:pPr>
                    <w:jc w:val="center"/>
                    <w:rPr>
                      <w:color w:val="auto"/>
                      <w:sz w:val="21"/>
                      <w:szCs w:val="21"/>
                    </w:rPr>
                  </w:pPr>
                  <w:r>
                    <w:rPr>
                      <w:rFonts w:hint="eastAsia"/>
                      <w:color w:val="auto"/>
                      <w:sz w:val="21"/>
                      <w:szCs w:val="21"/>
                    </w:rPr>
                    <w:t>本项目占地不涉及风景名胜区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continue"/>
                  <w:tcBorders>
                    <w:right w:val="single" w:color="000000" w:sz="4" w:space="0"/>
                  </w:tcBorders>
                  <w:vAlign w:val="center"/>
                </w:tcPr>
                <w:p>
                  <w:pPr>
                    <w:autoSpaceDE/>
                    <w:autoSpaceDN/>
                    <w:jc w:val="center"/>
                    <w:rPr>
                      <w:color w:val="auto"/>
                      <w:sz w:val="21"/>
                      <w:szCs w:val="21"/>
                    </w:rPr>
                  </w:pPr>
                </w:p>
              </w:tc>
              <w:tc>
                <w:tcPr>
                  <w:tcW w:w="345" w:type="dxa"/>
                  <w:vMerge w:val="continue"/>
                  <w:tcBorders>
                    <w:left w:val="single" w:color="000000" w:sz="4" w:space="0"/>
                  </w:tcBorders>
                  <w:vAlign w:val="center"/>
                </w:tcPr>
                <w:p>
                  <w:pPr>
                    <w:autoSpaceDE/>
                    <w:autoSpaceDN/>
                    <w:jc w:val="center"/>
                    <w:rPr>
                      <w:color w:val="auto"/>
                      <w:sz w:val="21"/>
                      <w:szCs w:val="21"/>
                    </w:rPr>
                  </w:pPr>
                </w:p>
              </w:tc>
              <w:tc>
                <w:tcPr>
                  <w:tcW w:w="60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5892" w:type="dxa"/>
                  <w:tcBorders>
                    <w:left w:val="single" w:color="000000" w:sz="4" w:space="0"/>
                  </w:tcBorders>
                  <w:vAlign w:val="center"/>
                </w:tcPr>
                <w:p>
                  <w:pPr>
                    <w:autoSpaceDE/>
                    <w:autoSpaceDN/>
                    <w:jc w:val="center"/>
                    <w:rPr>
                      <w:color w:val="auto"/>
                      <w:sz w:val="21"/>
                      <w:szCs w:val="21"/>
                    </w:rPr>
                  </w:pPr>
                  <w:r>
                    <w:rPr>
                      <w:color w:val="auto"/>
                      <w:sz w:val="21"/>
                      <w:szCs w:val="21"/>
                    </w:rPr>
                    <w:t>1.在风景名胜区内进行建设活动的，建设单位、施工单位应当制定污染防治和水土保持方案，并采取有效措施，保护好周围景物、水体、林草植被、野生动物资源和地形地貌。2.在风景名胜区内从事影视拍摄等影响生态和景观的活动，应当经风景名胜区管理机构审核后，依照有关法律、法规的规定报有关主管部门批准。3.风景名胜区内居民的生产生活方式应当有利于保护风景名胜资源和传承当地民俗风貌。在风景名胜区内新建居民住宅，应当在规划确定的居住用地范围内依法建设。规划确定需要拆除的居民住宅，不得翻建、改建、扩建。</w:t>
                  </w:r>
                </w:p>
              </w:tc>
              <w:tc>
                <w:tcPr>
                  <w:tcW w:w="299" w:type="dxa"/>
                  <w:vMerge w:val="continue"/>
                  <w:tcBorders>
                    <w:left w:val="single" w:color="000000" w:sz="4" w:space="0"/>
                  </w:tcBorders>
                  <w:vAlign w:val="center"/>
                </w:tcPr>
                <w:p>
                  <w:pPr>
                    <w:autoSpaceDE/>
                    <w:autoSpaceDN/>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restart"/>
                  <w:tcBorders>
                    <w:right w:val="single" w:color="000000" w:sz="4" w:space="0"/>
                  </w:tcBorders>
                  <w:vAlign w:val="center"/>
                </w:tcPr>
                <w:p>
                  <w:pPr>
                    <w:autoSpaceDE/>
                    <w:autoSpaceDN/>
                    <w:jc w:val="center"/>
                    <w:rPr>
                      <w:color w:val="auto"/>
                      <w:sz w:val="21"/>
                      <w:szCs w:val="21"/>
                    </w:rPr>
                  </w:pPr>
                  <w:r>
                    <w:rPr>
                      <w:rFonts w:hint="eastAsia"/>
                      <w:color w:val="auto"/>
                      <w:sz w:val="21"/>
                      <w:szCs w:val="21"/>
                    </w:rPr>
                    <w:t>湿地公园</w:t>
                  </w:r>
                </w:p>
              </w:tc>
              <w:tc>
                <w:tcPr>
                  <w:tcW w:w="345"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60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5892"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w:t>
                  </w:r>
                </w:p>
              </w:tc>
              <w:tc>
                <w:tcPr>
                  <w:tcW w:w="299"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本项目占地不涉及湿地公园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continue"/>
                  <w:tcBorders>
                    <w:right w:val="single" w:color="000000" w:sz="4" w:space="0"/>
                  </w:tcBorders>
                  <w:vAlign w:val="center"/>
                </w:tcPr>
                <w:p>
                  <w:pPr>
                    <w:autoSpaceDE/>
                    <w:autoSpaceDN/>
                    <w:jc w:val="center"/>
                    <w:rPr>
                      <w:color w:val="auto"/>
                      <w:sz w:val="21"/>
                      <w:szCs w:val="21"/>
                    </w:rPr>
                  </w:pPr>
                </w:p>
              </w:tc>
              <w:tc>
                <w:tcPr>
                  <w:tcW w:w="345" w:type="dxa"/>
                  <w:vMerge w:val="continue"/>
                  <w:tcBorders>
                    <w:left w:val="single" w:color="000000" w:sz="4" w:space="0"/>
                  </w:tcBorders>
                  <w:vAlign w:val="center"/>
                </w:tcPr>
                <w:p>
                  <w:pPr>
                    <w:autoSpaceDE/>
                    <w:autoSpaceDN/>
                    <w:jc w:val="center"/>
                    <w:rPr>
                      <w:color w:val="auto"/>
                      <w:sz w:val="21"/>
                      <w:szCs w:val="21"/>
                    </w:rPr>
                  </w:pPr>
                </w:p>
              </w:tc>
              <w:tc>
                <w:tcPr>
                  <w:tcW w:w="60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5892" w:type="dxa"/>
                  <w:tcBorders>
                    <w:left w:val="single" w:color="000000" w:sz="4" w:space="0"/>
                  </w:tcBorders>
                  <w:vAlign w:val="center"/>
                </w:tcPr>
                <w:p>
                  <w:pPr>
                    <w:autoSpaceDE/>
                    <w:autoSpaceDN/>
                    <w:jc w:val="center"/>
                    <w:rPr>
                      <w:color w:val="auto"/>
                      <w:sz w:val="21"/>
                      <w:szCs w:val="21"/>
                    </w:rPr>
                  </w:pPr>
                  <w:r>
                    <w:rPr>
                      <w:color w:val="auto"/>
                      <w:sz w:val="21"/>
                      <w:szCs w:val="21"/>
                      <w:lang w:val="en-US"/>
                    </w:rPr>
                    <w:t xml:space="preserve">在湿地内从事生产经营、观赏旅游、科学研究、调查观测、 </w:t>
                  </w:r>
                </w:p>
                <w:p>
                  <w:pPr>
                    <w:autoSpaceDE/>
                    <w:autoSpaceDN/>
                    <w:jc w:val="center"/>
                    <w:rPr>
                      <w:color w:val="auto"/>
                      <w:sz w:val="21"/>
                      <w:szCs w:val="21"/>
                    </w:rPr>
                  </w:pPr>
                  <w:r>
                    <w:rPr>
                      <w:color w:val="auto"/>
                      <w:sz w:val="21"/>
                      <w:szCs w:val="21"/>
                      <w:lang w:val="en-US"/>
                    </w:rPr>
                    <w:t>科普教育等活动，应当避免影响、降低湿地生态功能和对野生生物物种造成损害。</w:t>
                  </w:r>
                </w:p>
              </w:tc>
              <w:tc>
                <w:tcPr>
                  <w:tcW w:w="299" w:type="dxa"/>
                  <w:vMerge w:val="continue"/>
                  <w:tcBorders>
                    <w:left w:val="single" w:color="000000" w:sz="4" w:space="0"/>
                  </w:tcBorders>
                  <w:vAlign w:val="center"/>
                </w:tcPr>
                <w:p>
                  <w:pPr>
                    <w:autoSpaceDE/>
                    <w:autoSpaceDN/>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restart"/>
                  <w:tcBorders>
                    <w:right w:val="single" w:color="000000" w:sz="4" w:space="0"/>
                  </w:tcBorders>
                  <w:vAlign w:val="center"/>
                </w:tcPr>
                <w:p>
                  <w:pPr>
                    <w:autoSpaceDE/>
                    <w:autoSpaceDN/>
                    <w:jc w:val="center"/>
                    <w:rPr>
                      <w:color w:val="auto"/>
                      <w:sz w:val="21"/>
                      <w:szCs w:val="21"/>
                    </w:rPr>
                  </w:pPr>
                  <w:r>
                    <w:rPr>
                      <w:rFonts w:hint="eastAsia"/>
                      <w:color w:val="auto"/>
                      <w:sz w:val="21"/>
                      <w:szCs w:val="21"/>
                    </w:rPr>
                    <w:t>森林公园</w:t>
                  </w:r>
                </w:p>
              </w:tc>
              <w:tc>
                <w:tcPr>
                  <w:tcW w:w="345"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60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5892" w:type="dxa"/>
                  <w:tcBorders>
                    <w:left w:val="single" w:color="000000" w:sz="4" w:space="0"/>
                  </w:tcBorders>
                  <w:vAlign w:val="center"/>
                </w:tcPr>
                <w:p>
                  <w:pPr>
                    <w:autoSpaceDE/>
                    <w:autoSpaceDN/>
                    <w:jc w:val="center"/>
                    <w:rPr>
                      <w:color w:val="auto"/>
                      <w:sz w:val="21"/>
                      <w:szCs w:val="21"/>
                    </w:rPr>
                  </w:pPr>
                  <w:r>
                    <w:rPr>
                      <w:color w:val="auto"/>
                      <w:sz w:val="21"/>
                      <w:szCs w:val="21"/>
                      <w:lang w:val="en-US"/>
                    </w:rPr>
                    <w:t xml:space="preserve">禁止擅自在国家级自然公园内从事采矿、房地产、开发区、 </w:t>
                  </w:r>
                </w:p>
                <w:p>
                  <w:pPr>
                    <w:autoSpaceDE/>
                    <w:autoSpaceDN/>
                    <w:jc w:val="center"/>
                    <w:rPr>
                      <w:color w:val="auto"/>
                      <w:sz w:val="21"/>
                      <w:szCs w:val="21"/>
                    </w:rPr>
                  </w:pPr>
                  <w:r>
                    <w:rPr>
                      <w:color w:val="auto"/>
                      <w:sz w:val="21"/>
                      <w:szCs w:val="21"/>
                      <w:lang w:val="en-US"/>
                    </w:rPr>
                    <w:t>高尔夫球场、风力光伏电场等不符合管控要求的开发活动。禁止违规侵占国家级自然公园，排放不符合水污染物排放标准的工业废水、生活污水及其他的废水、污水，倾倒、堆放、丢弃、遗撒固体废物等污染生态环境的行为。</w:t>
                  </w:r>
                </w:p>
              </w:tc>
              <w:tc>
                <w:tcPr>
                  <w:tcW w:w="299"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本项目占地不涉及森林公园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continue"/>
                  <w:tcBorders>
                    <w:right w:val="single" w:color="000000" w:sz="4" w:space="0"/>
                  </w:tcBorders>
                  <w:vAlign w:val="center"/>
                </w:tcPr>
                <w:p>
                  <w:pPr>
                    <w:autoSpaceDE/>
                    <w:autoSpaceDN/>
                    <w:jc w:val="center"/>
                    <w:rPr>
                      <w:color w:val="auto"/>
                      <w:sz w:val="21"/>
                      <w:szCs w:val="21"/>
                    </w:rPr>
                  </w:pPr>
                </w:p>
              </w:tc>
              <w:tc>
                <w:tcPr>
                  <w:tcW w:w="345" w:type="dxa"/>
                  <w:vMerge w:val="continue"/>
                  <w:tcBorders>
                    <w:left w:val="single" w:color="000000" w:sz="4" w:space="0"/>
                  </w:tcBorders>
                  <w:vAlign w:val="center"/>
                </w:tcPr>
                <w:p>
                  <w:pPr>
                    <w:autoSpaceDE/>
                    <w:autoSpaceDN/>
                    <w:jc w:val="center"/>
                    <w:rPr>
                      <w:color w:val="auto"/>
                      <w:sz w:val="21"/>
                      <w:szCs w:val="21"/>
                    </w:rPr>
                  </w:pPr>
                </w:p>
              </w:tc>
              <w:tc>
                <w:tcPr>
                  <w:tcW w:w="60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5892" w:type="dxa"/>
                  <w:tcBorders>
                    <w:left w:val="single" w:color="000000" w:sz="4" w:space="0"/>
                  </w:tcBorders>
                  <w:vAlign w:val="center"/>
                </w:tcPr>
                <w:p>
                  <w:pPr>
                    <w:autoSpaceDE/>
                    <w:autoSpaceDN/>
                    <w:jc w:val="center"/>
                    <w:rPr>
                      <w:color w:val="auto"/>
                      <w:sz w:val="21"/>
                      <w:szCs w:val="21"/>
                    </w:rPr>
                  </w:pPr>
                  <w:r>
                    <w:rPr>
                      <w:color w:val="auto"/>
                      <w:sz w:val="21"/>
                      <w:szCs w:val="21"/>
                      <w:lang w:val="en-US"/>
                    </w:rPr>
                    <w:t xml:space="preserve">国家级自然公园范围内除国家重大项目外，仅允许对生态 </w:t>
                  </w:r>
                </w:p>
                <w:p>
                  <w:pPr>
                    <w:autoSpaceDE/>
                    <w:autoSpaceDN/>
                    <w:jc w:val="center"/>
                    <w:rPr>
                      <w:color w:val="auto"/>
                      <w:sz w:val="21"/>
                      <w:szCs w:val="21"/>
                    </w:rPr>
                  </w:pPr>
                  <w:r>
                    <w:rPr>
                      <w:color w:val="auto"/>
                      <w:sz w:val="21"/>
                      <w:szCs w:val="21"/>
                      <w:lang w:val="en-US"/>
                    </w:rPr>
                    <w:t>功能不造成破坏的有限人为活动：1.自然公园内居民和其他合法权益主体依法依规开展的生产生活及设施建设。2.符合自然公园保护管理要求的文化、体育活动和必要的配套设施建设。3.符合生态保护红线管控要求的其他活动和设施建设。4.法律法规和国家政策允许在自然公园内开展的其他活动。</w:t>
                  </w:r>
                </w:p>
              </w:tc>
              <w:tc>
                <w:tcPr>
                  <w:tcW w:w="299" w:type="dxa"/>
                  <w:vMerge w:val="continue"/>
                  <w:tcBorders>
                    <w:left w:val="single" w:color="000000" w:sz="4" w:space="0"/>
                  </w:tcBorders>
                  <w:vAlign w:val="center"/>
                </w:tcPr>
                <w:p>
                  <w:pPr>
                    <w:autoSpaceDE/>
                    <w:autoSpaceDN/>
                    <w:jc w:val="center"/>
                    <w:rPr>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restart"/>
                  <w:tcBorders>
                    <w:right w:val="single" w:color="000000" w:sz="4" w:space="0"/>
                  </w:tcBorders>
                  <w:vAlign w:val="center"/>
                </w:tcPr>
                <w:p>
                  <w:pPr>
                    <w:autoSpaceDE/>
                    <w:autoSpaceDN/>
                    <w:jc w:val="center"/>
                    <w:rPr>
                      <w:color w:val="auto"/>
                      <w:sz w:val="21"/>
                      <w:szCs w:val="21"/>
                    </w:rPr>
                  </w:pPr>
                  <w:r>
                    <w:rPr>
                      <w:rFonts w:hint="eastAsia"/>
                      <w:color w:val="auto"/>
                      <w:sz w:val="21"/>
                      <w:szCs w:val="21"/>
                    </w:rPr>
                    <w:t>地质公园</w:t>
                  </w:r>
                </w:p>
              </w:tc>
              <w:tc>
                <w:tcPr>
                  <w:tcW w:w="345"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空间布局</w:t>
                  </w:r>
                </w:p>
              </w:tc>
              <w:tc>
                <w:tcPr>
                  <w:tcW w:w="60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禁止类活动</w:t>
                  </w:r>
                </w:p>
              </w:tc>
              <w:tc>
                <w:tcPr>
                  <w:tcW w:w="5892"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1.任何单位和个人不得在保护区内及可能对地质遗迹造成影响的一定范围内进行采石、取土、开矿、放牧、砍伐以及其他对保护对象有损害的活动。未经管理机构批准，不得在保护区范围内采集标本和化石。2.不得在保护区内修建与地质遗迹保护无关的厂房或其他建筑设施；对已建成并可能对地质遗迹造成污染或破坏的设施，应限期治理或停业外迁。</w:t>
                  </w:r>
                </w:p>
              </w:tc>
              <w:tc>
                <w:tcPr>
                  <w:tcW w:w="299" w:type="dxa"/>
                  <w:vMerge w:val="restart"/>
                  <w:tcBorders>
                    <w:left w:val="single" w:color="000000" w:sz="4" w:space="0"/>
                  </w:tcBorders>
                  <w:vAlign w:val="center"/>
                </w:tcPr>
                <w:p>
                  <w:pPr>
                    <w:autoSpaceDE/>
                    <w:autoSpaceDN/>
                    <w:jc w:val="center"/>
                    <w:rPr>
                      <w:color w:val="auto"/>
                      <w:sz w:val="21"/>
                      <w:szCs w:val="21"/>
                    </w:rPr>
                  </w:pPr>
                  <w:r>
                    <w:rPr>
                      <w:rFonts w:hint="eastAsia"/>
                      <w:color w:val="auto"/>
                      <w:sz w:val="21"/>
                      <w:szCs w:val="21"/>
                    </w:rPr>
                    <w:t>本项目占地不涉及地质公园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510" w:type="dxa"/>
                  <w:vMerge w:val="continue"/>
                  <w:tcBorders>
                    <w:right w:val="single" w:color="000000" w:sz="4" w:space="0"/>
                  </w:tcBorders>
                  <w:vAlign w:val="center"/>
                </w:tcPr>
                <w:p>
                  <w:pPr>
                    <w:autoSpaceDE/>
                    <w:autoSpaceDN/>
                    <w:jc w:val="center"/>
                    <w:rPr>
                      <w:color w:val="auto"/>
                      <w:sz w:val="21"/>
                      <w:szCs w:val="21"/>
                    </w:rPr>
                  </w:pPr>
                </w:p>
              </w:tc>
              <w:tc>
                <w:tcPr>
                  <w:tcW w:w="345" w:type="dxa"/>
                  <w:vMerge w:val="continue"/>
                  <w:tcBorders>
                    <w:left w:val="single" w:color="000000" w:sz="4" w:space="0"/>
                  </w:tcBorders>
                  <w:vAlign w:val="center"/>
                </w:tcPr>
                <w:p>
                  <w:pPr>
                    <w:autoSpaceDE/>
                    <w:autoSpaceDN/>
                    <w:jc w:val="center"/>
                    <w:rPr>
                      <w:color w:val="auto"/>
                      <w:sz w:val="21"/>
                      <w:szCs w:val="21"/>
                    </w:rPr>
                  </w:pPr>
                </w:p>
              </w:tc>
              <w:tc>
                <w:tcPr>
                  <w:tcW w:w="609" w:type="dxa"/>
                  <w:tcBorders>
                    <w:left w:val="single" w:color="000000" w:sz="4" w:space="0"/>
                  </w:tcBorders>
                  <w:vAlign w:val="center"/>
                </w:tcPr>
                <w:p>
                  <w:pPr>
                    <w:autoSpaceDE/>
                    <w:autoSpaceDN/>
                    <w:jc w:val="center"/>
                    <w:rPr>
                      <w:color w:val="auto"/>
                      <w:sz w:val="21"/>
                      <w:szCs w:val="21"/>
                    </w:rPr>
                  </w:pPr>
                  <w:r>
                    <w:rPr>
                      <w:rFonts w:hint="eastAsia"/>
                      <w:color w:val="auto"/>
                      <w:sz w:val="21"/>
                      <w:szCs w:val="21"/>
                    </w:rPr>
                    <w:t>允许类活动相关要求</w:t>
                  </w:r>
                </w:p>
              </w:tc>
              <w:tc>
                <w:tcPr>
                  <w:tcW w:w="5892" w:type="dxa"/>
                  <w:tcBorders>
                    <w:left w:val="single" w:color="000000" w:sz="4" w:space="0"/>
                  </w:tcBorders>
                  <w:vAlign w:val="center"/>
                </w:tcPr>
                <w:p>
                  <w:pPr>
                    <w:autoSpaceDE/>
                    <w:autoSpaceDN/>
                    <w:jc w:val="center"/>
                    <w:rPr>
                      <w:color w:val="auto"/>
                      <w:sz w:val="21"/>
                      <w:szCs w:val="21"/>
                    </w:rPr>
                  </w:pPr>
                  <w:r>
                    <w:rPr>
                      <w:rFonts w:hint="eastAsia"/>
                      <w:color w:val="auto"/>
                      <w:sz w:val="21"/>
                      <w:szCs w:val="21"/>
                      <w:lang w:val="en-US"/>
                    </w:rPr>
                    <w:t>1.</w:t>
                  </w:r>
                  <w:r>
                    <w:rPr>
                      <w:rFonts w:hint="eastAsia"/>
                      <w:color w:val="auto"/>
                      <w:sz w:val="21"/>
                      <w:szCs w:val="21"/>
                    </w:rPr>
                    <w:t>对国际或国内具有极为罕见和重要科学价值的地质遗迹实施一级保护，非经批准不得入内。经设立该级地质遗迹保护区的人民政府地质矿产行政主管部门批准，可组织进行参观、科研或国际间交往。</w:t>
                  </w:r>
                  <w:r>
                    <w:rPr>
                      <w:rFonts w:hint="eastAsia"/>
                      <w:color w:val="auto"/>
                      <w:sz w:val="21"/>
                      <w:szCs w:val="21"/>
                      <w:lang w:val="en-US"/>
                    </w:rPr>
                    <w:t>2.</w:t>
                  </w:r>
                  <w:r>
                    <w:rPr>
                      <w:rFonts w:hint="eastAsia"/>
                      <w:color w:val="auto"/>
                      <w:sz w:val="21"/>
                      <w:szCs w:val="21"/>
                    </w:rPr>
                    <w:t>对大区域范围内具有重要科学价值的地质遗迹实施二级保护。经设立该级地质遗迹保护区的人民政府地质矿产行政主管部门批准，可有组织地进行科研、教学、学术交流及适当的旅游活动。</w:t>
                  </w:r>
                  <w:r>
                    <w:rPr>
                      <w:rFonts w:hint="eastAsia"/>
                      <w:color w:val="auto"/>
                      <w:sz w:val="21"/>
                      <w:szCs w:val="21"/>
                      <w:lang w:val="en-US"/>
                    </w:rPr>
                    <w:t>3.</w:t>
                  </w:r>
                  <w:r>
                    <w:rPr>
                      <w:rFonts w:hint="eastAsia"/>
                      <w:color w:val="auto"/>
                      <w:sz w:val="21"/>
                      <w:szCs w:val="21"/>
                    </w:rPr>
                    <w:t>对具一定价值的地质遗迹实施三级保护。经设立该级地质遗迹保护区的人民政府地质矿产行政主管部门批准，可组织开展旅游活动。</w:t>
                  </w:r>
                </w:p>
              </w:tc>
              <w:tc>
                <w:tcPr>
                  <w:tcW w:w="299" w:type="dxa"/>
                  <w:vMerge w:val="continue"/>
                  <w:tcBorders>
                    <w:left w:val="single" w:color="000000" w:sz="4" w:space="0"/>
                  </w:tcBorders>
                  <w:vAlign w:val="center"/>
                </w:tcPr>
                <w:p>
                  <w:pPr>
                    <w:autoSpaceDE/>
                    <w:autoSpaceDN/>
                    <w:jc w:val="center"/>
                    <w:rPr>
                      <w:color w:val="auto"/>
                      <w:sz w:val="21"/>
                      <w:szCs w:val="21"/>
                    </w:rPr>
                  </w:pPr>
                </w:p>
              </w:tc>
            </w:tr>
          </w:tbl>
          <w:p>
            <w:pPr>
              <w:autoSpaceDE/>
              <w:autoSpaceDN/>
              <w:spacing w:line="480" w:lineRule="exact"/>
              <w:ind w:left="110" w:leftChars="50"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rPr>
              <w:t>）全市环境总体管控符合性分析</w:t>
            </w:r>
          </w:p>
          <w:p>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4 </w:t>
            </w:r>
            <w:r>
              <w:rPr>
                <w:rFonts w:hint="eastAsia" w:ascii="Times New Roman" w:hAnsi="Times New Roman" w:cs="Times New Roman"/>
                <w:b/>
                <w:bCs/>
                <w:color w:val="auto"/>
                <w:sz w:val="21"/>
                <w:szCs w:val="21"/>
              </w:rPr>
              <w:t>全市大气环境总体管控符合性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8"/>
              <w:gridCol w:w="6232"/>
              <w:gridCol w:w="9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15" w:type="dxa"/>
                  <w:tcBorders>
                    <w:bottom w:val="single" w:color="000000" w:sz="4" w:space="0"/>
                    <w:right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管理维度</w:t>
                  </w:r>
                </w:p>
              </w:tc>
              <w:tc>
                <w:tcPr>
                  <w:tcW w:w="6015"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872"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污染物防控目标</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2025年SO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、NO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2.5</w:t>
                  </w:r>
                  <w:r>
                    <w:rPr>
                      <w:rFonts w:ascii="Times New Roman" w:hAnsi="Times New Roman" w:cs="Times New Roman"/>
                      <w:color w:val="auto"/>
                      <w:sz w:val="21"/>
                      <w:szCs w:val="21"/>
                    </w:rPr>
                    <w:t>年均浓度分别达到20微克/立方米、38微克/立方米、46微克/立方米，遏制O</w:t>
                  </w:r>
                  <w:r>
                    <w:rPr>
                      <w:rFonts w:ascii="Times New Roman" w:hAnsi="Times New Roman" w:cs="Times New Roman"/>
                      <w:color w:val="auto"/>
                      <w:sz w:val="21"/>
                      <w:szCs w:val="21"/>
                      <w:vertAlign w:val="subscript"/>
                    </w:rPr>
                    <w:t>3</w:t>
                  </w:r>
                  <w:r>
                    <w:rPr>
                      <w:rFonts w:ascii="Times New Roman" w:hAnsi="Times New Roman" w:cs="Times New Roman"/>
                      <w:color w:val="auto"/>
                      <w:sz w:val="21"/>
                      <w:szCs w:val="21"/>
                    </w:rPr>
                    <w:t>恶化态势，优良天数比例控制在58%以上。2035年SO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、NO</w:t>
                  </w:r>
                  <w:r>
                    <w:rPr>
                      <w:rFonts w:ascii="Times New Roman" w:hAnsi="Times New Roman" w:cs="Times New Roman"/>
                      <w:color w:val="auto"/>
                      <w:sz w:val="21"/>
                      <w:szCs w:val="21"/>
                      <w:vertAlign w:val="subscript"/>
                    </w:rPr>
                    <w:t>2</w:t>
                  </w: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2.5</w:t>
                  </w:r>
                  <w:r>
                    <w:rPr>
                      <w:rFonts w:ascii="Times New Roman" w:hAnsi="Times New Roman" w:cs="Times New Roman"/>
                      <w:color w:val="auto"/>
                      <w:sz w:val="21"/>
                      <w:szCs w:val="21"/>
                    </w:rPr>
                    <w:t>年均浓度分别达到20微克/立方米、38微克/立方米、35微克/立方米，O</w:t>
                  </w:r>
                  <w:r>
                    <w:rPr>
                      <w:rFonts w:ascii="Times New Roman" w:hAnsi="Times New Roman" w:cs="Times New Roman"/>
                      <w:color w:val="auto"/>
                      <w:sz w:val="21"/>
                      <w:szCs w:val="21"/>
                      <w:vertAlign w:val="subscript"/>
                    </w:rPr>
                    <w:t>3</w:t>
                  </w:r>
                  <w:r>
                    <w:rPr>
                      <w:rFonts w:ascii="Times New Roman" w:hAnsi="Times New Roman" w:cs="Times New Roman"/>
                      <w:color w:val="auto"/>
                      <w:sz w:val="21"/>
                      <w:szCs w:val="21"/>
                    </w:rPr>
                    <w:t>在现状基础上得到控制，优良天数比例控制在75%以上。</w:t>
                  </w:r>
                </w:p>
              </w:tc>
              <w:tc>
                <w:tcPr>
                  <w:tcW w:w="872"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sz w:val="21"/>
                      <w:szCs w:val="21"/>
                    </w:rPr>
                    <w:t>本项目不属于高污染、高耗能、产能过剩行业，产生的污染物均由可行性处理措施处理，项目建设不会对周边环境产生较大影响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1.严格落实钢铁、水泥、平板玻璃等行业产能置换政策，严 </w:t>
                  </w:r>
                </w:p>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禁新增钢铁、焦化、水泥和平板玻璃等产能，禁止新增化工园区。2.</w:t>
                  </w:r>
                  <w:r>
                    <w:rPr>
                      <w:rFonts w:ascii="Times New Roman" w:hAnsi="Times New Roman" w:cs="Times New Roman"/>
                      <w:color w:val="auto"/>
                      <w:sz w:val="21"/>
                      <w:szCs w:val="21"/>
                      <w:lang w:val="en-US"/>
                    </w:rPr>
                    <w:t>严控“两高”产业规模。以钢铁、焦化、水泥、平板玻璃、煤电等行业企业为重点，严格控制新增产能，遏制高耗能、高排放项目盲目发展。持续巩固去产能成果，严格落实产业准入条件，坚决防止反弹。</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严格执行质量、环保、能耗、安全等法规标准，加大重点行业低效和过剩产能压减力度，淘汰4.3米焦炉，关停部分1000立方米以下高炉和100吨以下转炉。</w:t>
                  </w:r>
                  <w:r>
                    <w:rPr>
                      <w:rFonts w:hint="eastAsia" w:ascii="Times New Roman" w:hAnsi="Times New Roman" w:cs="Times New Roman"/>
                      <w:color w:val="auto"/>
                      <w:sz w:val="21"/>
                      <w:szCs w:val="21"/>
                      <w:lang w:val="en-US"/>
                    </w:rPr>
                    <w:t>4</w:t>
                  </w:r>
                  <w:r>
                    <w:rPr>
                      <w:rFonts w:ascii="Times New Roman" w:hAnsi="Times New Roman" w:cs="Times New Roman"/>
                      <w:color w:val="auto"/>
                      <w:sz w:val="21"/>
                      <w:szCs w:val="21"/>
                    </w:rPr>
                    <w:t>.加快城市建成区钢铁、煤炭、火电企业搬迁改造或关停退出，县城及主要城镇建成区的钢铁、煤炭、火电企业逐步实施退城搬迁。</w:t>
                  </w: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rPr>
                    <w:t>.严格控制高耗能项目建设，提高市场准入门槛，严格控制新增煤电机组装机规模，审慎发展石油化工等项目。</w:t>
                  </w: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rPr>
                    <w:t>.严格散煤生产、加工、储运、销售环节监管，“禁煤区”“高污染燃料禁燃区”不得新设散煤经营网点。</w:t>
                  </w:r>
                  <w:r>
                    <w:rPr>
                      <w:rFonts w:hint="eastAsia" w:ascii="Times New Roman" w:hAnsi="Times New Roman" w:cs="Times New Roman"/>
                      <w:color w:val="auto"/>
                      <w:sz w:val="21"/>
                      <w:szCs w:val="21"/>
                      <w:lang w:val="en-US"/>
                    </w:rPr>
                    <w:t>7</w:t>
                  </w:r>
                  <w:r>
                    <w:rPr>
                      <w:rFonts w:ascii="Times New Roman" w:hAnsi="Times New Roman" w:cs="Times New Roman"/>
                      <w:color w:val="auto"/>
                      <w:sz w:val="21"/>
                      <w:szCs w:val="21"/>
                    </w:rPr>
                    <w:t>.推进煤炭、钢铁、焦化、水泥等大宗货物年运输量150万吨以上的大型工矿企业、大型物流园区以及港口集疏运铁路专用线、管道或封闭管廊等建设</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8</w:t>
                  </w:r>
                  <w:r>
                    <w:rPr>
                      <w:rFonts w:ascii="Times New Roman" w:hAnsi="Times New Roman" w:cs="Times New Roman"/>
                      <w:color w:val="auto"/>
                      <w:sz w:val="21"/>
                      <w:szCs w:val="21"/>
                    </w:rPr>
                    <w:t>.确保“散乱污”企业动态清零。建立“散乱污”企业动态管理机制，定期开展“回头看”，坚决杜绝“散乱污”企业项目建设和已取缔的“散乱污”企业异地转移，死灰复燃。</w:t>
                  </w:r>
                  <w:r>
                    <w:rPr>
                      <w:rFonts w:hint="eastAsia" w:ascii="Times New Roman" w:hAnsi="Times New Roman" w:cs="Times New Roman"/>
                      <w:color w:val="auto"/>
                      <w:sz w:val="21"/>
                      <w:szCs w:val="21"/>
                      <w:lang w:val="en-US"/>
                    </w:rPr>
                    <w:t>9</w:t>
                  </w:r>
                  <w:r>
                    <w:rPr>
                      <w:rFonts w:ascii="Times New Roman" w:hAnsi="Times New Roman" w:cs="Times New Roman"/>
                      <w:color w:val="auto"/>
                      <w:sz w:val="21"/>
                      <w:szCs w:val="21"/>
                    </w:rPr>
                    <w:t>.对30万千瓦及以上热电联产机组覆盖范围内的自备燃煤电厂实施关停整合</w:t>
                  </w:r>
                  <w:r>
                    <w:rPr>
                      <w:rFonts w:hint="eastAsia" w:ascii="Times New Roman" w:hAnsi="Times New Roman" w:cs="Times New Roman"/>
                      <w:color w:val="auto"/>
                      <w:sz w:val="21"/>
                      <w:szCs w:val="21"/>
                    </w:rPr>
                    <w:t>。10.积极参与京津冀协同发展生态环境联建联防联治。聚焦对接服务京津，突出承接疏解合作功能，全力推进京津冀协同发展取得更大成效。强化多领域协同治理和保护，深化区域大气污染协同治理，强化区域生态环境联合执法，深化拓展生态保护补偿机制11.按照统一规划、统一标准、统一监测、统一污染防治措施的要求，落实省内跨区域联防联控机制，强化与周边市联防联控，鼓励县（市、区）积极开展联防联控。落实“省—市—县”重污染天气应对三级预案体系，规范重污染天气预警、启动、响应、解除工作流程，严格执行重点行业企业绩效分级管控措施，加强应急减排清单标准化管理。</w:t>
                  </w:r>
                </w:p>
              </w:tc>
              <w:tc>
                <w:tcPr>
                  <w:tcW w:w="872"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污染物排放</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1.开展重点行业能源消耗、资源效率对标对表行动，推动重点污染企业搬迁入园、改造升级或依法退出。对未按期完成有组织、无组织超低排放改造、超标排放的重点行业企业实施停产整治。2.以钢铁、焦化、水泥、平板玻璃等行业为重点，开展清洁化、循环化、低碳化改造。3.全面推进燃煤电厂超净排放改造。4.加强焦化、建材(水泥、平板玻璃、陶瓷)等重点行业有组织超低排放监督管理，对物料储存、输送和生产工艺过程等无组织排放情况开展排查，建立清单，实施深度治理。5.深入开展工业窑炉和锅炉综合治理。全面提升砖瓦、石灰、耐火材料等行业工业窑炉的治污设施处理能力。6.推进消耗臭氧层物质淘汰国际履约工作，建立ODS销售使用清单，完善备案制度，加强含氢氯氟烃流通和消费监管，严格源头准入，加快消耗臭氧层物质替代。7.强化涉VOCs企业“一厂一策”精细管控，完善源头、过程和末端的VOCs全过程控制体系，推进涉VOCs产业集群配套建设一批有机溶剂集中回收处置中心、活性炭集中处理中心、集中涂装中心。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9.严控建筑工地、裸土裸地、公路、城市和县乡(镇)道路扬尘，实行“以克论净”和尘负荷考核。逐年提高城镇绿化率和全市林木覆盖率。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家企业稳定达到“邯郸限值”。11.严控露天烧烤及秸秆焚烧污染。12..实施农业氨排放削减。2021 年，在全市推广氨排放控制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措施，完成210 万亩农田推广应用，有效降低氨对PM</w:t>
                  </w:r>
                  <w:r>
                    <w:rPr>
                      <w:rFonts w:ascii="Times New Roman" w:hAnsi="Times New Roman" w:cs="Times New Roman"/>
                      <w:color w:val="auto"/>
                      <w:sz w:val="21"/>
                      <w:szCs w:val="21"/>
                      <w:vertAlign w:val="subscript"/>
                    </w:rPr>
                    <w:t>2.5</w:t>
                  </w:r>
                  <w:r>
                    <w:rPr>
                      <w:rFonts w:ascii="Times New Roman" w:hAnsi="Times New Roman" w:cs="Times New Roman"/>
                      <w:color w:val="auto"/>
                      <w:sz w:val="21"/>
                      <w:szCs w:val="21"/>
                    </w:rPr>
                    <w:t>的影响。13.完善能源消耗总量和强度调控，重点控制化石能源消费，逐步转向碳排放总量和强度“双控”制度。严格执行污染物排放总量控制，加强节能审查事中事后监管。深化排污权交易改革，构建排污权政府储备。建立生态产品价值实现机制。优化生态保护补偿政策。深化生态环境领域“放管服”改革，推进环境影响评价审批和监督执法“两个正面清单”制度化、规范化。</w:t>
                  </w:r>
                </w:p>
              </w:tc>
              <w:tc>
                <w:tcPr>
                  <w:tcW w:w="872"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872"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资源开发利用</w:t>
                  </w:r>
                </w:p>
              </w:tc>
              <w:tc>
                <w:tcPr>
                  <w:tcW w:w="601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新上涉气建设项目绩效评价达到B级及以上水平。2.严格控制煤炭消费总量。对新增耗煤项目实施等(减)量替代。实施工业企业精准减煤工程，对钢铁、焦化、电力等用煤大户通过技改和加强管理降低能耗。3.重点推进秸秆机械化直接还田、秸秆饲料化利用、秸秆燃料化利用、秸秆基料化利用、秸秆发电及工业原料化利用和秸秆收储运体系建设。4.推进畜禽粪污综合利用，规模化畜禽养殖场全部建成粪污治理设施。5.严格散煤生产、加工、储运、销售环节监管，“禁煤区”“高污染燃料禁燃区”不得新设散煤经营网点。加强散煤质量抽检，散煤销售网点和燃煤使用单位的抽检覆盖率达到100%</w:t>
                  </w:r>
                  <w:r>
                    <w:rPr>
                      <w:rFonts w:hint="eastAsia" w:cs="Times New Roman"/>
                      <w:color w:val="auto"/>
                      <w:sz w:val="21"/>
                      <w:szCs w:val="21"/>
                    </w:rPr>
                    <w:t>。</w:t>
                  </w:r>
                </w:p>
              </w:tc>
              <w:tc>
                <w:tcPr>
                  <w:tcW w:w="872" w:type="dxa"/>
                  <w:vMerge w:val="continue"/>
                  <w:tcBorders>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p>
              </w:tc>
            </w:tr>
          </w:tbl>
          <w:p>
            <w:pPr>
              <w:autoSpaceDE/>
              <w:autoSpaceDN/>
              <w:adjustRightInd w:val="0"/>
              <w:snapToGrid w:val="0"/>
              <w:spacing w:line="480" w:lineRule="exact"/>
              <w:jc w:val="center"/>
              <w:rPr>
                <w:color w:val="auto"/>
                <w:sz w:val="21"/>
                <w:szCs w:val="24"/>
                <w:lang w:val="en-US"/>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5 </w:t>
            </w:r>
            <w:r>
              <w:rPr>
                <w:rFonts w:hint="eastAsia" w:ascii="Times New Roman" w:hAnsi="Times New Roman" w:cs="Times New Roman"/>
                <w:b/>
                <w:bCs/>
                <w:color w:val="auto"/>
                <w:sz w:val="21"/>
                <w:szCs w:val="21"/>
              </w:rPr>
              <w:t>全市水环境总体管控符合性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8"/>
              <w:gridCol w:w="6207"/>
              <w:gridCol w:w="9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管理维度</w:t>
                  </w:r>
                </w:p>
              </w:tc>
              <w:tc>
                <w:tcPr>
                  <w:tcW w:w="5979" w:type="dxa"/>
                  <w:tcBorders>
                    <w:top w:val="single" w:color="000000" w:sz="4" w:space="0"/>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管控要求</w:t>
                  </w:r>
                </w:p>
              </w:tc>
              <w:tc>
                <w:tcPr>
                  <w:tcW w:w="894" w:type="dxa"/>
                  <w:tcBorders>
                    <w:top w:val="single" w:color="000000" w:sz="4" w:space="0"/>
                    <w:left w:val="single" w:color="000000" w:sz="4" w:space="0"/>
                  </w:tcBorders>
                  <w:vAlign w:val="center"/>
                </w:tcPr>
                <w:p>
                  <w:pPr>
                    <w:tabs>
                      <w:tab w:val="left" w:pos="759"/>
                    </w:tabs>
                    <w:autoSpaceDE/>
                    <w:autoSpaceDN/>
                    <w:jc w:val="center"/>
                    <w:rPr>
                      <w:rFonts w:ascii="Times New Roman" w:hAnsi="Times New Roman" w:cs="Times New Roman"/>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污染物防控目标</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2025年地表水Ⅲ类及以上水体断面比例达到27%以上，劣Ⅴ类水体基本消除；2035年全面消除劣Ⅴ类水质。</w:t>
                  </w:r>
                </w:p>
              </w:tc>
              <w:tc>
                <w:tcPr>
                  <w:tcW w:w="894"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无废水外排</w:t>
                  </w:r>
                  <w:r>
                    <w:rPr>
                      <w:rFonts w:ascii="Times New Roman" w:hAnsi="Times New Roman" w:cs="Times New Roman"/>
                      <w:color w:val="auto"/>
                      <w:sz w:val="21"/>
                      <w:szCs w:val="21"/>
                    </w:rPr>
                    <w:t>，项目建设不会对周边水环境产生影响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w:t>
                  </w:r>
                  <w:r>
                    <w:rPr>
                      <w:rFonts w:hint="eastAsia" w:ascii="Times New Roman" w:hAnsi="Times New Roman" w:cs="Times New Roman"/>
                      <w:color w:val="auto"/>
                      <w:sz w:val="21"/>
                      <w:szCs w:val="21"/>
                      <w:lang w:val="en-US"/>
                    </w:rPr>
                    <w:t>7.在跃峰渠工程管理范围内从事工程建设活动的，建设单位或个人应当将工程建设方案报送市水行政主管部门审查同意后，方可按照基本建设程序履行审批手续。市水行政主管部门依法对施工进行监督。穿、跨、临渠的桥梁、道路、管道、 缆 线、取水、排水、监测等工程设施的建设单位、产权单位或者使用单位，应当对设施进行日常检查和维护，保证其正常运行，发现危害渠道安全、妨碍渠水畅通等情况的，应当及时进行整改、消除安全隐患。</w:t>
                  </w:r>
                </w:p>
              </w:tc>
              <w:tc>
                <w:tcPr>
                  <w:tcW w:w="894"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污染物排放</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严查非法排污行为，压实地方政府属地责任，建立健全长效监管机制，促进国考重要水功能区稳定达标。2.加快老旧城区、城中村和城乡接合部生活污水收集设施建设，提升城市生活污水集中收集效能。加快乡镇级污水处理厂建设，补齐污水处理能力短板。3.严格排水许可监管，杜绝雨污混接错接，遏制雨水管网违法排污。加强雨水管网运行维护，定期清疏管道污泥。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6.严格执行相关流域和行业水污染物排放标准，对未达到相应排放标准和排放限值的企业实施污水处理设施提升改造。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r>
                    <w:rPr>
                      <w:rFonts w:hint="eastAsia" w:cs="Times New Roman"/>
                      <w:color w:val="auto"/>
                      <w:sz w:val="21"/>
                      <w:szCs w:val="21"/>
                    </w:rPr>
                    <w:t>。</w:t>
                  </w:r>
                </w:p>
              </w:tc>
              <w:tc>
                <w:tcPr>
                  <w:tcW w:w="894"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加强监测能力建设，定期开展市、县、乡、农村集中式饮用水水源及南水北调输水工程水质监测。2.定期监测入河排污口，对超标排放的进行通报、督办。建设完善监管体制机制，督促各地落实属地监管责任。3.推进重点控制断面上游3—5千米，下游100—500米内生态缓冲带建设，在水域与陆地之间因地制宜建设乔灌草相结合的立体植物带，利用缓冲带植物的吸附和分解作用，拦截污染、净化水体、提升生态系统完整性。4.有效防控饮用水水源保护区环境风险。每年对集中式饮用水水源保护区开展基础调查与评估，将可能影响水源水质安全的风险源全部列入档案，加强风险应急防控，建立联防联控应急机制。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r>
                    <w:rPr>
                      <w:rFonts w:hint="eastAsia" w:cs="Times New Roman"/>
                      <w:color w:val="auto"/>
                      <w:sz w:val="21"/>
                      <w:szCs w:val="21"/>
                    </w:rPr>
                    <w:t>。</w:t>
                  </w:r>
                </w:p>
              </w:tc>
              <w:tc>
                <w:tcPr>
                  <w:tcW w:w="894"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615"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资源开发利用</w:t>
                  </w:r>
                </w:p>
              </w:tc>
              <w:tc>
                <w:tcPr>
                  <w:tcW w:w="597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894" w:type="dxa"/>
                  <w:vMerge w:val="continue"/>
                  <w:tcBorders>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p>
              </w:tc>
            </w:tr>
          </w:tbl>
          <w:p>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 xml:space="preserve">6 </w:t>
            </w:r>
            <w:r>
              <w:rPr>
                <w:rFonts w:hint="eastAsia" w:ascii="Times New Roman" w:hAnsi="Times New Roman" w:cs="Times New Roman"/>
                <w:b/>
                <w:bCs/>
                <w:color w:val="auto"/>
                <w:sz w:val="21"/>
                <w:szCs w:val="21"/>
              </w:rPr>
              <w:t>全市土壤环境总体管控符合性</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70"/>
              <w:gridCol w:w="6050"/>
              <w:gridCol w:w="9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管理维度</w:t>
                  </w:r>
                </w:p>
              </w:tc>
              <w:tc>
                <w:tcPr>
                  <w:tcW w:w="5389" w:type="dxa"/>
                  <w:tcBorders>
                    <w:top w:val="single" w:color="000000" w:sz="4" w:space="0"/>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color w:val="auto"/>
                      <w:sz w:val="21"/>
                      <w:szCs w:val="21"/>
                    </w:rPr>
                  </w:pPr>
                  <w:r>
                    <w:rPr>
                      <w:rFonts w:hint="eastAsia" w:ascii="Times New Roman" w:hAnsi="Times New Roman" w:cs="Times New Roman"/>
                      <w:b/>
                      <w:color w:val="auto"/>
                      <w:sz w:val="21"/>
                      <w:szCs w:val="21"/>
                    </w:rPr>
                    <w:t>管控要求</w:t>
                  </w:r>
                </w:p>
              </w:tc>
              <w:tc>
                <w:tcPr>
                  <w:tcW w:w="849" w:type="dxa"/>
                  <w:tcBorders>
                    <w:top w:val="single" w:color="000000" w:sz="4" w:space="0"/>
                    <w:left w:val="single" w:color="000000" w:sz="4" w:space="0"/>
                  </w:tcBorders>
                  <w:vAlign w:val="center"/>
                </w:tcPr>
                <w:p>
                  <w:pPr>
                    <w:tabs>
                      <w:tab w:val="left" w:pos="759"/>
                    </w:tabs>
                    <w:autoSpaceDE/>
                    <w:autoSpaceDN/>
                    <w:jc w:val="center"/>
                    <w:rPr>
                      <w:rFonts w:ascii="Times New Roman" w:hAnsi="Times New Roman" w:cs="Times New Roman"/>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污染物防控目标</w:t>
                  </w:r>
                </w:p>
              </w:tc>
              <w:tc>
                <w:tcPr>
                  <w:tcW w:w="538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 年受污染耕地安全利用率达到95%以上，重点建设用地安全利用得到有效保障</w:t>
                  </w:r>
                </w:p>
              </w:tc>
              <w:tc>
                <w:tcPr>
                  <w:tcW w:w="849"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未占用耕地，</w:t>
                  </w:r>
                  <w:r>
                    <w:rPr>
                      <w:rFonts w:ascii="Times New Roman" w:hAnsi="Times New Roman" w:cs="Times New Roman"/>
                      <w:color w:val="auto"/>
                      <w:sz w:val="21"/>
                      <w:szCs w:val="21"/>
                    </w:rPr>
                    <w:t>项目建设不会对周边土壤环境产生影响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空间布局</w:t>
                  </w:r>
                </w:p>
              </w:tc>
              <w:tc>
                <w:tcPr>
                  <w:tcW w:w="5389" w:type="dxa"/>
                  <w:tcBorders>
                    <w:top w:val="single" w:color="000000" w:sz="4" w:space="0"/>
                    <w:left w:val="single" w:color="000000" w:sz="4" w:space="0"/>
                    <w:bottom w:val="single" w:color="000000" w:sz="4" w:space="0"/>
                  </w:tcBorders>
                  <w:vAlign w:val="center"/>
                </w:tcPr>
                <w:p>
                  <w:pPr>
                    <w:autoSpaceDE/>
                    <w:autoSpaceDN/>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1.在未污染耕地集中区域全面推进高标准农田建设，将符合条件的未污染耕地划入永久基本农田，不得新建有色金属冶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下水污染的，相关企业要制定整改方案和建立台账清单。4.推动工业固废综合利用，促进工业固废减量化、资源化。加强塑料污染防控，强化对生产、使用、销售塑料制品单位的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监督检查，有序禁止限制部分塑料制品生产、销售、使用。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5.2021 年底前，配合省相关部门对褐煤开采洗选、非金属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84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污染物排放</w:t>
                  </w:r>
                </w:p>
              </w:tc>
              <w:tc>
                <w:tcPr>
                  <w:tcW w:w="538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依法加强未污染耕地土壤的保护，未利用地不得污染和破坏，确保优先保护类耕地面积不减少、土壤环境质量不下降。2.治理修复优先采取不影响农业生产、不降低土壤生产功能的农艺、生物修复措施，采取措施防止产生二次污染。3.严防农业面源污染。持续实施化肥农药减量增效行动，化肥农药使用量持续保持负增长。持续开展耕地周边涉重金属行业企业污染源排查整治，强化耕地土壤污染源头防控。4.加强企业拆除活动污染防治现场检查，督促企业落实拆除活动污染防治措施。5.统筹区域危险废物利用处置能力建设，实现危险废物产生量与利用处置需求的基本匹配。积极推进危险废物环境监管智能监控体系建设，提升危险废物智能化监管水平。6.加快城镇(园区)污水处理厂管网覆盖范围内村庄污水管网建设。加强集中式污水处理设施建设。统筹厕所粪污无害化集中处理和生活灰水有效管控。7.继续开展10万亩及以上农田灌溉水水质监测，加强监督检查，防止未经处理或达不到农田灌溉水质标准的废(污)水进入农田灌溉系统</w:t>
                  </w:r>
                  <w:r>
                    <w:rPr>
                      <w:rFonts w:hint="eastAsia" w:cs="Times New Roman"/>
                      <w:color w:val="auto"/>
                      <w:sz w:val="21"/>
                      <w:szCs w:val="21"/>
                    </w:rPr>
                    <w:t>。</w:t>
                  </w:r>
                </w:p>
              </w:tc>
              <w:tc>
                <w:tcPr>
                  <w:tcW w:w="84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环境风险防控</w:t>
                  </w:r>
                </w:p>
              </w:tc>
              <w:tc>
                <w:tcPr>
                  <w:tcW w:w="538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纳入全国污染地块土壤环境管理信息系统的地块，应按照国家有关环境标准和技术规范开展土壤污染状况调查、评估、风险管控或修复。土壤环境质量符合用地规划要求后，方可进入用地程序。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r>
                    <w:rPr>
                      <w:rFonts w:hint="eastAsia" w:cs="Times New Roman"/>
                      <w:color w:val="auto"/>
                      <w:sz w:val="21"/>
                      <w:szCs w:val="21"/>
                    </w:rPr>
                    <w:t>。</w:t>
                  </w:r>
                </w:p>
              </w:tc>
              <w:tc>
                <w:tcPr>
                  <w:tcW w:w="84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686" w:type="dxa"/>
                  <w:tcBorders>
                    <w:top w:val="single" w:color="000000" w:sz="4" w:space="0"/>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资源开发利用</w:t>
                  </w:r>
                </w:p>
              </w:tc>
              <w:tc>
                <w:tcPr>
                  <w:tcW w:w="5389"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2.畜禽规模养殖场粪污处理设施装备配套率达到100%，畜禽粪污综合利用率达到79%。秸秆综合利用率达到97%以上，农膜回收率达到90%以上，持续开展耕地周边涉重金属行业企业污染源排查整治，强化耕地土壤污染源头防控。3.支持固体废物综合利用项目建设，提高大宗固体废物综合利用效率和水平，加快补齐危险废物处理短板</w:t>
                  </w:r>
                  <w:r>
                    <w:rPr>
                      <w:rFonts w:hint="eastAsia" w:cs="Times New Roman"/>
                      <w:color w:val="auto"/>
                      <w:sz w:val="21"/>
                      <w:szCs w:val="21"/>
                    </w:rPr>
                    <w:t>。</w:t>
                  </w:r>
                </w:p>
              </w:tc>
              <w:tc>
                <w:tcPr>
                  <w:tcW w:w="849" w:type="dxa"/>
                  <w:vMerge w:val="continue"/>
                  <w:tcBorders>
                    <w:left w:val="single" w:color="000000" w:sz="4" w:space="0"/>
                  </w:tcBorders>
                  <w:vAlign w:val="center"/>
                </w:tcPr>
                <w:p>
                  <w:pPr>
                    <w:autoSpaceDE/>
                    <w:autoSpaceDN/>
                    <w:jc w:val="center"/>
                    <w:rPr>
                      <w:rFonts w:ascii="Times New Roman" w:hAnsi="Times New Roman" w:cs="Times New Roman"/>
                      <w:color w:val="auto"/>
                      <w:sz w:val="21"/>
                      <w:szCs w:val="21"/>
                    </w:rPr>
                  </w:pPr>
                </w:p>
              </w:tc>
            </w:tr>
          </w:tbl>
          <w:p>
            <w:pPr>
              <w:autoSpaceDE/>
              <w:autoSpaceDN/>
              <w:spacing w:line="480" w:lineRule="exact"/>
              <w:ind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4</w:t>
            </w:r>
            <w:r>
              <w:rPr>
                <w:rFonts w:ascii="Times New Roman" w:hAnsi="Times New Roman" w:cs="Times New Roman"/>
                <w:b/>
                <w:bCs/>
                <w:color w:val="auto"/>
                <w:sz w:val="21"/>
                <w:szCs w:val="21"/>
              </w:rPr>
              <w:t>）全市资源利用总体管控要求符合性分析</w:t>
            </w:r>
          </w:p>
          <w:p>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7</w:t>
            </w:r>
            <w:r>
              <w:rPr>
                <w:rFonts w:hint="eastAsia" w:ascii="Times New Roman" w:hAnsi="Times New Roman" w:cs="Times New Roman"/>
                <w:b/>
                <w:bCs/>
                <w:color w:val="auto"/>
                <w:sz w:val="21"/>
                <w:szCs w:val="21"/>
              </w:rPr>
              <w:t xml:space="preserve"> 全市资源利用总体管控要求</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9"/>
              <w:gridCol w:w="737"/>
              <w:gridCol w:w="5676"/>
              <w:gridCol w:w="10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1020" w:type="dxa"/>
                  <w:gridSpan w:val="2"/>
                  <w:tcBorders>
                    <w:bottom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属性</w:t>
                  </w:r>
                </w:p>
              </w:tc>
              <w:tc>
                <w:tcPr>
                  <w:tcW w:w="5431"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986"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水资源</w:t>
                  </w: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总量和强度要求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2025年水资源利用总量22.30亿立方米以下，其中地下水取水量</w:t>
                  </w:r>
                  <w:r>
                    <w:rPr>
                      <w:rFonts w:hint="eastAsia" w:cs="Times New Roman"/>
                      <w:color w:val="auto"/>
                      <w:sz w:val="21"/>
                      <w:szCs w:val="21"/>
                      <w:lang w:val="en-US"/>
                    </w:rPr>
                    <w:t>9.71</w:t>
                  </w:r>
                  <w:r>
                    <w:rPr>
                      <w:rFonts w:ascii="Times New Roman" w:hAnsi="Times New Roman" w:cs="Times New Roman"/>
                      <w:color w:val="auto"/>
                      <w:sz w:val="21"/>
                      <w:szCs w:val="21"/>
                    </w:rPr>
                    <w:t>亿立方米以下</w:t>
                  </w:r>
                </w:p>
              </w:tc>
              <w:tc>
                <w:tcPr>
                  <w:tcW w:w="986"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管控要求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w:t>
                  </w:r>
                </w:p>
              </w:tc>
              <w:tc>
                <w:tcPr>
                  <w:tcW w:w="986" w:type="dxa"/>
                  <w:vMerge w:val="continue"/>
                  <w:tcBorders>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能源</w:t>
                  </w: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总量和强度要求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到2025年，全市万元生产总值能耗和用水量比2020年分别下降18%和15.4%。全社会煤炭消费、万元生产总值二氧化碳排放削减量完成省定任务。</w:t>
                  </w:r>
                </w:p>
              </w:tc>
              <w:tc>
                <w:tcPr>
                  <w:tcW w:w="986"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管控要求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 号”质量指标的规定。4.对新增耗煤项目实施等(减)量替代。5.平原地区农村全部完成生活和冬季取暖散煤替代，实现散煤动态清零。</w:t>
                  </w:r>
                </w:p>
              </w:tc>
              <w:tc>
                <w:tcPr>
                  <w:tcW w:w="986" w:type="dxa"/>
                  <w:vMerge w:val="continue"/>
                  <w:tcBorders>
                    <w:left w:val="single" w:color="000000" w:sz="4" w:space="0"/>
                    <w:bottom w:val="single" w:color="000000" w:sz="4" w:space="0"/>
                  </w:tcBorders>
                  <w:vAlign w:val="center"/>
                </w:tcPr>
                <w:p>
                  <w:pPr>
                    <w:autoSpaceDE/>
                    <w:autoSpaceDN/>
                    <w:jc w:val="center"/>
                    <w:rPr>
                      <w:rFonts w:ascii="Times New Roman" w:hAnsi="Times New Roman" w:cs="Times New Roman"/>
                      <w:color w:val="auto"/>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restart"/>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土壤资源</w:t>
                  </w: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总量和强度要求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2025年邯郸市耕地保有量592940公顷（889.41万亩），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永久基本农田保护面积524640 公顷（786.96 万亩），城镇开发边界扩展倍数≤1.3；2035 年邯郸市耕地保有量 </w:t>
                  </w:r>
                </w:p>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592940公顷（889.41万亩），永久基本农田保护面积524640公顷（786.96 万亩），城镇开发边界扩展倍数≤1.3。</w:t>
                  </w:r>
                </w:p>
              </w:tc>
              <w:tc>
                <w:tcPr>
                  <w:tcW w:w="986" w:type="dxa"/>
                  <w:vMerge w:val="restart"/>
                  <w:tcBorders>
                    <w:top w:val="single" w:color="000000" w:sz="4" w:space="0"/>
                    <w:left w:val="single" w:color="000000" w:sz="4" w:space="0"/>
                  </w:tcBorders>
                  <w:vAlign w:val="center"/>
                </w:tcPr>
                <w:p>
                  <w:pPr>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本项目不占用耕地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15" w:type="dxa"/>
                  <w:vMerge w:val="continue"/>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p>
              </w:tc>
              <w:tc>
                <w:tcPr>
                  <w:tcW w:w="705"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管控要求</w:t>
                  </w:r>
                </w:p>
              </w:tc>
              <w:tc>
                <w:tcPr>
                  <w:tcW w:w="5431"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986" w:type="dxa"/>
                  <w:vMerge w:val="continue"/>
                  <w:tcBorders>
                    <w:left w:val="single" w:color="000000" w:sz="4" w:space="0"/>
                  </w:tcBorders>
                  <w:vAlign w:val="center"/>
                </w:tcPr>
                <w:p>
                  <w:pPr>
                    <w:autoSpaceDE/>
                    <w:autoSpaceDN/>
                    <w:jc w:val="center"/>
                    <w:rPr>
                      <w:rFonts w:ascii="Times New Roman" w:hAnsi="Times New Roman" w:cs="Times New Roman"/>
                      <w:color w:val="auto"/>
                      <w:kern w:val="2"/>
                      <w:sz w:val="21"/>
                      <w:szCs w:val="21"/>
                    </w:rPr>
                  </w:pPr>
                </w:p>
              </w:tc>
            </w:tr>
          </w:tbl>
          <w:p>
            <w:pPr>
              <w:autoSpaceDE/>
              <w:autoSpaceDN/>
              <w:spacing w:line="400" w:lineRule="exact"/>
              <w:ind w:left="110" w:leftChars="50"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5）</w:t>
            </w:r>
            <w:r>
              <w:rPr>
                <w:rFonts w:hint="eastAsia" w:ascii="Times New Roman" w:hAnsi="Times New Roman" w:cs="Times New Roman"/>
                <w:b/>
                <w:bCs/>
                <w:color w:val="auto"/>
                <w:sz w:val="21"/>
                <w:szCs w:val="21"/>
              </w:rPr>
              <w:t>全市产业布局总体管控</w:t>
            </w:r>
            <w:r>
              <w:rPr>
                <w:rFonts w:hint="eastAsia" w:ascii="Times New Roman" w:hAnsi="Times New Roman" w:cs="Times New Roman"/>
                <w:b/>
                <w:bCs/>
                <w:color w:val="auto"/>
                <w:sz w:val="21"/>
                <w:szCs w:val="21"/>
                <w:lang w:val="en-US"/>
              </w:rPr>
              <w:t>符合性分析</w:t>
            </w:r>
          </w:p>
          <w:p>
            <w:pPr>
              <w:autoSpaceDE/>
              <w:autoSpaceDN/>
              <w:adjustRightInd w:val="0"/>
              <w:snapToGrid w:val="0"/>
              <w:spacing w:line="48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8</w:t>
            </w:r>
            <w:r>
              <w:rPr>
                <w:rFonts w:hint="eastAsia" w:ascii="Times New Roman" w:hAnsi="Times New Roman" w:cs="Times New Roman"/>
                <w:b/>
                <w:bCs/>
                <w:color w:val="auto"/>
                <w:sz w:val="21"/>
                <w:szCs w:val="21"/>
              </w:rPr>
              <w:t xml:space="preserve"> 全市产业布局总体管控要求</w:t>
            </w:r>
          </w:p>
          <w:tbl>
            <w:tblPr>
              <w:tblStyle w:val="32"/>
              <w:tblW w:w="493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4"/>
              <w:gridCol w:w="5773"/>
              <w:gridCol w:w="1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bottom w:val="single" w:color="000000" w:sz="4" w:space="0"/>
                    <w:right w:val="single" w:color="000000" w:sz="4" w:space="0"/>
                  </w:tcBorders>
                  <w:vAlign w:val="center"/>
                </w:tcPr>
                <w:p>
                  <w:pPr>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产业</w:t>
                  </w:r>
                </w:p>
              </w:tc>
              <w:tc>
                <w:tcPr>
                  <w:tcW w:w="5552"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1083" w:type="dxa"/>
                  <w:tcBorders>
                    <w:left w:val="single" w:color="000000" w:sz="4" w:space="0"/>
                    <w:bottom w:val="single" w:color="000000" w:sz="4" w:space="0"/>
                  </w:tcBorders>
                  <w:vAlign w:val="center"/>
                </w:tcPr>
                <w:p>
                  <w:pPr>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top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产业布局总体要求</w:t>
                  </w:r>
                </w:p>
              </w:tc>
              <w:tc>
                <w:tcPr>
                  <w:tcW w:w="5552"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1.严把项目准入关。严格落实生态保护红线、环境质量底 </w:t>
                  </w:r>
                </w:p>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线、资源利用上线、环境准入清单和产业准入政策，严格落实钢铁、水泥、平板玻璃等行业产能置换政策，严禁新增钢铁、焦化、水泥和平板玻璃等产能，禁止新增化工园区。2.</w:t>
                  </w:r>
                  <w:r>
                    <w:rPr>
                      <w:rFonts w:ascii="Times New Roman" w:hAnsi="Times New Roman" w:cs="Times New Roman"/>
                      <w:color w:val="auto"/>
                      <w:sz w:val="21"/>
                      <w:szCs w:val="21"/>
                    </w:rPr>
                    <w:t>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加快调整不符合生态环境功能定位的产业布局、产业规模和产业结构，明确禁止和限制发展的行业、生产工艺和产业目录。</w:t>
                  </w:r>
                  <w:r>
                    <w:rPr>
                      <w:rFonts w:hint="eastAsia" w:ascii="Times New Roman" w:hAnsi="Times New Roman" w:cs="Times New Roman"/>
                      <w:color w:val="auto"/>
                      <w:sz w:val="21"/>
                      <w:szCs w:val="21"/>
                      <w:lang w:val="en-US"/>
                    </w:rPr>
                    <w:t>4.发展壮大“532”市域主导产业，加快新旧动能转换。提升传统优势产业发展能级，完成钢铁产业整合重组，延伸钢铁产业链条，加快建设全国重要精品钢材生产基地，形成“一集群五基地”产业格局。</w:t>
                  </w:r>
                </w:p>
              </w:tc>
              <w:tc>
                <w:tcPr>
                  <w:tcW w:w="1083"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本项目满足产业布局总体要求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40" w:type="dxa"/>
                  <w:tcBorders>
                    <w:bottom w:val="single" w:color="000000" w:sz="4" w:space="0"/>
                    <w:right w:val="single" w:color="000000" w:sz="4" w:space="0"/>
                  </w:tcBorders>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项目入园准入要求</w:t>
                  </w:r>
                </w:p>
              </w:tc>
              <w:tc>
                <w:tcPr>
                  <w:tcW w:w="5552"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1.造纸、焦化、氮肥、有色金属、印染、农副食品加工、 </w:t>
                  </w:r>
                </w:p>
                <w:p>
                  <w:pPr>
                    <w:autoSpaceDE/>
                    <w:autoSpaceDN/>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原料药制造、皮革、农药、电镀、钢铁、水泥、平板玻璃、石灰、石化、化工等高污染工业项目必须入园进区，其他工业项目原则上也不在园区外布局。2.</w:t>
                  </w:r>
                  <w:r>
                    <w:rPr>
                      <w:rFonts w:ascii="Times New Roman" w:hAnsi="Times New Roman" w:cs="Times New Roman"/>
                      <w:color w:val="auto"/>
                      <w:sz w:val="21"/>
                      <w:szCs w:val="21"/>
                    </w:rPr>
                    <w:t>新（改、扩）建钢铁、石化、化工、焦化、建材、有色等项目的环境影响评价，应满足区域、规划环评要求。</w:t>
                  </w:r>
                </w:p>
              </w:tc>
              <w:tc>
                <w:tcPr>
                  <w:tcW w:w="1083"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rPr>
                    <w:t>本项目不属于必须入园进区单位</w:t>
                  </w:r>
                </w:p>
              </w:tc>
            </w:tr>
          </w:tbl>
          <w:p>
            <w:pPr>
              <w:autoSpaceDE/>
              <w:autoSpaceDN/>
              <w:spacing w:line="400" w:lineRule="exact"/>
              <w:ind w:left="110" w:leftChars="50" w:firstLine="420" w:firstLineChars="200"/>
              <w:rPr>
                <w:rFonts w:ascii="Times New Roman" w:hAnsi="Times New Roman" w:cs="Times New Roman"/>
                <w:color w:val="auto"/>
                <w:sz w:val="21"/>
                <w:szCs w:val="21"/>
                <w:lang w:bidi="ar-SA"/>
              </w:rPr>
            </w:pPr>
            <w:r>
              <w:rPr>
                <w:rFonts w:ascii="Times New Roman" w:hAnsi="Times New Roman" w:cs="Times New Roman"/>
                <w:color w:val="auto"/>
                <w:sz w:val="21"/>
                <w:szCs w:val="21"/>
                <w:lang w:val="en-US" w:bidi="ar-SA"/>
              </w:rPr>
              <w:t>根据邯郸市生态环境局公布的生态环境状况公报结果，本区域为环境空气质量不达标区，不达标因子为PM</w:t>
            </w:r>
            <w:r>
              <w:rPr>
                <w:rFonts w:ascii="Times New Roman" w:hAnsi="Times New Roman" w:cs="Times New Roman"/>
                <w:color w:val="auto"/>
                <w:sz w:val="21"/>
                <w:szCs w:val="21"/>
                <w:vertAlign w:val="subscript"/>
                <w:lang w:val="en-US" w:bidi="ar-SA"/>
              </w:rPr>
              <w:t>10</w:t>
            </w:r>
            <w:r>
              <w:rPr>
                <w:rFonts w:ascii="Times New Roman" w:hAnsi="Times New Roman" w:cs="Times New Roman"/>
                <w:color w:val="auto"/>
                <w:sz w:val="21"/>
                <w:szCs w:val="21"/>
                <w:lang w:val="en-US" w:bidi="ar-SA"/>
              </w:rPr>
              <w:t>、PM</w:t>
            </w:r>
            <w:r>
              <w:rPr>
                <w:rFonts w:ascii="Times New Roman" w:hAnsi="Times New Roman" w:cs="Times New Roman"/>
                <w:color w:val="auto"/>
                <w:sz w:val="21"/>
                <w:szCs w:val="21"/>
                <w:vertAlign w:val="subscript"/>
                <w:lang w:val="en-US" w:bidi="ar-SA"/>
              </w:rPr>
              <w:t>2.5</w:t>
            </w:r>
            <w:r>
              <w:rPr>
                <w:rFonts w:ascii="Times New Roman" w:hAnsi="Times New Roman" w:cs="Times New Roman"/>
                <w:color w:val="auto"/>
                <w:sz w:val="21"/>
                <w:szCs w:val="21"/>
                <w:lang w:val="en-US" w:bidi="ar-SA"/>
              </w:rPr>
              <w:t>、O</w:t>
            </w:r>
            <w:r>
              <w:rPr>
                <w:rFonts w:ascii="Times New Roman" w:hAnsi="Times New Roman" w:cs="Times New Roman"/>
                <w:color w:val="auto"/>
                <w:sz w:val="21"/>
                <w:szCs w:val="21"/>
                <w:vertAlign w:val="subscript"/>
                <w:lang w:val="en-US" w:bidi="ar-SA"/>
              </w:rPr>
              <w:t>3</w:t>
            </w:r>
            <w:r>
              <w:rPr>
                <w:rFonts w:ascii="Times New Roman" w:hAnsi="Times New Roman" w:cs="Times New Roman"/>
                <w:color w:val="auto"/>
                <w:sz w:val="21"/>
                <w:szCs w:val="21"/>
                <w:lang w:val="en-US" w:bidi="ar-SA"/>
              </w:rPr>
              <w:t>。</w:t>
            </w:r>
            <w:r>
              <w:rPr>
                <w:rFonts w:ascii="Times New Roman" w:hAnsi="Times New Roman" w:cs="Times New Roman"/>
                <w:color w:val="auto"/>
                <w:sz w:val="21"/>
                <w:szCs w:val="21"/>
                <w:lang w:bidi="ar-SA"/>
              </w:rPr>
              <w:t>超标与</w:t>
            </w:r>
            <w:r>
              <w:rPr>
                <w:rFonts w:hint="eastAsia" w:ascii="Times New Roman" w:hAnsi="Times New Roman" w:cs="Times New Roman"/>
                <w:color w:val="auto"/>
                <w:sz w:val="21"/>
                <w:szCs w:val="21"/>
                <w:lang w:bidi="ar-SA"/>
              </w:rPr>
              <w:t>邯郸市</w:t>
            </w:r>
            <w:r>
              <w:rPr>
                <w:rFonts w:ascii="Times New Roman" w:hAnsi="Times New Roman" w:cs="Times New Roman"/>
                <w:color w:val="auto"/>
                <w:sz w:val="21"/>
                <w:szCs w:val="21"/>
                <w:lang w:bidi="ar-SA"/>
              </w:rPr>
              <w:t>内工业企业数量较多及气候条件因素有关，造成这一现象主要原因是</w:t>
            </w:r>
            <w:r>
              <w:rPr>
                <w:rFonts w:hint="eastAsia" w:ascii="Times New Roman" w:hAnsi="Times New Roman" w:cs="Times New Roman"/>
                <w:color w:val="auto"/>
                <w:sz w:val="21"/>
                <w:szCs w:val="21"/>
                <w:lang w:bidi="ar-SA"/>
              </w:rPr>
              <w:t>邯郸</w:t>
            </w:r>
            <w:r>
              <w:rPr>
                <w:rFonts w:ascii="Times New Roman" w:hAnsi="Times New Roman" w:cs="Times New Roman"/>
                <w:color w:val="auto"/>
                <w:sz w:val="21"/>
                <w:szCs w:val="21"/>
                <w:lang w:bidi="ar-SA"/>
              </w:rPr>
              <w:t>处于工业开发强度较高、农业活动频繁的地区，易形成颗粒物积聚和飘移，导致环境质量差。</w:t>
            </w:r>
          </w:p>
          <w:p>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随着《魏县保障邯郸市空气质量综合指数“退后十”攻坚行动方案》</w:t>
            </w:r>
            <w:r>
              <w:rPr>
                <w:rFonts w:hint="eastAsia" w:ascii="Times New Roman" w:hAnsi="Times New Roman" w:cs="Times New Roman"/>
                <w:color w:val="auto"/>
                <w:sz w:val="21"/>
                <w:szCs w:val="21"/>
                <w:lang w:val="en-US" w:bidi="ar-SA"/>
              </w:rPr>
              <w:t>（魏文〔2021〕10号）、</w:t>
            </w:r>
            <w:r>
              <w:rPr>
                <w:rFonts w:ascii="Times New Roman" w:hAnsi="Times New Roman" w:cs="Times New Roman"/>
                <w:color w:val="auto"/>
                <w:sz w:val="21"/>
                <w:szCs w:val="21"/>
                <w:lang w:val="en-US" w:bidi="ar-SA"/>
              </w:rPr>
              <w:t>《邯郸市2023年大气污染综合治理暨全面巩固“退后十”成果工作方案&gt;的通知》（邯气领办〔2023〕5号）、《河北省2022年大气污染综合治理工作要点》（冀气领组〔2022〕2号）、《河北省深入实施大气污染综合治理十条措施》等整治计划落实，超标因子年均值浓度持续下降，环境空气质量逐渐改善，能够满足区域环境质量改善目标管理的要求。</w:t>
            </w:r>
          </w:p>
          <w:p>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具体整治方案的措施包括：推进产业结构调整，深化绿色转型攻坚，严把项目准入关，加快低效和过剩产能淘汰，加快推进企业退城搬迁，优化调整产业结构,促进重点行业绿色升级改造，持续排查整治 “散乱污”企业；加快能源结构调整,深化清洁能源替代攻坚，严格控制煤炭消费总量，推进农村清洁安全取暖，强化清洁燃料替代，强化散煤管控；构建绿色交通体系, 深化机动车污染防治攻坚，加快 “公转铁”工程建设，加快车辆优化升级，加快新能源车推广应用，加强柴油货车排放管控，强化清洁油品管控；推进企业绿色发展,深化重点行业超低排放攻坚，全面推进钢铁行业超低排放改造，全面推进燃煤电厂超净排放改造，深化重点行业深度治理，深入开展工业窑炉和锅炉综合治理，加强消耗臭氧层物质 (ODS)管控，加强涉 VOCs 企业监管，全面开展无组织排查整治，强化源头控制，加强生活源管控；强化用地结构调整,深化面源污染防治攻坚，强化扬尘精细化管控，加强物料堆场扬尘治理，加强矿山扬尘深度整治，开展国土绿化行动，严禁秸秆和垃圾露天焚烧，严格管控烟花爆竹燃放，推进农业氨排放管控；强化重点时段管控, 深化重污染天气应对攻坚，强化重污染天气应对，有效应对轻中度污染天气，精准实施水泥常态化错峰生产，深化工业企业绩效评级，深入实施正面清单管理制度。</w:t>
            </w:r>
          </w:p>
          <w:p>
            <w:pPr>
              <w:autoSpaceDE/>
              <w:autoSpaceDN/>
              <w:spacing w:line="400" w:lineRule="exact"/>
              <w:ind w:left="110" w:leftChars="50"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6</w:t>
            </w:r>
            <w:r>
              <w:rPr>
                <w:rFonts w:ascii="Times New Roman" w:hAnsi="Times New Roman" w:cs="Times New Roman"/>
                <w:b/>
                <w:bCs/>
                <w:color w:val="auto"/>
                <w:sz w:val="21"/>
                <w:szCs w:val="21"/>
              </w:rPr>
              <w:t>）资源利用上线</w:t>
            </w:r>
            <w:r>
              <w:rPr>
                <w:rFonts w:hint="eastAsia" w:ascii="Times New Roman" w:hAnsi="Times New Roman" w:cs="Times New Roman"/>
                <w:b/>
                <w:bCs/>
                <w:color w:val="auto"/>
                <w:sz w:val="21"/>
                <w:szCs w:val="21"/>
              </w:rPr>
              <w:t>符合性分析</w:t>
            </w:r>
          </w:p>
          <w:p>
            <w:pPr>
              <w:adjustRightInd w:val="0"/>
              <w:snapToGrid w:val="0"/>
              <w:spacing w:line="40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rPr>
              <w:t>9</w:t>
            </w:r>
            <w:r>
              <w:rPr>
                <w:rFonts w:hint="eastAsia" w:ascii="Times New Roman" w:hAnsi="Times New Roman" w:cs="Times New Roman"/>
                <w:b/>
                <w:bCs/>
                <w:color w:val="auto"/>
                <w:sz w:val="21"/>
                <w:szCs w:val="21"/>
              </w:rPr>
              <w:t xml:space="preserve"> 全市资源利用总体管控要求</w:t>
            </w:r>
          </w:p>
          <w:tbl>
            <w:tblPr>
              <w:tblStyle w:val="32"/>
              <w:tblW w:w="76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3"/>
              <w:gridCol w:w="5446"/>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bottom w:val="single" w:color="000000" w:sz="4" w:space="0"/>
                    <w:right w:val="single" w:color="000000" w:sz="4" w:space="0"/>
                  </w:tcBorders>
                  <w:vAlign w:val="center"/>
                </w:tcPr>
                <w:p>
                  <w:pPr>
                    <w:pStyle w:val="52"/>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要素</w:t>
                  </w:r>
                </w:p>
              </w:tc>
              <w:tc>
                <w:tcPr>
                  <w:tcW w:w="5446" w:type="dxa"/>
                  <w:tcBorders>
                    <w:left w:val="single" w:color="000000" w:sz="4" w:space="0"/>
                    <w:bottom w:val="single" w:color="000000" w:sz="4" w:space="0"/>
                  </w:tcBorders>
                  <w:vAlign w:val="center"/>
                </w:tcPr>
                <w:p>
                  <w:pPr>
                    <w:pStyle w:val="52"/>
                    <w:tabs>
                      <w:tab w:val="left" w:pos="759"/>
                    </w:tabs>
                    <w:autoSpaceDE/>
                    <w:autoSpaceDN/>
                    <w:jc w:val="center"/>
                    <w:rPr>
                      <w:rFonts w:ascii="Times New Roman" w:hAnsi="Times New Roman" w:cs="Times New Roman"/>
                      <w:b/>
                      <w:color w:val="auto"/>
                      <w:sz w:val="21"/>
                      <w:szCs w:val="21"/>
                    </w:rPr>
                  </w:pPr>
                  <w:r>
                    <w:rPr>
                      <w:rFonts w:hint="eastAsia" w:ascii="Times New Roman" w:hAnsi="Times New Roman" w:cs="Times New Roman"/>
                      <w:b/>
                      <w:color w:val="auto"/>
                      <w:sz w:val="21"/>
                      <w:szCs w:val="21"/>
                    </w:rPr>
                    <w:t>管控要求</w:t>
                  </w:r>
                </w:p>
              </w:tc>
              <w:tc>
                <w:tcPr>
                  <w:tcW w:w="1590" w:type="dxa"/>
                  <w:tcBorders>
                    <w:left w:val="single" w:color="000000" w:sz="4" w:space="0"/>
                    <w:bottom w:val="single" w:color="000000" w:sz="4" w:space="0"/>
                  </w:tcBorders>
                  <w:vAlign w:val="center"/>
                </w:tcPr>
                <w:p>
                  <w:pPr>
                    <w:pStyle w:val="52"/>
                    <w:tabs>
                      <w:tab w:val="left" w:pos="759"/>
                    </w:tabs>
                    <w:autoSpaceDE/>
                    <w:autoSpaceDN/>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水资源</w:t>
                  </w:r>
                </w:p>
              </w:tc>
              <w:tc>
                <w:tcPr>
                  <w:tcW w:w="544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5.地下水禁止开采区、限制开采区的农、林、牧、渔业和制造业、电力、热水、燃气及水生产和供应业，取用地下水要求严格按照《河北省新增限制和淘汰类产业目录（2015年版）》中要求执行</w:t>
                  </w:r>
                </w:p>
              </w:tc>
              <w:tc>
                <w:tcPr>
                  <w:tcW w:w="1590"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能源</w:t>
                  </w:r>
                </w:p>
              </w:tc>
              <w:tc>
                <w:tcPr>
                  <w:tcW w:w="544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号”质量指标的规定。4.对新增耗煤项目实施等(减)量替代。5.平原地区农村全部完成生活和冬季取暖散煤替代，实现散煤动态清零</w:t>
                  </w:r>
                </w:p>
              </w:tc>
              <w:tc>
                <w:tcPr>
                  <w:tcW w:w="1590"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土壤资源</w:t>
                  </w:r>
                </w:p>
              </w:tc>
              <w:tc>
                <w:tcPr>
                  <w:tcW w:w="544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1590" w:type="dxa"/>
                  <w:tcBorders>
                    <w:top w:val="single" w:color="000000" w:sz="4" w:space="0"/>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本项目不占用耕地</w:t>
                  </w:r>
                </w:p>
              </w:tc>
            </w:tr>
          </w:tbl>
          <w:p>
            <w:pPr>
              <w:autoSpaceDE/>
              <w:autoSpaceDN/>
              <w:spacing w:line="400" w:lineRule="exact"/>
              <w:ind w:left="110" w:lef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lang w:val="en-US"/>
              </w:rPr>
              <w:t>项目用水由</w:t>
            </w:r>
            <w:r>
              <w:rPr>
                <w:rFonts w:hint="eastAsia" w:ascii="Times New Roman" w:hAnsi="Times New Roman" w:cs="Times New Roman"/>
                <w:color w:val="auto"/>
                <w:sz w:val="21"/>
                <w:szCs w:val="21"/>
                <w:lang w:val="en-US"/>
              </w:rPr>
              <w:t>当地</w:t>
            </w:r>
            <w:r>
              <w:rPr>
                <w:rFonts w:ascii="Times New Roman" w:hAnsi="Times New Roman" w:cs="Times New Roman"/>
                <w:color w:val="auto"/>
                <w:sz w:val="21"/>
                <w:szCs w:val="21"/>
                <w:lang w:val="en-US"/>
              </w:rPr>
              <w:t>供水管网供给，项目用电由</w:t>
            </w:r>
            <w:r>
              <w:rPr>
                <w:rFonts w:hint="eastAsia" w:ascii="Times New Roman" w:hAnsi="Times New Roman" w:cs="Times New Roman"/>
                <w:color w:val="auto"/>
                <w:sz w:val="21"/>
                <w:szCs w:val="21"/>
                <w:lang w:val="en-US"/>
              </w:rPr>
              <w:t>当地</w:t>
            </w:r>
            <w:r>
              <w:rPr>
                <w:rFonts w:ascii="Times New Roman" w:hAnsi="Times New Roman" w:cs="Times New Roman"/>
                <w:color w:val="auto"/>
                <w:sz w:val="21"/>
                <w:szCs w:val="21"/>
                <w:lang w:val="en-US"/>
              </w:rPr>
              <w:t>供电电网提供。本项目消耗适量的电资源、水资源和土地资源，项目资源消耗量相对区域资源利用总量较小，所在区域原辅</w:t>
            </w:r>
            <w:r>
              <w:rPr>
                <w:rFonts w:ascii="Times New Roman" w:hAnsi="Times New Roman" w:cs="Times New Roman"/>
                <w:color w:val="auto"/>
                <w:sz w:val="21"/>
                <w:szCs w:val="21"/>
              </w:rPr>
              <w:t>料、水、电供应充足，生产过程尽可能做到合理利用和节约能耗，最大限度地减少物耗、能耗，不会突破资源利用上线。</w:t>
            </w:r>
          </w:p>
          <w:p>
            <w:pPr>
              <w:autoSpaceDE/>
              <w:autoSpaceDN/>
              <w:spacing w:line="400" w:lineRule="exact"/>
              <w:ind w:left="110" w:leftChars="50"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7</w:t>
            </w: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生态环境准入清单</w:t>
            </w:r>
            <w:r>
              <w:rPr>
                <w:rFonts w:hint="eastAsia" w:ascii="Times New Roman" w:hAnsi="Times New Roman" w:cs="Times New Roman"/>
                <w:b/>
                <w:bCs/>
                <w:color w:val="auto"/>
                <w:sz w:val="21"/>
                <w:szCs w:val="21"/>
                <w:lang w:val="en-US"/>
              </w:rPr>
              <w:t>符合性分析</w:t>
            </w:r>
          </w:p>
          <w:p>
            <w:pPr>
              <w:autoSpaceDE/>
              <w:autoSpaceDN/>
              <w:adjustRightInd w:val="0"/>
              <w:snapToGrid w:val="0"/>
              <w:spacing w:line="480" w:lineRule="exact"/>
              <w:ind w:firstLine="420" w:firstLineChars="200"/>
              <w:jc w:val="both"/>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w:t>
            </w:r>
            <w:r>
              <w:rPr>
                <w:rFonts w:hint="eastAsia" w:ascii="Times New Roman" w:hAnsi="Times New Roman" w:cs="Times New Roman"/>
                <w:color w:val="auto"/>
                <w:sz w:val="21"/>
                <w:szCs w:val="21"/>
              </w:rPr>
              <w:t>《邯郸市生态环境准入清单（2023年版）》（二零二四年三月）要求，同时查询河北省三线一单管理平台（http://218.11.12.12:8083/query），邯郸市</w:t>
            </w:r>
            <w:r>
              <w:rPr>
                <w:rFonts w:hint="eastAsia" w:ascii="Times New Roman" w:hAnsi="Times New Roman" w:cs="Times New Roman"/>
                <w:color w:val="auto"/>
                <w:sz w:val="21"/>
                <w:szCs w:val="21"/>
                <w:lang w:val="en-US"/>
              </w:rPr>
              <w:t>环境管控单元图见附图6，本项目位于河北省邯郸市魏县德政镇王庄村北。所在单元类别为一般管控单元，魏县生态环境准入清单如下：</w:t>
            </w:r>
          </w:p>
          <w:p>
            <w:pPr>
              <w:adjustRightInd w:val="0"/>
              <w:snapToGrid w:val="0"/>
              <w:spacing w:line="4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表1.</w:t>
            </w:r>
            <w:r>
              <w:rPr>
                <w:rFonts w:hint="eastAsia" w:ascii="Times New Roman" w:hAnsi="Times New Roman" w:cs="Times New Roman"/>
                <w:b/>
                <w:bCs/>
                <w:color w:val="auto"/>
                <w:sz w:val="21"/>
                <w:szCs w:val="21"/>
                <w:lang w:val="en-US"/>
              </w:rPr>
              <w:t>10</w:t>
            </w:r>
            <w:r>
              <w:rPr>
                <w:rFonts w:ascii="Times New Roman" w:hAnsi="Times New Roman" w:cs="Times New Roman"/>
                <w:b/>
                <w:bCs/>
                <w:color w:val="auto"/>
                <w:sz w:val="21"/>
                <w:szCs w:val="21"/>
                <w:lang w:val="en-US"/>
              </w:rPr>
              <w:t xml:space="preserve"> 魏县生态环境准入清单</w:t>
            </w:r>
          </w:p>
          <w:tbl>
            <w:tblPr>
              <w:tblStyle w:val="3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2"/>
              <w:gridCol w:w="247"/>
              <w:gridCol w:w="683"/>
              <w:gridCol w:w="450"/>
              <w:gridCol w:w="600"/>
              <w:gridCol w:w="433"/>
              <w:gridCol w:w="3934"/>
              <w:gridCol w:w="7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tcBorders>
                    <w:bottom w:val="single" w:color="000000" w:sz="4" w:space="0"/>
                    <w:right w:val="single" w:color="000000" w:sz="4" w:space="0"/>
                  </w:tcBorders>
                  <w:vAlign w:val="center"/>
                </w:tcPr>
                <w:p>
                  <w:pPr>
                    <w:pStyle w:val="52"/>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编</w:t>
                  </w:r>
                </w:p>
                <w:p>
                  <w:pPr>
                    <w:pStyle w:val="52"/>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号</w:t>
                  </w:r>
                </w:p>
              </w:tc>
              <w:tc>
                <w:tcPr>
                  <w:tcW w:w="247"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区</w:t>
                  </w:r>
                </w:p>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县</w:t>
                  </w:r>
                </w:p>
              </w:tc>
              <w:tc>
                <w:tcPr>
                  <w:tcW w:w="683"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涉及</w:t>
                  </w:r>
                </w:p>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乡镇</w:t>
                  </w:r>
                </w:p>
              </w:tc>
              <w:tc>
                <w:tcPr>
                  <w:tcW w:w="450"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单位</w:t>
                  </w:r>
                </w:p>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类别</w:t>
                  </w:r>
                </w:p>
              </w:tc>
              <w:tc>
                <w:tcPr>
                  <w:tcW w:w="600"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环境要</w:t>
                  </w:r>
                </w:p>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素类别</w:t>
                  </w:r>
                </w:p>
              </w:tc>
              <w:tc>
                <w:tcPr>
                  <w:tcW w:w="433"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维度</w:t>
                  </w:r>
                </w:p>
              </w:tc>
              <w:tc>
                <w:tcPr>
                  <w:tcW w:w="3934"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管控措施</w:t>
                  </w:r>
                </w:p>
              </w:tc>
              <w:tc>
                <w:tcPr>
                  <w:tcW w:w="736" w:type="dxa"/>
                  <w:tcBorders>
                    <w:left w:val="single" w:color="000000" w:sz="4" w:space="0"/>
                    <w:bottom w:val="single" w:color="000000" w:sz="4" w:space="0"/>
                  </w:tcBorders>
                  <w:vAlign w:val="center"/>
                </w:tcPr>
                <w:p>
                  <w:pPr>
                    <w:pStyle w:val="52"/>
                    <w:tabs>
                      <w:tab w:val="left" w:pos="759"/>
                    </w:tabs>
                    <w:autoSpaceDE/>
                    <w:autoSpaceDN/>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restart"/>
                  <w:tcBorders>
                    <w:top w:val="single" w:color="000000" w:sz="4" w:space="0"/>
                    <w:right w:val="single" w:color="000000" w:sz="4" w:space="0"/>
                  </w:tcBorders>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ZH13043430139</w:t>
                  </w:r>
                </w:p>
              </w:tc>
              <w:tc>
                <w:tcPr>
                  <w:tcW w:w="247" w:type="dxa"/>
                  <w:vMerge w:val="restart"/>
                  <w:tcBorders>
                    <w:top w:val="single" w:color="000000" w:sz="4" w:space="0"/>
                    <w:left w:val="single" w:color="000000" w:sz="4" w:space="0"/>
                  </w:tcBorders>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魏县</w:t>
                  </w:r>
                </w:p>
              </w:tc>
              <w:tc>
                <w:tcPr>
                  <w:tcW w:w="683" w:type="dxa"/>
                  <w:vMerge w:val="restart"/>
                  <w:tcBorders>
                    <w:top w:val="single" w:color="000000" w:sz="4" w:space="0"/>
                    <w:left w:val="single" w:color="000000" w:sz="4" w:space="0"/>
                  </w:tcBorders>
                  <w:vAlign w:val="center"/>
                </w:tcPr>
                <w:p>
                  <w:pPr>
                    <w:widowControl/>
                    <w:jc w:val="center"/>
                    <w:rPr>
                      <w:rFonts w:ascii="Times New Roman" w:hAnsi="Times New Roman" w:cs="Times New Roman"/>
                      <w:b/>
                      <w:bCs/>
                      <w:color w:val="auto"/>
                      <w:sz w:val="21"/>
                      <w:szCs w:val="21"/>
                    </w:rPr>
                  </w:pPr>
                  <w:r>
                    <w:rPr>
                      <w:rFonts w:hint="eastAsia" w:ascii="Times New Roman" w:hAnsi="Times New Roman" w:cs="Times New Roman"/>
                      <w:color w:val="auto"/>
                      <w:sz w:val="21"/>
                      <w:szCs w:val="21"/>
                      <w:lang w:val="en-US"/>
                    </w:rPr>
                    <w:t>魏城镇、</w:t>
                  </w:r>
                  <w:r>
                    <w:rPr>
                      <w:rFonts w:hint="eastAsia" w:ascii="Times New Roman" w:hAnsi="Times New Roman" w:cs="Times New Roman"/>
                      <w:b/>
                      <w:bCs/>
                      <w:color w:val="auto"/>
                      <w:sz w:val="21"/>
                      <w:szCs w:val="21"/>
                      <w:lang w:val="en-US"/>
                    </w:rPr>
                    <w:t xml:space="preserve">德 </w:t>
                  </w:r>
                </w:p>
                <w:p>
                  <w:pPr>
                    <w:widowControl/>
                    <w:jc w:val="center"/>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rPr>
                    <w:t>政镇</w:t>
                  </w:r>
                  <w:r>
                    <w:rPr>
                      <w:rFonts w:hint="eastAsia" w:ascii="Times New Roman" w:hAnsi="Times New Roman" w:cs="Times New Roman"/>
                      <w:color w:val="auto"/>
                      <w:sz w:val="21"/>
                      <w:szCs w:val="21"/>
                      <w:lang w:val="en-US"/>
                    </w:rPr>
                    <w:t xml:space="preserve">、北皋镇、双井镇、车往镇、东代固镇、院堡镇、南双庙 </w:t>
                  </w:r>
                </w:p>
                <w:p>
                  <w:pPr>
                    <w:widowControl/>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 xml:space="preserve">镇、棘针寨镇、沙口集乡、野胡拐乡、仕望集镇、前大磨乡、大辛庄乡、北台头乡、泊口镇、南双庙 </w:t>
                  </w:r>
                </w:p>
                <w:p>
                  <w:pPr>
                    <w:widowControl/>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镇、牙里镇、回隆镇、张二庄镇、大马村乡、边马镇</w:t>
                  </w:r>
                </w:p>
              </w:tc>
              <w:tc>
                <w:tcPr>
                  <w:tcW w:w="450" w:type="dxa"/>
                  <w:vMerge w:val="restart"/>
                  <w:tcBorders>
                    <w:top w:val="single" w:color="000000" w:sz="4" w:space="0"/>
                    <w:left w:val="single" w:color="000000" w:sz="4" w:space="0"/>
                  </w:tcBorders>
                  <w:vAlign w:val="center"/>
                </w:tcPr>
                <w:p>
                  <w:pPr>
                    <w:widowControl/>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一般管控单元</w:t>
                  </w:r>
                </w:p>
              </w:tc>
              <w:tc>
                <w:tcPr>
                  <w:tcW w:w="600" w:type="dxa"/>
                  <w:vMerge w:val="restart"/>
                  <w:tcBorders>
                    <w:top w:val="single" w:color="000000" w:sz="4" w:space="0"/>
                    <w:left w:val="single" w:color="000000" w:sz="4" w:space="0"/>
                  </w:tcBorders>
                  <w:vAlign w:val="center"/>
                </w:tcPr>
                <w:p>
                  <w:pPr>
                    <w:widowControl/>
                    <w:jc w:val="center"/>
                    <w:rPr>
                      <w:rFonts w:ascii="Times New Roman" w:hAnsi="Times New Roman" w:cs="Times New Roman"/>
                      <w:color w:val="auto"/>
                      <w:kern w:val="2"/>
                      <w:sz w:val="21"/>
                      <w:szCs w:val="21"/>
                    </w:rPr>
                  </w:pPr>
                  <w:r>
                    <w:rPr>
                      <w:rFonts w:hint="eastAsia" w:ascii="Times New Roman" w:hAnsi="Times New Roman" w:cs="Times New Roman"/>
                      <w:color w:val="auto"/>
                      <w:sz w:val="21"/>
                      <w:szCs w:val="21"/>
                      <w:lang w:val="en-US" w:bidi="ar"/>
                    </w:rPr>
                    <w:t>-</w:t>
                  </w:r>
                </w:p>
              </w:tc>
              <w:tc>
                <w:tcPr>
                  <w:tcW w:w="433" w:type="dxa"/>
                  <w:tcBorders>
                    <w:top w:val="single" w:color="000000" w:sz="4" w:space="0"/>
                    <w:left w:val="single" w:color="000000" w:sz="4" w:space="0"/>
                    <w:bottom w:val="single" w:color="000000" w:sz="4" w:space="0"/>
                  </w:tcBorders>
                  <w:vAlign w:val="center"/>
                </w:tcPr>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空间</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布局</w:t>
                  </w:r>
                </w:p>
              </w:tc>
              <w:tc>
                <w:tcPr>
                  <w:tcW w:w="3934" w:type="dxa"/>
                  <w:tcBorders>
                    <w:top w:val="single" w:color="000000" w:sz="4" w:space="0"/>
                    <w:left w:val="single" w:color="000000" w:sz="4" w:space="0"/>
                    <w:bottom w:val="single" w:color="000000" w:sz="4" w:space="0"/>
                  </w:tcBorders>
                  <w:vAlign w:val="center"/>
                </w:tcPr>
                <w:p>
                  <w:pPr>
                    <w:widowControl/>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1.禁止建设《产业结构调整指导目录》中禁止类项目及设备(如砖瓦轮窑以及立窑、无顶轮窑、马蹄窑等土窑、普通挤砖机等）</w:t>
                  </w:r>
                </w:p>
              </w:tc>
              <w:tc>
                <w:tcPr>
                  <w:tcW w:w="73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本项目属于允许类项目，项目周边无生态保护红线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247" w:type="dxa"/>
                  <w:vMerge w:val="continue"/>
                  <w:tcBorders>
                    <w:lef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683" w:type="dxa"/>
                  <w:vMerge w:val="continue"/>
                  <w:tcBorders>
                    <w:lef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450" w:type="dxa"/>
                  <w:vMerge w:val="continue"/>
                  <w:tcBorders>
                    <w:lef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600" w:type="dxa"/>
                  <w:vMerge w:val="continue"/>
                  <w:tcBorders>
                    <w:left w:val="single" w:color="000000" w:sz="4" w:space="0"/>
                  </w:tcBorders>
                  <w:vAlign w:val="center"/>
                </w:tcPr>
                <w:p>
                  <w:pPr>
                    <w:pStyle w:val="52"/>
                    <w:autoSpaceDE/>
                    <w:autoSpaceDN/>
                    <w:jc w:val="center"/>
                    <w:rPr>
                      <w:rFonts w:ascii="Times New Roman" w:hAnsi="Times New Roman" w:cs="Times New Roman"/>
                      <w:color w:val="auto"/>
                      <w:sz w:val="21"/>
                      <w:szCs w:val="21"/>
                    </w:rPr>
                  </w:pPr>
                </w:p>
              </w:tc>
              <w:tc>
                <w:tcPr>
                  <w:tcW w:w="433" w:type="dxa"/>
                  <w:tcBorders>
                    <w:top w:val="single" w:color="000000" w:sz="4" w:space="0"/>
                    <w:left w:val="single" w:color="000000" w:sz="4" w:space="0"/>
                    <w:bottom w:val="single" w:color="000000" w:sz="4" w:space="0"/>
                  </w:tcBorders>
                  <w:vAlign w:val="center"/>
                </w:tcPr>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污染</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物排</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放管</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控</w:t>
                  </w:r>
                </w:p>
              </w:tc>
              <w:tc>
                <w:tcPr>
                  <w:tcW w:w="3934" w:type="dxa"/>
                  <w:tcBorders>
                    <w:top w:val="single" w:color="000000" w:sz="4" w:space="0"/>
                    <w:left w:val="single" w:color="000000" w:sz="4" w:space="0"/>
                    <w:bottom w:val="single" w:color="000000" w:sz="4" w:space="0"/>
                  </w:tcBorders>
                  <w:vAlign w:val="center"/>
                </w:tcPr>
                <w:p>
                  <w:pPr>
                    <w:widowControl/>
                    <w:jc w:val="both"/>
                    <w:rPr>
                      <w:rFonts w:ascii="Times New Roman" w:hAnsi="Times New Roman" w:cs="Times New Roman"/>
                      <w:color w:val="auto"/>
                      <w:kern w:val="2"/>
                      <w:sz w:val="21"/>
                      <w:szCs w:val="21"/>
                    </w:rPr>
                  </w:pPr>
                  <w:r>
                    <w:rPr>
                      <w:rFonts w:ascii="Times New Roman" w:hAnsi="Times New Roman" w:cs="Times New Roman"/>
                      <w:color w:val="auto"/>
                      <w:sz w:val="21"/>
                      <w:szCs w:val="21"/>
                      <w:lang w:val="en-US" w:bidi="ar"/>
                    </w:rPr>
                    <w:t>1.淘汰集中供热管网覆盖范围内的散煤。2.砖瓦行业污染物排放满足《砖瓦工业大气污染物排放标准》（GB2962-2013）及修改单中相应排放限值要求。3.冲天炉、玻璃熔窑、以煤和煤矸石为燃料的砖瓦烧结窑、耐火材料焙烧窑(电窑除外)、炭素焙(煅)烧炉(窑)、石灰窑、和精炼炉等，原则上应纳入重点排污单位名录，安装自动监控设施。4.对涉粉状物料十大行业按照“退后十”方案中相应要求管理。5.工业炉窑污染物排放满足《工业炉窑大气污染物排放标准》 (DB13/1640-2012)和《关于印发&lt;河北省工业炉窑综合治理实施方案&gt;的通知》(冀环大气〔2019〕607号)及“退后十”方案中邯郸限值要求。6.全面加强原辅材料源头替代，从源头减少VOCs产生。涉VOCs重点企业全面执行《挥发性有机物无组织排放控制标准》(GB37822-2019)。选择适宜的废气治理工艺，对VOCs污染源进行有效处理。</w:t>
                  </w:r>
                </w:p>
              </w:tc>
              <w:tc>
                <w:tcPr>
                  <w:tcW w:w="73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本项目不使用燃料，不涉及锅炉、工业炉窑，项目建设符合“退后十”方案要求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247"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683"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450"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600"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433" w:type="dxa"/>
                  <w:tcBorders>
                    <w:top w:val="single" w:color="000000" w:sz="4" w:space="0"/>
                    <w:left w:val="single" w:color="000000" w:sz="4" w:space="0"/>
                    <w:bottom w:val="single" w:color="000000" w:sz="4" w:space="0"/>
                  </w:tcBorders>
                  <w:vAlign w:val="center"/>
                </w:tcPr>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环境</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风险</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防控</w:t>
                  </w:r>
                </w:p>
              </w:tc>
              <w:tc>
                <w:tcPr>
                  <w:tcW w:w="3934" w:type="dxa"/>
                  <w:tcBorders>
                    <w:top w:val="single" w:color="000000" w:sz="4" w:space="0"/>
                    <w:left w:val="single" w:color="000000" w:sz="4" w:space="0"/>
                    <w:bottom w:val="single" w:color="000000" w:sz="4" w:space="0"/>
                  </w:tcBorders>
                  <w:vAlign w:val="center"/>
                </w:tcPr>
                <w:p>
                  <w:pPr>
                    <w:widowControl/>
                    <w:jc w:val="both"/>
                    <w:rPr>
                      <w:rFonts w:ascii="Times New Roman" w:hAnsi="Times New Roman" w:cs="Times New Roman"/>
                      <w:color w:val="auto"/>
                      <w:kern w:val="2"/>
                      <w:sz w:val="21"/>
                      <w:szCs w:val="21"/>
                      <w:lang w:val="en-US"/>
                    </w:rPr>
                  </w:pPr>
                  <w:r>
                    <w:rPr>
                      <w:rFonts w:ascii="Times New Roman" w:hAnsi="Times New Roman" w:cs="Times New Roman"/>
                      <w:color w:val="auto"/>
                      <w:kern w:val="2"/>
                      <w:sz w:val="21"/>
                      <w:szCs w:val="21"/>
                      <w:lang w:val="en-US"/>
                    </w:rPr>
                    <w:t>工艺过程中产生的含VOCs废料(渣、液)满足《挥发性有机物无组织排放控制标准》(GB37822-2019)中的要求。</w:t>
                  </w:r>
                </w:p>
              </w:tc>
              <w:tc>
                <w:tcPr>
                  <w:tcW w:w="73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rPr>
                    <w:t>本项目不涉及</w:t>
                  </w:r>
                  <w:r>
                    <w:rPr>
                      <w:rFonts w:hint="eastAsia" w:ascii="Times New Roman" w:hAnsi="Times New Roman" w:cs="Times New Roman"/>
                      <w:color w:val="auto"/>
                      <w:kern w:val="2"/>
                      <w:sz w:val="21"/>
                      <w:szCs w:val="21"/>
                      <w:lang w:val="en-US"/>
                    </w:rPr>
                    <w:t>VOCs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02" w:type="dxa"/>
                  <w:vMerge w:val="continue"/>
                  <w:tcBorders>
                    <w:righ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247"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683"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450"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600" w:type="dxa"/>
                  <w:vMerge w:val="continue"/>
                  <w:tcBorders>
                    <w:left w:val="single" w:color="000000" w:sz="4" w:space="0"/>
                  </w:tcBorders>
                  <w:vAlign w:val="center"/>
                </w:tcPr>
                <w:p>
                  <w:pPr>
                    <w:pStyle w:val="52"/>
                    <w:autoSpaceDE/>
                    <w:autoSpaceDN/>
                    <w:jc w:val="center"/>
                    <w:rPr>
                      <w:rFonts w:ascii="Times New Roman" w:hAnsi="Times New Roman" w:cs="Times New Roman"/>
                      <w:color w:val="auto"/>
                      <w:kern w:val="2"/>
                      <w:sz w:val="21"/>
                      <w:szCs w:val="21"/>
                    </w:rPr>
                  </w:pPr>
                </w:p>
              </w:tc>
              <w:tc>
                <w:tcPr>
                  <w:tcW w:w="433" w:type="dxa"/>
                  <w:tcBorders>
                    <w:top w:val="single" w:color="000000" w:sz="4" w:space="0"/>
                    <w:left w:val="single" w:color="000000" w:sz="4" w:space="0"/>
                    <w:bottom w:val="single" w:color="000000" w:sz="4" w:space="0"/>
                  </w:tcBorders>
                  <w:vAlign w:val="center"/>
                </w:tcPr>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资源</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利用</w:t>
                  </w:r>
                </w:p>
                <w:p>
                  <w:pPr>
                    <w:pStyle w:val="52"/>
                    <w:autoSpaceDE/>
                    <w:autoSpaceDN/>
                    <w:ind w:left="-110" w:leftChars="-50" w:right="-110" w:rightChars="-50"/>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效率</w:t>
                  </w:r>
                </w:p>
              </w:tc>
              <w:tc>
                <w:tcPr>
                  <w:tcW w:w="3934" w:type="dxa"/>
                  <w:tcBorders>
                    <w:top w:val="single" w:color="000000" w:sz="4" w:space="0"/>
                    <w:left w:val="single" w:color="000000" w:sz="4" w:space="0"/>
                    <w:bottom w:val="single" w:color="000000" w:sz="4" w:space="0"/>
                  </w:tcBorders>
                  <w:vAlign w:val="center"/>
                </w:tcPr>
                <w:p>
                  <w:pPr>
                    <w:widowControl/>
                    <w:jc w:val="both"/>
                    <w:rPr>
                      <w:rFonts w:ascii="Times New Roman" w:hAnsi="Times New Roman" w:cs="Times New Roman"/>
                      <w:color w:val="auto"/>
                      <w:kern w:val="2"/>
                      <w:sz w:val="21"/>
                      <w:szCs w:val="21"/>
                    </w:rPr>
                  </w:pPr>
                  <w:r>
                    <w:rPr>
                      <w:rFonts w:ascii="Times New Roman" w:hAnsi="Times New Roman" w:cs="Times New Roman"/>
                      <w:color w:val="auto"/>
                      <w:kern w:val="2"/>
                      <w:sz w:val="21"/>
                      <w:szCs w:val="21"/>
                    </w:rPr>
                    <w:t>鼓励烧结砖瓦生产企业推进合同能源管理，建立能耗综合监测系统，开展窑炉热平衡测试，对主要能源消耗、重点耗能设备实施实时可视化管理。对现有生产烧结墙体材料的企业，要确保达到《烧结墙体材料和泡沫玻璃单位产品能源消耗限额》(GB30526-2019)限定值，争取达到先进值。</w:t>
                  </w:r>
                </w:p>
              </w:tc>
              <w:tc>
                <w:tcPr>
                  <w:tcW w:w="736" w:type="dxa"/>
                  <w:tcBorders>
                    <w:top w:val="single" w:color="000000" w:sz="4" w:space="0"/>
                    <w:left w:val="single" w:color="000000" w:sz="4" w:space="0"/>
                    <w:bottom w:val="single" w:color="000000" w:sz="4" w:space="0"/>
                  </w:tcBorders>
                  <w:vAlign w:val="center"/>
                </w:tcPr>
                <w:p>
                  <w:pPr>
                    <w:pStyle w:val="52"/>
                    <w:autoSpaceDE/>
                    <w:autoSpaceDN/>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本项目不使用燃料</w:t>
                  </w:r>
                </w:p>
              </w:tc>
            </w:tr>
          </w:tbl>
          <w:p>
            <w:pPr>
              <w:pStyle w:val="52"/>
              <w:tabs>
                <w:tab w:val="left" w:pos="531"/>
              </w:tabs>
              <w:spacing w:line="400" w:lineRule="exact"/>
              <w:ind w:left="110" w:leftChars="50" w:firstLine="421" w:firstLineChars="200"/>
              <w:jc w:val="both"/>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3、绩效评价符合性分析</w:t>
            </w:r>
          </w:p>
          <w:p>
            <w:pPr>
              <w:pStyle w:val="52"/>
              <w:tabs>
                <w:tab w:val="left" w:pos="531"/>
              </w:tabs>
              <w:spacing w:line="400" w:lineRule="exact"/>
              <w:ind w:left="110" w:leftChars="50"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与《河北省十一个行业重污染天气应急减排措施制定技术指南（试行）》符合性</w:t>
            </w:r>
          </w:p>
          <w:p>
            <w:pPr>
              <w:pStyle w:val="52"/>
              <w:tabs>
                <w:tab w:val="left" w:pos="531"/>
              </w:tabs>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根据该技术指南中“预拌混凝土、预拌砂浆行业企业绩效评级表”，逐条分析符合性内容如下：</w:t>
            </w:r>
          </w:p>
          <w:p>
            <w:pPr>
              <w:pStyle w:val="52"/>
              <w:tabs>
                <w:tab w:val="left" w:pos="531"/>
              </w:tabs>
              <w:spacing w:line="400" w:lineRule="exact"/>
              <w:ind w:left="110" w:leftChars="50"/>
              <w:jc w:val="center"/>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表1.11  本项目与“预拌混凝土、预拌砂浆行业企业绩效评级表”符合性</w:t>
            </w:r>
          </w:p>
          <w:tbl>
            <w:tblPr>
              <w:tblStyle w:val="32"/>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57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color w:val="auto"/>
                      <w:sz w:val="21"/>
                      <w:szCs w:val="21"/>
                      <w:lang w:val="en-US"/>
                    </w:rPr>
                    <w:t>引领性指标</w:t>
                  </w:r>
                </w:p>
              </w:tc>
              <w:tc>
                <w:tcPr>
                  <w:tcW w:w="5576" w:type="dxa"/>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hint="eastAsia" w:ascii="Times New Roman" w:hAnsi="Times New Roman" w:cs="Times New Roman"/>
                      <w:b/>
                      <w:color w:val="auto"/>
                      <w:sz w:val="21"/>
                      <w:szCs w:val="21"/>
                      <w:lang w:val="en-US"/>
                    </w:rPr>
                    <w:t>商砼搅拌站</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b/>
                      <w:bCs/>
                      <w:color w:val="auto"/>
                      <w:sz w:val="21"/>
                      <w:szCs w:val="21"/>
                      <w:lang w:val="en-US" w:bidi="ar"/>
                    </w:rPr>
                  </w:pPr>
                  <w:r>
                    <w:rPr>
                      <w:rFonts w:ascii="Times New Roman" w:hAnsi="Times New Roman" w:cs="Times New Roman"/>
                      <w:b/>
                      <w:bCs/>
                      <w:color w:val="auto"/>
                      <w:sz w:val="21"/>
                      <w:szCs w:val="21"/>
                      <w:lang w:val="en-US"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rPr>
                  </w:pPr>
                  <w:r>
                    <w:rPr>
                      <w:rFonts w:ascii="Times New Roman" w:hAnsi="Times New Roman" w:cs="Times New Roman"/>
                      <w:color w:val="auto"/>
                      <w:sz w:val="21"/>
                      <w:szCs w:val="21"/>
                      <w:lang w:val="en-US" w:bidi="ar"/>
                    </w:rPr>
                    <w:t>能源类型</w:t>
                  </w:r>
                </w:p>
              </w:tc>
              <w:tc>
                <w:tcPr>
                  <w:tcW w:w="5576" w:type="dxa"/>
                  <w:shd w:val="clear" w:color="auto" w:fill="auto"/>
                  <w:vAlign w:val="center"/>
                </w:tcPr>
                <w:p>
                  <w:pPr>
                    <w:widowControl/>
                    <w:ind w:left="-110" w:leftChars="-50" w:right="-110" w:rightChars="-50"/>
                    <w:textAlignment w:val="top"/>
                    <w:rPr>
                      <w:rFonts w:ascii="Times New Roman" w:hAnsi="Times New Roman" w:cs="Times New Roman"/>
                      <w:color w:val="auto"/>
                      <w:sz w:val="21"/>
                      <w:szCs w:val="21"/>
                    </w:rPr>
                  </w:pPr>
                  <w:r>
                    <w:rPr>
                      <w:rFonts w:ascii="Times New Roman" w:hAnsi="Times New Roman" w:cs="Times New Roman"/>
                      <w:color w:val="auto"/>
                      <w:sz w:val="21"/>
                      <w:szCs w:val="21"/>
                      <w:lang w:val="en-US" w:bidi="ar"/>
                    </w:rPr>
                    <w:t>电、外购蒸汽、天然气（采用低氮燃烧）</w:t>
                  </w:r>
                </w:p>
              </w:tc>
              <w:tc>
                <w:tcPr>
                  <w:tcW w:w="1359" w:type="dxa"/>
                  <w:shd w:val="clear" w:color="auto" w:fill="auto"/>
                  <w:vAlign w:val="center"/>
                </w:tcPr>
                <w:p>
                  <w:pPr>
                    <w:widowControl/>
                    <w:ind w:left="-110" w:leftChars="-50" w:right="-110" w:rightChars="-50"/>
                    <w:jc w:val="center"/>
                    <w:textAlignment w:val="top"/>
                    <w:rPr>
                      <w:rStyle w:val="87"/>
                      <w:color w:val="auto"/>
                      <w:lang w:val="en-US" w:bidi="ar"/>
                    </w:rPr>
                  </w:pPr>
                  <w:r>
                    <w:rPr>
                      <w:rFonts w:ascii="Times New Roman" w:hAnsi="Times New Roman" w:cs="Times New Roman"/>
                      <w:color w:val="auto"/>
                      <w:sz w:val="21"/>
                      <w:szCs w:val="21"/>
                      <w:lang w:val="en-US" w:bidi="ar"/>
                    </w:rPr>
                    <w:t>本项目生产设备均使用电能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排放限值</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天然气锅炉基准氧含量3.5%，PM、NOx排放浓度不高于10、50mg/m</w:t>
                  </w:r>
                  <w:r>
                    <w:rPr>
                      <w:rStyle w:val="65"/>
                      <w:color w:val="auto"/>
                      <w:sz w:val="21"/>
                      <w:szCs w:val="21"/>
                      <w:vertAlign w:val="superscript"/>
                      <w:lang w:val="en-US" w:bidi="ar"/>
                    </w:rPr>
                    <w:t>3</w:t>
                  </w:r>
                  <w:r>
                    <w:rPr>
                      <w:rFonts w:ascii="Times New Roman" w:hAnsi="Times New Roman" w:cs="Times New Roman"/>
                      <w:color w:val="auto"/>
                      <w:sz w:val="21"/>
                      <w:szCs w:val="21"/>
                      <w:lang w:val="en-US" w:bidi="ar"/>
                    </w:rPr>
                    <w:t>，热风炉基准氧含量8%，PM、NOx排放浓度不高于10、100mg/m</w:t>
                  </w:r>
                  <w:r>
                    <w:rPr>
                      <w:rStyle w:val="65"/>
                      <w:color w:val="auto"/>
                      <w:sz w:val="21"/>
                      <w:szCs w:val="21"/>
                      <w:vertAlign w:val="superscript"/>
                      <w:lang w:val="en-US" w:bidi="ar"/>
                    </w:rPr>
                    <w:t>3</w:t>
                  </w:r>
                  <w:r>
                    <w:rPr>
                      <w:rFonts w:hint="eastAsia" w:ascii="Times New Roman" w:hAnsi="Times New Roman" w:cs="Times New Roman"/>
                      <w:color w:val="auto"/>
                      <w:sz w:val="21"/>
                      <w:szCs w:val="21"/>
                      <w:lang w:val="en-US" w:bidi="ar"/>
                    </w:rPr>
                    <w:t>。</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本项目</w:t>
                  </w:r>
                  <w:r>
                    <w:rPr>
                      <w:rFonts w:hint="eastAsia" w:ascii="Times New Roman" w:hAnsi="Times New Roman" w:cs="Times New Roman"/>
                      <w:color w:val="auto"/>
                      <w:sz w:val="21"/>
                      <w:szCs w:val="21"/>
                      <w:lang w:val="en-US" w:bidi="ar"/>
                    </w:rPr>
                    <w:t>不设锅炉、热风炉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无组织排放</w:t>
                  </w:r>
                </w:p>
              </w:tc>
              <w:tc>
                <w:tcPr>
                  <w:tcW w:w="5576" w:type="dxa"/>
                  <w:shd w:val="clear" w:color="auto" w:fill="auto"/>
                  <w:vAlign w:val="center"/>
                </w:tcPr>
                <w:p>
                  <w:pPr>
                    <w:widowControl/>
                    <w:numPr>
                      <w:ilvl w:val="0"/>
                      <w:numId w:val="2"/>
                    </w:numPr>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物料储存：粉状物料全部密闭储存；料棚建设全封闭，无明显裂隙、开口；物料进出口采取快速起闭门等方式，保证无粉尘外逸。料棚内部采取局部封闭或顶部雾化喷淋、重点区域喷雾等抑尘措施，做到抑尘全覆盖。湿拌混凝土和砂浆企业非冷冻期采用顶部雾化喷淋方式，冷冻期采取温水、添加防冻物质或辅助电加热等防冻方式，或产尘作业面采用局部雾炮方式达到抑尘效果。</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2、物料运输：物料采用皮带、斜槽等方式输送，封闭式建设；封闭式通廊内部输送皮带加装雾化喷淋抑尘装置；各物料破碎、转载、下料口设置集尘装置或物料转载、下料等区域局部封闭，并配置袋式除尘器。</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3、砂石上料：砂石上料采取区域侧、顶三面密封措施并加装集气除尘设施，上料时采用远红外等自动感应控制独立喷淋抑尘系统，集气除尘和自动感应喷淋与铲车作业上料同步运行。</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4、筛沙工序：筛沙机不在料棚内作业时应进行封闭。</w:t>
                  </w:r>
                </w:p>
                <w:p>
                  <w:pPr>
                    <w:widowControl/>
                    <w:ind w:left="-110" w:leftChars="-50" w:right="-110" w:rightChars="-5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5、砂石分离：砂石浆分离系统全封闭式建设，设置洗罐水砂石分离回收设施；通过输送带或砂浆泵等方式，将物料直接输送至料棚或生产线；采用室外倒运的采用防遗漏倒运车，严禁遗撒；</w:t>
                  </w:r>
                </w:p>
                <w:p>
                  <w:pPr>
                    <w:pStyle w:val="10"/>
                    <w:widowControl/>
                    <w:ind w:left="-110" w:leftChars="-50" w:right="-110" w:rightChars="-50"/>
                    <w:rPr>
                      <w:rFonts w:ascii="Times New Roman" w:hAnsi="Times New Roman" w:cs="Times New Roman"/>
                      <w:color w:val="auto"/>
                      <w:sz w:val="21"/>
                      <w:szCs w:val="21"/>
                      <w:lang w:val="en-US"/>
                    </w:rPr>
                  </w:pPr>
                  <w:r>
                    <w:rPr>
                      <w:rFonts w:ascii="Times New Roman" w:hAnsi="Times New Roman" w:eastAsia="宋体" w:cs="Times New Roman"/>
                      <w:color w:val="auto"/>
                      <w:sz w:val="21"/>
                      <w:szCs w:val="21"/>
                      <w:lang w:val="en-US"/>
                    </w:rPr>
                    <w:t>6、粉料筒仓：粉料筒仓库全封闭，库顶泄压口配备袋式除尘器。</w:t>
                  </w:r>
                </w:p>
                <w:p>
                  <w:pPr>
                    <w:widowControl/>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lang w:val="en-US"/>
                    </w:rPr>
                    <w:t>7</w:t>
                  </w:r>
                  <w:r>
                    <w:rPr>
                      <w:rFonts w:ascii="Times New Roman" w:hAnsi="Times New Roman" w:cs="Times New Roman"/>
                      <w:color w:val="auto"/>
                      <w:sz w:val="21"/>
                      <w:szCs w:val="21"/>
                    </w:rPr>
                    <w:t>、厂区管理：厂区地面全部硬化或绿化，无成片裸露土地；地面保持清洁，定时采用湿法清扫作业车清扫，做到无浮土、污泥。车间地面、墙面、设备表面不可见明显积尘。</w:t>
                  </w:r>
                </w:p>
                <w:p>
                  <w:pPr>
                    <w:widowControl/>
                    <w:ind w:left="-110" w:leftChars="-50" w:right="-110" w:rightChars="-5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8、主机车间：（搅拌生产楼）地面、墙面、设备表面不可见明显积尘，设施、设备不可见粉尘跑冒滴漏现象</w:t>
                  </w:r>
                </w:p>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rPr>
                    <w:t>9</w:t>
                  </w:r>
                  <w:r>
                    <w:rPr>
                      <w:rFonts w:ascii="Times New Roman" w:hAnsi="Times New Roman" w:cs="Times New Roman"/>
                      <w:color w:val="auto"/>
                      <w:sz w:val="21"/>
                      <w:szCs w:val="21"/>
                    </w:rPr>
                    <w:t>、车辆清洗：厂区（或料棚）出入口或搅拌楼放料区，安装运输车辆侧向全覆盖式强制喷淋清洗设施，清洗设施应保证车辆冲洗效果，地面至少设置一排花式喷射喷头。喷淋设施应充分考虑冷冻期结冰问题，合理优化地面基础设计，洗车平台应低于地面（呈斜坡状），若高于水平地面的应呈斜坡状并设置回水槽，保证清洗废水快速收集无外溢；清洗完成后车辆应在洗车槽内短暂停留，避免因车身带水过多造成道路湿滑和冬季积水结冰等安全隐患；冲洗介质可使用温水、添加防冻物质等有效防冻措施；冲洗水循环利用，不外排。</w:t>
                  </w:r>
                </w:p>
              </w:tc>
              <w:tc>
                <w:tcPr>
                  <w:tcW w:w="1359" w:type="dxa"/>
                  <w:shd w:val="clear" w:color="auto" w:fill="auto"/>
                  <w:vAlign w:val="center"/>
                </w:tcPr>
                <w:p>
                  <w:pPr>
                    <w:widowControl/>
                    <w:ind w:left="-110" w:leftChars="-50" w:right="-110" w:rightChars="-50"/>
                    <w:jc w:val="center"/>
                    <w:textAlignment w:val="top"/>
                    <w:rPr>
                      <w:rStyle w:val="87"/>
                      <w:color w:val="auto"/>
                      <w:lang w:val="en-US" w:bidi="ar"/>
                    </w:rPr>
                  </w:pPr>
                  <w:r>
                    <w:rPr>
                      <w:rFonts w:hint="eastAsia" w:ascii="Times New Roman" w:hAnsi="Times New Roman" w:cs="Times New Roman"/>
                      <w:color w:val="auto"/>
                      <w:sz w:val="21"/>
                      <w:szCs w:val="21"/>
                      <w:lang w:val="en-US" w:bidi="ar"/>
                    </w:rPr>
                    <w:t>本项目粉状物料（水泥、粉煤灰）全部入粉料仓储存；料场密闭，内设喷雾降尘装置；本项目物料密闭输送，各产尘点加装布袋除尘装置；骨料配料仓三面密封，加装布袋除尘装置；粉料仓全密封，仓顶设布袋除尘器；厂区地面硬化，未硬化地点全部绿化；厂区出入口设车辆冲洗装置，冲洗水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监测监控水平</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料场出入口等易产尘点，安装高清视频监控设施，视频监控数据保存三个月以上</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企业承诺严格按照监测监控规定执行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restart"/>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环境管理水平</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环保档案齐全：1、环评批复文件；2、排污许可证及季度、年度执行报告；3、竣工验收文件；4、一年内废气检测报告</w:t>
                  </w:r>
                </w:p>
              </w:tc>
              <w:tc>
                <w:tcPr>
                  <w:tcW w:w="1359" w:type="dxa"/>
                  <w:shd w:val="clear" w:color="auto" w:fill="auto"/>
                  <w:vAlign w:val="center"/>
                </w:tcPr>
                <w:p>
                  <w:pPr>
                    <w:widowControl/>
                    <w:ind w:left="-110" w:leftChars="-50" w:right="-110" w:rightChars="-50"/>
                    <w:jc w:val="center"/>
                    <w:textAlignment w:val="top"/>
                    <w:rPr>
                      <w:rStyle w:val="87"/>
                      <w:color w:val="auto"/>
                      <w:lang w:val="en-US" w:bidi="ar"/>
                    </w:rPr>
                  </w:pPr>
                  <w:r>
                    <w:rPr>
                      <w:rFonts w:ascii="Times New Roman" w:hAnsi="Times New Roman" w:cs="Times New Roman"/>
                      <w:color w:val="auto"/>
                      <w:sz w:val="21"/>
                      <w:szCs w:val="21"/>
                      <w:lang w:val="en-US"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台账记录：1、完整生产管理台账（包括生产设备运行台账，原辅材料、燃料使用量，产品产量等）；2、运输管理电子台账（包括车辆出入厂记录、车牌号、VIN号、发动机编号和排放标准等）；3、设备维护记录；4、废气治理设备清单（包括主要污染治理设备、设计说明书、运行记录、CEMS数据等）；5、耗材清单（除尘器滤料更换记录等）；以上记录至少需保存一年。</w:t>
                  </w:r>
                </w:p>
              </w:tc>
              <w:tc>
                <w:tcPr>
                  <w:tcW w:w="1359" w:type="dxa"/>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管理制度健全：1、有专兼职环保人员；2、废气治理设施运行管理规程</w:t>
                  </w:r>
                </w:p>
              </w:tc>
              <w:tc>
                <w:tcPr>
                  <w:tcW w:w="1359" w:type="dxa"/>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企业承诺严格按照环境管理规定执行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restart"/>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运输方式</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1、物料和产品公路运输使用国六排放标准重型载货车辆（含燃气）或新能源车辆的比例不低于 50％；其他车辆达到国五排放标准；</w:t>
                  </w:r>
                </w:p>
              </w:tc>
              <w:tc>
                <w:tcPr>
                  <w:tcW w:w="1359" w:type="dxa"/>
                  <w:vMerge w:val="restart"/>
                  <w:shd w:val="clear" w:color="auto" w:fill="auto"/>
                  <w:vAlign w:val="center"/>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2、厂内运输车辆全部达到国五及以上排放标准（含燃气）或使用新能源车辆</w:t>
                  </w:r>
                </w:p>
              </w:tc>
              <w:tc>
                <w:tcPr>
                  <w:tcW w:w="1359"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rPr>
                  </w:pP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3、厂内非道路移动机械使用纯电动等新能源机械的比例不低于50％，其他达到国三及以上排放标准，其中3吨及以下叉车全部采用纯电能源</w:t>
                  </w:r>
                </w:p>
              </w:tc>
              <w:tc>
                <w:tcPr>
                  <w:tcW w:w="1359" w:type="dxa"/>
                  <w:vMerge w:val="continue"/>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44"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运输监管</w:t>
                  </w:r>
                </w:p>
              </w:tc>
              <w:tc>
                <w:tcPr>
                  <w:tcW w:w="5576" w:type="dxa"/>
                  <w:shd w:val="clear" w:color="auto" w:fill="auto"/>
                  <w:vAlign w:val="center"/>
                </w:tcPr>
                <w:p>
                  <w:pPr>
                    <w:widowControl/>
                    <w:ind w:left="-110" w:leftChars="-50" w:right="-110" w:rightChars="-50"/>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参照《重污染天气重点行业移动源应急管理技术指南》建立门禁视频监控系统和电子台账</w:t>
                  </w:r>
                </w:p>
              </w:tc>
              <w:tc>
                <w:tcPr>
                  <w:tcW w:w="1359" w:type="dxa"/>
                  <w:shd w:val="clear" w:color="auto" w:fill="auto"/>
                </w:tcPr>
                <w:p>
                  <w:pPr>
                    <w:widowControl/>
                    <w:ind w:left="-110" w:leftChars="-50" w:right="-110" w:rightChars="-50"/>
                    <w:jc w:val="center"/>
                    <w:textAlignment w:val="top"/>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企业承诺严格按照运输监管规定执行</w:t>
                  </w:r>
                </w:p>
              </w:tc>
            </w:tr>
          </w:tbl>
          <w:p>
            <w:pPr>
              <w:adjustRightInd w:val="0"/>
              <w:spacing w:line="400" w:lineRule="exact"/>
              <w:ind w:left="110" w:leftChars="50" w:firstLine="401" w:firstLineChars="200"/>
              <w:rPr>
                <w:rFonts w:ascii="Times New Roman" w:hAnsi="Times New Roman" w:cs="Times New Roman"/>
                <w:b/>
                <w:bCs/>
                <w:color w:val="auto"/>
                <w:sz w:val="21"/>
                <w:szCs w:val="20"/>
                <w:lang w:val="en-US"/>
              </w:rPr>
            </w:pPr>
            <w:r>
              <w:rPr>
                <w:rFonts w:hint="eastAsia" w:ascii="Times New Roman" w:hAnsi="Times New Roman" w:cs="Times New Roman"/>
                <w:b/>
                <w:bCs/>
                <w:color w:val="auto"/>
                <w:sz w:val="20"/>
                <w:szCs w:val="20"/>
                <w:lang w:val="en-US"/>
              </w:rPr>
              <w:t>4</w:t>
            </w:r>
            <w:r>
              <w:rPr>
                <w:rFonts w:ascii="Times New Roman" w:hAnsi="Times New Roman" w:cs="Times New Roman"/>
                <w:b/>
                <w:bCs/>
                <w:color w:val="auto"/>
                <w:sz w:val="20"/>
                <w:szCs w:val="20"/>
                <w:lang w:val="en-US"/>
              </w:rPr>
              <w:t>、</w:t>
            </w:r>
            <w:r>
              <w:rPr>
                <w:rFonts w:ascii="Times New Roman" w:hAnsi="Times New Roman" w:cs="Times New Roman"/>
                <w:b/>
                <w:bCs/>
                <w:color w:val="auto"/>
                <w:sz w:val="21"/>
                <w:szCs w:val="20"/>
                <w:lang w:val="en-US"/>
              </w:rPr>
              <w:t>环境管理政策符合性分析</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（1）根据《煤场、料场、渣场扬尘污染控制技术规范》（DB 13/T 2352—2016）中关于</w:t>
            </w:r>
            <w:r>
              <w:rPr>
                <w:rFonts w:hint="eastAsia" w:ascii="Times New Roman" w:hAnsi="Times New Roman" w:cs="Times New Roman"/>
                <w:color w:val="auto"/>
                <w:sz w:val="21"/>
                <w:szCs w:val="21"/>
                <w:lang w:val="en-US"/>
              </w:rPr>
              <w:t>水泥及</w:t>
            </w:r>
            <w:r>
              <w:rPr>
                <w:rFonts w:ascii="Times New Roman" w:hAnsi="Times New Roman" w:cs="Times New Roman"/>
                <w:color w:val="auto"/>
                <w:sz w:val="21"/>
                <w:szCs w:val="21"/>
                <w:lang w:val="en-US"/>
              </w:rPr>
              <w:t>其他行业物料运输、转运、装卸、物料储存的有关要求</w:t>
            </w:r>
            <w:r>
              <w:rPr>
                <w:rFonts w:hint="eastAsia" w:ascii="Times New Roman" w:hAnsi="Times New Roman" w:cs="Times New Roman"/>
                <w:color w:val="auto"/>
                <w:sz w:val="21"/>
                <w:szCs w:val="21"/>
                <w:lang w:val="en-US"/>
              </w:rPr>
              <w:t>，提出以下环保措施</w:t>
            </w:r>
            <w:r>
              <w:rPr>
                <w:rFonts w:ascii="Times New Roman" w:hAnsi="Times New Roman" w:cs="Times New Roman"/>
                <w:color w:val="auto"/>
                <w:sz w:val="21"/>
                <w:szCs w:val="21"/>
                <w:lang w:val="en-US"/>
              </w:rPr>
              <w:t>：</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①粉状物料（如</w:t>
            </w:r>
            <w:r>
              <w:rPr>
                <w:rFonts w:hint="eastAsia" w:ascii="Times New Roman" w:hAnsi="Times New Roman" w:cs="Times New Roman"/>
                <w:color w:val="auto"/>
                <w:sz w:val="21"/>
                <w:szCs w:val="21"/>
                <w:lang w:val="en-US"/>
              </w:rPr>
              <w:t>水泥</w:t>
            </w:r>
            <w:r>
              <w:rPr>
                <w:rFonts w:ascii="Times New Roman" w:hAnsi="Times New Roman" w:cs="Times New Roman"/>
                <w:color w:val="auto"/>
                <w:sz w:val="21"/>
                <w:szCs w:val="21"/>
                <w:lang w:val="en-US"/>
              </w:rPr>
              <w:t>等干料）运输车辆应采用密闭车斗或罐车。</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②</w:t>
            </w:r>
            <w:r>
              <w:rPr>
                <w:rFonts w:ascii="Times New Roman" w:hAnsi="Times New Roman" w:cs="Times New Roman"/>
                <w:color w:val="auto"/>
                <w:sz w:val="21"/>
                <w:szCs w:val="21"/>
                <w:lang w:val="en-US"/>
              </w:rPr>
              <w:t>块状物料（如</w:t>
            </w:r>
            <w:r>
              <w:rPr>
                <w:rFonts w:hint="eastAsia" w:ascii="Times New Roman" w:hAnsi="Times New Roman" w:cs="Times New Roman"/>
                <w:color w:val="auto"/>
                <w:sz w:val="21"/>
                <w:szCs w:val="21"/>
                <w:lang w:val="en-US"/>
              </w:rPr>
              <w:t>石子、石粉</w:t>
            </w:r>
            <w:r>
              <w:rPr>
                <w:rFonts w:ascii="Times New Roman" w:hAnsi="Times New Roman" w:cs="Times New Roman"/>
                <w:color w:val="auto"/>
                <w:sz w:val="21"/>
                <w:szCs w:val="21"/>
                <w:lang w:val="en-US"/>
              </w:rPr>
              <w:t>等物料）运输车辆装载高度最高点不得超过车辆槽帮上沿40cm，两侧边缘应当低于槽帮上缘10cm。车斗应用苫布覆盖，苫布边缘至少要遮住槽帮上沿以下15cm。</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②应设置洗车平台，完善排水设施，防止泥土粘带。运输车辆在料场出口内侧设置洗车平台，车辆驶离料场前，应在洗车平台清洗轮胎及车身，不得带泥上路。洗车平台四周应设置防溢座、废水导流渠、废水收集池及其它防治设施，收集洗车以及降水过程中产生的废水和泥浆。</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③密闭输送物料应在装卸处配备吸尘、喷淋等设施。</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④</w:t>
            </w:r>
            <w:r>
              <w:rPr>
                <w:rFonts w:hint="eastAsia" w:ascii="Times New Roman" w:hAnsi="Times New Roman" w:cs="Times New Roman"/>
                <w:color w:val="auto"/>
                <w:sz w:val="21"/>
                <w:szCs w:val="21"/>
                <w:lang w:val="en-US"/>
              </w:rPr>
              <w:t>粉状物料（水泥等）入仓储存；粒</w:t>
            </w:r>
            <w:r>
              <w:rPr>
                <w:rFonts w:ascii="Times New Roman" w:hAnsi="Times New Roman" w:cs="Times New Roman"/>
                <w:color w:val="auto"/>
                <w:sz w:val="21"/>
                <w:szCs w:val="21"/>
                <w:lang w:val="en-US"/>
              </w:rPr>
              <w:t>状物料</w:t>
            </w:r>
            <w:r>
              <w:rPr>
                <w:rFonts w:hint="eastAsia" w:ascii="Times New Roman" w:hAnsi="Times New Roman" w:cs="Times New Roman"/>
                <w:color w:val="auto"/>
                <w:sz w:val="21"/>
                <w:szCs w:val="21"/>
                <w:lang w:val="en-US"/>
              </w:rPr>
              <w:t>（石子、石粉等）</w:t>
            </w:r>
            <w:r>
              <w:rPr>
                <w:rFonts w:ascii="Times New Roman" w:hAnsi="Times New Roman" w:cs="Times New Roman"/>
                <w:color w:val="auto"/>
                <w:sz w:val="21"/>
                <w:szCs w:val="21"/>
                <w:lang w:val="en-US"/>
              </w:rPr>
              <w:t>储存采用入棚、入仓方式储存</w:t>
            </w:r>
            <w:r>
              <w:rPr>
                <w:rFonts w:hint="eastAsia" w:ascii="Times New Roman" w:hAnsi="Times New Roman" w:cs="Times New Roman"/>
                <w:color w:val="auto"/>
                <w:sz w:val="21"/>
                <w:szCs w:val="21"/>
                <w:lang w:val="en-US"/>
              </w:rPr>
              <w:t>、密闭料场储存，并设有喷雾降尘装置</w:t>
            </w:r>
            <w:r>
              <w:rPr>
                <w:rFonts w:ascii="Times New Roman" w:hAnsi="Times New Roman" w:cs="Times New Roman"/>
                <w:color w:val="auto"/>
                <w:sz w:val="21"/>
                <w:szCs w:val="21"/>
                <w:lang w:val="en-US"/>
              </w:rPr>
              <w:t>。</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⑤厂区道路进行硬化，定期清扫、洒水，以保持道路积尘处于低负荷状态。</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本项目物料运输要求严格按照规范执行</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防治扬尘措施符合《煤场、料场、渣场扬尘污染控制技术规范》（DB 13/T 2352—2016）的有关要求。</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r>
              <w:rPr>
                <w:rFonts w:hint="eastAsia" w:ascii="Times New Roman" w:hAnsi="Times New Roman" w:cs="Times New Roman"/>
                <w:color w:val="auto"/>
                <w:sz w:val="21"/>
                <w:szCs w:val="21"/>
                <w:lang w:val="en-US"/>
              </w:rPr>
              <w:t>根据《邯郸市涉粉状物料企业扬尘（PM</w:t>
            </w:r>
            <w:r>
              <w:rPr>
                <w:rFonts w:hint="eastAsia" w:ascii="Times New Roman" w:hAnsi="Times New Roman" w:cs="Times New Roman"/>
                <w:color w:val="auto"/>
                <w:sz w:val="21"/>
                <w:szCs w:val="21"/>
                <w:vertAlign w:val="subscript"/>
                <w:lang w:val="en-US"/>
              </w:rPr>
              <w:t>10</w:t>
            </w:r>
            <w:r>
              <w:rPr>
                <w:rFonts w:hint="eastAsia" w:ascii="Times New Roman" w:hAnsi="Times New Roman" w:cs="Times New Roman"/>
                <w:color w:val="auto"/>
                <w:sz w:val="21"/>
                <w:szCs w:val="21"/>
                <w:lang w:val="en-US"/>
              </w:rPr>
              <w:t>）污染深度治理实施方案》（邯气领办[2020]40号）中的相关要求，提出以下环保措施：</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①</w:t>
            </w:r>
            <w:r>
              <w:rPr>
                <w:rFonts w:ascii="Times New Roman" w:hAnsi="Times New Roman" w:cs="Times New Roman"/>
                <w:color w:val="auto"/>
                <w:sz w:val="21"/>
                <w:szCs w:val="21"/>
                <w:lang w:val="en-US"/>
              </w:rPr>
              <w:t>物料密闭。</w:t>
            </w:r>
            <w:r>
              <w:rPr>
                <w:rFonts w:hint="eastAsia" w:ascii="Times New Roman" w:hAnsi="Times New Roman" w:cs="Times New Roman"/>
                <w:color w:val="auto"/>
                <w:sz w:val="21"/>
                <w:szCs w:val="21"/>
                <w:lang w:val="en-US"/>
              </w:rPr>
              <w:t>水泥</w:t>
            </w:r>
            <w:r>
              <w:rPr>
                <w:rFonts w:ascii="Times New Roman" w:hAnsi="Times New Roman" w:cs="Times New Roman"/>
                <w:color w:val="auto"/>
                <w:sz w:val="21"/>
                <w:szCs w:val="21"/>
                <w:lang w:val="en-US"/>
              </w:rPr>
              <w:t>等粉状物料采用密闭料仓、储罐等方式密闭储存，采用管状带式输送机、气力输送设备、罐车等方式密闭输送。</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②</w:t>
            </w:r>
            <w:r>
              <w:rPr>
                <w:rFonts w:ascii="Times New Roman" w:hAnsi="Times New Roman" w:cs="Times New Roman"/>
                <w:color w:val="auto"/>
                <w:sz w:val="21"/>
                <w:szCs w:val="21"/>
                <w:lang w:val="en-US"/>
              </w:rPr>
              <w:t>车间封闭。</w:t>
            </w:r>
            <w:r>
              <w:rPr>
                <w:rFonts w:hint="eastAsia" w:ascii="Times New Roman" w:hAnsi="Times New Roman" w:cs="Times New Roman"/>
                <w:color w:val="auto"/>
                <w:sz w:val="21"/>
                <w:szCs w:val="21"/>
                <w:lang w:val="en-US"/>
              </w:rPr>
              <w:t>车间</w:t>
            </w:r>
            <w:r>
              <w:rPr>
                <w:rFonts w:ascii="Times New Roman" w:hAnsi="Times New Roman" w:cs="Times New Roman"/>
                <w:color w:val="auto"/>
                <w:sz w:val="21"/>
                <w:szCs w:val="21"/>
                <w:lang w:val="en-US"/>
              </w:rPr>
              <w:t>应进行整体封闭。</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③</w:t>
            </w:r>
            <w:r>
              <w:rPr>
                <w:rFonts w:ascii="Times New Roman" w:hAnsi="Times New Roman" w:cs="Times New Roman"/>
                <w:color w:val="auto"/>
                <w:sz w:val="21"/>
                <w:szCs w:val="21"/>
                <w:lang w:val="en-US"/>
              </w:rPr>
              <w:t>固定或连续作业的产尘点采用收尘技术。收尘系统应保持与生产工艺设备同步运转，确保收尘点无肉眼可视粉尘外逸。</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④</w:t>
            </w:r>
            <w:r>
              <w:rPr>
                <w:rFonts w:ascii="Times New Roman" w:hAnsi="Times New Roman" w:cs="Times New Roman"/>
                <w:color w:val="auto"/>
                <w:sz w:val="21"/>
                <w:szCs w:val="21"/>
                <w:lang w:val="en-US"/>
              </w:rPr>
              <w:t>长期堆放的物料可使用加湿、喷洒表面结壳剂、覆盖等抑尘技术，控制物料表面风蚀扬尘</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水和结壳剂喷洒量不得超过生产工艺许可，不得含有毒有害成分。厂界安装微雾抑尘系统。</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⑤</w:t>
            </w:r>
            <w:r>
              <w:rPr>
                <w:rFonts w:ascii="Times New Roman" w:hAnsi="Times New Roman" w:cs="Times New Roman"/>
                <w:color w:val="auto"/>
                <w:sz w:val="21"/>
                <w:szCs w:val="21"/>
                <w:lang w:val="en-US"/>
              </w:rPr>
              <w:t>车辆出口处，配置1套车身及车轮清洗装置，且清洗装置距离出口位置小于5m。清洗装置配备拦车杆，确保车辆清洗时间。车身及车轮清洗装置清洗水压宜高于1.01Pa，清洗喷头保持通畅，并配套污水处理设施。厂区需配备足够的湿扫车和洒水车。</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⑥</w:t>
            </w:r>
            <w:r>
              <w:rPr>
                <w:rFonts w:ascii="Times New Roman" w:hAnsi="Times New Roman" w:cs="Times New Roman"/>
                <w:color w:val="auto"/>
                <w:sz w:val="21"/>
                <w:szCs w:val="21"/>
                <w:lang w:val="en-US"/>
              </w:rPr>
              <w:t>外部运输。外部购进的粉状物料，采用新能源或国五以上车辆运输。建立清洁运输台账，包括但不限于运输合同、接轨站接发车货票、磅单记录、皮带秤记录等。</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⑦</w:t>
            </w:r>
            <w:r>
              <w:rPr>
                <w:rFonts w:ascii="Times New Roman" w:hAnsi="Times New Roman" w:cs="Times New Roman"/>
                <w:color w:val="auto"/>
                <w:sz w:val="21"/>
                <w:szCs w:val="21"/>
                <w:lang w:val="en-US"/>
              </w:rPr>
              <w:t>内部运输。大宗原料储运采用机械化原料场和机械化作业</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粉状物料全部采用封闭皮带通廊或管状带式输送机运输，避免物料的二次倒运。</w:t>
            </w:r>
          </w:p>
          <w:p>
            <w:pPr>
              <w:adjustRightInd w:val="0"/>
              <w:spacing w:line="400" w:lineRule="exact"/>
              <w:ind w:left="110" w:leftChars="50" w:firstLine="421" w:firstLineChars="200"/>
              <w:rPr>
                <w:rFonts w:ascii="Times New Roman" w:hAnsi="Times New Roman" w:cs="Times New Roman"/>
                <w:color w:val="auto"/>
                <w:szCs w:val="21"/>
                <w:lang w:val="en-US"/>
              </w:rPr>
            </w:pPr>
            <w:r>
              <w:rPr>
                <w:rFonts w:hint="eastAsia" w:ascii="Times New Roman" w:hAnsi="Times New Roman" w:cs="Times New Roman"/>
                <w:b/>
                <w:bCs/>
                <w:color w:val="auto"/>
                <w:sz w:val="21"/>
                <w:szCs w:val="20"/>
                <w:lang w:val="en-US"/>
              </w:rPr>
              <w:t>本项目严格按照《邯郸市涉粉状物料企业扬尘（PM</w:t>
            </w:r>
            <w:r>
              <w:rPr>
                <w:rFonts w:hint="eastAsia" w:ascii="Times New Roman" w:hAnsi="Times New Roman" w:cs="Times New Roman"/>
                <w:b/>
                <w:bCs/>
                <w:color w:val="auto"/>
                <w:sz w:val="21"/>
                <w:szCs w:val="20"/>
                <w:vertAlign w:val="subscript"/>
                <w:lang w:val="en-US"/>
              </w:rPr>
              <w:t>10</w:t>
            </w:r>
            <w:r>
              <w:rPr>
                <w:rFonts w:hint="eastAsia" w:ascii="Times New Roman" w:hAnsi="Times New Roman" w:cs="Times New Roman"/>
                <w:b/>
                <w:bCs/>
                <w:color w:val="auto"/>
                <w:sz w:val="21"/>
                <w:szCs w:val="20"/>
                <w:lang w:val="en-US"/>
              </w:rPr>
              <w:t>）污染深度治理实施方案》（邯气领办[2020]40号）执行，</w:t>
            </w:r>
            <w:r>
              <w:rPr>
                <w:rFonts w:ascii="Times New Roman" w:hAnsi="Times New Roman" w:cs="Times New Roman"/>
                <w:b/>
                <w:bCs/>
                <w:color w:val="auto"/>
                <w:sz w:val="21"/>
                <w:szCs w:val="20"/>
                <w:lang w:val="en-US"/>
              </w:rPr>
              <w:t>防治扬尘措施符合</w:t>
            </w:r>
            <w:r>
              <w:rPr>
                <w:rFonts w:hint="eastAsia" w:ascii="Times New Roman" w:hAnsi="Times New Roman" w:cs="Times New Roman"/>
                <w:b/>
                <w:bCs/>
                <w:color w:val="auto"/>
                <w:sz w:val="21"/>
                <w:szCs w:val="20"/>
                <w:lang w:val="en-US"/>
              </w:rPr>
              <w:t>《邯郸市涉粉状物料企业扬尘（PM</w:t>
            </w:r>
            <w:r>
              <w:rPr>
                <w:rFonts w:hint="eastAsia" w:ascii="Times New Roman" w:hAnsi="Times New Roman" w:cs="Times New Roman"/>
                <w:b/>
                <w:bCs/>
                <w:color w:val="auto"/>
                <w:sz w:val="21"/>
                <w:szCs w:val="20"/>
                <w:vertAlign w:val="subscript"/>
                <w:lang w:val="en-US"/>
              </w:rPr>
              <w:t>10</w:t>
            </w:r>
            <w:r>
              <w:rPr>
                <w:rFonts w:hint="eastAsia" w:ascii="Times New Roman" w:hAnsi="Times New Roman" w:cs="Times New Roman"/>
                <w:b/>
                <w:bCs/>
                <w:color w:val="auto"/>
                <w:sz w:val="21"/>
                <w:szCs w:val="20"/>
                <w:lang w:val="en-US"/>
              </w:rPr>
              <w:t>）污染深度治理实施方案》（邯气领办[2020]40号）中</w:t>
            </w:r>
            <w:r>
              <w:rPr>
                <w:rFonts w:ascii="Times New Roman" w:hAnsi="Times New Roman" w:cs="Times New Roman"/>
                <w:b/>
                <w:bCs/>
                <w:color w:val="auto"/>
                <w:sz w:val="21"/>
                <w:szCs w:val="20"/>
                <w:lang w:val="en-US"/>
              </w:rPr>
              <w:t>的有关要求。</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lang w:val="en-US"/>
              </w:rPr>
              <w:t>根据《邯郸市大气污染防治工作领导小组办公室关于印发&lt;邯郸市2019年重点行业无组织排放精准治理实施方案&gt;的通知》（邯气领办【2019】10号）</w:t>
            </w:r>
            <w:r>
              <w:rPr>
                <w:rFonts w:hint="eastAsia" w:ascii="Times New Roman" w:hAnsi="Times New Roman" w:cs="Times New Roman"/>
                <w:color w:val="auto"/>
                <w:sz w:val="21"/>
                <w:szCs w:val="21"/>
                <w:lang w:val="en-US"/>
              </w:rPr>
              <w:t>的</w:t>
            </w:r>
            <w:r>
              <w:rPr>
                <w:rFonts w:ascii="Times New Roman" w:hAnsi="Times New Roman" w:cs="Times New Roman"/>
                <w:color w:val="auto"/>
                <w:sz w:val="21"/>
                <w:szCs w:val="21"/>
                <w:lang w:val="en-US"/>
              </w:rPr>
              <w:t>要求，深入推进大气污染治理工作，加快12个重点行业（钢铁、焦化、火电、水泥、铸造、砖瓦窑【矸石砖】、炭素、玻璃、陶瓷、建材、矿山【含洗煤】和物流等）实现绿色发展，降低污染物排放总量，改善区域环境空气质量。</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为保证无组织排放治理的精准治理，实现污染物的减排，保证定岗定人、任务明确、责任明确，根据企业的无组织源治理清单，制定本企业的无组织排放管理岗位责任制。将无组织排放精准治理的岗位责任制在全厂公开栏内公示，并在各班组公示栏张贴该班组无组织排放精准治理的岗位考核情况，考核情况与薪资挂钩，形成奖惩机制。</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为了保证无组织排放精准治理的长期稳定运行，企业制定定期巡查维护制度，班组负责人每月对本班组的无组织排放管理进行巡查，并负责日常监督。企业负责人总经理、总工、各部门负责人每季度对全厂的无组织排放管理进行巡查，并指定总负责人，负责无组织排放精准治理的实施，直接向总经理汇报工作</w:t>
            </w:r>
            <w:r>
              <w:rPr>
                <w:rFonts w:hint="eastAsia" w:ascii="Times New Roman" w:hAnsi="Times New Roman" w:cs="Times New Roman"/>
                <w:color w:val="auto"/>
                <w:sz w:val="21"/>
                <w:szCs w:val="21"/>
                <w:lang w:val="en-US"/>
              </w:rPr>
              <w:t>。</w:t>
            </w:r>
          </w:p>
          <w:p>
            <w:pPr>
              <w:pStyle w:val="52"/>
              <w:tabs>
                <w:tab w:val="left" w:pos="531"/>
              </w:tabs>
              <w:spacing w:line="400" w:lineRule="exact"/>
              <w:ind w:left="110" w:leftChars="50" w:firstLine="421" w:firstLineChars="200"/>
              <w:jc w:val="both"/>
              <w:rPr>
                <w:rFonts w:ascii="Times New Roman" w:hAnsi="Times New Roman" w:cs="Times New Roman"/>
                <w:b/>
                <w:bCs/>
                <w:color w:val="auto"/>
                <w:kern w:val="2"/>
                <w:sz w:val="21"/>
                <w:szCs w:val="21"/>
                <w:lang w:val="en-US"/>
              </w:rPr>
            </w:pPr>
            <w:r>
              <w:rPr>
                <w:rFonts w:ascii="Times New Roman" w:hAnsi="Times New Roman" w:cs="Times New Roman"/>
                <w:b/>
                <w:bCs/>
                <w:color w:val="auto"/>
                <w:kern w:val="2"/>
                <w:sz w:val="21"/>
                <w:szCs w:val="21"/>
                <w:lang w:val="en-US"/>
              </w:rPr>
              <w:t>5、</w:t>
            </w:r>
            <w:r>
              <w:rPr>
                <w:rFonts w:hint="eastAsia" w:ascii="Times New Roman" w:hAnsi="Times New Roman" w:cs="Times New Roman"/>
                <w:b/>
                <w:bCs/>
                <w:color w:val="auto"/>
                <w:kern w:val="2"/>
                <w:sz w:val="21"/>
                <w:szCs w:val="21"/>
                <w:lang w:val="en-US"/>
              </w:rPr>
              <w:t>项目与《河北省防沙治沙规划（2021—2030年）》及《河北省生态环境厅办公室关于进一步做好沙区建设项目环境影响评价工作的通知》（冀环办字函【2023】326号）符合性分析</w:t>
            </w:r>
          </w:p>
          <w:p>
            <w:pPr>
              <w:pStyle w:val="52"/>
              <w:tabs>
                <w:tab w:val="left" w:pos="531"/>
              </w:tabs>
              <w:spacing w:line="400" w:lineRule="exact"/>
              <w:ind w:left="110" w:leftChars="50" w:firstLine="420" w:firstLineChars="200"/>
              <w:jc w:val="both"/>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lang w:val="en-US"/>
              </w:rPr>
              <w:t>为贯彻落实《中华人民共和国防沙治沙法》，按照“在沙化土地范围内从事开发建设活动的，必须事先就该项目可能对当地及相关地区生态产生的影响进行环境影响评价，依法提交环境影响报告;环境影响报告应当包括有关防沙治沙的内容”规定。根据《河北省防沙治沙规划（2021-2030年）》、《河北省生态环境厅办公室关于进一步做好沙区建设项目环境影响评价工作的通知》（环办字函【2023】326号）可知，坚持生态优先、综合治理，统筹规划、分区防治，政府主导、全民参与，科学治沙、讲究实效的原则，按照原则，坚持系统保护与规模治理相结合，生物措施与工程措施相结合，确定八项建设内容，因地制宜开展沙化土地综合治理。邯郸市沙区主要涉及的地域有：丛台区、大名县、馆陶县、鸡泽县、临漳县、邱县、永年区。</w:t>
            </w:r>
          </w:p>
          <w:p>
            <w:pPr>
              <w:pStyle w:val="52"/>
              <w:tabs>
                <w:tab w:val="left" w:pos="531"/>
              </w:tabs>
              <w:spacing w:line="400" w:lineRule="exact"/>
              <w:ind w:left="110" w:leftChars="50" w:firstLine="420" w:firstLineChars="200"/>
              <w:jc w:val="both"/>
              <w:rPr>
                <w:rFonts w:ascii="Times New Roman" w:hAnsi="Times New Roman" w:cs="Times New Roman"/>
                <w:color w:val="auto"/>
                <w:kern w:val="2"/>
                <w:sz w:val="21"/>
                <w:szCs w:val="21"/>
                <w:lang w:val="en-US"/>
              </w:rPr>
            </w:pPr>
            <w:r>
              <w:rPr>
                <w:rFonts w:hint="eastAsia" w:ascii="Times New Roman" w:hAnsi="Times New Roman" w:cs="Times New Roman"/>
                <w:color w:val="auto"/>
                <w:kern w:val="2"/>
                <w:sz w:val="21"/>
                <w:szCs w:val="21"/>
                <w:lang w:val="en-US"/>
              </w:rPr>
              <w:t>本项目位于河北省邯郸市</w:t>
            </w:r>
            <w:r>
              <w:rPr>
                <w:rFonts w:hint="eastAsia" w:ascii="Times New Roman" w:hAnsi="Times New Roman" w:cs="Times New Roman"/>
                <w:color w:val="auto"/>
                <w:sz w:val="21"/>
                <w:szCs w:val="21"/>
                <w:lang w:val="en-US"/>
              </w:rPr>
              <w:t>魏县德政镇王庄村北</w:t>
            </w:r>
            <w:r>
              <w:rPr>
                <w:rFonts w:hint="eastAsia" w:ascii="Times New Roman" w:hAnsi="Times New Roman" w:cs="Times New Roman"/>
                <w:color w:val="auto"/>
                <w:kern w:val="2"/>
                <w:sz w:val="21"/>
                <w:szCs w:val="21"/>
                <w:lang w:val="en-US"/>
              </w:rPr>
              <w:t>，区域内地形平坦，不在沙化土地封禁保护区范围内，企业按要求进行环境影响评价工作，不会对区域防沙治沙造成影响，符合要求。</w:t>
            </w:r>
          </w:p>
          <w:p>
            <w:pPr>
              <w:pStyle w:val="52"/>
              <w:tabs>
                <w:tab w:val="left" w:pos="531"/>
              </w:tabs>
              <w:spacing w:line="400" w:lineRule="exact"/>
              <w:ind w:left="110" w:leftChars="50" w:firstLine="421" w:firstLineChars="200"/>
              <w:jc w:val="both"/>
              <w:rPr>
                <w:rFonts w:ascii="Times New Roman" w:hAnsi="Times New Roman" w:cs="Times New Roman"/>
                <w:b/>
                <w:bCs/>
                <w:color w:val="auto"/>
                <w:kern w:val="2"/>
                <w:sz w:val="21"/>
                <w:szCs w:val="21"/>
                <w:lang w:val="en-US"/>
              </w:rPr>
            </w:pPr>
            <w:r>
              <w:rPr>
                <w:rFonts w:hint="eastAsia" w:ascii="Times New Roman" w:hAnsi="Times New Roman" w:cs="Times New Roman"/>
                <w:b/>
                <w:bCs/>
                <w:color w:val="auto"/>
                <w:kern w:val="2"/>
                <w:sz w:val="21"/>
                <w:szCs w:val="21"/>
                <w:lang w:val="en-US"/>
              </w:rPr>
              <w:t>6、</w:t>
            </w:r>
            <w:r>
              <w:rPr>
                <w:rFonts w:ascii="Times New Roman" w:hAnsi="Times New Roman" w:cs="Times New Roman"/>
                <w:b/>
                <w:bCs/>
                <w:color w:val="auto"/>
                <w:kern w:val="2"/>
                <w:sz w:val="21"/>
                <w:szCs w:val="21"/>
                <w:lang w:val="en-US"/>
              </w:rPr>
              <w:t>占地及规划符合性</w:t>
            </w:r>
          </w:p>
          <w:p>
            <w:pPr>
              <w:pStyle w:val="52"/>
              <w:numPr>
                <w:ilvl w:val="0"/>
                <w:numId w:val="3"/>
              </w:numPr>
              <w:tabs>
                <w:tab w:val="left" w:pos="531"/>
              </w:tabs>
              <w:spacing w:line="400" w:lineRule="exact"/>
              <w:ind w:left="110" w:leftChars="50" w:firstLine="421" w:firstLineChars="200"/>
              <w:jc w:val="both"/>
              <w:rPr>
                <w:rFonts w:ascii="Times New Roman" w:hAnsi="Times New Roman" w:cs="Times New Roman"/>
                <w:b/>
                <w:bCs/>
                <w:color w:val="auto"/>
                <w:sz w:val="21"/>
                <w:szCs w:val="21"/>
              </w:rPr>
            </w:pPr>
            <w:r>
              <w:rPr>
                <w:rFonts w:ascii="Times New Roman" w:hAnsi="Times New Roman" w:cs="Times New Roman"/>
                <w:b/>
                <w:bCs/>
                <w:color w:val="auto"/>
                <w:sz w:val="21"/>
                <w:szCs w:val="21"/>
              </w:rPr>
              <w:t>土地利用规划符合性</w:t>
            </w:r>
          </w:p>
          <w:p>
            <w:pPr>
              <w:pStyle w:val="52"/>
              <w:tabs>
                <w:tab w:val="left" w:pos="531"/>
              </w:tabs>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0"/>
              </w:rPr>
              <w:t>本项目位于</w:t>
            </w:r>
            <w:r>
              <w:rPr>
                <w:rFonts w:hint="eastAsia" w:ascii="Times New Roman" w:hAnsi="Times New Roman"/>
                <w:color w:val="auto"/>
                <w:sz w:val="21"/>
                <w:szCs w:val="20"/>
              </w:rPr>
              <w:t>邯郸市</w:t>
            </w:r>
            <w:r>
              <w:rPr>
                <w:rFonts w:hint="eastAsia" w:ascii="Times New Roman" w:hAnsi="Times New Roman" w:cs="Times New Roman"/>
                <w:color w:val="auto"/>
                <w:sz w:val="21"/>
                <w:szCs w:val="21"/>
                <w:lang w:val="en-US"/>
              </w:rPr>
              <w:t>魏县德政镇王庄村北</w:t>
            </w:r>
            <w:r>
              <w:rPr>
                <w:rFonts w:hint="eastAsia" w:ascii="Times New Roman" w:hAnsi="Times New Roman"/>
                <w:color w:val="auto"/>
                <w:sz w:val="21"/>
                <w:szCs w:val="20"/>
              </w:rPr>
              <w:t>，</w:t>
            </w:r>
            <w:r>
              <w:rPr>
                <w:rFonts w:hint="eastAsia" w:ascii="Times New Roman" w:hAnsi="Times New Roman" w:cs="Times New Roman"/>
                <w:color w:val="auto"/>
                <w:sz w:val="21"/>
                <w:szCs w:val="21"/>
                <w:lang w:val="en-US"/>
              </w:rPr>
              <w:t>企业现有现有生产线东侧。</w:t>
            </w:r>
            <w:r>
              <w:rPr>
                <w:rFonts w:hint="eastAsia" w:ascii="Times New Roman" w:hAnsi="Times New Roman" w:cs="Times New Roman"/>
                <w:color w:val="auto"/>
                <w:sz w:val="21"/>
                <w:szCs w:val="21"/>
              </w:rPr>
              <w:t>根据魏县国土资源局出具的“关于魏县</w:t>
            </w:r>
            <w:r>
              <w:rPr>
                <w:rFonts w:ascii="Times New Roman" w:hAnsi="Times New Roman" w:cs="Times New Roman"/>
                <w:color w:val="auto"/>
                <w:kern w:val="2"/>
                <w:sz w:val="21"/>
                <w:szCs w:val="21"/>
                <w:lang w:val="en-US" w:bidi="ar-SA"/>
              </w:rPr>
              <w:t>顺驰商砼加工</w:t>
            </w:r>
            <w:r>
              <w:rPr>
                <w:rFonts w:hint="eastAsia" w:ascii="Times New Roman" w:hAnsi="Times New Roman" w:cs="Times New Roman"/>
                <w:color w:val="auto"/>
                <w:sz w:val="21"/>
                <w:szCs w:val="21"/>
              </w:rPr>
              <w:t>有限公司用地证明”（见附件），</w:t>
            </w:r>
            <w:r>
              <w:rPr>
                <w:rFonts w:hint="eastAsia" w:ascii="Times New Roman" w:hAnsi="Times New Roman" w:cs="Times New Roman"/>
                <w:color w:val="auto"/>
                <w:kern w:val="2"/>
                <w:sz w:val="21"/>
                <w:szCs w:val="21"/>
                <w:lang w:val="en-US" w:bidi="ar-SA"/>
              </w:rPr>
              <w:t>魏县德政镇王庄村北土地35亩已被</w:t>
            </w:r>
            <w:r>
              <w:rPr>
                <w:rFonts w:ascii="Times New Roman" w:hAnsi="Times New Roman" w:cs="Times New Roman"/>
                <w:color w:val="auto"/>
                <w:kern w:val="2"/>
                <w:sz w:val="21"/>
                <w:szCs w:val="21"/>
                <w:lang w:val="en-US" w:bidi="ar-SA"/>
              </w:rPr>
              <w:t>魏县顺驰商砼加工有限公司</w:t>
            </w:r>
            <w:r>
              <w:rPr>
                <w:rFonts w:hint="eastAsia" w:ascii="Times New Roman" w:hAnsi="Times New Roman" w:cs="Times New Roman"/>
                <w:color w:val="auto"/>
                <w:kern w:val="2"/>
                <w:sz w:val="21"/>
                <w:szCs w:val="21"/>
                <w:lang w:val="en-US" w:bidi="ar-SA"/>
              </w:rPr>
              <w:t>征用</w:t>
            </w:r>
            <w:r>
              <w:rPr>
                <w:rFonts w:ascii="Times New Roman" w:hAnsi="Times New Roman" w:cs="Times New Roman"/>
                <w:color w:val="auto"/>
                <w:kern w:val="2"/>
                <w:sz w:val="21"/>
                <w:szCs w:val="21"/>
                <w:lang w:val="en-US" w:bidi="ar-SA"/>
              </w:rPr>
              <w:t>。魏县顺驰商砼加工有限公司</w:t>
            </w:r>
            <w:r>
              <w:rPr>
                <w:rFonts w:hint="eastAsia" w:ascii="Times New Roman" w:hAnsi="Times New Roman" w:cs="Times New Roman"/>
                <w:color w:val="auto"/>
                <w:kern w:val="2"/>
                <w:sz w:val="21"/>
                <w:szCs w:val="21"/>
                <w:lang w:val="en-US" w:bidi="ar-SA"/>
              </w:rPr>
              <w:t>转让干混砂浆项目时，将包括设备、生产工艺、原材料、土地7亩等所有与此项目有关的事宜均转让给鑫磊分公司。即</w:t>
            </w:r>
            <w:r>
              <w:rPr>
                <w:rFonts w:ascii="Times New Roman" w:hAnsi="Times New Roman" w:cs="Times New Roman"/>
                <w:color w:val="auto"/>
                <w:kern w:val="2"/>
                <w:sz w:val="21"/>
                <w:szCs w:val="21"/>
                <w:lang w:val="en-US" w:bidi="ar-SA"/>
              </w:rPr>
              <w:t>魏县顺驰商砼加工有限公司</w:t>
            </w:r>
            <w:r>
              <w:rPr>
                <w:rFonts w:hint="eastAsia" w:ascii="Times New Roman" w:hAnsi="Times New Roman" w:cs="Times New Roman"/>
                <w:color w:val="auto"/>
                <w:kern w:val="2"/>
                <w:sz w:val="21"/>
                <w:szCs w:val="21"/>
                <w:lang w:val="en-US" w:bidi="ar-SA"/>
              </w:rPr>
              <w:t>现有28亩土地，本项目不新增占地，在现有28亩土地上新建湿拌砂浆生产线。</w:t>
            </w:r>
          </w:p>
          <w:p>
            <w:pPr>
              <w:pStyle w:val="52"/>
              <w:numPr>
                <w:ilvl w:val="0"/>
                <w:numId w:val="3"/>
              </w:numPr>
              <w:tabs>
                <w:tab w:val="left" w:pos="531"/>
              </w:tabs>
              <w:spacing w:line="400" w:lineRule="exact"/>
              <w:ind w:left="110" w:leftChars="50" w:firstLine="421" w:firstLineChars="200"/>
              <w:jc w:val="both"/>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选址可行性分析</w:t>
            </w:r>
          </w:p>
          <w:p>
            <w:pPr>
              <w:pStyle w:val="43"/>
              <w:autoSpaceDE/>
              <w:autoSpaceDN/>
              <w:adjustRightInd/>
              <w:snapToGrid/>
              <w:spacing w:line="400" w:lineRule="exact"/>
              <w:ind w:left="110" w:leftChars="50" w:firstLine="420"/>
              <w:jc w:val="both"/>
              <w:rPr>
                <w:rFonts w:ascii="Times New Roman" w:hAnsi="Times New Roman" w:cs="Times New Roman"/>
                <w:color w:val="auto"/>
                <w:sz w:val="21"/>
                <w:szCs w:val="21"/>
                <w:lang w:bidi="ar-SA"/>
              </w:rPr>
            </w:pPr>
            <w:r>
              <w:rPr>
                <w:rFonts w:hint="eastAsia" w:ascii="Times New Roman" w:hAnsi="Times New Roman" w:cs="Times New Roman"/>
                <w:color w:val="auto"/>
                <w:sz w:val="21"/>
              </w:rPr>
              <w:t>本</w:t>
            </w:r>
            <w:r>
              <w:rPr>
                <w:rFonts w:ascii="Times New Roman" w:hAnsi="Times New Roman" w:cs="Times New Roman"/>
                <w:color w:val="auto"/>
                <w:kern w:val="0"/>
                <w:sz w:val="21"/>
                <w:szCs w:val="21"/>
              </w:rPr>
              <w:t>项目主要加工工艺为</w:t>
            </w:r>
            <w:r>
              <w:rPr>
                <w:rFonts w:hint="eastAsia" w:ascii="Times New Roman" w:hAnsi="Times New Roman" w:cs="Times New Roman"/>
                <w:color w:val="auto"/>
                <w:kern w:val="0"/>
                <w:sz w:val="21"/>
                <w:szCs w:val="21"/>
              </w:rPr>
              <w:t>上料、计量、搅拌</w:t>
            </w:r>
            <w:r>
              <w:rPr>
                <w:rFonts w:ascii="Times New Roman" w:hAnsi="Times New Roman" w:cs="Times New Roman"/>
                <w:color w:val="auto"/>
                <w:kern w:val="0"/>
                <w:sz w:val="21"/>
                <w:szCs w:val="21"/>
              </w:rPr>
              <w:t>等工艺，</w:t>
            </w:r>
            <w:r>
              <w:rPr>
                <w:rFonts w:hint="eastAsia" w:ascii="Times New Roman" w:hAnsi="Times New Roman" w:cs="Times New Roman"/>
                <w:color w:val="auto"/>
                <w:kern w:val="0"/>
                <w:sz w:val="21"/>
                <w:szCs w:val="21"/>
              </w:rPr>
              <w:t>经严格污染防控措施治理后</w:t>
            </w:r>
            <w:r>
              <w:rPr>
                <w:rFonts w:ascii="Times New Roman" w:hAnsi="Times New Roman" w:cs="Times New Roman"/>
                <w:color w:val="auto"/>
                <w:kern w:val="0"/>
                <w:sz w:val="21"/>
                <w:szCs w:val="21"/>
              </w:rPr>
              <w:t>污染情况较轻，</w:t>
            </w:r>
            <w:r>
              <w:rPr>
                <w:rFonts w:ascii="Times New Roman" w:hAnsi="Times New Roman" w:cs="Times New Roman"/>
                <w:color w:val="auto"/>
                <w:sz w:val="21"/>
                <w:szCs w:val="21"/>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w:t>
            </w:r>
            <w:r>
              <w:rPr>
                <w:rFonts w:hint="eastAsia" w:ascii="Times New Roman" w:hAnsi="Times New Roman" w:cs="Times New Roman"/>
                <w:color w:val="auto"/>
                <w:sz w:val="21"/>
                <w:szCs w:val="21"/>
              </w:rPr>
              <w:t>“</w:t>
            </w:r>
            <w:r>
              <w:rPr>
                <w:rFonts w:ascii="Times New Roman" w:hAnsi="Times New Roman" w:cs="Times New Roman"/>
                <w:color w:val="auto"/>
                <w:sz w:val="21"/>
                <w:szCs w:val="21"/>
              </w:rPr>
              <w:t>三废</w:t>
            </w:r>
            <w:r>
              <w:rPr>
                <w:rFonts w:hint="eastAsia" w:ascii="Times New Roman" w:hAnsi="Times New Roman" w:cs="Times New Roman"/>
                <w:color w:val="auto"/>
                <w:sz w:val="21"/>
                <w:szCs w:val="21"/>
              </w:rPr>
              <w:t>”</w:t>
            </w:r>
            <w:r>
              <w:rPr>
                <w:rFonts w:ascii="Times New Roman" w:hAnsi="Times New Roman" w:cs="Times New Roman"/>
                <w:color w:val="auto"/>
                <w:sz w:val="21"/>
                <w:szCs w:val="21"/>
              </w:rPr>
              <w:t>对周围环境影响不大。</w:t>
            </w:r>
            <w:r>
              <w:rPr>
                <w:rFonts w:hint="eastAsia" w:ascii="Times New Roman" w:hAnsi="Times New Roman" w:cs="Times New Roman"/>
                <w:color w:val="auto"/>
                <w:sz w:val="21"/>
                <w:szCs w:val="21"/>
              </w:rPr>
              <w:t>项目</w:t>
            </w:r>
            <w:r>
              <w:rPr>
                <w:rFonts w:ascii="Times New Roman" w:hAnsi="Times New Roman" w:cs="Times New Roman"/>
                <w:color w:val="auto"/>
                <w:sz w:val="21"/>
                <w:szCs w:val="21"/>
              </w:rPr>
              <w:t>占地符合规划要求，土地资源利用合理，切实保护土地资源。</w:t>
            </w:r>
            <w:r>
              <w:rPr>
                <w:rFonts w:hint="eastAsia" w:ascii="Times New Roman" w:hAnsi="Times New Roman" w:cs="Times New Roman"/>
                <w:color w:val="auto"/>
                <w:sz w:val="21"/>
                <w:szCs w:val="21"/>
              </w:rPr>
              <w:t>排放的污染物</w:t>
            </w:r>
            <w:r>
              <w:rPr>
                <w:rFonts w:ascii="Times New Roman" w:hAnsi="Times New Roman" w:cs="Times New Roman"/>
                <w:color w:val="auto"/>
                <w:sz w:val="21"/>
                <w:szCs w:val="21"/>
              </w:rPr>
              <w:t>对周围环境的影响可以接受。在采取相应环境风险防范措施并严格生产管理的条件下，其环境风险能达到可接受水平。按照本</w:t>
            </w:r>
            <w:r>
              <w:rPr>
                <w:rFonts w:hint="eastAsia" w:ascii="Times New Roman" w:hAnsi="Times New Roman" w:cs="Times New Roman"/>
                <w:color w:val="auto"/>
                <w:sz w:val="21"/>
                <w:szCs w:val="21"/>
              </w:rPr>
              <w:t>评价</w:t>
            </w:r>
            <w:r>
              <w:rPr>
                <w:rFonts w:ascii="Times New Roman" w:hAnsi="Times New Roman" w:cs="Times New Roman"/>
                <w:color w:val="auto"/>
                <w:sz w:val="21"/>
                <w:szCs w:val="21"/>
              </w:rPr>
              <w:t>实施后，资源及环境承载力均能满足要求</w:t>
            </w:r>
            <w:r>
              <w:rPr>
                <w:rFonts w:hint="eastAsia" w:ascii="Times New Roman" w:hAnsi="Times New Roman" w:cs="Times New Roman"/>
                <w:color w:val="auto"/>
                <w:sz w:val="21"/>
                <w:szCs w:val="21"/>
              </w:rPr>
              <w:t>。综上所述，</w:t>
            </w:r>
            <w:r>
              <w:rPr>
                <w:rFonts w:ascii="Times New Roman" w:hAnsi="Times New Roman" w:cs="Times New Roman"/>
                <w:color w:val="auto"/>
                <w:sz w:val="21"/>
                <w:szCs w:val="21"/>
              </w:rPr>
              <w:t>从</w:t>
            </w:r>
            <w:r>
              <w:rPr>
                <w:rFonts w:ascii="Times New Roman" w:hAnsi="Times New Roman" w:cs="Times New Roman"/>
                <w:bCs/>
                <w:color w:val="auto"/>
                <w:sz w:val="21"/>
                <w:szCs w:val="21"/>
              </w:rPr>
              <w:t>环境影响等方面综合分析，本项目选址可行。</w:t>
            </w:r>
          </w:p>
        </w:tc>
      </w:tr>
    </w:tbl>
    <w:p>
      <w:pPr>
        <w:jc w:val="center"/>
        <w:rPr>
          <w:rFonts w:ascii="Times New Roman" w:hAnsi="Times New Roman" w:cs="Times New Roman"/>
          <w:color w:val="auto"/>
          <w:sz w:val="21"/>
        </w:rPr>
        <w:sectPr>
          <w:footerReference r:id="rId5" w:type="default"/>
          <w:footerReference r:id="rId6" w:type="even"/>
          <w:pgSz w:w="11910" w:h="16840"/>
          <w:pgMar w:top="1580" w:right="1320" w:bottom="1240" w:left="1340" w:header="0" w:footer="1043" w:gutter="0"/>
          <w:pgNumType w:start="1"/>
          <w:cols w:space="720" w:num="1"/>
        </w:sectPr>
      </w:pPr>
    </w:p>
    <w:p>
      <w:pPr>
        <w:pStyle w:val="2"/>
        <w:rPr>
          <w:rFonts w:ascii="黑体" w:hAnsi="黑体" w:eastAsia="黑体" w:cs="黑体"/>
          <w:color w:val="auto"/>
          <w:sz w:val="30"/>
          <w:szCs w:val="30"/>
        </w:rPr>
      </w:pPr>
      <w:r>
        <w:rPr>
          <w:rFonts w:ascii="黑体" w:hAnsi="黑体" w:eastAsia="黑体" w:cs="黑体"/>
          <w:color w:val="auto"/>
          <w:sz w:val="30"/>
          <w:szCs w:val="30"/>
        </w:rPr>
        <w:t>二、建设项目工程分析</w:t>
      </w:r>
    </w:p>
    <w:tbl>
      <w:tblPr>
        <w:tblStyle w:val="32"/>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46"/>
        <w:gridCol w:w="91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46" w:type="dxa"/>
            <w:tcBorders>
              <w:bottom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建</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设</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内</w:t>
            </w:r>
          </w:p>
          <w:p>
            <w:pPr>
              <w:pStyle w:val="52"/>
              <w:jc w:val="center"/>
              <w:rPr>
                <w:rFonts w:ascii="Times New Roman" w:hAnsi="Times New Roman" w:cs="Times New Roman"/>
                <w:color w:val="auto"/>
                <w:sz w:val="21"/>
              </w:rPr>
            </w:pPr>
            <w:r>
              <w:rPr>
                <w:rFonts w:ascii="Times New Roman" w:hAnsi="Times New Roman" w:cs="Times New Roman"/>
                <w:b/>
                <w:bCs/>
                <w:color w:val="auto"/>
                <w:sz w:val="21"/>
              </w:rPr>
              <w:t>容</w:t>
            </w:r>
          </w:p>
        </w:tc>
        <w:tc>
          <w:tcPr>
            <w:tcW w:w="9105" w:type="dxa"/>
            <w:tcBorders>
              <w:left w:val="single" w:color="000000" w:sz="4" w:space="0"/>
              <w:bottom w:val="single" w:color="000000" w:sz="4" w:space="0"/>
            </w:tcBorders>
          </w:tcPr>
          <w:p>
            <w:pPr>
              <w:autoSpaceDE/>
              <w:autoSpaceDN/>
              <w:spacing w:line="400" w:lineRule="exact"/>
              <w:ind w:left="110" w:leftChars="50" w:right="110" w:rightChars="50" w:firstLine="421" w:firstLineChars="200"/>
              <w:jc w:val="both"/>
              <w:outlineLvl w:val="2"/>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一、项目由来</w:t>
            </w:r>
          </w:p>
          <w:p>
            <w:pPr>
              <w:autoSpaceDE/>
              <w:autoSpaceDN/>
              <w:spacing w:line="400" w:lineRule="exact"/>
              <w:ind w:left="110" w:leftChars="50" w:right="110" w:rightChars="50" w:firstLine="420" w:firstLineChars="200"/>
              <w:jc w:val="both"/>
              <w:outlineLvl w:val="2"/>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近年来由于市场经济和管理体制的制约，设计人员热衷于建筑方案的创作，忽视施工图的设计优化，施工单位处于技术和经济方面自身利益的综合考虑，大量采用全现浇设计施工方法，使优势特点鲜明的混凝土预制构件行业走向没落。（混凝土预制构件行业发展与定位问题的思考）中国湿拌砂浆行业近年来呈现出显著的增长态势，这一趋势的背后是建筑业的高速发展和城市化进程的不断推进。湿拌砂浆作为建筑领域的关键材料之一，在基础设施建设方面，如桥梁、道路、隧道等大型工程的建设中，湿拌砂浆因其优异的性能和便捷的施工方式而被广泛应用。</w:t>
            </w:r>
            <w:r>
              <w:rPr>
                <w:rFonts w:hint="eastAsia" w:ascii="Times New Roman" w:hAnsi="Times New Roman" w:cs="Times New Roman"/>
                <w:color w:val="auto"/>
                <w:sz w:val="21"/>
                <w:szCs w:val="21"/>
                <w:lang w:val="en-US"/>
              </w:rPr>
              <w:t>为满足市场行情，魏县顺驰商砼加工有限公司拟将现有混凝土预制构件生产线改造为湿拌砂浆生产线。不再生产预制构件，现有商砼产量不变，新增年产30万立方米湿拌砂浆。</w:t>
            </w:r>
          </w:p>
          <w:p>
            <w:pPr>
              <w:autoSpaceDE/>
              <w:autoSpaceDN/>
              <w:spacing w:line="400" w:lineRule="exact"/>
              <w:ind w:left="110" w:leftChars="50" w:right="110" w:rightChars="50" w:firstLine="420" w:firstLineChars="200"/>
              <w:jc w:val="both"/>
              <w:outlineLvl w:val="2"/>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2023年11月1日</w:t>
            </w: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w:t>
            </w:r>
            <w:r>
              <w:rPr>
                <w:rFonts w:hint="eastAsia" w:ascii="Times New Roman" w:hAnsi="Times New Roman" w:cs="Times New Roman"/>
                <w:color w:val="auto"/>
                <w:sz w:val="21"/>
                <w:szCs w:val="21"/>
              </w:rPr>
              <w:t>司</w:t>
            </w:r>
            <w:r>
              <w:rPr>
                <w:rFonts w:hint="eastAsia" w:ascii="Times New Roman" w:hAnsi="Times New Roman" w:cs="Times New Roman"/>
                <w:color w:val="auto"/>
                <w:sz w:val="21"/>
                <w:szCs w:val="21"/>
                <w:lang w:val="en-US"/>
              </w:rPr>
              <w:t>将</w:t>
            </w:r>
            <w:r>
              <w:rPr>
                <w:rFonts w:ascii="Times New Roman" w:hAnsi="Times New Roman" w:cs="Times New Roman"/>
                <w:color w:val="auto"/>
                <w:sz w:val="21"/>
                <w:szCs w:val="21"/>
                <w:lang w:val="en-US"/>
              </w:rPr>
              <w:t>商砼升级改造及干混砂浆生产线建设项目</w:t>
            </w:r>
            <w:r>
              <w:rPr>
                <w:rFonts w:hint="eastAsia" w:ascii="Times New Roman" w:hAnsi="Times New Roman" w:cs="Times New Roman"/>
                <w:color w:val="auto"/>
                <w:sz w:val="21"/>
                <w:szCs w:val="21"/>
                <w:lang w:val="en-US"/>
              </w:rPr>
              <w:t>中的年产干混砂浆30万吨生产线转让给</w:t>
            </w:r>
            <w:r>
              <w:rPr>
                <w:rFonts w:ascii="Times New Roman" w:hAnsi="Times New Roman" w:cs="Times New Roman"/>
                <w:color w:val="auto"/>
                <w:sz w:val="21"/>
                <w:szCs w:val="21"/>
              </w:rPr>
              <w:t>魏县顺驰商砼加工有限公司鑫磊分公司</w:t>
            </w:r>
            <w:r>
              <w:rPr>
                <w:rFonts w:hint="eastAsia" w:ascii="Times New Roman" w:hAnsi="Times New Roman" w:cs="Times New Roman"/>
                <w:color w:val="auto"/>
                <w:sz w:val="21"/>
                <w:szCs w:val="21"/>
                <w:lang w:val="en-US"/>
              </w:rPr>
              <w:t>（转让协议见附件）</w:t>
            </w:r>
            <w:r>
              <w:rPr>
                <w:rFonts w:hint="eastAsia" w:ascii="Times New Roman" w:hAnsi="Times New Roman" w:cs="Times New Roman"/>
                <w:color w:val="auto"/>
                <w:sz w:val="21"/>
                <w:szCs w:val="21"/>
                <w:lang w:val="en-US" w:eastAsia="zh-CN"/>
              </w:rPr>
              <w:t>。现有项目环评及验收情况如下表：</w:t>
            </w:r>
          </w:p>
          <w:p>
            <w:pPr>
              <w:autoSpaceDE/>
              <w:autoSpaceDN/>
              <w:spacing w:line="400" w:lineRule="exact"/>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2.</w:t>
            </w:r>
            <w:r>
              <w:rPr>
                <w:rFonts w:hint="eastAsia" w:ascii="Times New Roman" w:hAnsi="Times New Roman" w:cs="Times New Roman"/>
                <w:b/>
                <w:color w:val="auto"/>
                <w:sz w:val="21"/>
                <w:szCs w:val="21"/>
                <w:lang w:val="en-US" w:eastAsia="zh-CN"/>
              </w:rPr>
              <w:t>1</w:t>
            </w:r>
            <w:r>
              <w:rPr>
                <w:rFonts w:ascii="Times New Roman" w:hAnsi="Times New Roman" w:cs="Times New Roman"/>
                <w:b/>
                <w:color w:val="auto"/>
                <w:sz w:val="21"/>
                <w:szCs w:val="21"/>
              </w:rPr>
              <w:t xml:space="preserve">  </w:t>
            </w:r>
            <w:r>
              <w:rPr>
                <w:rFonts w:hint="eastAsia" w:ascii="Times New Roman" w:hAnsi="Times New Roman" w:cs="Times New Roman"/>
                <w:b/>
                <w:color w:val="auto"/>
                <w:sz w:val="21"/>
                <w:szCs w:val="21"/>
                <w:lang w:eastAsia="zh-CN"/>
              </w:rPr>
              <w:t>现有项目</w:t>
            </w:r>
            <w:r>
              <w:rPr>
                <w:rFonts w:ascii="Times New Roman" w:hAnsi="Times New Roman" w:cs="Times New Roman"/>
                <w:b/>
                <w:color w:val="auto"/>
                <w:sz w:val="21"/>
                <w:szCs w:val="21"/>
              </w:rPr>
              <w:t>环评批复及验收情况表</w:t>
            </w:r>
          </w:p>
          <w:tbl>
            <w:tblPr>
              <w:tblStyle w:val="32"/>
              <w:tblW w:w="483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1860"/>
              <w:gridCol w:w="1729"/>
              <w:gridCol w:w="1729"/>
              <w:gridCol w:w="20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782" w:type="pct"/>
                  <w:vAlign w:val="center"/>
                </w:tcPr>
                <w:p>
                  <w:pPr>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工程名称</w:t>
                  </w:r>
                </w:p>
              </w:tc>
              <w:tc>
                <w:tcPr>
                  <w:tcW w:w="1057" w:type="pct"/>
                  <w:vAlign w:val="center"/>
                </w:tcPr>
                <w:p>
                  <w:pPr>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环评批复</w:t>
                  </w:r>
                </w:p>
              </w:tc>
              <w:tc>
                <w:tcPr>
                  <w:tcW w:w="983" w:type="pct"/>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排污许可证</w:t>
                  </w:r>
                </w:p>
              </w:tc>
              <w:tc>
                <w:tcPr>
                  <w:tcW w:w="983" w:type="pct"/>
                  <w:vAlign w:val="center"/>
                </w:tcPr>
                <w:p>
                  <w:pPr>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竣工环保验收</w:t>
                  </w:r>
                </w:p>
              </w:tc>
              <w:tc>
                <w:tcPr>
                  <w:tcW w:w="1192" w:type="pct"/>
                  <w:vAlign w:val="center"/>
                </w:tcPr>
                <w:p>
                  <w:pPr>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782" w:type="pc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商砼加工项目</w:t>
                  </w:r>
                </w:p>
              </w:tc>
              <w:tc>
                <w:tcPr>
                  <w:tcW w:w="1057" w:type="pct"/>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魏县环保局，</w:t>
                  </w:r>
                  <w:r>
                    <w:rPr>
                      <w:rFonts w:ascii="Times New Roman" w:hAnsi="Times New Roman" w:cs="Times New Roman"/>
                      <w:color w:val="auto"/>
                      <w:sz w:val="21"/>
                      <w:szCs w:val="21"/>
                      <w:lang w:val="en-US"/>
                    </w:rPr>
                    <w:t>2011年7月13日取得了审批意见</w:t>
                  </w:r>
                </w:p>
              </w:tc>
              <w:tc>
                <w:tcPr>
                  <w:tcW w:w="983" w:type="pct"/>
                  <w:vMerge w:val="restart"/>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w:t>
                  </w:r>
                  <w:r>
                    <w:rPr>
                      <w:rFonts w:hint="eastAsia" w:ascii="Times New Roman" w:hAnsi="Times New Roman" w:cs="Times New Roman"/>
                      <w:color w:val="auto"/>
                      <w:sz w:val="21"/>
                      <w:szCs w:val="21"/>
                    </w:rPr>
                    <w:t>司</w:t>
                  </w:r>
                  <w:r>
                    <w:rPr>
                      <w:rFonts w:hint="eastAsia" w:ascii="Times New Roman" w:hAnsi="Times New Roman" w:cs="Times New Roman"/>
                      <w:color w:val="auto"/>
                      <w:sz w:val="21"/>
                      <w:szCs w:val="21"/>
                      <w:lang w:val="en-US"/>
                    </w:rPr>
                    <w:t>在协议签订后在</w:t>
                  </w:r>
                  <w:r>
                    <w:rPr>
                      <w:rFonts w:ascii="Times New Roman" w:hAnsi="Times New Roman" w:cs="Times New Roman"/>
                      <w:color w:val="auto"/>
                      <w:sz w:val="21"/>
                      <w:szCs w:val="21"/>
                      <w:lang w:val="en-US"/>
                    </w:rPr>
                    <w:t>固定污染源排污登记</w:t>
                  </w:r>
                  <w:r>
                    <w:rPr>
                      <w:rFonts w:hint="eastAsia" w:ascii="Times New Roman" w:hAnsi="Times New Roman" w:cs="Times New Roman"/>
                      <w:color w:val="auto"/>
                      <w:sz w:val="21"/>
                      <w:szCs w:val="21"/>
                      <w:lang w:val="en-US"/>
                    </w:rPr>
                    <w:t>中将</w:t>
                  </w:r>
                  <w:r>
                    <w:rPr>
                      <w:rFonts w:hint="eastAsia" w:ascii="Times New Roman" w:hAnsi="Times New Roman" w:cs="Times New Roman"/>
                      <w:color w:val="auto"/>
                      <w:sz w:val="21"/>
                      <w:szCs w:val="21"/>
                      <w:lang w:val="en-US" w:eastAsia="zh-CN"/>
                    </w:rPr>
                    <w:t>干混</w:t>
                  </w:r>
                  <w:r>
                    <w:rPr>
                      <w:rFonts w:hint="eastAsia" w:ascii="Times New Roman" w:hAnsi="Times New Roman" w:cs="Times New Roman"/>
                      <w:color w:val="auto"/>
                      <w:sz w:val="21"/>
                      <w:szCs w:val="21"/>
                      <w:lang w:val="en-US"/>
                    </w:rPr>
                    <w:t>砂浆生产线移除。现已重新办理排污</w:t>
                  </w:r>
                  <w:r>
                    <w:rPr>
                      <w:rFonts w:hint="eastAsia" w:ascii="Times New Roman" w:hAnsi="Times New Roman" w:cs="Times New Roman"/>
                      <w:color w:val="auto"/>
                      <w:sz w:val="21"/>
                      <w:szCs w:val="21"/>
                      <w:lang w:val="en-US" w:eastAsia="zh-CN"/>
                    </w:rPr>
                    <w:t>登记</w:t>
                  </w:r>
                  <w:r>
                    <w:rPr>
                      <w:rFonts w:hint="eastAsia" w:ascii="Times New Roman" w:hAnsi="Times New Roman" w:cs="Times New Roman"/>
                      <w:color w:val="auto"/>
                      <w:sz w:val="21"/>
                      <w:szCs w:val="21"/>
                      <w:lang w:val="en-US"/>
                    </w:rPr>
                    <w:t>手续，</w:t>
                  </w:r>
                  <w:r>
                    <w:rPr>
                      <w:rFonts w:ascii="Times New Roman" w:hAnsi="Times New Roman" w:cs="Times New Roman"/>
                      <w:color w:val="auto"/>
                      <w:sz w:val="21"/>
                      <w:szCs w:val="21"/>
                      <w:lang w:val="en-US"/>
                    </w:rPr>
                    <w:t>固定污染源排污登记</w:t>
                  </w:r>
                  <w:r>
                    <w:rPr>
                      <w:rFonts w:hint="eastAsia" w:ascii="Times New Roman" w:hAnsi="Times New Roman" w:cs="Times New Roman"/>
                      <w:color w:val="auto"/>
                      <w:sz w:val="21"/>
                      <w:szCs w:val="21"/>
                      <w:lang w:val="en-US"/>
                    </w:rPr>
                    <w:t>编号为：9113043457823839XN001Y。</w:t>
                  </w:r>
                  <w:r>
                    <w:rPr>
                      <w:rFonts w:hint="eastAsia" w:ascii="Times New Roman" w:hAnsi="Times New Roman" w:cs="Times New Roman"/>
                      <w:color w:val="auto"/>
                      <w:sz w:val="21"/>
                      <w:szCs w:val="21"/>
                      <w:lang w:val="en-US" w:eastAsia="zh-CN"/>
                    </w:rPr>
                    <w:t>保留现有工程</w:t>
                  </w:r>
                  <w:r>
                    <w:rPr>
                      <w:rFonts w:hint="eastAsia" w:ascii="Times New Roman" w:hAnsi="Times New Roman" w:cs="Times New Roman"/>
                      <w:color w:val="auto"/>
                      <w:sz w:val="21"/>
                      <w:szCs w:val="21"/>
                      <w:lang w:val="en-US"/>
                    </w:rPr>
                    <w:t>生产能力</w:t>
                  </w:r>
                  <w:r>
                    <w:rPr>
                      <w:rFonts w:hint="eastAsia"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rPr>
                    <w:t>年生产商砼12万立方米</w:t>
                  </w:r>
                  <w:r>
                    <w:rPr>
                      <w:rFonts w:hint="eastAsia" w:ascii="Times New Roman" w:hAnsi="Times New Roman" w:cs="Times New Roman"/>
                      <w:color w:val="auto"/>
                      <w:sz w:val="21"/>
                      <w:szCs w:val="21"/>
                      <w:lang w:val="en-US" w:eastAsia="zh-CN"/>
                    </w:rPr>
                    <w:t>，年产预制构件5万立方米</w:t>
                  </w:r>
                  <w:r>
                    <w:rPr>
                      <w:rFonts w:hint="eastAsia" w:ascii="Times New Roman" w:hAnsi="Times New Roman" w:cs="Times New Roman"/>
                      <w:color w:val="auto"/>
                      <w:sz w:val="21"/>
                      <w:szCs w:val="21"/>
                      <w:lang w:val="en-US"/>
                    </w:rPr>
                    <w:t>。</w:t>
                  </w:r>
                </w:p>
              </w:tc>
              <w:tc>
                <w:tcPr>
                  <w:tcW w:w="983" w:type="pc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2014年4月3日通过魏县环境保护局验收</w:t>
                  </w:r>
                  <w:r>
                    <w:rPr>
                      <w:rFonts w:hint="eastAsia" w:ascii="Times New Roman" w:hAnsi="Times New Roman" w:cs="Times New Roman"/>
                      <w:color w:val="auto"/>
                      <w:sz w:val="21"/>
                      <w:szCs w:val="21"/>
                      <w:lang w:val="en-US"/>
                    </w:rPr>
                    <w:t>并取得了验收意见</w:t>
                  </w:r>
                  <w:r>
                    <w:rPr>
                      <w:rFonts w:ascii="Times New Roman" w:hAnsi="Times New Roman" w:cs="Times New Roman"/>
                      <w:color w:val="auto"/>
                      <w:sz w:val="21"/>
                      <w:szCs w:val="21"/>
                      <w:lang w:val="en-US"/>
                    </w:rPr>
                    <w:t>，验收文号“魏环验[2014]2号”</w:t>
                  </w:r>
                </w:p>
              </w:tc>
              <w:tc>
                <w:tcPr>
                  <w:tcW w:w="1192" w:type="pct"/>
                  <w:vAlign w:val="center"/>
                </w:tcPr>
                <w:p>
                  <w:pPr>
                    <w:ind w:left="-110" w:leftChars="-50" w:right="-110" w:rightChars="-5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b w:val="0"/>
                      <w:bCs w:val="0"/>
                      <w:color w:val="auto"/>
                      <w:sz w:val="21"/>
                      <w:szCs w:val="21"/>
                      <w:lang w:val="en-US" w:eastAsia="zh-CN"/>
                    </w:rPr>
                    <w:t>环评审批意见生产规模为年产120万立方米商砼；实际年产12万立方米商砼。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782" w:type="pct"/>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商砼升级改造及干混砂浆生产线建设项目</w:t>
                  </w:r>
                </w:p>
              </w:tc>
              <w:tc>
                <w:tcPr>
                  <w:tcW w:w="1057" w:type="pct"/>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邯郸市生态环境局魏县分局</w:t>
                  </w:r>
                  <w:r>
                    <w:rPr>
                      <w:rFonts w:ascii="Times New Roman" w:hAnsi="Times New Roman" w:cs="Times New Roman"/>
                      <w:color w:val="auto"/>
                      <w:sz w:val="21"/>
                      <w:szCs w:val="21"/>
                    </w:rPr>
                    <w:t>，</w:t>
                  </w:r>
                  <w:r>
                    <w:rPr>
                      <w:rFonts w:ascii="Times New Roman" w:hAnsi="Times New Roman" w:cs="Times New Roman"/>
                      <w:color w:val="auto"/>
                      <w:sz w:val="21"/>
                      <w:szCs w:val="21"/>
                      <w:lang w:val="en-US"/>
                    </w:rPr>
                    <w:t>2019年4月19日</w:t>
                  </w:r>
                  <w:r>
                    <w:rPr>
                      <w:rFonts w:ascii="Times New Roman" w:hAnsi="Times New Roman" w:cs="Times New Roman"/>
                      <w:color w:val="auto"/>
                      <w:sz w:val="21"/>
                      <w:szCs w:val="21"/>
                    </w:rPr>
                    <w:t>，</w:t>
                  </w:r>
                  <w:r>
                    <w:rPr>
                      <w:rFonts w:ascii="Times New Roman" w:hAnsi="Times New Roman" w:cs="Times New Roman"/>
                      <w:color w:val="auto"/>
                      <w:sz w:val="21"/>
                      <w:szCs w:val="21"/>
                      <w:lang w:val="en-US"/>
                    </w:rPr>
                    <w:t>魏环审[2019]027号</w:t>
                  </w:r>
                </w:p>
              </w:tc>
              <w:tc>
                <w:tcPr>
                  <w:tcW w:w="983" w:type="pct"/>
                  <w:vMerge w:val="continue"/>
                  <w:vAlign w:val="center"/>
                </w:tcPr>
                <w:p>
                  <w:pPr>
                    <w:ind w:left="-110" w:leftChars="-50" w:right="-110" w:rightChars="-50"/>
                    <w:jc w:val="center"/>
                    <w:rPr>
                      <w:rFonts w:ascii="Times New Roman" w:hAnsi="Times New Roman" w:cs="Times New Roman"/>
                      <w:color w:val="auto"/>
                      <w:sz w:val="21"/>
                      <w:szCs w:val="21"/>
                    </w:rPr>
                  </w:pPr>
                </w:p>
              </w:tc>
              <w:tc>
                <w:tcPr>
                  <w:tcW w:w="983" w:type="pc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2019年</w:t>
                  </w: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lang w:val="en-US"/>
                    </w:rPr>
                    <w:t>月</w:t>
                  </w:r>
                  <w:r>
                    <w:rPr>
                      <w:rFonts w:hint="eastAsia" w:ascii="Times New Roman" w:hAnsi="Times New Roman" w:cs="Times New Roman"/>
                      <w:color w:val="auto"/>
                      <w:sz w:val="21"/>
                      <w:szCs w:val="21"/>
                      <w:lang w:val="en-US"/>
                    </w:rPr>
                    <w:t>28</w:t>
                  </w:r>
                  <w:r>
                    <w:rPr>
                      <w:rFonts w:ascii="Times New Roman" w:hAnsi="Times New Roman" w:cs="Times New Roman"/>
                      <w:color w:val="auto"/>
                      <w:sz w:val="21"/>
                      <w:szCs w:val="21"/>
                      <w:lang w:val="en-US"/>
                    </w:rPr>
                    <w:t>日</w:t>
                  </w:r>
                  <w:r>
                    <w:rPr>
                      <w:rFonts w:hint="eastAsia" w:ascii="Times New Roman" w:hAnsi="Times New Roman" w:cs="Times New Roman"/>
                      <w:color w:val="auto"/>
                      <w:sz w:val="21"/>
                      <w:szCs w:val="21"/>
                      <w:lang w:val="en-US"/>
                    </w:rPr>
                    <w:t>自主验收</w:t>
                  </w:r>
                </w:p>
              </w:tc>
              <w:tc>
                <w:tcPr>
                  <w:tcW w:w="1192" w:type="pct"/>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b w:val="0"/>
                      <w:bCs w:val="0"/>
                      <w:color w:val="auto"/>
                      <w:sz w:val="21"/>
                      <w:szCs w:val="21"/>
                      <w:lang w:val="en-US" w:eastAsia="zh-CN"/>
                    </w:rPr>
                    <w:t>环评审批意见生产规模为年产</w:t>
                  </w:r>
                  <w:r>
                    <w:rPr>
                      <w:rFonts w:ascii="Times New Roman" w:hAnsi="Times New Roman" w:cs="Times New Roman"/>
                      <w:color w:val="auto"/>
                      <w:sz w:val="21"/>
                      <w:szCs w:val="21"/>
                      <w:lang w:val="en-US"/>
                    </w:rPr>
                    <w:t>30</w:t>
                  </w:r>
                  <w:r>
                    <w:rPr>
                      <w:rFonts w:hint="eastAsia" w:ascii="Times New Roman" w:hAnsi="Times New Roman" w:cs="Times New Roman"/>
                      <w:color w:val="auto"/>
                      <w:sz w:val="21"/>
                      <w:szCs w:val="21"/>
                      <w:lang w:val="en-US"/>
                    </w:rPr>
                    <w:t>万t</w:t>
                  </w:r>
                  <w:r>
                    <w:rPr>
                      <w:rFonts w:hint="eastAsia" w:ascii="Times New Roman" w:hAnsi="Times New Roman" w:cs="Times New Roman"/>
                      <w:b w:val="0"/>
                      <w:bCs w:val="0"/>
                      <w:color w:val="auto"/>
                      <w:sz w:val="21"/>
                      <w:szCs w:val="21"/>
                      <w:lang w:val="en-US" w:eastAsia="zh-CN"/>
                    </w:rPr>
                    <w:t>干混砂浆；实际年产</w:t>
                  </w:r>
                  <w:r>
                    <w:rPr>
                      <w:rFonts w:ascii="Times New Roman" w:hAnsi="Times New Roman" w:cs="Times New Roman"/>
                      <w:color w:val="auto"/>
                      <w:sz w:val="21"/>
                      <w:szCs w:val="21"/>
                      <w:lang w:val="en-US"/>
                    </w:rPr>
                    <w:t>30</w:t>
                  </w:r>
                  <w:r>
                    <w:rPr>
                      <w:rFonts w:hint="eastAsia" w:ascii="Times New Roman" w:hAnsi="Times New Roman" w:cs="Times New Roman"/>
                      <w:color w:val="auto"/>
                      <w:sz w:val="21"/>
                      <w:szCs w:val="21"/>
                      <w:lang w:val="en-US"/>
                    </w:rPr>
                    <w:t>万t</w:t>
                  </w:r>
                  <w:r>
                    <w:rPr>
                      <w:rFonts w:hint="eastAsia" w:ascii="Times New Roman" w:hAnsi="Times New Roman" w:cs="Times New Roman"/>
                      <w:b w:val="0"/>
                      <w:bCs w:val="0"/>
                      <w:color w:val="auto"/>
                      <w:sz w:val="21"/>
                      <w:szCs w:val="21"/>
                      <w:lang w:val="en-US" w:eastAsia="zh-CN"/>
                    </w:rPr>
                    <w:t>干混砂浆。后将此条生产线转让。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782" w:type="pct"/>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年产5万立方米混凝土预制构件项目</w:t>
                  </w:r>
                </w:p>
              </w:tc>
              <w:tc>
                <w:tcPr>
                  <w:tcW w:w="1057" w:type="pc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魏县行政审批局，</w:t>
                  </w:r>
                  <w:r>
                    <w:rPr>
                      <w:rFonts w:ascii="Times New Roman" w:hAnsi="Times New Roman" w:cs="Times New Roman"/>
                      <w:color w:val="auto"/>
                      <w:sz w:val="21"/>
                      <w:szCs w:val="21"/>
                      <w:lang w:val="en-US"/>
                    </w:rPr>
                    <w:t>20</w:t>
                  </w:r>
                  <w:r>
                    <w:rPr>
                      <w:rFonts w:hint="eastAsia" w:ascii="Times New Roman" w:hAnsi="Times New Roman" w:cs="Times New Roman"/>
                      <w:color w:val="auto"/>
                      <w:sz w:val="21"/>
                      <w:szCs w:val="21"/>
                      <w:lang w:val="en-US"/>
                    </w:rPr>
                    <w:t>21</w:t>
                  </w:r>
                  <w:r>
                    <w:rPr>
                      <w:rFonts w:ascii="Times New Roman" w:hAnsi="Times New Roman" w:cs="Times New Roman"/>
                      <w:color w:val="auto"/>
                      <w:sz w:val="21"/>
                      <w:szCs w:val="21"/>
                      <w:lang w:val="en-US"/>
                    </w:rPr>
                    <w:t>年</w:t>
                  </w: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月</w:t>
                  </w:r>
                  <w:r>
                    <w:rPr>
                      <w:rFonts w:hint="eastAsia" w:ascii="Times New Roman" w:hAnsi="Times New Roman" w:cs="Times New Roman"/>
                      <w:color w:val="auto"/>
                      <w:sz w:val="21"/>
                      <w:szCs w:val="21"/>
                      <w:lang w:val="en-US"/>
                    </w:rPr>
                    <w:t>11</w:t>
                  </w:r>
                  <w:r>
                    <w:rPr>
                      <w:rFonts w:ascii="Times New Roman" w:hAnsi="Times New Roman" w:cs="Times New Roman"/>
                      <w:color w:val="auto"/>
                      <w:sz w:val="21"/>
                      <w:szCs w:val="21"/>
                      <w:lang w:val="en-US"/>
                    </w:rPr>
                    <w:t>日</w:t>
                  </w:r>
                  <w:r>
                    <w:rPr>
                      <w:rFonts w:ascii="Times New Roman" w:hAnsi="Times New Roman" w:cs="Times New Roman"/>
                      <w:color w:val="auto"/>
                      <w:sz w:val="21"/>
                      <w:szCs w:val="21"/>
                    </w:rPr>
                    <w:t>，</w:t>
                  </w:r>
                  <w:r>
                    <w:rPr>
                      <w:rFonts w:ascii="Times New Roman" w:hAnsi="Times New Roman" w:cs="Times New Roman"/>
                      <w:color w:val="auto"/>
                      <w:sz w:val="21"/>
                      <w:szCs w:val="21"/>
                      <w:lang w:val="en-US"/>
                    </w:rPr>
                    <w:t>魏</w:t>
                  </w:r>
                  <w:r>
                    <w:rPr>
                      <w:rFonts w:hint="eastAsia" w:ascii="Times New Roman" w:hAnsi="Times New Roman" w:cs="Times New Roman"/>
                      <w:color w:val="auto"/>
                      <w:sz w:val="21"/>
                      <w:szCs w:val="21"/>
                      <w:lang w:val="en-US"/>
                    </w:rPr>
                    <w:t>审批</w:t>
                  </w:r>
                  <w:r>
                    <w:rPr>
                      <w:rFonts w:ascii="Times New Roman" w:hAnsi="Times New Roman" w:cs="Times New Roman"/>
                      <w:color w:val="auto"/>
                      <w:sz w:val="21"/>
                      <w:szCs w:val="21"/>
                      <w:lang w:val="en-US"/>
                    </w:rPr>
                    <w:t>环</w:t>
                  </w:r>
                  <w:r>
                    <w:rPr>
                      <w:rFonts w:hint="eastAsia" w:ascii="Times New Roman" w:hAnsi="Times New Roman" w:cs="Times New Roman"/>
                      <w:color w:val="auto"/>
                      <w:sz w:val="21"/>
                      <w:szCs w:val="21"/>
                      <w:lang w:val="en-US"/>
                    </w:rPr>
                    <w:t>表</w:t>
                  </w:r>
                  <w:r>
                    <w:rPr>
                      <w:rFonts w:ascii="Times New Roman" w:hAnsi="Times New Roman" w:cs="Times New Roman"/>
                      <w:color w:val="auto"/>
                      <w:sz w:val="21"/>
                      <w:szCs w:val="21"/>
                      <w:lang w:val="en-US"/>
                    </w:rPr>
                    <w:t>[20</w:t>
                  </w:r>
                  <w:r>
                    <w:rPr>
                      <w:rFonts w:hint="eastAsia" w:ascii="Times New Roman" w:hAnsi="Times New Roman" w:cs="Times New Roman"/>
                      <w:color w:val="auto"/>
                      <w:sz w:val="21"/>
                      <w:szCs w:val="21"/>
                      <w:lang w:val="en-US"/>
                    </w:rPr>
                    <w:t>21</w:t>
                  </w:r>
                  <w:r>
                    <w:rPr>
                      <w:rFonts w:ascii="Times New Roman" w:hAnsi="Times New Roman" w:cs="Times New Roman"/>
                      <w:color w:val="auto"/>
                      <w:sz w:val="21"/>
                      <w:szCs w:val="21"/>
                      <w:lang w:val="en-US"/>
                    </w:rPr>
                    <w:t>]02号</w:t>
                  </w:r>
                </w:p>
              </w:tc>
              <w:tc>
                <w:tcPr>
                  <w:tcW w:w="983" w:type="pct"/>
                  <w:vMerge w:val="continue"/>
                  <w:vAlign w:val="center"/>
                </w:tcPr>
                <w:p>
                  <w:pPr>
                    <w:ind w:left="-110" w:leftChars="-50" w:right="-110" w:rightChars="-50"/>
                    <w:jc w:val="center"/>
                    <w:rPr>
                      <w:rFonts w:ascii="Times New Roman" w:hAnsi="Times New Roman" w:cs="Times New Roman"/>
                      <w:color w:val="auto"/>
                      <w:sz w:val="21"/>
                      <w:szCs w:val="21"/>
                    </w:rPr>
                  </w:pPr>
                </w:p>
              </w:tc>
              <w:tc>
                <w:tcPr>
                  <w:tcW w:w="983" w:type="pc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20</w:t>
                  </w:r>
                  <w:r>
                    <w:rPr>
                      <w:rFonts w:hint="eastAsia" w:ascii="Times New Roman" w:hAnsi="Times New Roman" w:cs="Times New Roman"/>
                      <w:color w:val="auto"/>
                      <w:sz w:val="21"/>
                      <w:szCs w:val="21"/>
                      <w:lang w:val="en-US"/>
                    </w:rPr>
                    <w:t>22</w:t>
                  </w:r>
                  <w:r>
                    <w:rPr>
                      <w:rFonts w:ascii="Times New Roman" w:hAnsi="Times New Roman" w:cs="Times New Roman"/>
                      <w:color w:val="auto"/>
                      <w:sz w:val="21"/>
                      <w:szCs w:val="21"/>
                      <w:lang w:val="en-US"/>
                    </w:rPr>
                    <w:t>年</w:t>
                  </w: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月</w:t>
                  </w:r>
                  <w:r>
                    <w:rPr>
                      <w:rFonts w:hint="eastAsia" w:ascii="Times New Roman" w:hAnsi="Times New Roman" w:cs="Times New Roman"/>
                      <w:color w:val="auto"/>
                      <w:sz w:val="21"/>
                      <w:szCs w:val="21"/>
                      <w:lang w:val="en-US"/>
                    </w:rPr>
                    <w:t>14</w:t>
                  </w:r>
                  <w:r>
                    <w:rPr>
                      <w:rFonts w:ascii="Times New Roman" w:hAnsi="Times New Roman" w:cs="Times New Roman"/>
                      <w:color w:val="auto"/>
                      <w:sz w:val="21"/>
                      <w:szCs w:val="21"/>
                      <w:lang w:val="en-US"/>
                    </w:rPr>
                    <w:t>日</w:t>
                  </w:r>
                  <w:r>
                    <w:rPr>
                      <w:rFonts w:ascii="Times New Roman" w:hAnsi="Times New Roman" w:cs="Times New Roman"/>
                      <w:color w:val="auto"/>
                      <w:sz w:val="21"/>
                      <w:szCs w:val="21"/>
                    </w:rPr>
                    <w:t>自主验收</w:t>
                  </w:r>
                </w:p>
              </w:tc>
              <w:tc>
                <w:tcPr>
                  <w:tcW w:w="1192" w:type="pct"/>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b w:val="0"/>
                      <w:bCs w:val="0"/>
                      <w:color w:val="auto"/>
                      <w:sz w:val="21"/>
                      <w:szCs w:val="21"/>
                      <w:lang w:val="en-US" w:eastAsia="zh-CN"/>
                    </w:rPr>
                    <w:t>环评审批意见生产规模为年产</w:t>
                  </w:r>
                  <w:r>
                    <w:rPr>
                      <w:rFonts w:hint="eastAsia" w:ascii="Times New Roman" w:hAnsi="Times New Roman" w:cs="Times New Roman"/>
                      <w:color w:val="auto"/>
                      <w:sz w:val="21"/>
                      <w:szCs w:val="21"/>
                      <w:lang w:val="en-US" w:eastAsia="zh-CN"/>
                    </w:rPr>
                    <w:t>5万立方米预制构件</w:t>
                  </w:r>
                  <w:r>
                    <w:rPr>
                      <w:rFonts w:hint="eastAsia" w:ascii="Times New Roman" w:hAnsi="Times New Roman" w:cs="Times New Roman"/>
                      <w:b w:val="0"/>
                      <w:bCs w:val="0"/>
                      <w:color w:val="auto"/>
                      <w:sz w:val="21"/>
                      <w:szCs w:val="21"/>
                      <w:lang w:val="en-US" w:eastAsia="zh-CN"/>
                    </w:rPr>
                    <w:t>；实际年产</w:t>
                  </w:r>
                  <w:r>
                    <w:rPr>
                      <w:rFonts w:hint="eastAsia" w:ascii="Times New Roman" w:hAnsi="Times New Roman" w:cs="Times New Roman"/>
                      <w:color w:val="auto"/>
                      <w:sz w:val="21"/>
                      <w:szCs w:val="21"/>
                      <w:lang w:val="en-US" w:eastAsia="zh-CN"/>
                    </w:rPr>
                    <w:t>5万立方米预制构件</w:t>
                  </w:r>
                  <w:r>
                    <w:rPr>
                      <w:rFonts w:hint="eastAsia" w:ascii="Times New Roman" w:hAnsi="Times New Roman" w:cs="Times New Roman"/>
                      <w:b w:val="0"/>
                      <w:bCs w:val="0"/>
                      <w:color w:val="auto"/>
                      <w:sz w:val="21"/>
                      <w:szCs w:val="21"/>
                      <w:lang w:val="en-US" w:eastAsia="zh-CN"/>
                    </w:rPr>
                    <w:t>。</w:t>
                  </w:r>
                </w:p>
              </w:tc>
            </w:tr>
          </w:tbl>
          <w:p>
            <w:pPr>
              <w:autoSpaceDE/>
              <w:autoSpaceDN/>
              <w:spacing w:line="400" w:lineRule="exact"/>
              <w:ind w:left="110" w:leftChars="50" w:right="110" w:rightChars="50" w:firstLine="420"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根据《中华人民共和国环境影响评价法》、《建设项目环境保护管理条例》以及《建设项目环境影响评价分类管理名录》（2021 年版）的有关规定，该项目属“</w:t>
            </w:r>
            <w:r>
              <w:rPr>
                <w:rFonts w:ascii="Times New Roman" w:hAnsi="Times New Roman"/>
                <w:color w:val="auto"/>
                <w:sz w:val="21"/>
                <w:szCs w:val="20"/>
                <w:lang w:val="en-US"/>
              </w:rPr>
              <w:t>二十七、非金属矿物制品业</w:t>
            </w:r>
            <w:r>
              <w:rPr>
                <w:rFonts w:hint="eastAsia" w:ascii="Times New Roman" w:hAnsi="Times New Roman"/>
                <w:color w:val="auto"/>
                <w:sz w:val="21"/>
                <w:szCs w:val="20"/>
                <w:lang w:val="en-US"/>
              </w:rPr>
              <w:t>-55.石膏、水泥制品及类似制品制造-</w:t>
            </w:r>
            <w:r>
              <w:rPr>
                <w:rFonts w:ascii="Times New Roman" w:hAnsi="Times New Roman"/>
                <w:color w:val="auto"/>
                <w:sz w:val="21"/>
                <w:szCs w:val="20"/>
                <w:lang w:val="en-US"/>
              </w:rPr>
              <w:t>商品混凝土；砼结构构件制造；水泥制品制造</w:t>
            </w:r>
            <w:r>
              <w:rPr>
                <w:rFonts w:hint="eastAsia" w:ascii="Times New Roman" w:hAnsi="Times New Roman" w:cs="Times New Roman"/>
                <w:color w:val="auto"/>
                <w:sz w:val="21"/>
                <w:szCs w:val="21"/>
                <w:lang w:val="en-US"/>
              </w:rPr>
              <w:t>”，需编制环境影响报告表。</w:t>
            </w:r>
            <w:r>
              <w:rPr>
                <w:rFonts w:hint="eastAsia" w:ascii="Times New Roman" w:hAnsi="Times New Roman" w:cs="Times New Roman"/>
                <w:color w:val="auto"/>
                <w:sz w:val="21"/>
                <w:szCs w:val="21"/>
                <w:lang w:val="en-US" w:eastAsia="zh-CN"/>
              </w:rPr>
              <w:t>项目已在魏县行政审批局备案，备案编号为：魏审批备字[2024]079号。</w:t>
            </w:r>
          </w:p>
          <w:p>
            <w:pPr>
              <w:autoSpaceDE/>
              <w:autoSpaceDN/>
              <w:spacing w:line="400" w:lineRule="exact"/>
              <w:ind w:left="110" w:leftChars="50" w:right="110" w:rightChars="50" w:firstLine="420"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顺驰商砼加工有限公司</w:t>
            </w:r>
            <w:r>
              <w:rPr>
                <w:rFonts w:hint="eastAsia" w:ascii="Times New Roman" w:hAnsi="Times New Roman" w:cs="Times New Roman"/>
                <w:color w:val="auto"/>
                <w:sz w:val="21"/>
                <w:szCs w:val="21"/>
                <w:lang w:val="en-US"/>
              </w:rPr>
              <w:t>于2024年11月委托我公司进行该项目环境影响评价工作。接受委托后，我单位组织技术人员对本工程厂址进行了现场踏勘，较详细地搜集了与本工程有关的技术资料，按照《建设项目环境影响评价分类管理名录》（2021年版）、《建设项目环境影响报告表编制技术指南（污染影响类）》等有关规定，编制完成了本项目环境影响报告表。</w:t>
            </w:r>
          </w:p>
          <w:p>
            <w:pPr>
              <w:autoSpaceDE/>
              <w:autoSpaceDN/>
              <w:spacing w:line="400" w:lineRule="exact"/>
              <w:ind w:left="110" w:leftChars="50" w:right="110" w:rightChars="50" w:firstLine="421" w:firstLineChars="200"/>
              <w:jc w:val="both"/>
              <w:outlineLvl w:val="2"/>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二、建设项目基本内容</w:t>
            </w:r>
          </w:p>
          <w:p>
            <w:pPr>
              <w:autoSpaceDE/>
              <w:autoSpaceDN/>
              <w:spacing w:line="400" w:lineRule="exact"/>
              <w:ind w:left="110" w:leftChars="50" w:right="110" w:rightChars="50" w:firstLine="421" w:firstLineChars="200"/>
              <w:jc w:val="both"/>
              <w:outlineLvl w:val="2"/>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1、项目名称：</w:t>
            </w:r>
            <w:r>
              <w:rPr>
                <w:rFonts w:hint="eastAsia" w:ascii="Times New Roman" w:hAnsi="Times New Roman" w:cs="Times New Roman"/>
                <w:color w:val="auto"/>
                <w:sz w:val="21"/>
                <w:szCs w:val="21"/>
                <w:lang w:val="en-US"/>
              </w:rPr>
              <w:t>魏县</w:t>
            </w:r>
            <w:r>
              <w:rPr>
                <w:rFonts w:ascii="Times New Roman" w:hAnsi="Times New Roman" w:cs="Times New Roman"/>
                <w:color w:val="auto"/>
                <w:sz w:val="21"/>
                <w:szCs w:val="21"/>
              </w:rPr>
              <w:t>顺驰商砼加工有限公司</w:t>
            </w:r>
            <w:r>
              <w:rPr>
                <w:rFonts w:hint="eastAsia" w:ascii="Times New Roman" w:hAnsi="Times New Roman" w:cs="Times New Roman"/>
                <w:color w:val="auto"/>
                <w:sz w:val="21"/>
                <w:szCs w:val="21"/>
                <w:lang w:val="en-US"/>
              </w:rPr>
              <w:t>年产30万立方米湿拌砂浆生产项目</w:t>
            </w:r>
            <w:r>
              <w:rPr>
                <w:rFonts w:ascii="Times New Roman" w:hAnsi="Times New Roman" w:cs="Times New Roman"/>
                <w:color w:val="auto"/>
                <w:sz w:val="21"/>
                <w:szCs w:val="21"/>
                <w:lang w:val="en-US"/>
              </w:rPr>
              <w:t>；</w:t>
            </w:r>
          </w:p>
          <w:p>
            <w:pPr>
              <w:autoSpaceDE/>
              <w:autoSpaceDN/>
              <w:spacing w:line="400" w:lineRule="exact"/>
              <w:ind w:left="110" w:leftChars="50" w:right="110" w:rightChars="50" w:firstLine="421" w:firstLineChars="200"/>
              <w:jc w:val="both"/>
              <w:outlineLvl w:val="2"/>
              <w:rPr>
                <w:rFonts w:ascii="Times New Roman" w:hAnsi="Times New Roman" w:cs="Times New Roman"/>
                <w:bCs/>
                <w:color w:val="auto"/>
                <w:sz w:val="21"/>
                <w:szCs w:val="21"/>
              </w:rPr>
            </w:pP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建设单位：</w:t>
            </w:r>
            <w:r>
              <w:rPr>
                <w:rFonts w:ascii="Times New Roman" w:hAnsi="Times New Roman" w:cs="Times New Roman"/>
                <w:color w:val="auto"/>
                <w:sz w:val="21"/>
                <w:szCs w:val="21"/>
              </w:rPr>
              <w:t>魏县顺驰商砼加工有限公司</w:t>
            </w:r>
            <w:r>
              <w:rPr>
                <w:rFonts w:ascii="Times New Roman" w:hAnsi="Times New Roman" w:cs="Times New Roman"/>
                <w:color w:val="auto"/>
                <w:sz w:val="21"/>
                <w:szCs w:val="21"/>
                <w:lang w:val="en-US"/>
              </w:rPr>
              <w:t>；</w:t>
            </w:r>
          </w:p>
          <w:p>
            <w:pPr>
              <w:autoSpaceDE/>
              <w:autoSpaceDN/>
              <w:spacing w:line="400" w:lineRule="exact"/>
              <w:ind w:left="110" w:leftChars="50" w:right="110" w:rightChars="50" w:firstLine="421" w:firstLineChars="200"/>
              <w:jc w:val="both"/>
              <w:outlineLvl w:val="2"/>
              <w:rPr>
                <w:rFonts w:ascii="Times New Roman" w:hAnsi="Times New Roman" w:cs="Times New Roman"/>
                <w:color w:val="auto"/>
                <w:sz w:val="21"/>
                <w:szCs w:val="21"/>
              </w:rPr>
            </w:pPr>
            <w:r>
              <w:rPr>
                <w:rFonts w:ascii="Times New Roman" w:hAnsi="Times New Roman" w:cs="Times New Roman"/>
                <w:b/>
                <w:bCs/>
                <w:color w:val="auto"/>
                <w:sz w:val="21"/>
                <w:szCs w:val="21"/>
                <w:lang w:val="en-US"/>
              </w:rPr>
              <w:t>3、</w:t>
            </w:r>
            <w:r>
              <w:rPr>
                <w:rFonts w:ascii="Times New Roman" w:hAnsi="Times New Roman" w:cs="Times New Roman"/>
                <w:b/>
                <w:bCs/>
                <w:color w:val="auto"/>
                <w:sz w:val="21"/>
                <w:szCs w:val="21"/>
              </w:rPr>
              <w:t>建设性质：</w:t>
            </w:r>
            <w:r>
              <w:rPr>
                <w:rFonts w:hint="eastAsia" w:ascii="Times New Roman" w:hAnsi="Times New Roman" w:cs="Times New Roman"/>
                <w:color w:val="auto"/>
                <w:sz w:val="21"/>
                <w:szCs w:val="21"/>
              </w:rPr>
              <w:t>改建、</w:t>
            </w:r>
            <w:r>
              <w:rPr>
                <w:rFonts w:hint="eastAsia" w:ascii="Times New Roman" w:hAnsi="Times New Roman" w:cs="Times New Roman"/>
                <w:color w:val="auto"/>
                <w:sz w:val="21"/>
                <w:szCs w:val="21"/>
                <w:lang w:val="en-US"/>
              </w:rPr>
              <w:t>扩建</w:t>
            </w:r>
            <w:r>
              <w:rPr>
                <w:rFonts w:ascii="Times New Roman" w:hAnsi="Times New Roman" w:cs="Times New Roman"/>
                <w:color w:val="auto"/>
                <w:sz w:val="21"/>
                <w:szCs w:val="21"/>
              </w:rPr>
              <w:t>；</w:t>
            </w:r>
          </w:p>
          <w:p>
            <w:pPr>
              <w:autoSpaceDE/>
              <w:autoSpaceDN/>
              <w:spacing w:line="400" w:lineRule="exact"/>
              <w:ind w:left="110" w:leftChars="50" w:right="110" w:rightChars="50" w:firstLine="421" w:firstLineChars="200"/>
              <w:jc w:val="both"/>
              <w:rPr>
                <w:rFonts w:ascii="Times New Roman" w:hAnsi="Times New Roman" w:cs="Times New Roman"/>
                <w:color w:val="auto"/>
                <w:sz w:val="21"/>
                <w:szCs w:val="21"/>
              </w:rPr>
            </w:pPr>
            <w:r>
              <w:rPr>
                <w:rFonts w:ascii="Times New Roman" w:hAnsi="Times New Roman" w:cs="Times New Roman"/>
                <w:b/>
                <w:bCs/>
                <w:color w:val="auto"/>
                <w:sz w:val="21"/>
                <w:szCs w:val="21"/>
                <w:lang w:val="en-US"/>
              </w:rPr>
              <w:t>4、建设地点：</w:t>
            </w:r>
            <w:bookmarkStart w:id="1" w:name="_Toc10252"/>
            <w:r>
              <w:rPr>
                <w:rFonts w:ascii="Times New Roman" w:hAnsi="Times New Roman" w:cs="Times New Roman"/>
                <w:color w:val="auto"/>
                <w:sz w:val="21"/>
                <w:szCs w:val="21"/>
                <w:lang w:val="en-US"/>
              </w:rPr>
              <w:t>本项目位于</w:t>
            </w:r>
            <w:r>
              <w:rPr>
                <w:rFonts w:hint="eastAsia" w:ascii="Times New Roman" w:hAnsi="Times New Roman" w:cs="Times New Roman"/>
                <w:color w:val="auto"/>
                <w:sz w:val="21"/>
                <w:szCs w:val="21"/>
              </w:rPr>
              <w:t>河北省魏县</w:t>
            </w:r>
            <w:r>
              <w:rPr>
                <w:rFonts w:hint="eastAsia" w:ascii="Times New Roman" w:hAnsi="Times New Roman" w:cs="Times New Roman"/>
                <w:color w:val="auto"/>
                <w:sz w:val="21"/>
                <w:szCs w:val="21"/>
                <w:lang w:val="en-US"/>
              </w:rPr>
              <w:t>德政镇王庄村北</w:t>
            </w:r>
            <w:r>
              <w:rPr>
                <w:rFonts w:ascii="Times New Roman" w:hAnsi="Times New Roman" w:cs="Times New Roman"/>
                <w:color w:val="auto"/>
                <w:sz w:val="21"/>
                <w:szCs w:val="21"/>
                <w:lang w:val="en-US"/>
              </w:rPr>
              <w:t>，</w:t>
            </w:r>
            <w:r>
              <w:rPr>
                <w:rFonts w:ascii="Times New Roman" w:hAnsi="Times New Roman" w:cs="Times New Roman"/>
                <w:color w:val="auto"/>
                <w:sz w:val="21"/>
                <w:szCs w:val="21"/>
              </w:rPr>
              <w:t>厂址中心地理坐标为</w:t>
            </w:r>
            <w:r>
              <w:rPr>
                <w:rFonts w:ascii="Times New Roman" w:hAnsi="Times New Roman"/>
                <w:color w:val="auto"/>
                <w:sz w:val="21"/>
                <w:szCs w:val="20"/>
              </w:rPr>
              <w:t>东经114°</w:t>
            </w:r>
            <w:r>
              <w:rPr>
                <w:rFonts w:hint="eastAsia" w:ascii="Times New Roman" w:hAnsi="Times New Roman"/>
                <w:color w:val="auto"/>
                <w:sz w:val="21"/>
                <w:szCs w:val="20"/>
              </w:rPr>
              <w:t>55′41.157</w:t>
            </w:r>
            <w:r>
              <w:rPr>
                <w:rFonts w:ascii="Times New Roman" w:hAnsi="Times New Roman"/>
                <w:color w:val="auto"/>
                <w:sz w:val="21"/>
                <w:szCs w:val="20"/>
              </w:rPr>
              <w:t>″，北纬36°18′</w:t>
            </w:r>
            <w:r>
              <w:rPr>
                <w:rFonts w:hint="eastAsia" w:ascii="Times New Roman" w:hAnsi="Times New Roman"/>
                <w:color w:val="auto"/>
                <w:sz w:val="21"/>
                <w:szCs w:val="20"/>
              </w:rPr>
              <w:t>52.157</w:t>
            </w:r>
            <w:r>
              <w:rPr>
                <w:rFonts w:ascii="Times New Roman" w:hAnsi="Times New Roman"/>
                <w:color w:val="auto"/>
                <w:sz w:val="21"/>
                <w:szCs w:val="20"/>
              </w:rPr>
              <w:t>″</w:t>
            </w:r>
            <w:r>
              <w:rPr>
                <w:rFonts w:ascii="Times New Roman" w:hAnsi="Times New Roman" w:cs="Times New Roman"/>
                <w:color w:val="auto"/>
                <w:sz w:val="21"/>
                <w:szCs w:val="21"/>
                <w:lang w:val="en-US"/>
              </w:rPr>
              <w:t>。厂界</w:t>
            </w:r>
            <w:r>
              <w:rPr>
                <w:rFonts w:hint="eastAsia" w:ascii="Times New Roman" w:hAnsi="Times New Roman" w:cs="Times New Roman"/>
                <w:color w:val="auto"/>
                <w:sz w:val="21"/>
                <w:szCs w:val="21"/>
                <w:lang w:val="en-US"/>
              </w:rPr>
              <w:t>东侧为空地，北侧魏大馆排水渠，西侧为S234省道，南侧为</w:t>
            </w: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顺驰商砼加工有限公司</w:t>
            </w:r>
            <w:r>
              <w:rPr>
                <w:rFonts w:hint="eastAsia" w:ascii="Times New Roman" w:hAnsi="Times New Roman" w:cs="Times New Roman"/>
                <w:color w:val="auto"/>
                <w:sz w:val="21"/>
                <w:szCs w:val="21"/>
              </w:rPr>
              <w:t>鑫磊分公司</w:t>
            </w:r>
            <w:r>
              <w:rPr>
                <w:rFonts w:ascii="Times New Roman" w:hAnsi="Times New Roman" w:cs="Times New Roman"/>
                <w:color w:val="auto"/>
                <w:sz w:val="21"/>
                <w:szCs w:val="21"/>
                <w:lang w:val="en-US"/>
              </w:rPr>
              <w:t>。</w:t>
            </w:r>
            <w:r>
              <w:rPr>
                <w:rFonts w:ascii="Times New Roman" w:hAnsi="Times New Roman" w:cs="Times New Roman"/>
                <w:color w:val="auto"/>
                <w:sz w:val="21"/>
                <w:szCs w:val="21"/>
              </w:rPr>
              <w:t>其地理位置和周边关系详见附图1、附图</w:t>
            </w: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rPr>
              <w:t>；</w:t>
            </w:r>
          </w:p>
          <w:bookmarkEnd w:id="1"/>
          <w:p>
            <w:pPr>
              <w:autoSpaceDE/>
              <w:autoSpaceDN/>
              <w:spacing w:line="400" w:lineRule="exact"/>
              <w:ind w:left="110" w:leftChars="50" w:right="110" w:rightChars="50" w:firstLine="421" w:firstLineChars="200"/>
              <w:rPr>
                <w:rFonts w:ascii="Times New Roman" w:hAnsi="Times New Roman" w:cs="Times New Roman"/>
                <w:b/>
                <w:bCs/>
                <w:color w:val="auto"/>
                <w:sz w:val="21"/>
                <w:szCs w:val="21"/>
                <w:lang w:val="en-US"/>
              </w:rPr>
            </w:pPr>
            <w:bookmarkStart w:id="2" w:name="_Toc30271"/>
            <w:r>
              <w:rPr>
                <w:rFonts w:ascii="Times New Roman" w:hAnsi="Times New Roman" w:cs="Times New Roman"/>
                <w:b/>
                <w:bCs/>
                <w:color w:val="auto"/>
                <w:sz w:val="21"/>
                <w:szCs w:val="21"/>
                <w:lang w:val="en-US"/>
              </w:rPr>
              <w:t>5</w:t>
            </w:r>
            <w:bookmarkEnd w:id="2"/>
            <w:r>
              <w:rPr>
                <w:rFonts w:ascii="Times New Roman" w:hAnsi="Times New Roman" w:cs="Times New Roman"/>
                <w:b/>
                <w:bCs/>
                <w:color w:val="auto"/>
                <w:sz w:val="21"/>
                <w:szCs w:val="21"/>
                <w:lang w:val="en-US"/>
              </w:rPr>
              <w:t>、劳动定员与工作制度：</w:t>
            </w:r>
            <w:r>
              <w:rPr>
                <w:rFonts w:hint="eastAsia" w:ascii="Times New Roman" w:hAnsi="Times New Roman" w:cs="Times New Roman"/>
                <w:color w:val="auto"/>
                <w:sz w:val="21"/>
                <w:szCs w:val="21"/>
                <w:lang w:val="en-US"/>
              </w:rPr>
              <w:t>原有预制构件</w:t>
            </w:r>
            <w:r>
              <w:rPr>
                <w:rFonts w:ascii="Times New Roman" w:hAnsi="Times New Roman" w:cs="Times New Roman"/>
                <w:color w:val="auto"/>
                <w:sz w:val="21"/>
                <w:szCs w:val="21"/>
                <w:lang w:val="en-US"/>
              </w:rPr>
              <w:t>生产线</w:t>
            </w:r>
            <w:r>
              <w:rPr>
                <w:rFonts w:hint="eastAsia" w:ascii="Times New Roman" w:hAnsi="Times New Roman" w:cs="Times New Roman"/>
                <w:color w:val="auto"/>
                <w:sz w:val="21"/>
                <w:szCs w:val="21"/>
                <w:lang w:val="en-US"/>
              </w:rPr>
              <w:t>劳动定员8人，本项目不新增</w:t>
            </w:r>
            <w:r>
              <w:rPr>
                <w:rFonts w:ascii="Times New Roman" w:hAnsi="Times New Roman" w:cs="Times New Roman"/>
                <w:color w:val="auto"/>
                <w:sz w:val="21"/>
                <w:szCs w:val="21"/>
                <w:lang w:val="en-US"/>
              </w:rPr>
              <w:t>劳动定员</w:t>
            </w:r>
            <w:r>
              <w:rPr>
                <w:rFonts w:hint="eastAsia" w:ascii="Times New Roman" w:hAnsi="Times New Roman" w:cs="Times New Roman"/>
                <w:color w:val="auto"/>
                <w:sz w:val="21"/>
                <w:szCs w:val="21"/>
                <w:lang w:val="en-US"/>
              </w:rPr>
              <w:t>，将原有8人调配至湿拌砂浆生产线，</w:t>
            </w:r>
            <w:r>
              <w:rPr>
                <w:rFonts w:ascii="Times New Roman" w:hAnsi="Times New Roman" w:cs="Times New Roman"/>
                <w:color w:val="auto"/>
                <w:sz w:val="21"/>
                <w:szCs w:val="21"/>
                <w:lang w:val="en-US"/>
              </w:rPr>
              <w:t>采取</w:t>
            </w:r>
            <w:r>
              <w:rPr>
                <w:rFonts w:hint="eastAsia" w:ascii="Times New Roman" w:hAnsi="Times New Roman" w:cs="Times New Roman"/>
                <w:color w:val="auto"/>
                <w:sz w:val="21"/>
                <w:szCs w:val="21"/>
                <w:lang w:val="en-US"/>
              </w:rPr>
              <w:t>三</w:t>
            </w:r>
            <w:r>
              <w:rPr>
                <w:rFonts w:ascii="Times New Roman" w:hAnsi="Times New Roman" w:cs="Times New Roman"/>
                <w:color w:val="auto"/>
                <w:sz w:val="21"/>
                <w:szCs w:val="21"/>
                <w:lang w:val="en-US"/>
              </w:rPr>
              <w:t>班工作制，每班工作8小时，年工作时间</w:t>
            </w:r>
            <w:r>
              <w:rPr>
                <w:rFonts w:hint="eastAsia" w:ascii="Times New Roman" w:hAnsi="Times New Roman" w:cs="Times New Roman"/>
                <w:color w:val="auto"/>
                <w:sz w:val="21"/>
                <w:szCs w:val="21"/>
                <w:lang w:val="en-US"/>
              </w:rPr>
              <w:t>300</w:t>
            </w:r>
            <w:r>
              <w:rPr>
                <w:rFonts w:ascii="Times New Roman" w:hAnsi="Times New Roman" w:cs="Times New Roman"/>
                <w:color w:val="auto"/>
                <w:sz w:val="21"/>
                <w:szCs w:val="21"/>
                <w:lang w:val="en-US"/>
              </w:rPr>
              <w:t>天</w:t>
            </w:r>
            <w:r>
              <w:rPr>
                <w:rFonts w:hint="eastAsia" w:ascii="Times New Roman" w:hAnsi="Times New Roman" w:cs="Times New Roman"/>
                <w:color w:val="auto"/>
                <w:sz w:val="21"/>
                <w:szCs w:val="21"/>
                <w:lang w:val="en-US"/>
              </w:rPr>
              <w:t>。</w:t>
            </w:r>
          </w:p>
          <w:p>
            <w:pPr>
              <w:autoSpaceDE/>
              <w:autoSpaceDN/>
              <w:spacing w:line="400" w:lineRule="exact"/>
              <w:ind w:left="110" w:leftChars="50" w:right="110" w:rightChars="50" w:firstLine="421" w:firstLineChars="200"/>
              <w:jc w:val="both"/>
              <w:outlineLvl w:val="2"/>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6</w:t>
            </w:r>
            <w:r>
              <w:rPr>
                <w:rFonts w:ascii="Times New Roman" w:hAnsi="Times New Roman" w:cs="Times New Roman"/>
                <w:b/>
                <w:bCs/>
                <w:color w:val="auto"/>
                <w:sz w:val="21"/>
                <w:szCs w:val="21"/>
                <w:lang w:val="en-US"/>
              </w:rPr>
              <w:t>、</w:t>
            </w:r>
            <w:r>
              <w:rPr>
                <w:rFonts w:ascii="Times New Roman" w:hAnsi="Times New Roman" w:cs="Times New Roman"/>
                <w:b/>
                <w:bCs/>
                <w:color w:val="auto"/>
                <w:sz w:val="21"/>
                <w:szCs w:val="21"/>
              </w:rPr>
              <w:t>项目投资：</w:t>
            </w:r>
            <w:r>
              <w:rPr>
                <w:rFonts w:ascii="Times New Roman" w:hAnsi="Times New Roman" w:cs="Times New Roman"/>
                <w:color w:val="auto"/>
                <w:sz w:val="21"/>
                <w:szCs w:val="21"/>
              </w:rPr>
              <w:t>项目总投资为</w:t>
            </w:r>
            <w:r>
              <w:rPr>
                <w:rFonts w:hint="eastAsia" w:ascii="Times New Roman" w:hAnsi="Times New Roman" w:cs="Times New Roman"/>
                <w:color w:val="auto"/>
                <w:sz w:val="21"/>
                <w:szCs w:val="21"/>
                <w:lang w:val="en-US"/>
              </w:rPr>
              <w:t>300</w:t>
            </w:r>
            <w:r>
              <w:rPr>
                <w:rFonts w:ascii="Times New Roman" w:hAnsi="Times New Roman" w:cs="Times New Roman"/>
                <w:color w:val="auto"/>
                <w:sz w:val="21"/>
                <w:szCs w:val="21"/>
              </w:rPr>
              <w:t>万元，其中环保投资</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rPr>
              <w:t>0</w:t>
            </w:r>
            <w:r>
              <w:rPr>
                <w:rFonts w:ascii="Times New Roman" w:hAnsi="Times New Roman" w:cs="Times New Roman"/>
                <w:color w:val="auto"/>
                <w:sz w:val="21"/>
                <w:szCs w:val="21"/>
              </w:rPr>
              <w:t>万元</w:t>
            </w:r>
            <w:r>
              <w:rPr>
                <w:rFonts w:hint="eastAsia" w:ascii="Times New Roman" w:hAnsi="Times New Roman" w:cs="Times New Roman"/>
                <w:color w:val="auto"/>
                <w:sz w:val="21"/>
                <w:szCs w:val="21"/>
              </w:rPr>
              <w:t>，</w:t>
            </w:r>
            <w:r>
              <w:rPr>
                <w:rFonts w:ascii="Times New Roman" w:hAnsi="Times New Roman" w:cs="Times New Roman"/>
                <w:color w:val="auto"/>
                <w:sz w:val="21"/>
                <w:szCs w:val="21"/>
              </w:rPr>
              <w:t>占总投资</w:t>
            </w:r>
            <w:r>
              <w:rPr>
                <w:rFonts w:hint="eastAsia" w:ascii="Times New Roman" w:hAnsi="Times New Roman" w:cs="Times New Roman"/>
                <w:color w:val="auto"/>
                <w:sz w:val="21"/>
                <w:szCs w:val="21"/>
                <w:lang w:val="en-US"/>
              </w:rPr>
              <w:t>6.67</w:t>
            </w:r>
            <w:r>
              <w:rPr>
                <w:rFonts w:ascii="Times New Roman" w:hAnsi="Times New Roman" w:cs="Times New Roman"/>
                <w:color w:val="auto"/>
                <w:sz w:val="21"/>
                <w:szCs w:val="21"/>
              </w:rPr>
              <w:t>%</w:t>
            </w:r>
            <w:r>
              <w:rPr>
                <w:rFonts w:ascii="Times New Roman" w:hAnsi="Times New Roman" w:cs="Times New Roman"/>
                <w:color w:val="auto"/>
                <w:sz w:val="21"/>
                <w:szCs w:val="21"/>
                <w:lang w:val="en-US"/>
              </w:rPr>
              <w:t>；</w:t>
            </w:r>
          </w:p>
          <w:p>
            <w:pPr>
              <w:pStyle w:val="52"/>
              <w:spacing w:line="400" w:lineRule="exact"/>
              <w:ind w:left="110" w:leftChars="50" w:right="110" w:rightChars="50" w:firstLine="42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7</w:t>
            </w:r>
            <w:r>
              <w:rPr>
                <w:rFonts w:ascii="Times New Roman" w:hAnsi="Times New Roman" w:cs="Times New Roman"/>
                <w:b/>
                <w:bCs/>
                <w:color w:val="auto"/>
                <w:sz w:val="21"/>
                <w:szCs w:val="21"/>
                <w:lang w:val="en-US"/>
              </w:rPr>
              <w:t>、</w:t>
            </w:r>
            <w:r>
              <w:rPr>
                <w:rFonts w:ascii="Times New Roman" w:hAnsi="Times New Roman" w:cs="Times New Roman"/>
                <w:b/>
                <w:bCs/>
                <w:color w:val="auto"/>
                <w:sz w:val="21"/>
                <w:szCs w:val="21"/>
              </w:rPr>
              <w:t>建设内容：</w:t>
            </w:r>
            <w:r>
              <w:rPr>
                <w:rFonts w:hint="eastAsia" w:ascii="Times New Roman" w:hAnsi="Times New Roman" w:cs="Times New Roman"/>
                <w:color w:val="auto"/>
                <w:sz w:val="21"/>
                <w:szCs w:val="21"/>
                <w:lang w:val="en-US"/>
              </w:rPr>
              <w:t>本项目不新增占地，拟将原有年产5万立方米混凝土预制构件项目生产线改造为湿拌砂浆生产线，利用现有粉料仓、骨料配料仓、水计量及供水系统、外加剂计量系统等，更新改造搅拌主机成套设备，改造完成后湿拌砂浆生产线共计设备61台。项目建成后，年产30万立方米湿拌砂浆。</w:t>
            </w:r>
            <w:r>
              <w:rPr>
                <w:rFonts w:ascii="Times New Roman" w:hAnsi="Times New Roman" w:cs="Times New Roman"/>
                <w:color w:val="auto"/>
                <w:sz w:val="21"/>
                <w:szCs w:val="21"/>
                <w:lang w:val="en-US"/>
              </w:rPr>
              <w:t>工</w:t>
            </w:r>
            <w:r>
              <w:rPr>
                <w:rFonts w:ascii="Times New Roman" w:hAnsi="Times New Roman" w:cs="Times New Roman"/>
                <w:color w:val="auto"/>
                <w:sz w:val="21"/>
                <w:szCs w:val="21"/>
              </w:rPr>
              <w:t>程内容一览表如下</w:t>
            </w:r>
            <w:r>
              <w:rPr>
                <w:rFonts w:ascii="Times New Roman" w:hAnsi="Times New Roman" w:cs="Times New Roman"/>
                <w:color w:val="auto"/>
                <w:sz w:val="21"/>
                <w:szCs w:val="21"/>
                <w:lang w:val="en-US"/>
              </w:rPr>
              <w:t>。</w:t>
            </w:r>
          </w:p>
          <w:p>
            <w:pPr>
              <w:autoSpaceDE/>
              <w:autoSpaceDN/>
              <w:spacing w:line="400" w:lineRule="exact"/>
              <w:jc w:val="center"/>
              <w:rPr>
                <w:rFonts w:ascii="Times New Roman" w:hAnsi="Times New Roman" w:cs="Times New Roman"/>
                <w:b/>
                <w:bCs/>
                <w:color w:val="auto"/>
                <w:sz w:val="24"/>
                <w:szCs w:val="24"/>
                <w:lang w:val="en-US"/>
              </w:rPr>
            </w:pPr>
            <w:r>
              <w:rPr>
                <w:rFonts w:ascii="Times New Roman" w:hAnsi="Times New Roman" w:cs="Times New Roman"/>
                <w:color w:val="auto"/>
                <w:sz w:val="21"/>
                <w:szCs w:val="21"/>
              </w:rPr>
              <w:t xml:space="preserve"> </w:t>
            </w:r>
            <w:r>
              <w:rPr>
                <w:rFonts w:ascii="Times New Roman" w:hAnsi="Times New Roman" w:cs="Times New Roman"/>
                <w:color w:val="auto"/>
                <w:sz w:val="21"/>
                <w:szCs w:val="21"/>
                <w:lang w:val="en-US" w:bidi="ar-SA"/>
              </w:rPr>
              <mc:AlternateContent>
                <mc:Choice Requires="wps">
                  <w:drawing>
                    <wp:anchor distT="0" distB="0" distL="114300" distR="114300" simplePos="0" relativeHeight="251663360"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3360;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eastAsia="zh-CN"/>
              </w:rPr>
              <w:t>2</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 xml:space="preserve"> </w:t>
            </w:r>
            <w:r>
              <w:rPr>
                <w:rFonts w:hint="eastAsia" w:ascii="Times New Roman" w:hAnsi="Times New Roman" w:cs="Times New Roman"/>
                <w:b/>
                <w:bCs/>
                <w:color w:val="auto"/>
                <w:sz w:val="21"/>
                <w:szCs w:val="21"/>
              </w:rPr>
              <w:t>本</w:t>
            </w:r>
            <w:r>
              <w:rPr>
                <w:rFonts w:ascii="Times New Roman" w:hAnsi="Times New Roman" w:cs="Times New Roman"/>
                <w:b/>
                <w:bCs/>
                <w:color w:val="auto"/>
                <w:sz w:val="21"/>
                <w:szCs w:val="21"/>
              </w:rPr>
              <w:t>项目工程内容一览表</w:t>
            </w:r>
          </w:p>
          <w:tbl>
            <w:tblPr>
              <w:tblStyle w:val="33"/>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00"/>
              <w:gridCol w:w="1975"/>
              <w:gridCol w:w="5313"/>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项目</w:t>
                  </w:r>
                </w:p>
              </w:tc>
              <w:tc>
                <w:tcPr>
                  <w:tcW w:w="2275" w:type="dxa"/>
                  <w:gridSpan w:val="2"/>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建设内容</w:t>
                  </w:r>
                </w:p>
              </w:tc>
              <w:tc>
                <w:tcPr>
                  <w:tcW w:w="5313" w:type="dxa"/>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工程</w:t>
                  </w:r>
                  <w:r>
                    <w:rPr>
                      <w:rFonts w:hint="eastAsia" w:ascii="Times New Roman" w:hAnsi="Times New Roman" w:cs="Times New Roman"/>
                      <w:b/>
                      <w:bCs/>
                      <w:color w:val="auto"/>
                      <w:sz w:val="21"/>
                      <w:szCs w:val="21"/>
                    </w:rPr>
                    <w:t>内容</w:t>
                  </w:r>
                </w:p>
              </w:tc>
              <w:tc>
                <w:tcPr>
                  <w:tcW w:w="597" w:type="dxa"/>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主体工程</w:t>
                  </w:r>
                </w:p>
              </w:tc>
              <w:tc>
                <w:tcPr>
                  <w:tcW w:w="2275" w:type="dxa"/>
                  <w:gridSpan w:val="2"/>
                  <w:shd w:val="clear" w:color="auto" w:fill="auto"/>
                  <w:vAlign w:val="center"/>
                </w:tcPr>
                <w:p>
                  <w:pPr>
                    <w:pStyle w:val="30"/>
                    <w:autoSpaceDE/>
                    <w:autoSpaceDN/>
                    <w:snapToGrid w:val="0"/>
                    <w:ind w:left="-110" w:leftChars="-50" w:right="-110" w:rightChars="-50" w:firstLine="0" w:firstLineChars="0"/>
                    <w:jc w:val="center"/>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湿拌砂浆搅拌楼</w:t>
                  </w:r>
                </w:p>
              </w:tc>
              <w:tc>
                <w:tcPr>
                  <w:tcW w:w="5313" w:type="dxa"/>
                  <w:shd w:val="clear" w:color="auto" w:fill="auto"/>
                  <w:vAlign w:val="center"/>
                </w:tcPr>
                <w:p>
                  <w:pPr>
                    <w:pStyle w:val="30"/>
                    <w:autoSpaceDE/>
                    <w:autoSpaceDN/>
                    <w:snapToGrid w:val="0"/>
                    <w:ind w:left="-110" w:leftChars="-50" w:right="-110" w:rightChars="-50" w:firstLine="0" w:firstLineChars="0"/>
                    <w:jc w:val="center"/>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位于混凝土生产线西侧，包括搅拌机、计量斗、传送带等</w:t>
                  </w:r>
                </w:p>
              </w:tc>
              <w:tc>
                <w:tcPr>
                  <w:tcW w:w="597" w:type="dxa"/>
                  <w:shd w:val="clear" w:color="auto" w:fill="auto"/>
                  <w:vAlign w:val="center"/>
                </w:tcPr>
                <w:p>
                  <w:pPr>
                    <w:pStyle w:val="30"/>
                    <w:autoSpaceDE/>
                    <w:autoSpaceDN/>
                    <w:snapToGrid w:val="0"/>
                    <w:ind w:left="-110" w:leftChars="-50" w:right="-110" w:rightChars="-50" w:firstLine="0" w:firstLineChars="0"/>
                    <w:jc w:val="center"/>
                    <w:rPr>
                      <w:rFonts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restart"/>
                  <w:vAlign w:val="center"/>
                </w:tcPr>
                <w:p>
                  <w:pPr>
                    <w:autoSpaceDE/>
                    <w:autoSpaceDN/>
                    <w:ind w:left="-110" w:leftChars="-50" w:right="-110" w:rightChars="-50"/>
                    <w:jc w:val="center"/>
                    <w:rPr>
                      <w:rFonts w:hint="eastAsia" w:eastAsia="宋体"/>
                      <w:color w:val="auto"/>
                      <w:lang w:eastAsia="zh-CN"/>
                    </w:rPr>
                  </w:pPr>
                  <w:r>
                    <w:rPr>
                      <w:rFonts w:hint="eastAsia"/>
                      <w:color w:val="auto"/>
                      <w:lang w:eastAsia="zh-CN"/>
                    </w:rPr>
                    <w:t>储运工程</w:t>
                  </w:r>
                </w:p>
              </w:tc>
              <w:tc>
                <w:tcPr>
                  <w:tcW w:w="2275" w:type="dxa"/>
                  <w:gridSpan w:val="2"/>
                  <w:vAlign w:val="center"/>
                </w:tcPr>
                <w:p>
                  <w:pPr>
                    <w:autoSpaceDE/>
                    <w:autoSpaceDN/>
                    <w:ind w:left="-110" w:leftChars="-50" w:right="-110" w:rightChars="-50"/>
                    <w:jc w:val="center"/>
                    <w:rPr>
                      <w:rFonts w:hint="eastAsia" w:ascii="Times New Roman" w:hAnsi="Times New Roman" w:cs="Times New Roman"/>
                      <w:color w:val="auto"/>
                      <w:sz w:val="21"/>
                      <w:szCs w:val="21"/>
                    </w:rPr>
                  </w:pPr>
                  <w:r>
                    <w:rPr>
                      <w:rFonts w:ascii="Times New Roman" w:hAnsi="Times New Roman" w:cs="Times New Roman"/>
                      <w:color w:val="auto"/>
                      <w:kern w:val="2"/>
                      <w:sz w:val="21"/>
                      <w:szCs w:val="21"/>
                      <w:lang w:val="en-US" w:bidi="ar"/>
                    </w:rPr>
                    <w:t>原料库房</w:t>
                  </w:r>
                  <w:r>
                    <w:rPr>
                      <w:rFonts w:hint="eastAsia" w:ascii="Times New Roman" w:hAnsi="Times New Roman" w:cs="Times New Roman"/>
                      <w:color w:val="auto"/>
                      <w:kern w:val="2"/>
                      <w:sz w:val="21"/>
                      <w:szCs w:val="21"/>
                      <w:lang w:val="en-US" w:bidi="ar"/>
                    </w:rPr>
                    <w:t>（料场）</w:t>
                  </w:r>
                </w:p>
              </w:tc>
              <w:tc>
                <w:tcPr>
                  <w:tcW w:w="5313" w:type="dxa"/>
                  <w:vAlign w:val="center"/>
                </w:tcPr>
                <w:p>
                  <w:pPr>
                    <w:autoSpaceDE/>
                    <w:autoSpaceDN/>
                    <w:ind w:left="-110" w:leftChars="-50" w:right="-110" w:rightChars="-50"/>
                    <w:jc w:val="center"/>
                    <w:rPr>
                      <w:rFonts w:hint="eastAsia" w:ascii="Times New Roman" w:hAnsi="Times New Roman" w:cs="Times New Roman"/>
                      <w:color w:val="auto"/>
                      <w:sz w:val="21"/>
                      <w:szCs w:val="20"/>
                    </w:rPr>
                  </w:pPr>
                  <w:r>
                    <w:rPr>
                      <w:rFonts w:ascii="Times New Roman" w:hAnsi="Times New Roman" w:cs="Times New Roman"/>
                      <w:color w:val="auto"/>
                      <w:kern w:val="2"/>
                      <w:sz w:val="21"/>
                      <w:szCs w:val="21"/>
                      <w:lang w:val="en-US" w:bidi="ar"/>
                    </w:rPr>
                    <w:t>厂区设1座1层占地面积为</w:t>
                  </w:r>
                  <w:r>
                    <w:rPr>
                      <w:rFonts w:hint="eastAsia" w:ascii="Times New Roman" w:hAnsi="Times New Roman" w:cs="Times New Roman"/>
                      <w:color w:val="auto"/>
                      <w:kern w:val="2"/>
                      <w:sz w:val="21"/>
                      <w:szCs w:val="21"/>
                      <w:lang w:val="en-US" w:bidi="ar"/>
                    </w:rPr>
                    <w:t>40</w:t>
                  </w:r>
                  <w:r>
                    <w:rPr>
                      <w:rFonts w:ascii="Times New Roman" w:hAnsi="Times New Roman" w:cs="Times New Roman"/>
                      <w:color w:val="auto"/>
                      <w:kern w:val="2"/>
                      <w:sz w:val="21"/>
                      <w:szCs w:val="21"/>
                      <w:lang w:val="en-US" w:bidi="ar"/>
                    </w:rPr>
                    <w:t>00</w:t>
                  </w:r>
                  <w:r>
                    <w:rPr>
                      <w:rFonts w:hint="eastAsia" w:ascii="Times New Roman" w:hAnsi="Times New Roman" w:cs="Times New Roman"/>
                      <w:color w:val="auto"/>
                      <w:sz w:val="21"/>
                      <w:szCs w:val="21"/>
                      <w:lang w:val="en-US"/>
                    </w:rPr>
                    <w:t>m</w:t>
                  </w:r>
                  <w:r>
                    <w:rPr>
                      <w:rFonts w:hint="eastAsia" w:ascii="Times New Roman" w:hAnsi="Times New Roman" w:cs="Times New Roman"/>
                      <w:color w:val="auto"/>
                      <w:sz w:val="21"/>
                      <w:szCs w:val="21"/>
                      <w:vertAlign w:val="superscript"/>
                      <w:lang w:val="en-US"/>
                    </w:rPr>
                    <w:t>2</w:t>
                  </w:r>
                  <w:r>
                    <w:rPr>
                      <w:rFonts w:ascii="Times New Roman" w:hAnsi="Times New Roman" w:cs="Times New Roman"/>
                      <w:color w:val="auto"/>
                      <w:kern w:val="2"/>
                      <w:sz w:val="21"/>
                      <w:szCs w:val="21"/>
                      <w:lang w:val="en-US" w:bidi="ar"/>
                    </w:rPr>
                    <w:t>的原料库房</w:t>
                  </w:r>
                </w:p>
              </w:tc>
              <w:tc>
                <w:tcPr>
                  <w:tcW w:w="597" w:type="dxa"/>
                  <w:vAlign w:val="center"/>
                </w:tcPr>
                <w:p>
                  <w:pPr>
                    <w:autoSpaceDE/>
                    <w:autoSpaceDN/>
                    <w:ind w:left="-110" w:leftChars="-50" w:right="-110" w:rightChars="-5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94" w:type="dxa"/>
                  <w:vMerge w:val="continue"/>
                  <w:vAlign w:val="center"/>
                </w:tcPr>
                <w:p>
                  <w:pPr>
                    <w:autoSpaceDE/>
                    <w:autoSpaceDN/>
                    <w:ind w:left="-110" w:leftChars="-50" w:right="-110" w:rightChars="-50"/>
                    <w:jc w:val="center"/>
                    <w:rPr>
                      <w:color w:val="auto"/>
                    </w:rPr>
                  </w:pPr>
                </w:p>
              </w:tc>
              <w:tc>
                <w:tcPr>
                  <w:tcW w:w="2275" w:type="dxa"/>
                  <w:gridSpan w:val="2"/>
                  <w:vAlign w:val="center"/>
                </w:tcPr>
                <w:p>
                  <w:pPr>
                    <w:autoSpaceDE/>
                    <w:autoSpaceDN/>
                    <w:ind w:left="-110" w:leftChars="-50" w:right="-110" w:rightChars="-50"/>
                    <w:jc w:val="center"/>
                    <w:textAlignment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危废间</w:t>
                  </w:r>
                </w:p>
              </w:tc>
              <w:tc>
                <w:tcPr>
                  <w:tcW w:w="5313" w:type="dxa"/>
                  <w:vAlign w:val="center"/>
                </w:tcPr>
                <w:p>
                  <w:pPr>
                    <w:autoSpaceDE/>
                    <w:autoSpaceDN/>
                    <w:ind w:left="-110" w:leftChars="-50" w:right="-110" w:rightChars="-50"/>
                    <w:jc w:val="center"/>
                    <w:rPr>
                      <w:rFonts w:hint="eastAsia" w:ascii="Times New Roman" w:hAnsi="Times New Roman" w:cs="Times New Roman"/>
                      <w:color w:val="auto"/>
                      <w:sz w:val="21"/>
                      <w:szCs w:val="20"/>
                    </w:rPr>
                  </w:pPr>
                  <w:r>
                    <w:rPr>
                      <w:rFonts w:ascii="Times New Roman" w:hAnsi="Times New Roman" w:cs="Times New Roman"/>
                      <w:color w:val="auto"/>
                      <w:sz w:val="21"/>
                      <w:szCs w:val="21"/>
                      <w:lang w:val="en-US"/>
                    </w:rPr>
                    <w:t>位于</w:t>
                  </w:r>
                  <w:r>
                    <w:rPr>
                      <w:rFonts w:hint="eastAsia" w:ascii="Times New Roman" w:hAnsi="Times New Roman" w:cs="Times New Roman"/>
                      <w:color w:val="auto"/>
                      <w:sz w:val="21"/>
                      <w:szCs w:val="21"/>
                      <w:lang w:val="en-US"/>
                    </w:rPr>
                    <w:t>料场</w:t>
                  </w:r>
                  <w:r>
                    <w:rPr>
                      <w:rFonts w:hint="eastAsia"/>
                      <w:color w:val="auto"/>
                      <w:sz w:val="21"/>
                      <w:szCs w:val="21"/>
                    </w:rPr>
                    <w:t>东北侧</w:t>
                  </w:r>
                  <w:r>
                    <w:rPr>
                      <w:rFonts w:hint="eastAsia" w:ascii="Times New Roman" w:hAnsi="Times New Roman" w:cs="Times New Roman"/>
                      <w:color w:val="auto"/>
                      <w:sz w:val="21"/>
                      <w:szCs w:val="21"/>
                      <w:lang w:val="en-US"/>
                    </w:rPr>
                    <w:t>，设计占地面积5m</w:t>
                  </w:r>
                  <w:r>
                    <w:rPr>
                      <w:rFonts w:hint="eastAsia" w:ascii="Times New Roman" w:hAnsi="Times New Roman" w:cs="Times New Roman"/>
                      <w:color w:val="auto"/>
                      <w:sz w:val="21"/>
                      <w:szCs w:val="21"/>
                      <w:vertAlign w:val="superscript"/>
                      <w:lang w:val="en-US"/>
                    </w:rPr>
                    <w:t>2</w:t>
                  </w:r>
                  <w:r>
                    <w:rPr>
                      <w:rFonts w:ascii="Times New Roman" w:hAnsi="Times New Roman" w:cs="Times New Roman"/>
                      <w:color w:val="auto"/>
                      <w:sz w:val="21"/>
                      <w:szCs w:val="21"/>
                      <w:lang w:val="en-US"/>
                    </w:rPr>
                    <w:t>。</w:t>
                  </w:r>
                </w:p>
              </w:tc>
              <w:tc>
                <w:tcPr>
                  <w:tcW w:w="597" w:type="dxa"/>
                  <w:vAlign w:val="center"/>
                </w:tcPr>
                <w:p>
                  <w:pPr>
                    <w:autoSpaceDE/>
                    <w:autoSpaceDN/>
                    <w:ind w:left="-110" w:leftChars="-50" w:right="-110" w:rightChars="-5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continue"/>
                  <w:vAlign w:val="center"/>
                </w:tcPr>
                <w:p>
                  <w:pPr>
                    <w:autoSpaceDE/>
                    <w:autoSpaceDN/>
                    <w:ind w:left="-110" w:leftChars="-50" w:right="-110" w:rightChars="-50"/>
                    <w:jc w:val="center"/>
                    <w:rPr>
                      <w:color w:val="auto"/>
                    </w:rPr>
                  </w:pPr>
                </w:p>
              </w:tc>
              <w:tc>
                <w:tcPr>
                  <w:tcW w:w="2275" w:type="dxa"/>
                  <w:gridSpan w:val="2"/>
                  <w:vAlign w:val="center"/>
                </w:tcPr>
                <w:p>
                  <w:pPr>
                    <w:autoSpaceDE/>
                    <w:autoSpaceDN/>
                    <w:ind w:left="-110" w:leftChars="-50" w:right="-110" w:rightChars="-5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粉料仓</w:t>
                  </w:r>
                </w:p>
              </w:tc>
              <w:tc>
                <w:tcPr>
                  <w:tcW w:w="5313" w:type="dxa"/>
                  <w:vAlign w:val="center"/>
                </w:tcPr>
                <w:p>
                  <w:pPr>
                    <w:autoSpaceDE/>
                    <w:autoSpaceDN/>
                    <w:ind w:left="-110" w:leftChars="-50" w:right="-110" w:rightChars="-50"/>
                    <w:jc w:val="center"/>
                    <w:rPr>
                      <w:rFonts w:hint="eastAsia" w:ascii="Times New Roman" w:hAnsi="Times New Roman" w:cs="Times New Roman"/>
                      <w:color w:val="auto"/>
                      <w:sz w:val="21"/>
                      <w:szCs w:val="20"/>
                    </w:rPr>
                  </w:pPr>
                  <w:r>
                    <w:rPr>
                      <w:rFonts w:hint="eastAsia" w:ascii="Times New Roman" w:hAnsi="Times New Roman" w:cs="Times New Roman"/>
                      <w:color w:val="auto"/>
                      <w:sz w:val="21"/>
                      <w:szCs w:val="20"/>
                    </w:rPr>
                    <w:t>本项目依托预制构件生产线原有的</w:t>
                  </w:r>
                  <w:r>
                    <w:rPr>
                      <w:rFonts w:hint="eastAsia" w:ascii="Times New Roman" w:hAnsi="Times New Roman" w:cs="Times New Roman"/>
                      <w:color w:val="auto"/>
                      <w:sz w:val="21"/>
                      <w:szCs w:val="20"/>
                      <w:lang w:val="en-US"/>
                    </w:rPr>
                    <w:t>2个200t水泥筒仓、1个200t粉煤灰筒仓、1个200t矿粉筒仓，用于湿拌砂浆生产线粉料储存</w:t>
                  </w:r>
                </w:p>
              </w:tc>
              <w:tc>
                <w:tcPr>
                  <w:tcW w:w="597" w:type="dxa"/>
                  <w:vAlign w:val="center"/>
                </w:tcPr>
                <w:p>
                  <w:pPr>
                    <w:autoSpaceDE/>
                    <w:autoSpaceDN/>
                    <w:ind w:left="-110" w:leftChars="-50" w:right="-110" w:rightChars="-5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restart"/>
                  <w:vAlign w:val="center"/>
                </w:tcPr>
                <w:p>
                  <w:pPr>
                    <w:autoSpaceDE/>
                    <w:autoSpaceDN/>
                    <w:ind w:left="-110" w:leftChars="-50" w:right="-110" w:rightChars="-50"/>
                    <w:jc w:val="center"/>
                    <w:textAlignment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rPr>
                    <w:t>辅助工程</w:t>
                  </w:r>
                </w:p>
              </w:tc>
              <w:tc>
                <w:tcPr>
                  <w:tcW w:w="2275" w:type="dxa"/>
                  <w:gridSpan w:val="2"/>
                  <w:vAlign w:val="center"/>
                </w:tcPr>
                <w:p>
                  <w:pPr>
                    <w:autoSpaceDN/>
                    <w:adjustRightInd w:val="0"/>
                    <w:snapToGrid w:val="0"/>
                    <w:jc w:val="center"/>
                    <w:textAlignment w:val="baseline"/>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
                    </w:rPr>
                    <w:t>办公室</w:t>
                  </w:r>
                </w:p>
              </w:tc>
              <w:tc>
                <w:tcPr>
                  <w:tcW w:w="5313" w:type="dxa"/>
                  <w:vAlign w:val="center"/>
                </w:tcPr>
                <w:p>
                  <w:pPr>
                    <w:autoSpaceDN/>
                    <w:adjustRightInd w:val="0"/>
                    <w:snapToGrid w:val="0"/>
                    <w:jc w:val="center"/>
                    <w:textAlignment w:val="baseline"/>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
                    </w:rPr>
                    <w:t>厂区设1座，3层砌体结构，建筑面积400m</w:t>
                  </w:r>
                  <w:r>
                    <w:rPr>
                      <w:rFonts w:ascii="Times New Roman" w:hAnsi="Times New Roman" w:cs="Times New Roman"/>
                      <w:color w:val="auto"/>
                      <w:kern w:val="2"/>
                      <w:sz w:val="21"/>
                      <w:szCs w:val="21"/>
                      <w:vertAlign w:val="superscript"/>
                      <w:lang w:val="en-US" w:bidi="ar"/>
                    </w:rPr>
                    <w:t>2</w:t>
                  </w:r>
                  <w:r>
                    <w:rPr>
                      <w:rFonts w:ascii="Times New Roman" w:hAnsi="Times New Roman" w:cs="Times New Roman"/>
                      <w:color w:val="auto"/>
                      <w:kern w:val="2"/>
                      <w:sz w:val="21"/>
                      <w:szCs w:val="21"/>
                      <w:lang w:val="en-US" w:bidi="ar"/>
                    </w:rPr>
                    <w:t>的办公楼</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4" w:type="dxa"/>
                  <w:vMerge w:val="continue"/>
                  <w:vAlign w:val="center"/>
                </w:tcPr>
                <w:p>
                  <w:pPr>
                    <w:autoSpaceDE/>
                    <w:autoSpaceDN/>
                    <w:ind w:left="-110" w:leftChars="-50" w:right="-110" w:rightChars="-50"/>
                    <w:jc w:val="center"/>
                    <w:textAlignment w:val="center"/>
                    <w:rPr>
                      <w:rFonts w:ascii="Times New Roman" w:hAnsi="Times New Roman" w:cs="Times New Roman"/>
                      <w:color w:val="auto"/>
                      <w:kern w:val="2"/>
                      <w:sz w:val="21"/>
                      <w:szCs w:val="21"/>
                      <w:lang w:val="en-US" w:bidi="ar-SA"/>
                    </w:rPr>
                  </w:pPr>
                </w:p>
              </w:tc>
              <w:tc>
                <w:tcPr>
                  <w:tcW w:w="2275" w:type="dxa"/>
                  <w:gridSpan w:val="2"/>
                  <w:vAlign w:val="center"/>
                </w:tcPr>
                <w:p>
                  <w:pPr>
                    <w:pStyle w:val="43"/>
                    <w:autoSpaceDE/>
                    <w:autoSpaceDN/>
                    <w:adjustRightInd/>
                    <w:snapToGrid/>
                    <w:spacing w:line="240" w:lineRule="auto"/>
                    <w:ind w:left="-110" w:leftChars="-50" w:right="-110" w:rightChars="-50" w:firstLine="0" w:firstLineChars="0"/>
                    <w:jc w:val="center"/>
                    <w:rPr>
                      <w:rFonts w:ascii="Times New Roman" w:hAnsi="Times New Roman" w:cs="Times New Roman"/>
                      <w:color w:val="auto"/>
                      <w:sz w:val="21"/>
                      <w:szCs w:val="21"/>
                    </w:rPr>
                  </w:pPr>
                  <w:r>
                    <w:rPr>
                      <w:rFonts w:ascii="Times New Roman" w:hAnsi="Times New Roman" w:cs="Times New Roman"/>
                      <w:color w:val="auto"/>
                      <w:sz w:val="21"/>
                      <w:szCs w:val="21"/>
                    </w:rPr>
                    <w:t>检测</w:t>
                  </w:r>
                  <w:r>
                    <w:rPr>
                      <w:rFonts w:hint="eastAsia" w:ascii="Times New Roman" w:hAnsi="Times New Roman" w:cs="Times New Roman"/>
                      <w:color w:val="auto"/>
                      <w:sz w:val="21"/>
                      <w:szCs w:val="21"/>
                    </w:rPr>
                    <w:t>化验</w:t>
                  </w:r>
                  <w:r>
                    <w:rPr>
                      <w:rFonts w:ascii="Times New Roman" w:hAnsi="Times New Roman" w:cs="Times New Roman"/>
                      <w:color w:val="auto"/>
                      <w:sz w:val="21"/>
                      <w:szCs w:val="21"/>
                    </w:rPr>
                    <w:t>室</w:t>
                  </w:r>
                </w:p>
              </w:tc>
              <w:tc>
                <w:tcPr>
                  <w:tcW w:w="5313" w:type="dxa"/>
                  <w:vAlign w:val="center"/>
                </w:tcPr>
                <w:p>
                  <w:pPr>
                    <w:autoSpaceDE/>
                    <w:autoSpaceDN/>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1座，1层建筑面积120</w:t>
                  </w:r>
                  <w:r>
                    <w:rPr>
                      <w:rFonts w:hint="eastAsia" w:ascii="Times New Roman" w:hAnsi="Times New Roman" w:cs="Times New Roman"/>
                      <w:color w:val="auto"/>
                      <w:sz w:val="21"/>
                      <w:szCs w:val="21"/>
                      <w:lang w:val="en-US"/>
                    </w:rPr>
                    <w:t>m</w:t>
                  </w:r>
                  <w:r>
                    <w:rPr>
                      <w:rFonts w:hint="eastAsia" w:ascii="Times New Roman" w:hAnsi="Times New Roman" w:cs="Times New Roman"/>
                      <w:color w:val="auto"/>
                      <w:sz w:val="21"/>
                      <w:szCs w:val="21"/>
                      <w:vertAlign w:val="superscript"/>
                      <w:lang w:val="en-US"/>
                    </w:rPr>
                    <w:t>2</w:t>
                  </w:r>
                  <w:r>
                    <w:rPr>
                      <w:rFonts w:ascii="Times New Roman" w:hAnsi="Times New Roman" w:cs="Times New Roman"/>
                      <w:color w:val="auto"/>
                      <w:sz w:val="21"/>
                      <w:szCs w:val="21"/>
                      <w:lang w:val="en-US"/>
                    </w:rPr>
                    <w:t>的</w:t>
                  </w:r>
                  <w:r>
                    <w:rPr>
                      <w:rFonts w:hint="eastAsia" w:ascii="Times New Roman" w:hAnsi="Times New Roman" w:cs="Times New Roman"/>
                      <w:color w:val="auto"/>
                      <w:sz w:val="21"/>
                      <w:szCs w:val="21"/>
                      <w:lang w:val="en-US"/>
                    </w:rPr>
                    <w:t>检测化验</w:t>
                  </w:r>
                  <w:r>
                    <w:rPr>
                      <w:rFonts w:ascii="Times New Roman" w:hAnsi="Times New Roman" w:cs="Times New Roman"/>
                      <w:color w:val="auto"/>
                      <w:sz w:val="21"/>
                      <w:szCs w:val="21"/>
                      <w:lang w:val="en-US"/>
                    </w:rPr>
                    <w:t>室</w:t>
                  </w:r>
                </w:p>
              </w:tc>
              <w:tc>
                <w:tcPr>
                  <w:tcW w:w="597" w:type="dxa"/>
                  <w:vAlign w:val="center"/>
                </w:tcPr>
                <w:p>
                  <w:pPr>
                    <w:autoSpaceDE/>
                    <w:autoSpaceDN/>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94" w:type="dxa"/>
                  <w:vMerge w:val="continue"/>
                  <w:vAlign w:val="center"/>
                </w:tcPr>
                <w:p>
                  <w:pPr>
                    <w:autoSpaceDE/>
                    <w:autoSpaceDN/>
                    <w:ind w:left="-110" w:leftChars="-50" w:right="-110" w:rightChars="-50"/>
                    <w:jc w:val="center"/>
                    <w:textAlignment w:val="center"/>
                    <w:rPr>
                      <w:rFonts w:ascii="Times New Roman" w:hAnsi="Times New Roman" w:cs="Times New Roman"/>
                      <w:color w:val="auto"/>
                      <w:kern w:val="2"/>
                      <w:sz w:val="21"/>
                      <w:szCs w:val="21"/>
                      <w:lang w:val="en-US" w:bidi="ar-SA"/>
                    </w:rPr>
                  </w:pPr>
                </w:p>
              </w:tc>
              <w:tc>
                <w:tcPr>
                  <w:tcW w:w="2275" w:type="dxa"/>
                  <w:gridSpan w:val="2"/>
                  <w:vAlign w:val="center"/>
                </w:tcPr>
                <w:p>
                  <w:pPr>
                    <w:keepLines/>
                    <w:adjustRightInd w:val="0"/>
                    <w:snapToGrid w:val="0"/>
                    <w:jc w:val="center"/>
                    <w:rPr>
                      <w:rFonts w:ascii="Times New Roman" w:hAnsi="Times New Roman" w:cs="Times New Roman"/>
                      <w:color w:val="auto"/>
                      <w:sz w:val="21"/>
                      <w:szCs w:val="21"/>
                    </w:rPr>
                  </w:pPr>
                  <w:r>
                    <w:rPr>
                      <w:rFonts w:hint="eastAsia"/>
                      <w:color w:val="auto"/>
                      <w:sz w:val="21"/>
                      <w:szCs w:val="20"/>
                      <w:lang w:eastAsia="zh-CN"/>
                    </w:rPr>
                    <w:t>沉淀</w:t>
                  </w:r>
                  <w:r>
                    <w:rPr>
                      <w:color w:val="auto"/>
                      <w:sz w:val="21"/>
                      <w:szCs w:val="20"/>
                    </w:rPr>
                    <w:t>池</w:t>
                  </w:r>
                </w:p>
              </w:tc>
              <w:tc>
                <w:tcPr>
                  <w:tcW w:w="5313" w:type="dxa"/>
                  <w:vAlign w:val="center"/>
                </w:tcPr>
                <w:p>
                  <w:pPr>
                    <w:keepLines/>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2座，分别</w:t>
                  </w:r>
                  <w:r>
                    <w:rPr>
                      <w:color w:val="auto"/>
                      <w:sz w:val="21"/>
                      <w:szCs w:val="20"/>
                    </w:rPr>
                    <w:t>用于车辆冲洗</w:t>
                  </w:r>
                  <w:r>
                    <w:rPr>
                      <w:rFonts w:hint="eastAsia"/>
                      <w:color w:val="auto"/>
                      <w:sz w:val="21"/>
                      <w:szCs w:val="20"/>
                    </w:rPr>
                    <w:t>和</w:t>
                  </w:r>
                  <w:r>
                    <w:rPr>
                      <w:rFonts w:hint="eastAsia"/>
                      <w:color w:val="auto"/>
                      <w:sz w:val="21"/>
                      <w:szCs w:val="20"/>
                      <w:lang w:eastAsia="zh-CN"/>
                    </w:rPr>
                    <w:t>设备清洗</w:t>
                  </w:r>
                </w:p>
              </w:tc>
              <w:tc>
                <w:tcPr>
                  <w:tcW w:w="597" w:type="dxa"/>
                  <w:vAlign w:val="center"/>
                </w:tcPr>
                <w:p>
                  <w:pPr>
                    <w:autoSpaceDE/>
                    <w:autoSpaceDN/>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restart"/>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公用工程</w:t>
                  </w:r>
                </w:p>
              </w:tc>
              <w:tc>
                <w:tcPr>
                  <w:tcW w:w="2275" w:type="dxa"/>
                  <w:gridSpan w:val="2"/>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供</w:t>
                  </w:r>
                  <w:r>
                    <w:rPr>
                      <w:rFonts w:ascii="Times New Roman" w:hAnsi="Times New Roman" w:cs="Times New Roman"/>
                      <w:color w:val="auto"/>
                      <w:sz w:val="21"/>
                      <w:szCs w:val="21"/>
                      <w:lang w:val="en-US"/>
                    </w:rPr>
                    <w:t>电</w:t>
                  </w:r>
                </w:p>
              </w:tc>
              <w:tc>
                <w:tcPr>
                  <w:tcW w:w="5313" w:type="dxa"/>
                  <w:vAlign w:val="center"/>
                </w:tcPr>
                <w:p>
                  <w:pPr>
                    <w:jc w:val="center"/>
                    <w:textAlignment w:val="baseline"/>
                    <w:rPr>
                      <w:rFonts w:ascii="Times New Roman" w:hAnsi="Times New Roman" w:cs="Times New Roman"/>
                      <w:color w:val="auto"/>
                      <w:sz w:val="21"/>
                      <w:szCs w:val="21"/>
                      <w:lang w:val="en-US"/>
                    </w:rPr>
                  </w:pPr>
                  <w:r>
                    <w:rPr>
                      <w:color w:val="auto"/>
                      <w:sz w:val="21"/>
                      <w:szCs w:val="21"/>
                      <w:lang w:bidi="ar"/>
                    </w:rPr>
                    <w:t>由</w:t>
                  </w:r>
                  <w:r>
                    <w:rPr>
                      <w:rFonts w:hint="eastAsia" w:ascii="Times New Roman" w:hAnsi="Times New Roman" w:cs="Times New Roman"/>
                      <w:color w:val="auto"/>
                      <w:sz w:val="21"/>
                      <w:szCs w:val="21"/>
                      <w:lang w:val="en-US"/>
                    </w:rPr>
                    <w:t>王庄</w:t>
                  </w:r>
                  <w:r>
                    <w:rPr>
                      <w:rFonts w:hint="eastAsia"/>
                      <w:color w:val="auto"/>
                      <w:sz w:val="21"/>
                      <w:szCs w:val="21"/>
                      <w:lang w:bidi="ar"/>
                    </w:rPr>
                    <w:t>村</w:t>
                  </w:r>
                  <w:r>
                    <w:rPr>
                      <w:color w:val="auto"/>
                      <w:sz w:val="21"/>
                      <w:szCs w:val="21"/>
                      <w:lang w:bidi="ar"/>
                    </w:rPr>
                    <w:t>供电电网供电</w:t>
                  </w:r>
                  <w:r>
                    <w:rPr>
                      <w:rFonts w:hint="eastAsia"/>
                      <w:color w:val="auto"/>
                      <w:sz w:val="21"/>
                      <w:szCs w:val="21"/>
                      <w:lang w:bidi="ar"/>
                    </w:rPr>
                    <w:t>，依托现有变压器可以满足本项目用电要求</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2275" w:type="dxa"/>
                  <w:gridSpan w:val="2"/>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供</w:t>
                  </w:r>
                  <w:r>
                    <w:rPr>
                      <w:rFonts w:ascii="Times New Roman" w:hAnsi="Times New Roman" w:cs="Times New Roman"/>
                      <w:color w:val="auto"/>
                      <w:sz w:val="21"/>
                      <w:szCs w:val="21"/>
                      <w:lang w:val="en-US"/>
                    </w:rPr>
                    <w:t>水</w:t>
                  </w:r>
                </w:p>
              </w:tc>
              <w:tc>
                <w:tcPr>
                  <w:tcW w:w="5313" w:type="dxa"/>
                  <w:vAlign w:val="center"/>
                </w:tcPr>
                <w:p>
                  <w:pPr>
                    <w:jc w:val="center"/>
                    <w:textAlignment w:val="baseline"/>
                    <w:rPr>
                      <w:rFonts w:ascii="Times New Roman" w:hAnsi="Times New Roman" w:cs="Times New Roman"/>
                      <w:color w:val="auto"/>
                      <w:sz w:val="21"/>
                      <w:szCs w:val="21"/>
                      <w:lang w:val="en-US"/>
                    </w:rPr>
                  </w:pPr>
                  <w:r>
                    <w:rPr>
                      <w:color w:val="auto"/>
                      <w:sz w:val="21"/>
                      <w:szCs w:val="21"/>
                      <w:lang w:bidi="ar"/>
                    </w:rPr>
                    <w:t>由</w:t>
                  </w:r>
                  <w:r>
                    <w:rPr>
                      <w:rFonts w:hint="eastAsia" w:ascii="Times New Roman" w:hAnsi="Times New Roman" w:cs="Times New Roman"/>
                      <w:color w:val="auto"/>
                      <w:sz w:val="21"/>
                      <w:szCs w:val="21"/>
                      <w:lang w:val="en-US" w:eastAsia="zh-CN"/>
                    </w:rPr>
                    <w:t>企业现有供水系统</w:t>
                  </w:r>
                  <w:r>
                    <w:rPr>
                      <w:rFonts w:hint="eastAsia"/>
                      <w:color w:val="auto"/>
                      <w:sz w:val="21"/>
                      <w:szCs w:val="21"/>
                      <w:lang w:bidi="ar"/>
                    </w:rPr>
                    <w:t>供水</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2275" w:type="dxa"/>
                  <w:gridSpan w:val="2"/>
                  <w:vAlign w:val="center"/>
                </w:tcPr>
                <w:p>
                  <w:pPr>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排水</w:t>
                  </w:r>
                </w:p>
              </w:tc>
              <w:tc>
                <w:tcPr>
                  <w:tcW w:w="5313" w:type="dxa"/>
                  <w:vAlign w:val="center"/>
                </w:tcPr>
                <w:p>
                  <w:pPr>
                    <w:jc w:val="center"/>
                    <w:textAlignment w:val="baseline"/>
                    <w:rPr>
                      <w:color w:val="auto"/>
                      <w:sz w:val="21"/>
                      <w:szCs w:val="21"/>
                      <w:lang w:bidi="ar"/>
                    </w:rPr>
                  </w:pPr>
                  <w:r>
                    <w:rPr>
                      <w:rFonts w:hint="eastAsia"/>
                      <w:color w:val="auto"/>
                      <w:sz w:val="21"/>
                      <w:szCs w:val="21"/>
                      <w:lang w:bidi="ar"/>
                    </w:rPr>
                    <w:t>生活污水用于厂区泼洒抑尘，厂区设防渗旱厕，定期清掏；车辆冲洗废水经沉淀池沉淀后，回用于车辆冲洗，不外排</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2275" w:type="dxa"/>
                  <w:gridSpan w:val="2"/>
                  <w:vAlign w:val="center"/>
                </w:tcPr>
                <w:p>
                  <w:pPr>
                    <w:wordWrap w:val="0"/>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制冷、供热</w:t>
                  </w:r>
                </w:p>
              </w:tc>
              <w:tc>
                <w:tcPr>
                  <w:tcW w:w="5313" w:type="dxa"/>
                  <w:vAlign w:val="center"/>
                </w:tcPr>
                <w:p>
                  <w:pPr>
                    <w:wordWrap w:val="0"/>
                    <w:autoSpaceDE/>
                    <w:autoSpaceDN/>
                    <w:ind w:left="-110" w:leftChars="-50" w:right="-110" w:rightChars="-50"/>
                    <w:jc w:val="center"/>
                    <w:textAlignment w:val="baseline"/>
                    <w:rPr>
                      <w:rFonts w:ascii="Times New Roman" w:hAnsi="Times New Roman" w:cs="Times New Roman"/>
                      <w:color w:val="auto"/>
                      <w:sz w:val="21"/>
                      <w:szCs w:val="21"/>
                    </w:rPr>
                  </w:pPr>
                  <w:r>
                    <w:rPr>
                      <w:rFonts w:ascii="Times New Roman" w:hAnsi="Times New Roman" w:cs="Times New Roman"/>
                      <w:color w:val="auto"/>
                      <w:sz w:val="21"/>
                      <w:szCs w:val="21"/>
                      <w:lang w:val="en-US"/>
                    </w:rPr>
                    <w:t>项目无生产用热，职工冬季取暖由空调供给</w:t>
                  </w:r>
                </w:p>
              </w:tc>
              <w:tc>
                <w:tcPr>
                  <w:tcW w:w="597" w:type="dxa"/>
                  <w:vAlign w:val="center"/>
                </w:tcPr>
                <w:p>
                  <w:pPr>
                    <w:wordWrap w:val="0"/>
                    <w:autoSpaceDE/>
                    <w:autoSpaceDN/>
                    <w:ind w:left="-110" w:leftChars="-50" w:right="-110" w:rightChars="-50"/>
                    <w:jc w:val="center"/>
                    <w:textAlignment w:val="baseline"/>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restart"/>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环保工程</w:t>
                  </w:r>
                </w:p>
              </w:tc>
              <w:tc>
                <w:tcPr>
                  <w:tcW w:w="300" w:type="dxa"/>
                  <w:vMerge w:val="restar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废气</w:t>
                  </w:r>
                </w:p>
              </w:tc>
              <w:tc>
                <w:tcPr>
                  <w:tcW w:w="1975" w:type="dxa"/>
                  <w:vAlign w:val="center"/>
                </w:tcPr>
                <w:p>
                  <w:pPr>
                    <w:widowControl/>
                    <w:jc w:val="center"/>
                    <w:textAlignment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bidi="ar"/>
                    </w:rPr>
                    <w:t>1号生产线搅拌-2号生产线搅拌工序废气治理设施出口（DA002）</w:t>
                  </w:r>
                </w:p>
              </w:tc>
              <w:tc>
                <w:tcPr>
                  <w:tcW w:w="5313"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kern w:val="21"/>
                      <w:sz w:val="21"/>
                      <w:szCs w:val="21"/>
                      <w:lang w:val="en-US"/>
                    </w:rPr>
                    <w:t>湿拌砂浆搅拌废气经集气罩收集后通过</w:t>
                  </w:r>
                  <w:r>
                    <w:rPr>
                      <w:rFonts w:hint="eastAsia" w:ascii="Times New Roman" w:hAnsi="Times New Roman" w:cs="Times New Roman"/>
                      <w:color w:val="auto"/>
                      <w:kern w:val="21"/>
                      <w:sz w:val="21"/>
                      <w:szCs w:val="21"/>
                      <w:lang w:val="en-US" w:eastAsia="zh-CN"/>
                    </w:rPr>
                    <w:t>现有</w:t>
                  </w:r>
                  <w:r>
                    <w:rPr>
                      <w:rFonts w:hint="eastAsia" w:ascii="Times New Roman" w:hAnsi="Times New Roman" w:cs="Times New Roman"/>
                      <w:color w:val="auto"/>
                      <w:kern w:val="21"/>
                      <w:sz w:val="21"/>
                      <w:szCs w:val="21"/>
                      <w:lang w:val="en-US"/>
                    </w:rPr>
                    <w:t>布袋除尘器处理，和混凝土搅拌废气一并通过18m排气筒（DA002）排放</w:t>
                  </w:r>
                </w:p>
              </w:tc>
              <w:tc>
                <w:tcPr>
                  <w:tcW w:w="597" w:type="dxa"/>
                  <w:vAlign w:val="center"/>
                </w:tcPr>
                <w:p>
                  <w:pPr>
                    <w:autoSpaceDE/>
                    <w:autoSpaceDN/>
                    <w:ind w:left="-110" w:leftChars="-50" w:right="-110" w:rightChars="-50"/>
                    <w:jc w:val="center"/>
                    <w:rPr>
                      <w:rFonts w:ascii="Times New Roman" w:hAnsi="Times New Roman" w:cs="Times New Roman"/>
                      <w:color w:val="auto"/>
                      <w:kern w:val="21"/>
                      <w:sz w:val="21"/>
                      <w:szCs w:val="21"/>
                      <w:lang w:val="en-US"/>
                    </w:rPr>
                  </w:pPr>
                  <w:r>
                    <w:rPr>
                      <w:rFonts w:hint="eastAsia" w:ascii="Times New Roman" w:hAnsi="Times New Roman" w:cs="Times New Roman"/>
                      <w:color w:val="auto"/>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300"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975" w:type="dxa"/>
                  <w:shd w:val="clear" w:color="auto" w:fill="auto"/>
                  <w:vAlign w:val="center"/>
                </w:tcPr>
                <w:p>
                  <w:pPr>
                    <w:widowControl/>
                    <w:jc w:val="center"/>
                    <w:textAlignment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2号生产线粉料仓工序废气治理设施出口（</w:t>
                  </w:r>
                  <w:r>
                    <w:rPr>
                      <w:rFonts w:ascii="Times New Roman" w:hAnsi="Times New Roman" w:cs="Times New Roman"/>
                      <w:color w:val="auto"/>
                      <w:sz w:val="21"/>
                      <w:szCs w:val="21"/>
                      <w:lang w:val="en-US" w:bidi="ar"/>
                    </w:rPr>
                    <w:t>DA003</w:t>
                  </w:r>
                  <w:r>
                    <w:rPr>
                      <w:rFonts w:ascii="Times New Roman" w:hAnsi="Times New Roman" w:cs="Times New Roman"/>
                      <w:color w:val="auto"/>
                      <w:kern w:val="2"/>
                      <w:sz w:val="21"/>
                      <w:szCs w:val="21"/>
                      <w:lang w:val="en-US" w:bidi="ar-SA"/>
                    </w:rPr>
                    <w:t>）</w:t>
                  </w:r>
                </w:p>
              </w:tc>
              <w:tc>
                <w:tcPr>
                  <w:tcW w:w="5313" w:type="dxa"/>
                  <w:shd w:val="clear" w:color="auto" w:fill="auto"/>
                  <w:vAlign w:val="center"/>
                </w:tcPr>
                <w:p>
                  <w:pPr>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kern w:val="21"/>
                      <w:sz w:val="21"/>
                      <w:szCs w:val="21"/>
                      <w:lang w:val="en-US"/>
                    </w:rPr>
                    <w:t>湿拌砂浆粉料仓废气经仓顶布袋除尘器通过28m高排气筒（DA003）排放</w:t>
                  </w:r>
                </w:p>
              </w:tc>
              <w:tc>
                <w:tcPr>
                  <w:tcW w:w="597" w:type="dxa"/>
                  <w:shd w:val="clear" w:color="auto" w:fill="auto"/>
                  <w:vAlign w:val="center"/>
                </w:tcPr>
                <w:p>
                  <w:pPr>
                    <w:autoSpaceDE/>
                    <w:autoSpaceDN/>
                    <w:ind w:left="-110" w:leftChars="-50" w:right="-110" w:rightChars="-50"/>
                    <w:jc w:val="center"/>
                    <w:rPr>
                      <w:rFonts w:ascii="Times New Roman" w:hAnsi="Times New Roman" w:cs="Times New Roman"/>
                      <w:color w:val="auto"/>
                      <w:kern w:val="21"/>
                      <w:sz w:val="21"/>
                      <w:szCs w:val="21"/>
                      <w:lang w:val="en-US"/>
                    </w:rPr>
                  </w:pPr>
                  <w:r>
                    <w:rPr>
                      <w:rFonts w:hint="eastAsia" w:ascii="Times New Roman" w:hAnsi="Times New Roman" w:cs="Times New Roman"/>
                      <w:color w:val="auto"/>
                      <w:kern w:val="21"/>
                      <w:sz w:val="21"/>
                      <w:szCs w:val="21"/>
                      <w:lang w:val="en-US" w:eastAsia="zh-CN"/>
                    </w:rPr>
                    <w:t>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300"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975" w:type="dxa"/>
                  <w:vAlign w:val="center"/>
                </w:tcPr>
                <w:p>
                  <w:pPr>
                    <w:widowControl/>
                    <w:jc w:val="center"/>
                    <w:textAlignment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bidi="ar"/>
                    </w:rPr>
                    <w:t>1号-2号生产线</w:t>
                  </w:r>
                  <w:r>
                    <w:rPr>
                      <w:rFonts w:hint="eastAsia" w:ascii="Times New Roman" w:hAnsi="Times New Roman" w:cs="Times New Roman"/>
                      <w:color w:val="auto"/>
                      <w:sz w:val="21"/>
                      <w:szCs w:val="21"/>
                      <w:lang w:val="en-US" w:eastAsia="zh-CN" w:bidi="ar"/>
                    </w:rPr>
                    <w:t>骨料</w:t>
                  </w:r>
                  <w:r>
                    <w:rPr>
                      <w:rFonts w:ascii="Times New Roman" w:hAnsi="Times New Roman" w:cs="Times New Roman"/>
                      <w:color w:val="auto"/>
                      <w:sz w:val="21"/>
                      <w:szCs w:val="21"/>
                      <w:lang w:val="en-US" w:bidi="ar"/>
                    </w:rPr>
                    <w:t>仓工序废气治理设施出口</w:t>
                  </w:r>
                  <w:r>
                    <w:rPr>
                      <w:rFonts w:ascii="Times New Roman" w:hAnsi="Times New Roman" w:cs="Times New Roman"/>
                      <w:color w:val="auto"/>
                      <w:kern w:val="2"/>
                      <w:sz w:val="21"/>
                      <w:szCs w:val="21"/>
                      <w:lang w:val="en-US" w:bidi="ar-SA"/>
                    </w:rPr>
                    <w:t>（</w:t>
                  </w:r>
                  <w:r>
                    <w:rPr>
                      <w:rFonts w:ascii="Times New Roman" w:hAnsi="Times New Roman" w:cs="Times New Roman"/>
                      <w:color w:val="auto"/>
                      <w:sz w:val="21"/>
                      <w:szCs w:val="21"/>
                      <w:lang w:val="en-US" w:bidi="ar"/>
                    </w:rPr>
                    <w:t>DA004</w:t>
                  </w:r>
                  <w:r>
                    <w:rPr>
                      <w:rFonts w:ascii="Times New Roman" w:hAnsi="Times New Roman" w:cs="Times New Roman"/>
                      <w:color w:val="auto"/>
                      <w:kern w:val="2"/>
                      <w:sz w:val="21"/>
                      <w:szCs w:val="21"/>
                      <w:lang w:val="en-US" w:bidi="ar-SA"/>
                    </w:rPr>
                    <w:t>）</w:t>
                  </w:r>
                </w:p>
              </w:tc>
              <w:tc>
                <w:tcPr>
                  <w:tcW w:w="5313" w:type="dxa"/>
                  <w:vAlign w:val="center"/>
                </w:tcPr>
                <w:p>
                  <w:pPr>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kern w:val="21"/>
                      <w:sz w:val="21"/>
                      <w:szCs w:val="21"/>
                      <w:lang w:val="en-US"/>
                    </w:rPr>
                    <w:t>湿拌砂浆骨料配料废气经集气罩收集后通过</w:t>
                  </w:r>
                  <w:r>
                    <w:rPr>
                      <w:rFonts w:hint="eastAsia" w:ascii="Times New Roman" w:hAnsi="Times New Roman" w:cs="Times New Roman"/>
                      <w:color w:val="auto"/>
                      <w:kern w:val="21"/>
                      <w:sz w:val="21"/>
                      <w:szCs w:val="21"/>
                      <w:lang w:val="en-US" w:eastAsia="zh-CN"/>
                    </w:rPr>
                    <w:t>现有</w:t>
                  </w:r>
                  <w:r>
                    <w:rPr>
                      <w:rFonts w:hint="eastAsia" w:ascii="Times New Roman" w:hAnsi="Times New Roman" w:cs="Times New Roman"/>
                      <w:color w:val="auto"/>
                      <w:kern w:val="21"/>
                      <w:sz w:val="21"/>
                      <w:szCs w:val="21"/>
                      <w:lang w:val="en-US"/>
                    </w:rPr>
                    <w:t>布袋除尘器处理，和混凝土配料废气一并通过15m排气筒（DA004）排放</w:t>
                  </w:r>
                </w:p>
              </w:tc>
              <w:tc>
                <w:tcPr>
                  <w:tcW w:w="597" w:type="dxa"/>
                  <w:vAlign w:val="center"/>
                </w:tcPr>
                <w:p>
                  <w:pPr>
                    <w:autoSpaceDE/>
                    <w:autoSpaceDN/>
                    <w:ind w:left="-110" w:leftChars="-50" w:right="-110" w:rightChars="-50"/>
                    <w:jc w:val="center"/>
                    <w:rPr>
                      <w:rFonts w:ascii="Times New Roman" w:hAnsi="Times New Roman" w:cs="Times New Roman"/>
                      <w:color w:val="auto"/>
                      <w:kern w:val="21"/>
                      <w:sz w:val="21"/>
                      <w:szCs w:val="21"/>
                      <w:lang w:val="en-US"/>
                    </w:rPr>
                  </w:pPr>
                  <w:r>
                    <w:rPr>
                      <w:rFonts w:hint="eastAsia" w:ascii="Times New Roman" w:hAnsi="Times New Roman" w:cs="Times New Roman"/>
                      <w:color w:val="auto"/>
                      <w:kern w:val="21"/>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kern w:val="21"/>
                      <w:sz w:val="21"/>
                      <w:szCs w:val="21"/>
                      <w:lang w:val="en-US" w:bidi="ar-SA"/>
                    </w:rPr>
                  </w:pPr>
                </w:p>
              </w:tc>
              <w:tc>
                <w:tcPr>
                  <w:tcW w:w="300" w:type="dxa"/>
                  <w:vMerge w:val="continue"/>
                  <w:vAlign w:val="center"/>
                </w:tcPr>
                <w:p>
                  <w:pPr>
                    <w:autoSpaceDE/>
                    <w:autoSpaceDN/>
                    <w:ind w:left="-110" w:leftChars="-50" w:right="-110" w:rightChars="-50"/>
                    <w:jc w:val="center"/>
                    <w:rPr>
                      <w:rFonts w:ascii="Times New Roman" w:hAnsi="Times New Roman" w:cs="Times New Roman"/>
                      <w:color w:val="auto"/>
                      <w:kern w:val="21"/>
                      <w:sz w:val="21"/>
                      <w:szCs w:val="21"/>
                      <w:lang w:val="en-US" w:bidi="ar-SA"/>
                    </w:rPr>
                  </w:pPr>
                </w:p>
              </w:tc>
              <w:tc>
                <w:tcPr>
                  <w:tcW w:w="1975"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厂界无组织废气</w:t>
                  </w:r>
                </w:p>
              </w:tc>
              <w:tc>
                <w:tcPr>
                  <w:tcW w:w="5313"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rPr>
                  </w:pPr>
                  <w:r>
                    <w:rPr>
                      <w:rFonts w:hint="eastAsia"/>
                      <w:color w:val="auto"/>
                      <w:kern w:val="21"/>
                      <w:sz w:val="21"/>
                      <w:szCs w:val="21"/>
                      <w:lang w:val="en-US"/>
                    </w:rPr>
                    <w:t>车间密闭；设喷雾设备、车辆冲洗装置；选用密闭输送装置进行输送；地面硬化，加强绿化</w:t>
                  </w:r>
                </w:p>
              </w:tc>
              <w:tc>
                <w:tcPr>
                  <w:tcW w:w="597" w:type="dxa"/>
                  <w:vAlign w:val="center"/>
                </w:tcPr>
                <w:p>
                  <w:pPr>
                    <w:autoSpaceDE/>
                    <w:autoSpaceDN/>
                    <w:ind w:left="-110" w:leftChars="-50" w:right="-110" w:rightChars="-50"/>
                    <w:jc w:val="center"/>
                    <w:rPr>
                      <w:rFonts w:ascii="Times New Roman" w:hAnsi="Times New Roman" w:cs="Times New Roman"/>
                      <w:color w:val="auto"/>
                      <w:kern w:val="21"/>
                      <w:sz w:val="21"/>
                      <w:szCs w:val="21"/>
                      <w:lang w:val="en-US" w:bidi="ar-SA"/>
                    </w:rPr>
                  </w:pPr>
                  <w:r>
                    <w:rPr>
                      <w:rFonts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Merge w:val="restar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废水</w:t>
                  </w:r>
                </w:p>
              </w:tc>
              <w:tc>
                <w:tcPr>
                  <w:tcW w:w="1975"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车辆冲洗废水</w:t>
                  </w:r>
                </w:p>
              </w:tc>
              <w:tc>
                <w:tcPr>
                  <w:tcW w:w="5313" w:type="dxa"/>
                  <w:vAlign w:val="center"/>
                </w:tcPr>
                <w:p>
                  <w:pPr>
                    <w:adjustRightInd w:val="0"/>
                    <w:snapToGrid w:val="0"/>
                    <w:ind w:left="-110" w:leftChars="-50" w:right="-110" w:rightChars="-50"/>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依托现有砂石分离机处理，</w:t>
                  </w:r>
                  <w:r>
                    <w:rPr>
                      <w:rFonts w:ascii="Times New Roman" w:hAnsi="Times New Roman" w:cs="Times New Roman"/>
                      <w:color w:val="auto"/>
                      <w:sz w:val="21"/>
                      <w:szCs w:val="21"/>
                      <w:lang w:val="en-US" w:bidi="ar-SA"/>
                    </w:rPr>
                    <w:t>经沉淀池沉淀后，回用于车辆冲洗</w:t>
                  </w:r>
                </w:p>
              </w:tc>
              <w:tc>
                <w:tcPr>
                  <w:tcW w:w="597" w:type="dxa"/>
                  <w:vAlign w:val="center"/>
                </w:tcPr>
                <w:p>
                  <w:pPr>
                    <w:autoSpaceDE/>
                    <w:autoSpaceDN/>
                    <w:ind w:left="-110" w:leftChars="-50" w:right="-110" w:rightChars="-50"/>
                    <w:jc w:val="center"/>
                    <w:textAlignment w:val="baseline"/>
                    <w:rPr>
                      <w:rFonts w:ascii="Times New Roman" w:hAnsi="Times New Roman" w:cs="Times New Roman"/>
                      <w:color w:val="auto"/>
                      <w:kern w:val="21"/>
                      <w:sz w:val="21"/>
                      <w:szCs w:val="21"/>
                      <w:lang w:val="en-US"/>
                    </w:rPr>
                  </w:pPr>
                  <w:r>
                    <w:rPr>
                      <w:rFonts w:hint="eastAsia" w:ascii="Times New Roman" w:hAnsi="Times New Roman" w:cs="Times New Roman"/>
                      <w:color w:val="auto"/>
                      <w:kern w:val="21"/>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975" w:type="dxa"/>
                  <w:vAlign w:val="center"/>
                </w:tcPr>
                <w:p>
                  <w:pPr>
                    <w:adjustRightInd w:val="0"/>
                    <w:snapToGrid w:val="0"/>
                    <w:ind w:left="-110" w:leftChars="-50" w:right="-110" w:rightChars="-50"/>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设备清洗废水</w:t>
                  </w:r>
                </w:p>
              </w:tc>
              <w:tc>
                <w:tcPr>
                  <w:tcW w:w="5313" w:type="dxa"/>
                  <w:vAlign w:val="center"/>
                </w:tcPr>
                <w:p>
                  <w:pPr>
                    <w:adjustRightInd w:val="0"/>
                    <w:snapToGrid w:val="0"/>
                    <w:ind w:left="-110" w:leftChars="-50" w:right="-110" w:rightChars="-50"/>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eastAsia="zh-CN" w:bidi="ar-SA"/>
                    </w:rPr>
                    <w:t>依托现有砂石分离机处理，</w:t>
                  </w:r>
                  <w:r>
                    <w:rPr>
                      <w:rFonts w:ascii="Times New Roman" w:hAnsi="Times New Roman" w:cs="Times New Roman"/>
                      <w:color w:val="auto"/>
                      <w:sz w:val="21"/>
                      <w:szCs w:val="21"/>
                      <w:lang w:val="en-US" w:bidi="ar-SA"/>
                    </w:rPr>
                    <w:t>经沉淀池沉淀后，回用于</w:t>
                  </w:r>
                  <w:r>
                    <w:rPr>
                      <w:rFonts w:hint="eastAsia" w:ascii="Times New Roman" w:hAnsi="Times New Roman" w:cs="Times New Roman"/>
                      <w:color w:val="auto"/>
                      <w:sz w:val="21"/>
                      <w:szCs w:val="21"/>
                      <w:lang w:val="en-US" w:eastAsia="zh-CN" w:bidi="ar-SA"/>
                    </w:rPr>
                    <w:t>设备清洗</w:t>
                  </w:r>
                </w:p>
              </w:tc>
              <w:tc>
                <w:tcPr>
                  <w:tcW w:w="597" w:type="dxa"/>
                  <w:vAlign w:val="center"/>
                </w:tcPr>
                <w:p>
                  <w:pPr>
                    <w:autoSpaceDE/>
                    <w:autoSpaceDN/>
                    <w:ind w:left="-110" w:leftChars="-50" w:right="-110" w:rightChars="-50"/>
                    <w:jc w:val="center"/>
                    <w:textAlignment w:val="baseline"/>
                    <w:rPr>
                      <w:rFonts w:hint="eastAsia" w:ascii="Times New Roman" w:hAnsi="Times New Roman" w:cs="Times New Roman"/>
                      <w:color w:val="auto"/>
                      <w:kern w:val="21"/>
                      <w:sz w:val="21"/>
                      <w:szCs w:val="21"/>
                      <w:lang w:val="en-US"/>
                    </w:rPr>
                  </w:pPr>
                  <w:r>
                    <w:rPr>
                      <w:rFonts w:hint="eastAsia" w:ascii="Times New Roman" w:hAnsi="Times New Roman" w:cs="Times New Roman"/>
                      <w:color w:val="auto"/>
                      <w:kern w:val="21"/>
                      <w:sz w:val="21"/>
                      <w:szCs w:val="21"/>
                      <w:lang w:val="en-US"/>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噪音</w:t>
                  </w:r>
                </w:p>
              </w:tc>
              <w:tc>
                <w:tcPr>
                  <w:tcW w:w="1975"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各生产设备噪声</w:t>
                  </w:r>
                </w:p>
              </w:tc>
              <w:tc>
                <w:tcPr>
                  <w:tcW w:w="5313"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低噪设备、基础减震、隔声、距离衰减</w:t>
                  </w:r>
                  <w:r>
                    <w:rPr>
                      <w:rFonts w:hint="eastAsia" w:ascii="Times New Roman" w:hAnsi="Times New Roman" w:cs="Times New Roman"/>
                      <w:color w:val="auto"/>
                      <w:sz w:val="21"/>
                      <w:szCs w:val="21"/>
                      <w:lang w:val="en-US"/>
                    </w:rPr>
                    <w:t>等措施降噪</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Merge w:val="restar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固废</w:t>
                  </w:r>
                </w:p>
              </w:tc>
              <w:tc>
                <w:tcPr>
                  <w:tcW w:w="1975"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pacing w:val="-10"/>
                      <w:sz w:val="21"/>
                      <w:szCs w:val="20"/>
                    </w:rPr>
                    <w:t>除尘灰</w:t>
                  </w:r>
                </w:p>
              </w:tc>
              <w:tc>
                <w:tcPr>
                  <w:tcW w:w="5313"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集中收集后回用于生产</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1"/>
                      <w:sz w:val="21"/>
                      <w:szCs w:val="21"/>
                      <w:lang w:val="en-US"/>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300"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975" w:type="dxa"/>
                  <w:vAlign w:val="center"/>
                </w:tcPr>
                <w:p>
                  <w:pPr>
                    <w:spacing w:line="0" w:lineRule="atLeast"/>
                    <w:ind w:left="-110" w:leftChars="-50" w:right="-110" w:rightChars="-50"/>
                    <w:jc w:val="center"/>
                    <w:rPr>
                      <w:rFonts w:ascii="Times New Roman" w:hAnsi="Times New Roman" w:cs="Times New Roman"/>
                      <w:color w:val="auto"/>
                      <w:spacing w:val="-10"/>
                      <w:sz w:val="20"/>
                      <w:szCs w:val="20"/>
                    </w:rPr>
                  </w:pPr>
                  <w:r>
                    <w:rPr>
                      <w:rFonts w:ascii="Times New Roman" w:hAnsi="Times New Roman" w:cs="Times New Roman"/>
                      <w:color w:val="auto"/>
                      <w:sz w:val="21"/>
                      <w:szCs w:val="21"/>
                      <w:lang w:val="en-US"/>
                    </w:rPr>
                    <w:t>废油桶</w:t>
                  </w:r>
                  <w:r>
                    <w:rPr>
                      <w:rFonts w:hint="eastAsia" w:ascii="Times New Roman" w:hAnsi="Times New Roman" w:cs="Times New Roman"/>
                      <w:color w:val="auto"/>
                      <w:sz w:val="21"/>
                      <w:szCs w:val="21"/>
                      <w:lang w:val="en-US"/>
                    </w:rPr>
                    <w:t>、废机油</w:t>
                  </w:r>
                </w:p>
              </w:tc>
              <w:tc>
                <w:tcPr>
                  <w:tcW w:w="5313"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0"/>
                      <w:lang w:val="en-US"/>
                    </w:rPr>
                    <w:t>暂存危废间，定期由资质单位处置</w:t>
                  </w:r>
                </w:p>
              </w:tc>
              <w:tc>
                <w:tcPr>
                  <w:tcW w:w="59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1"/>
                      <w:sz w:val="21"/>
                      <w:szCs w:val="21"/>
                      <w:lang w:val="en-US"/>
                    </w:rPr>
                    <w:t>新建</w:t>
                  </w:r>
                </w:p>
              </w:tc>
            </w:tr>
          </w:tbl>
          <w:p>
            <w:pPr>
              <w:autoSpaceDE/>
              <w:autoSpaceDN/>
              <w:spacing w:line="400" w:lineRule="exact"/>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8</w:t>
            </w:r>
            <w:r>
              <w:rPr>
                <w:rFonts w:ascii="Times New Roman" w:hAnsi="Times New Roman" w:cs="Times New Roman"/>
                <w:b/>
                <w:bCs/>
                <w:color w:val="auto"/>
                <w:sz w:val="21"/>
                <w:szCs w:val="21"/>
                <w:lang w:val="en-US"/>
              </w:rPr>
              <w:t>、</w:t>
            </w:r>
            <w:r>
              <w:rPr>
                <w:rFonts w:ascii="Times New Roman" w:hAnsi="Times New Roman" w:cs="Times New Roman"/>
                <w:b/>
                <w:bCs/>
                <w:color w:val="auto"/>
                <w:sz w:val="21"/>
                <w:szCs w:val="21"/>
              </w:rPr>
              <w:t>生产规模：</w:t>
            </w:r>
            <w:r>
              <w:rPr>
                <w:rFonts w:ascii="Times New Roman" w:hAnsi="Times New Roman" w:cs="Times New Roman"/>
                <w:color w:val="auto"/>
                <w:sz w:val="21"/>
                <w:szCs w:val="21"/>
              </w:rPr>
              <w:t>项目建成后</w:t>
            </w:r>
            <w:r>
              <w:rPr>
                <w:rFonts w:hint="eastAsia" w:ascii="Times New Roman" w:hAnsi="Times New Roman" w:cs="Times New Roman"/>
                <w:color w:val="auto"/>
                <w:sz w:val="21"/>
                <w:szCs w:val="21"/>
                <w:lang w:val="en-US"/>
              </w:rPr>
              <w:t>不再生产预制构件，现有商砼产量不变，新增</w:t>
            </w:r>
            <w:r>
              <w:rPr>
                <w:rFonts w:ascii="Times New Roman" w:hAnsi="Times New Roman" w:cs="Times New Roman"/>
                <w:color w:val="auto"/>
                <w:sz w:val="21"/>
                <w:szCs w:val="21"/>
              </w:rPr>
              <w:t>年产</w:t>
            </w:r>
            <w:r>
              <w:rPr>
                <w:rFonts w:hint="eastAsia" w:ascii="Times New Roman" w:hAnsi="Times New Roman" w:cs="Times New Roman"/>
                <w:color w:val="auto"/>
                <w:sz w:val="21"/>
                <w:szCs w:val="21"/>
                <w:lang w:val="en-US"/>
              </w:rPr>
              <w:t>30</w:t>
            </w:r>
            <w:r>
              <w:rPr>
                <w:rFonts w:ascii="Times New Roman" w:hAnsi="Times New Roman" w:cs="Times New Roman"/>
                <w:color w:val="auto"/>
                <w:sz w:val="21"/>
                <w:szCs w:val="21"/>
              </w:rPr>
              <w:t>万</w:t>
            </w:r>
            <w:r>
              <w:rPr>
                <w:rFonts w:hint="eastAsia" w:ascii="Times New Roman" w:hAnsi="Times New Roman" w:cs="Times New Roman"/>
                <w:color w:val="auto"/>
                <w:sz w:val="21"/>
                <w:szCs w:val="21"/>
              </w:rPr>
              <w:t>立方米湿拌砂浆。</w:t>
            </w:r>
            <w:r>
              <w:rPr>
                <w:rFonts w:ascii="Times New Roman" w:hAnsi="Times New Roman" w:cs="Times New Roman"/>
                <w:color w:val="auto"/>
                <w:sz w:val="21"/>
                <w:szCs w:val="21"/>
              </w:rPr>
              <w:t>产品方案见下表；</w:t>
            </w:r>
          </w:p>
          <w:p>
            <w:pPr>
              <w:autoSpaceDE/>
              <w:autoSpaceDN/>
              <w:spacing w:line="400" w:lineRule="exact"/>
              <w:jc w:val="center"/>
              <w:rPr>
                <w:rFonts w:ascii="Times New Roman" w:hAnsi="Times New Roman" w:cs="Times New Roman"/>
                <w:b/>
                <w:bCs/>
                <w:color w:val="auto"/>
                <w:sz w:val="20"/>
                <w:szCs w:val="20"/>
                <w:lang w:val="en-US"/>
              </w:rPr>
            </w:pPr>
            <w:r>
              <w:rPr>
                <w:rFonts w:ascii="Times New Roman" w:hAnsi="Times New Roman" w:cs="Times New Roman"/>
                <w:b/>
                <w:bCs/>
                <w:color w:val="auto"/>
                <w:sz w:val="21"/>
                <w:szCs w:val="20"/>
              </w:rPr>
              <w:t>表2.</w:t>
            </w:r>
            <w:r>
              <w:rPr>
                <w:rFonts w:hint="eastAsia" w:ascii="Times New Roman" w:hAnsi="Times New Roman" w:cs="Times New Roman"/>
                <w:b/>
                <w:bCs/>
                <w:color w:val="auto"/>
                <w:sz w:val="21"/>
                <w:szCs w:val="20"/>
                <w:lang w:val="en-US" w:eastAsia="zh-CN"/>
              </w:rPr>
              <w:t>3</w:t>
            </w:r>
            <w:r>
              <w:rPr>
                <w:rFonts w:ascii="Times New Roman" w:hAnsi="Times New Roman" w:cs="Times New Roman"/>
                <w:b/>
                <w:bCs/>
                <w:color w:val="auto"/>
                <w:sz w:val="21"/>
                <w:szCs w:val="20"/>
              </w:rPr>
              <w:t xml:space="preserve">  本项目建成后全厂产品方案变化情况一览表</w:t>
            </w:r>
          </w:p>
          <w:tbl>
            <w:tblPr>
              <w:tblStyle w:val="32"/>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396"/>
              <w:gridCol w:w="1026"/>
              <w:gridCol w:w="1484"/>
              <w:gridCol w:w="985"/>
              <w:gridCol w:w="985"/>
              <w:gridCol w:w="98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39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生产线名称</w:t>
                  </w:r>
                </w:p>
              </w:tc>
              <w:tc>
                <w:tcPr>
                  <w:tcW w:w="102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产品</w:t>
                  </w:r>
                </w:p>
              </w:tc>
              <w:tc>
                <w:tcPr>
                  <w:tcW w:w="1484"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扩建前</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扩建后</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变化情况</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年工作时间</w:t>
                  </w:r>
                </w:p>
              </w:tc>
              <w:tc>
                <w:tcPr>
                  <w:tcW w:w="1602" w:type="dxa"/>
                  <w:tcBorders>
                    <w:top w:val="single" w:color="auto" w:sz="4" w:space="0"/>
                    <w:left w:val="single" w:color="auto" w:sz="4" w:space="0"/>
                    <w:bottom w:val="single" w:color="auto" w:sz="4" w:space="0"/>
                    <w:right w:val="single" w:color="auto" w:sz="4" w:space="0"/>
                  </w:tcBorders>
                  <w:vAlign w:val="center"/>
                </w:tcPr>
                <w:p>
                  <w:pPr>
                    <w:pStyle w:val="80"/>
                    <w:ind w:left="-110" w:leftChars="-50" w:right="-110" w:rightChars="-50"/>
                    <w:rPr>
                      <w:rFonts w:ascii="Times New Roman" w:hAnsi="Times New Roman" w:cs="Times New Roman"/>
                      <w:b/>
                      <w:bCs/>
                      <w:color w:val="auto"/>
                      <w:szCs w:val="21"/>
                    </w:rPr>
                  </w:pPr>
                  <w:r>
                    <w:rPr>
                      <w:rFonts w:ascii="Times New Roman" w:hAnsi="Times New Roman" w:cs="Times New Roman"/>
                      <w:b/>
                      <w:bCs/>
                      <w:color w:val="auto"/>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w:t>
                  </w:r>
                </w:p>
              </w:tc>
              <w:tc>
                <w:tcPr>
                  <w:tcW w:w="139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商砼生产线</w:t>
                  </w:r>
                </w:p>
              </w:tc>
              <w:tc>
                <w:tcPr>
                  <w:tcW w:w="102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商砼</w:t>
                  </w:r>
                </w:p>
              </w:tc>
              <w:tc>
                <w:tcPr>
                  <w:tcW w:w="1484"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12万</w:t>
                  </w:r>
                  <w:r>
                    <w:rPr>
                      <w:rFonts w:ascii="Times New Roman" w:hAnsi="Times New Roman" w:cs="Times New Roman"/>
                      <w:color w:val="auto"/>
                      <w:sz w:val="21"/>
                      <w:szCs w:val="21"/>
                      <w:lang w:val="en-US" w:bidi="ar"/>
                    </w:rPr>
                    <w:t>m</w:t>
                  </w:r>
                  <w:r>
                    <w:rPr>
                      <w:rFonts w:ascii="Times New Roman" w:hAnsi="Times New Roman" w:cs="Times New Roman"/>
                      <w:color w:val="auto"/>
                      <w:sz w:val="21"/>
                      <w:szCs w:val="21"/>
                      <w:vertAlign w:val="superscript"/>
                      <w:lang w:val="en-US" w:bidi="ar"/>
                    </w:rPr>
                    <w:t>3</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12万</w:t>
                  </w:r>
                  <w:r>
                    <w:rPr>
                      <w:rFonts w:ascii="Times New Roman" w:hAnsi="Times New Roman" w:cs="Times New Roman"/>
                      <w:color w:val="auto"/>
                      <w:sz w:val="21"/>
                      <w:szCs w:val="21"/>
                      <w:lang w:val="en-US" w:bidi="ar"/>
                    </w:rPr>
                    <w:t>m</w:t>
                  </w:r>
                  <w:r>
                    <w:rPr>
                      <w:rFonts w:ascii="Times New Roman" w:hAnsi="Times New Roman" w:cs="Times New Roman"/>
                      <w:color w:val="auto"/>
                      <w:sz w:val="21"/>
                      <w:szCs w:val="21"/>
                      <w:vertAlign w:val="superscript"/>
                      <w:lang w:val="en-US" w:bidi="ar"/>
                    </w:rPr>
                    <w:t>3</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3600h/a</w:t>
                  </w:r>
                </w:p>
              </w:tc>
              <w:tc>
                <w:tcPr>
                  <w:tcW w:w="1602" w:type="dxa"/>
                  <w:tcBorders>
                    <w:top w:val="single" w:color="auto" w:sz="4" w:space="0"/>
                    <w:left w:val="single" w:color="auto" w:sz="4" w:space="0"/>
                    <w:bottom w:val="single" w:color="auto" w:sz="4" w:space="0"/>
                    <w:right w:val="single" w:color="auto" w:sz="4" w:space="0"/>
                  </w:tcBorders>
                  <w:vAlign w:val="center"/>
                </w:tcPr>
                <w:p>
                  <w:pPr>
                    <w:pStyle w:val="80"/>
                    <w:ind w:left="-110" w:leftChars="-50" w:right="-110" w:rightChars="-50"/>
                    <w:rPr>
                      <w:rFonts w:ascii="Times New Roman" w:hAnsi="Times New Roman" w:cs="Times New Roman"/>
                      <w:color w:val="auto"/>
                      <w:szCs w:val="21"/>
                      <w:lang w:val="en-US"/>
                    </w:rPr>
                  </w:pPr>
                  <w:r>
                    <w:rPr>
                      <w:rFonts w:hint="eastAsia" w:ascii="Times New Roman" w:hAnsi="Times New Roman" w:cs="Times New Roman"/>
                      <w:color w:val="auto"/>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w:t>
                  </w:r>
                </w:p>
              </w:tc>
              <w:tc>
                <w:tcPr>
                  <w:tcW w:w="139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预制构件生产线</w:t>
                  </w:r>
                </w:p>
              </w:tc>
              <w:tc>
                <w:tcPr>
                  <w:tcW w:w="1026"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预制构件</w:t>
                  </w:r>
                </w:p>
              </w:tc>
              <w:tc>
                <w:tcPr>
                  <w:tcW w:w="1484"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5万</w:t>
                  </w:r>
                  <w:r>
                    <w:rPr>
                      <w:rFonts w:ascii="Times New Roman" w:hAnsi="Times New Roman" w:cs="Times New Roman"/>
                      <w:color w:val="auto"/>
                      <w:sz w:val="21"/>
                      <w:szCs w:val="21"/>
                      <w:lang w:val="en-US" w:bidi="ar"/>
                    </w:rPr>
                    <w:t>m</w:t>
                  </w:r>
                  <w:r>
                    <w:rPr>
                      <w:rFonts w:ascii="Times New Roman" w:hAnsi="Times New Roman" w:cs="Times New Roman"/>
                      <w:color w:val="auto"/>
                      <w:sz w:val="21"/>
                      <w:szCs w:val="21"/>
                      <w:vertAlign w:val="superscript"/>
                      <w:lang w:val="en-US" w:bidi="ar"/>
                    </w:rPr>
                    <w:t>3</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-5万</w:t>
                  </w:r>
                  <w:r>
                    <w:rPr>
                      <w:rFonts w:ascii="Times New Roman" w:hAnsi="Times New Roman" w:cs="Times New Roman"/>
                      <w:color w:val="auto"/>
                      <w:sz w:val="21"/>
                      <w:szCs w:val="21"/>
                      <w:lang w:val="en-US" w:bidi="ar"/>
                    </w:rPr>
                    <w:t>m</w:t>
                  </w:r>
                  <w:r>
                    <w:rPr>
                      <w:rFonts w:ascii="Times New Roman" w:hAnsi="Times New Roman" w:cs="Times New Roman"/>
                      <w:color w:val="auto"/>
                      <w:sz w:val="21"/>
                      <w:szCs w:val="21"/>
                      <w:vertAlign w:val="superscript"/>
                      <w:lang w:val="en-US" w:bidi="ar"/>
                    </w:rPr>
                    <w:t>3</w:t>
                  </w:r>
                </w:p>
              </w:tc>
              <w:tc>
                <w:tcPr>
                  <w:tcW w:w="985"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7200h/a</w:t>
                  </w:r>
                </w:p>
              </w:tc>
              <w:tc>
                <w:tcPr>
                  <w:tcW w:w="1602" w:type="dxa"/>
                  <w:tcBorders>
                    <w:top w:val="single" w:color="auto" w:sz="4" w:space="0"/>
                    <w:left w:val="single" w:color="auto" w:sz="4" w:space="0"/>
                    <w:bottom w:val="single" w:color="auto" w:sz="4" w:space="0"/>
                    <w:right w:val="single" w:color="auto" w:sz="4" w:space="0"/>
                  </w:tcBorders>
                  <w:vAlign w:val="center"/>
                </w:tcPr>
                <w:p>
                  <w:pPr>
                    <w:pStyle w:val="80"/>
                    <w:ind w:left="-110" w:leftChars="-50" w:right="-110" w:rightChars="-50"/>
                    <w:rPr>
                      <w:rFonts w:ascii="Times New Roman" w:hAnsi="Times New Roman" w:cs="Times New Roman"/>
                      <w:color w:val="auto"/>
                      <w:szCs w:val="21"/>
                      <w:lang w:val="en-US"/>
                    </w:rPr>
                  </w:pPr>
                  <w:r>
                    <w:rPr>
                      <w:rFonts w:hint="eastAsia" w:ascii="Times New Roman" w:hAnsi="Times New Roman" w:cs="Times New Roman"/>
                      <w:color w:val="auto"/>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34" w:type="dxa"/>
                  <w:tcBorders>
                    <w:top w:val="single" w:color="auto" w:sz="4" w:space="0"/>
                    <w:left w:val="single" w:color="auto" w:sz="4" w:space="0"/>
                    <w:bottom w:val="single" w:color="auto" w:sz="4" w:space="0"/>
                    <w:right w:val="single" w:color="auto" w:sz="4" w:space="0"/>
                  </w:tcBorders>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湿拌砂浆</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rPr>
                    <w:t>30</w:t>
                  </w:r>
                  <w:r>
                    <w:rPr>
                      <w:rFonts w:ascii="Times New Roman" w:hAnsi="Times New Roman" w:cs="Times New Roman"/>
                      <w:color w:val="auto"/>
                      <w:sz w:val="21"/>
                      <w:szCs w:val="21"/>
                      <w:lang w:val="en-US" w:bidi="ar"/>
                    </w:rPr>
                    <w:t>万m</w:t>
                  </w:r>
                  <w:r>
                    <w:rPr>
                      <w:rFonts w:ascii="Times New Roman" w:hAnsi="Times New Roman" w:cs="Times New Roman"/>
                      <w:color w:val="auto"/>
                      <w:sz w:val="21"/>
                      <w:szCs w:val="21"/>
                      <w:vertAlign w:val="superscript"/>
                      <w:lang w:val="en-US" w:bidi="ar"/>
                    </w:rPr>
                    <w:t>3</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w:t>
                  </w:r>
                  <w:r>
                    <w:rPr>
                      <w:rFonts w:hint="eastAsia" w:ascii="Times New Roman" w:hAnsi="Times New Roman" w:cs="Times New Roman"/>
                      <w:color w:val="auto"/>
                      <w:sz w:val="21"/>
                      <w:szCs w:val="21"/>
                      <w:lang w:val="en-US"/>
                    </w:rPr>
                    <w:t>30</w:t>
                  </w:r>
                  <w:r>
                    <w:rPr>
                      <w:rFonts w:ascii="Times New Roman" w:hAnsi="Times New Roman" w:cs="Times New Roman"/>
                      <w:color w:val="auto"/>
                      <w:sz w:val="21"/>
                      <w:szCs w:val="21"/>
                      <w:lang w:val="en-US" w:bidi="ar"/>
                    </w:rPr>
                    <w:t>万m</w:t>
                  </w:r>
                  <w:r>
                    <w:rPr>
                      <w:rFonts w:ascii="Times New Roman" w:hAnsi="Times New Roman" w:cs="Times New Roman"/>
                      <w:color w:val="auto"/>
                      <w:sz w:val="21"/>
                      <w:szCs w:val="21"/>
                      <w:vertAlign w:val="superscript"/>
                      <w:lang w:val="en-US" w:bidi="ar"/>
                    </w:rPr>
                    <w:t>3</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7200h/a</w:t>
                  </w:r>
                </w:p>
              </w:tc>
              <w:tc>
                <w:tcPr>
                  <w:tcW w:w="16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0"/>
                    <w:ind w:left="-110" w:leftChars="-50" w:right="-110" w:rightChars="-50"/>
                    <w:rPr>
                      <w:rFonts w:ascii="Times New Roman" w:hAnsi="Times New Roman" w:cs="Times New Roman"/>
                      <w:color w:val="auto"/>
                      <w:szCs w:val="21"/>
                      <w:lang w:val="en-US"/>
                    </w:rPr>
                  </w:pPr>
                  <w:r>
                    <w:rPr>
                      <w:rFonts w:ascii="Times New Roman" w:hAnsi="Times New Roman" w:cs="Times New Roman"/>
                      <w:color w:val="auto"/>
                      <w:szCs w:val="21"/>
                    </w:rPr>
                    <w:t>M5-M20按订单确定</w:t>
                  </w:r>
                </w:p>
              </w:tc>
            </w:tr>
          </w:tbl>
          <w:p>
            <w:pPr>
              <w:spacing w:line="440" w:lineRule="exact"/>
              <w:ind w:firstLine="482"/>
              <w:rPr>
                <w:rFonts w:ascii="Times New Roman" w:hAnsi="Times New Roman" w:cs="Times New Roman"/>
                <w:b/>
                <w:color w:val="auto"/>
                <w:sz w:val="21"/>
                <w:szCs w:val="21"/>
              </w:rPr>
            </w:pPr>
            <w:r>
              <w:rPr>
                <w:rFonts w:hint="eastAsia" w:ascii="Times New Roman" w:hAnsi="Times New Roman" w:cs="Times New Roman"/>
                <w:color w:val="auto"/>
                <w:sz w:val="21"/>
                <w:szCs w:val="21"/>
              </w:rPr>
              <w:t>本项目产品湿拌砂浆执行《预拌砂浆》（GB/T 25181-2019）。</w:t>
            </w:r>
          </w:p>
          <w:p>
            <w:pPr>
              <w:spacing w:line="440" w:lineRule="exact"/>
              <w:ind w:firstLine="482"/>
              <w:jc w:val="center"/>
              <w:rPr>
                <w:b/>
                <w:color w:val="auto"/>
                <w:sz w:val="21"/>
                <w:szCs w:val="21"/>
              </w:rPr>
            </w:pPr>
            <w:r>
              <w:rPr>
                <w:rFonts w:ascii="Times New Roman" w:hAnsi="Times New Roman" w:cs="Times New Roman"/>
                <w:b/>
                <w:color w:val="auto"/>
                <w:sz w:val="21"/>
                <w:szCs w:val="21"/>
              </w:rPr>
              <w:t>表2</w:t>
            </w:r>
            <w:r>
              <w:rPr>
                <w:rFonts w:hint="eastAsia" w:ascii="Times New Roman" w:hAnsi="Times New Roman" w:cs="Times New Roman"/>
                <w:b/>
                <w:color w:val="auto"/>
                <w:sz w:val="21"/>
                <w:szCs w:val="21"/>
                <w:lang w:val="en-US"/>
              </w:rPr>
              <w:t>.</w:t>
            </w:r>
            <w:r>
              <w:rPr>
                <w:rFonts w:hint="eastAsia" w:ascii="Times New Roman" w:hAnsi="Times New Roman" w:cs="Times New Roman"/>
                <w:b/>
                <w:color w:val="auto"/>
                <w:sz w:val="21"/>
                <w:szCs w:val="21"/>
                <w:lang w:val="en-US" w:eastAsia="zh-CN"/>
              </w:rPr>
              <w:t>4</w:t>
            </w:r>
            <w:r>
              <w:rPr>
                <w:rFonts w:ascii="Times New Roman" w:hAnsi="Times New Roman" w:cs="Times New Roman"/>
                <w:b/>
                <w:color w:val="auto"/>
                <w:sz w:val="21"/>
                <w:szCs w:val="21"/>
              </w:rPr>
              <w:t xml:space="preserve">  湿拌砂浆性能指标</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350"/>
              <w:gridCol w:w="1268"/>
              <w:gridCol w:w="1282"/>
              <w:gridCol w:w="1479"/>
              <w:gridCol w:w="101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68" w:type="dxa"/>
                  <w:gridSpan w:val="2"/>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项目</w:t>
                  </w:r>
                </w:p>
              </w:tc>
              <w:tc>
                <w:tcPr>
                  <w:tcW w:w="1268" w:type="dxa"/>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湿拌砌筑砂浆</w:t>
                  </w:r>
                </w:p>
              </w:tc>
              <w:tc>
                <w:tcPr>
                  <w:tcW w:w="2761"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湿拌抹灰砂浆</w:t>
                  </w:r>
                </w:p>
              </w:tc>
              <w:tc>
                <w:tcPr>
                  <w:tcW w:w="1019" w:type="dxa"/>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湿拌地面砂浆</w:t>
                  </w:r>
                </w:p>
              </w:tc>
              <w:tc>
                <w:tcPr>
                  <w:tcW w:w="1189" w:type="dxa"/>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湿拌防水砂浆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268" w:type="dxa"/>
                  <w:gridSpan w:val="2"/>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c>
                <w:tcPr>
                  <w:tcW w:w="1268" w:type="dxa"/>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c>
                <w:tcPr>
                  <w:tcW w:w="1282" w:type="dxa"/>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普通抹灰砂浆</w:t>
                  </w:r>
                </w:p>
              </w:tc>
              <w:tc>
                <w:tcPr>
                  <w:tcW w:w="1479" w:type="dxa"/>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机喷抹灰砂浆</w:t>
                  </w:r>
                </w:p>
              </w:tc>
              <w:tc>
                <w:tcPr>
                  <w:tcW w:w="1019" w:type="dxa"/>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c>
                <w:tcPr>
                  <w:tcW w:w="1189" w:type="dxa"/>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保水率%</w:t>
                  </w:r>
                </w:p>
              </w:tc>
              <w:tc>
                <w:tcPr>
                  <w:tcW w:w="1268"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≥88.0</w:t>
                  </w:r>
                </w:p>
              </w:tc>
              <w:tc>
                <w:tcPr>
                  <w:tcW w:w="1282"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≥88.0</w:t>
                  </w:r>
                </w:p>
              </w:tc>
              <w:tc>
                <w:tcPr>
                  <w:tcW w:w="147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≥92.0</w:t>
                  </w:r>
                </w:p>
              </w:tc>
              <w:tc>
                <w:tcPr>
                  <w:tcW w:w="101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≥88.0</w:t>
                  </w:r>
                </w:p>
              </w:tc>
              <w:tc>
                <w:tcPr>
                  <w:tcW w:w="118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凝结时间h</w:t>
                  </w:r>
                </w:p>
              </w:tc>
              <w:tc>
                <w:tcPr>
                  <w:tcW w:w="1268"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282"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47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＜40</w:t>
                  </w:r>
                </w:p>
              </w:tc>
              <w:tc>
                <w:tcPr>
                  <w:tcW w:w="101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18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8"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14d拉伸粘结强度MPa</w:t>
                  </w:r>
                </w:p>
              </w:tc>
              <w:tc>
                <w:tcPr>
                  <w:tcW w:w="1268"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282"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M5：≥0.15</w:t>
                  </w:r>
                </w:p>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＞M5：≥0.20</w:t>
                  </w:r>
                </w:p>
              </w:tc>
              <w:tc>
                <w:tcPr>
                  <w:tcW w:w="147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≥0.20</w:t>
                  </w:r>
                </w:p>
              </w:tc>
              <w:tc>
                <w:tcPr>
                  <w:tcW w:w="101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18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gridSpan w:val="2"/>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28d收缩率</w:t>
                  </w:r>
                </w:p>
              </w:tc>
              <w:tc>
                <w:tcPr>
                  <w:tcW w:w="1268"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2761" w:type="dxa"/>
                  <w:gridSpan w:val="2"/>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≤0.20</w:t>
                  </w:r>
                </w:p>
              </w:tc>
              <w:tc>
                <w:tcPr>
                  <w:tcW w:w="101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1189" w:type="dxa"/>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8" w:type="dxa"/>
                  <w:vMerge w:val="restart"/>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抗冻性*</w:t>
                  </w:r>
                </w:p>
              </w:tc>
              <w:tc>
                <w:tcPr>
                  <w:tcW w:w="1350" w:type="dxa"/>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强度损失率%</w:t>
                  </w:r>
                </w:p>
              </w:tc>
              <w:tc>
                <w:tcPr>
                  <w:tcW w:w="6237" w:type="dxa"/>
                  <w:gridSpan w:val="5"/>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8" w:type="dxa"/>
                  <w:vMerge w:val="continue"/>
                  <w:vAlign w:val="center"/>
                </w:tcPr>
                <w:p>
                  <w:pPr>
                    <w:adjustRightInd w:val="0"/>
                    <w:snapToGrid w:val="0"/>
                    <w:ind w:left="-110" w:leftChars="-50" w:right="-110" w:rightChars="-50"/>
                    <w:jc w:val="center"/>
                    <w:rPr>
                      <w:rFonts w:ascii="Times New Roman" w:hAnsi="Times New Roman" w:cs="Times New Roman"/>
                      <w:b/>
                      <w:color w:val="auto"/>
                      <w:sz w:val="21"/>
                      <w:szCs w:val="21"/>
                    </w:rPr>
                  </w:pPr>
                </w:p>
              </w:tc>
              <w:tc>
                <w:tcPr>
                  <w:tcW w:w="1350" w:type="dxa"/>
                  <w:vAlign w:val="center"/>
                </w:tcPr>
                <w:p>
                  <w:pPr>
                    <w:adjustRightInd w:val="0"/>
                    <w:snapToGrid w:val="0"/>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质量损失率</w:t>
                  </w:r>
                </w:p>
              </w:tc>
              <w:tc>
                <w:tcPr>
                  <w:tcW w:w="6237" w:type="dxa"/>
                  <w:gridSpan w:val="5"/>
                  <w:vAlign w:val="center"/>
                </w:tcPr>
                <w:p>
                  <w:pPr>
                    <w:adjustRightInd w:val="0"/>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5" w:type="dxa"/>
                  <w:gridSpan w:val="7"/>
                  <w:vAlign w:val="center"/>
                </w:tcPr>
                <w:p>
                  <w:pPr>
                    <w:adjustRightInd w:val="0"/>
                    <w:snapToGrid w:val="0"/>
                    <w:ind w:left="-110" w:leftChars="-50" w:right="-110" w:rightChars="-50"/>
                    <w:rPr>
                      <w:rFonts w:ascii="Times New Roman" w:hAnsi="Times New Roman" w:cs="Times New Roman"/>
                      <w:color w:val="auto"/>
                      <w:sz w:val="21"/>
                      <w:szCs w:val="21"/>
                    </w:rPr>
                  </w:pPr>
                  <w:r>
                    <w:rPr>
                      <w:rFonts w:ascii="Times New Roman" w:hAnsi="Times New Roman" w:cs="Times New Roman"/>
                      <w:color w:val="auto"/>
                      <w:sz w:val="21"/>
                      <w:szCs w:val="21"/>
                    </w:rPr>
                    <w:t>*有抗冻性要求是，应进行抗冻性试验。</w:t>
                  </w:r>
                </w:p>
              </w:tc>
            </w:tr>
          </w:tbl>
          <w:p>
            <w:pPr>
              <w:autoSpaceDE/>
              <w:autoSpaceDN/>
              <w:spacing w:line="400" w:lineRule="exact"/>
              <w:ind w:left="110" w:leftChars="50" w:firstLine="421" w:firstLineChars="200"/>
              <w:rPr>
                <w:rFonts w:ascii="Times New Roman" w:hAnsi="Times New Roman" w:cs="Times New Roman"/>
                <w:b/>
                <w:bCs/>
                <w:color w:val="auto"/>
                <w:sz w:val="21"/>
              </w:rPr>
            </w:pPr>
            <w:r>
              <w:rPr>
                <w:rFonts w:ascii="Times New Roman" w:hAnsi="Times New Roman" w:cs="Times New Roman"/>
                <w:b/>
                <w:bCs/>
                <w:color w:val="auto"/>
                <w:sz w:val="21"/>
                <w:lang w:val="en-US"/>
              </w:rPr>
              <w:t>9、</w:t>
            </w:r>
            <w:r>
              <w:rPr>
                <w:rFonts w:ascii="Times New Roman" w:hAnsi="Times New Roman" w:cs="Times New Roman"/>
                <w:b/>
                <w:bCs/>
                <w:color w:val="auto"/>
                <w:sz w:val="21"/>
              </w:rPr>
              <w:t>主要生产设备</w:t>
            </w:r>
          </w:p>
          <w:p>
            <w:pPr>
              <w:pStyle w:val="11"/>
              <w:autoSpaceDE/>
              <w:autoSpaceDN/>
              <w:spacing w:line="400" w:lineRule="exact"/>
              <w:ind w:left="110" w:lef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rPr>
              <w:t>建设一条湿拌</w:t>
            </w:r>
            <w:r>
              <w:rPr>
                <w:rFonts w:ascii="Times New Roman" w:hAnsi="Times New Roman" w:cs="Times New Roman"/>
                <w:color w:val="auto"/>
                <w:sz w:val="21"/>
                <w:szCs w:val="21"/>
              </w:rPr>
              <w:t>砂浆生产线</w:t>
            </w:r>
            <w:r>
              <w:rPr>
                <w:rFonts w:hint="eastAsia" w:ascii="Times New Roman" w:hAnsi="Times New Roman" w:cs="Times New Roman"/>
                <w:color w:val="auto"/>
                <w:sz w:val="21"/>
                <w:szCs w:val="21"/>
              </w:rPr>
              <w:t>，</w:t>
            </w:r>
            <w:r>
              <w:rPr>
                <w:rFonts w:ascii="Times New Roman" w:hAnsi="Times New Roman" w:cs="Times New Roman"/>
                <w:color w:val="auto"/>
                <w:sz w:val="21"/>
                <w:szCs w:val="21"/>
              </w:rPr>
              <w:t>主要生产设备</w:t>
            </w:r>
            <w:r>
              <w:rPr>
                <w:rFonts w:hint="eastAsia" w:ascii="Times New Roman" w:hAnsi="Times New Roman" w:cs="Times New Roman"/>
                <w:color w:val="auto"/>
                <w:sz w:val="21"/>
                <w:szCs w:val="21"/>
                <w:lang w:eastAsia="zh-CN"/>
              </w:rPr>
              <w:t>利用原预制构件生产线设备，</w:t>
            </w:r>
            <w:r>
              <w:rPr>
                <w:rFonts w:ascii="Times New Roman" w:hAnsi="Times New Roman" w:cs="Times New Roman"/>
                <w:color w:val="auto"/>
                <w:sz w:val="21"/>
                <w:szCs w:val="21"/>
              </w:rPr>
              <w:t>明细表如下：</w:t>
            </w:r>
          </w:p>
          <w:p>
            <w:pPr>
              <w:autoSpaceDE/>
              <w:autoSpaceDN/>
              <w:spacing w:line="400" w:lineRule="exact"/>
              <w:jc w:val="center"/>
              <w:rPr>
                <w:rFonts w:ascii="Times New Roman" w:hAnsi="Times New Roman" w:cs="Times New Roman"/>
                <w:b/>
                <w:bCs/>
                <w:color w:val="auto"/>
                <w:sz w:val="21"/>
                <w:lang w:val="en-US"/>
              </w:rPr>
            </w:pPr>
            <w:r>
              <w:rPr>
                <w:rFonts w:hint="eastAsia" w:ascii="Times New Roman" w:hAnsi="Times New Roman" w:cs="Times New Roman"/>
                <w:b/>
                <w:bCs/>
                <w:color w:val="auto"/>
                <w:sz w:val="21"/>
                <w:szCs w:val="21"/>
                <w:lang w:val="en-US"/>
              </w:rPr>
              <w:t>表2.</w:t>
            </w:r>
            <w:r>
              <w:rPr>
                <w:rFonts w:hint="eastAsia" w:ascii="Times New Roman" w:hAnsi="Times New Roman" w:cs="Times New Roman"/>
                <w:b/>
                <w:bCs/>
                <w:color w:val="auto"/>
                <w:sz w:val="21"/>
                <w:szCs w:val="21"/>
                <w:lang w:val="en-US" w:eastAsia="zh-CN"/>
              </w:rPr>
              <w:t>5</w:t>
            </w:r>
            <w:r>
              <w:rPr>
                <w:rFonts w:hint="eastAsia" w:ascii="Times New Roman" w:hAnsi="Times New Roman" w:cs="Times New Roman"/>
                <w:b/>
                <w:bCs/>
                <w:color w:val="auto"/>
                <w:sz w:val="21"/>
                <w:szCs w:val="21"/>
                <w:lang w:val="en-US"/>
              </w:rPr>
              <w:t xml:space="preserve"> 本项目生产</w:t>
            </w:r>
            <w:r>
              <w:rPr>
                <w:rFonts w:ascii="Times New Roman" w:hAnsi="Times New Roman" w:cs="Times New Roman"/>
                <w:b/>
                <w:bCs/>
                <w:color w:val="auto"/>
                <w:sz w:val="21"/>
                <w:szCs w:val="21"/>
                <w:lang w:val="en-US"/>
              </w:rPr>
              <w:t>设备一览表</w:t>
            </w:r>
          </w:p>
          <w:tbl>
            <w:tblPr>
              <w:tblStyle w:val="32"/>
              <w:tblW w:w="488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03"/>
              <w:gridCol w:w="492"/>
              <w:gridCol w:w="2252"/>
              <w:gridCol w:w="2279"/>
              <w:gridCol w:w="1616"/>
              <w:gridCol w:w="16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tcBorders>
                    <w:tl2br w:val="nil"/>
                    <w:tr2bl w:val="nil"/>
                  </w:tcBorders>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549" w:type="pct"/>
                  <w:gridSpan w:val="2"/>
                  <w:tcBorders>
                    <w:tl2br w:val="nil"/>
                    <w:tr2bl w:val="nil"/>
                  </w:tcBorders>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设备名称</w:t>
                  </w:r>
                </w:p>
              </w:tc>
              <w:tc>
                <w:tcPr>
                  <w:tcW w:w="1286" w:type="pct"/>
                  <w:tcBorders>
                    <w:tl2br w:val="nil"/>
                    <w:tr2bl w:val="nil"/>
                  </w:tcBorders>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规格型号</w:t>
                  </w:r>
                </w:p>
              </w:tc>
              <w:tc>
                <w:tcPr>
                  <w:tcW w:w="912" w:type="pct"/>
                  <w:tcBorders>
                    <w:tl2br w:val="nil"/>
                    <w:tr2bl w:val="nil"/>
                  </w:tcBorders>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数量（台）</w:t>
                  </w:r>
                </w:p>
              </w:tc>
              <w:tc>
                <w:tcPr>
                  <w:tcW w:w="911" w:type="pct"/>
                  <w:tcBorders>
                    <w:tl2br w:val="nil"/>
                    <w:tr2bl w:val="nil"/>
                  </w:tcBorders>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277"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配料站</w:t>
                  </w: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粉料仓（仓体及支腿）</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200t（焊接式）（2.4*23）</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粉料仓用于存放粉料</w:t>
                  </w: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脉冲布袋除尘器</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过滤面积：22m</w:t>
                  </w:r>
                  <w:r>
                    <w:rPr>
                      <w:rFonts w:ascii="Times New Roman" w:hAnsi="Times New Roman" w:cs="Times New Roman"/>
                      <w:color w:val="auto"/>
                      <w:sz w:val="21"/>
                      <w:szCs w:val="21"/>
                      <w:vertAlign w:val="superscript"/>
                    </w:rPr>
                    <w:t>2</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储料仓</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25m</w:t>
                  </w:r>
                  <w:r>
                    <w:rPr>
                      <w:rFonts w:ascii="Times New Roman" w:hAnsi="Times New Roman" w:cs="Times New Roman"/>
                      <w:color w:val="auto"/>
                      <w:sz w:val="21"/>
                      <w:szCs w:val="21"/>
                      <w:vertAlign w:val="superscript"/>
                    </w:rPr>
                    <w:t>3</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911" w:type="pct"/>
                  <w:tcBorders>
                    <w:tl2br w:val="nil"/>
                    <w:tr2bl w:val="nil"/>
                  </w:tcBorders>
                </w:tcPr>
                <w:p>
                  <w:pPr>
                    <w:adjustRightInd w:val="0"/>
                    <w:jc w:val="center"/>
                    <w:rPr>
                      <w:rFonts w:hint="eastAsia" w:ascii="Times New Roman" w:hAnsi="Times New Roman" w:eastAsia="宋体" w:cs="Times New Roman"/>
                      <w:color w:val="auto"/>
                      <w:sz w:val="21"/>
                      <w:szCs w:val="21"/>
                      <w:lang w:eastAsia="zh-CN"/>
                    </w:rPr>
                  </w:pPr>
                  <w:r>
                    <w:rPr>
                      <w:rFonts w:ascii="Times New Roman" w:hAnsi="Times New Roman" w:cs="Times New Roman"/>
                      <w:color w:val="auto"/>
                      <w:sz w:val="21"/>
                      <w:szCs w:val="21"/>
                    </w:rPr>
                    <w:t>储料仓用于存放称量好的</w:t>
                  </w:r>
                  <w:r>
                    <w:rPr>
                      <w:rFonts w:hint="eastAsia" w:ascii="Times New Roman" w:hAnsi="Times New Roman" w:cs="Times New Roman"/>
                      <w:color w:val="auto"/>
                      <w:sz w:val="21"/>
                      <w:szCs w:val="21"/>
                      <w:lang w:eastAsia="zh-CN"/>
                    </w:rPr>
                    <w:t>骨料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计量斗</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2.5m</w:t>
                  </w:r>
                  <w:r>
                    <w:rPr>
                      <w:rFonts w:ascii="Times New Roman" w:hAnsi="Times New Roman" w:cs="Times New Roman"/>
                      <w:color w:val="auto"/>
                      <w:sz w:val="21"/>
                      <w:szCs w:val="21"/>
                      <w:vertAlign w:val="superscript"/>
                    </w:rPr>
                    <w:t>3</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称重传感器</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2000kg</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12</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输送带</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1000mm</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砂石分离机</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277"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主机</w:t>
                  </w: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输送带</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1000mm</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搅拌机</w:t>
                  </w:r>
                </w:p>
              </w:tc>
              <w:tc>
                <w:tcPr>
                  <w:tcW w:w="1286" w:type="pct"/>
                  <w:tcBorders>
                    <w:tl2br w:val="nil"/>
                    <w:tr2bl w:val="nil"/>
                  </w:tcBorders>
                  <w:vAlign w:val="center"/>
                </w:tcPr>
                <w:p>
                  <w:pPr>
                    <w:pStyle w:val="52"/>
                    <w:kinsoku w:val="0"/>
                    <w:overflowPunct w:val="0"/>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HZS25</w:t>
                  </w:r>
                </w:p>
              </w:tc>
              <w:tc>
                <w:tcPr>
                  <w:tcW w:w="912" w:type="pct"/>
                  <w:tcBorders>
                    <w:tl2br w:val="nil"/>
                    <w:tr2bl w:val="nil"/>
                  </w:tcBorders>
                  <w:vAlign w:val="center"/>
                </w:tcPr>
                <w:p>
                  <w:pPr>
                    <w:widowControl/>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1</w:t>
                  </w:r>
                </w:p>
              </w:tc>
              <w:tc>
                <w:tcPr>
                  <w:tcW w:w="911" w:type="pct"/>
                  <w:tcBorders>
                    <w:tl2br w:val="nil"/>
                    <w:tr2bl w:val="nil"/>
                  </w:tcBorders>
                </w:tcPr>
                <w:p>
                  <w:pPr>
                    <w:adjustRightIn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更新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277"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水泥计量</w:t>
                  </w: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计量斗</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1.5m</w:t>
                  </w:r>
                  <w:r>
                    <w:rPr>
                      <w:rFonts w:ascii="Times New Roman" w:hAnsi="Times New Roman" w:cs="Times New Roman"/>
                      <w:color w:val="auto"/>
                      <w:sz w:val="21"/>
                      <w:szCs w:val="21"/>
                      <w:vertAlign w:val="superscript"/>
                    </w:rPr>
                    <w:t>3</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称重传感器</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1000kg</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277"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粉料计量</w:t>
                  </w: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计量斗</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1.5m</w:t>
                  </w:r>
                  <w:r>
                    <w:rPr>
                      <w:rFonts w:ascii="Times New Roman" w:hAnsi="Times New Roman" w:cs="Times New Roman"/>
                      <w:color w:val="auto"/>
                      <w:sz w:val="21"/>
                      <w:szCs w:val="21"/>
                      <w:vertAlign w:val="superscript"/>
                    </w:rPr>
                    <w:t>3</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称重传感器</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1000kg</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277"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水计量及供水系统</w:t>
                  </w: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计量斗</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0.8m</w:t>
                  </w:r>
                  <w:r>
                    <w:rPr>
                      <w:rFonts w:ascii="Times New Roman" w:hAnsi="Times New Roman" w:cs="Times New Roman"/>
                      <w:color w:val="auto"/>
                      <w:sz w:val="21"/>
                      <w:szCs w:val="21"/>
                      <w:vertAlign w:val="superscript"/>
                    </w:rPr>
                    <w:t>3</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供水管路</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称重传感器</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1000kg</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水泵</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277"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外加剂计量系统</w:t>
                  </w: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计量斗</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0.1m</w:t>
                  </w:r>
                  <w:r>
                    <w:rPr>
                      <w:rFonts w:ascii="Times New Roman" w:hAnsi="Times New Roman" w:cs="Times New Roman"/>
                      <w:color w:val="auto"/>
                      <w:sz w:val="21"/>
                      <w:szCs w:val="21"/>
                      <w:vertAlign w:val="superscript"/>
                    </w:rPr>
                    <w:t>3</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供液管路</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储液箱</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10m</w:t>
                  </w:r>
                  <w:r>
                    <w:rPr>
                      <w:rFonts w:ascii="Times New Roman" w:hAnsi="Times New Roman" w:cs="Times New Roman"/>
                      <w:color w:val="auto"/>
                      <w:sz w:val="21"/>
                      <w:szCs w:val="21"/>
                      <w:vertAlign w:val="superscript"/>
                    </w:rPr>
                    <w:t>3</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称重传感器</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200kg</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外加剂防腐泵</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277"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气路系统</w:t>
                  </w: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空压机</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277" w:type="pct"/>
                  <w:vMerge w:val="restar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主楼</w:t>
                  </w: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待料斗</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双气缸</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277" w:type="pct"/>
                  <w:vMerge w:val="continue"/>
                  <w:tcBorders>
                    <w:tl2br w:val="nil"/>
                    <w:tr2bl w:val="nil"/>
                  </w:tcBorders>
                  <w:vAlign w:val="center"/>
                </w:tcPr>
                <w:p>
                  <w:pPr>
                    <w:adjustRightInd w:val="0"/>
                    <w:jc w:val="center"/>
                    <w:rPr>
                      <w:rFonts w:ascii="Times New Roman" w:hAnsi="Times New Roman" w:cs="Times New Roman"/>
                      <w:color w:val="auto"/>
                      <w:sz w:val="21"/>
                      <w:szCs w:val="21"/>
                    </w:rPr>
                  </w:pP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卸料斗</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11"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4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9</w:t>
                  </w:r>
                </w:p>
              </w:tc>
              <w:tc>
                <w:tcPr>
                  <w:tcW w:w="277"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螺旋机</w:t>
                  </w:r>
                </w:p>
              </w:tc>
              <w:tc>
                <w:tcPr>
                  <w:tcW w:w="1271"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螺旋输送机</w:t>
                  </w:r>
                </w:p>
              </w:tc>
              <w:tc>
                <w:tcPr>
                  <w:tcW w:w="1286"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Φ273mm</w:t>
                  </w:r>
                </w:p>
              </w:tc>
              <w:tc>
                <w:tcPr>
                  <w:tcW w:w="912" w:type="pct"/>
                  <w:tcBorders>
                    <w:tl2br w:val="nil"/>
                    <w:tr2bl w:val="nil"/>
                  </w:tcBorders>
                  <w:vAlign w:val="center"/>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4</w:t>
                  </w:r>
                </w:p>
              </w:tc>
              <w:tc>
                <w:tcPr>
                  <w:tcW w:w="911" w:type="pct"/>
                  <w:tcBorders>
                    <w:tl2br w:val="nil"/>
                    <w:tr2bl w:val="nil"/>
                  </w:tcBorders>
                  <w:vAlign w:val="center"/>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利旧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176" w:type="pct"/>
                  <w:gridSpan w:val="4"/>
                  <w:tcBorders>
                    <w:tl2br w:val="nil"/>
                    <w:tr2bl w:val="nil"/>
                  </w:tcBorders>
                  <w:vAlign w:val="center"/>
                </w:tcPr>
                <w:p>
                  <w:pPr>
                    <w:adjustRightInd w:val="0"/>
                    <w:jc w:val="center"/>
                    <w:rPr>
                      <w:rFonts w:ascii="Times New Roman" w:hAnsi="Times New Roman" w:cs="Times New Roman"/>
                      <w:color w:val="auto"/>
                      <w:sz w:val="21"/>
                      <w:szCs w:val="21"/>
                    </w:rPr>
                  </w:pPr>
                  <w:r>
                    <w:rPr>
                      <w:rFonts w:hint="eastAsia" w:ascii="Times New Roman" w:hAnsi="Times New Roman" w:cs="Times New Roman"/>
                      <w:b/>
                      <w:bCs/>
                      <w:color w:val="auto"/>
                      <w:sz w:val="21"/>
                      <w:szCs w:val="21"/>
                    </w:rPr>
                    <w:t>总计</w:t>
                  </w:r>
                </w:p>
              </w:tc>
              <w:tc>
                <w:tcPr>
                  <w:tcW w:w="1823" w:type="pct"/>
                  <w:gridSpan w:val="2"/>
                  <w:tcBorders>
                    <w:tl2br w:val="nil"/>
                    <w:tr2bl w:val="nil"/>
                  </w:tcBorders>
                  <w:vAlign w:val="center"/>
                </w:tcPr>
                <w:p>
                  <w:pPr>
                    <w:adjustRightIn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61</w:t>
                  </w:r>
                </w:p>
              </w:tc>
            </w:tr>
          </w:tbl>
          <w:p>
            <w:pPr>
              <w:autoSpaceDE/>
              <w:autoSpaceDN/>
              <w:spacing w:line="400" w:lineRule="exact"/>
              <w:jc w:val="center"/>
              <w:rPr>
                <w:rFonts w:ascii="Times New Roman" w:hAnsi="Times New Roman" w:cs="Times New Roman"/>
                <w:b/>
                <w:bCs/>
                <w:color w:val="auto"/>
                <w:sz w:val="21"/>
                <w:lang w:val="en-US"/>
              </w:rPr>
            </w:pPr>
            <w:r>
              <w:rPr>
                <w:rFonts w:hint="eastAsia" w:ascii="Times New Roman" w:hAnsi="Times New Roman" w:cs="Times New Roman"/>
                <w:b/>
                <w:bCs/>
                <w:color w:val="auto"/>
                <w:sz w:val="21"/>
                <w:szCs w:val="21"/>
                <w:lang w:val="en-US"/>
              </w:rPr>
              <w:t>表2.</w:t>
            </w:r>
            <w:r>
              <w:rPr>
                <w:rFonts w:hint="eastAsia" w:ascii="Times New Roman" w:hAnsi="Times New Roman" w:cs="Times New Roman"/>
                <w:b/>
                <w:bCs/>
                <w:color w:val="auto"/>
                <w:sz w:val="21"/>
                <w:szCs w:val="21"/>
                <w:lang w:val="en-US" w:eastAsia="zh-CN"/>
              </w:rPr>
              <w:t>6</w:t>
            </w:r>
            <w:r>
              <w:rPr>
                <w:rFonts w:hint="eastAsia" w:ascii="Times New Roman" w:hAnsi="Times New Roman" w:cs="Times New Roman"/>
                <w:b/>
                <w:bCs/>
                <w:color w:val="auto"/>
                <w:sz w:val="21"/>
                <w:szCs w:val="21"/>
                <w:lang w:val="en-US"/>
              </w:rPr>
              <w:t xml:space="preserve"> </w:t>
            </w:r>
            <w:r>
              <w:rPr>
                <w:rFonts w:hint="eastAsia"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rPr>
              <w:t>现有混凝土生产项目生产</w:t>
            </w:r>
            <w:r>
              <w:rPr>
                <w:rFonts w:ascii="Times New Roman" w:hAnsi="Times New Roman" w:cs="Times New Roman"/>
                <w:b/>
                <w:bCs/>
                <w:color w:val="auto"/>
                <w:sz w:val="21"/>
                <w:szCs w:val="21"/>
                <w:lang w:val="en-US"/>
              </w:rPr>
              <w:t>设备一览表</w:t>
            </w:r>
          </w:p>
          <w:tbl>
            <w:tblPr>
              <w:tblStyle w:val="32"/>
              <w:tblW w:w="49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41"/>
              <w:gridCol w:w="2398"/>
              <w:gridCol w:w="2421"/>
              <w:gridCol w:w="1718"/>
              <w:gridCol w:w="17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60" w:type="pct"/>
                  <w:tcBorders>
                    <w:tl2br w:val="nil"/>
                    <w:tr2bl w:val="nil"/>
                  </w:tcBorders>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347" w:type="pct"/>
                  <w:tcBorders>
                    <w:tl2br w:val="nil"/>
                    <w:tr2bl w:val="nil"/>
                  </w:tcBorders>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设备名称</w:t>
                  </w:r>
                </w:p>
              </w:tc>
              <w:tc>
                <w:tcPr>
                  <w:tcW w:w="1360" w:type="pct"/>
                  <w:tcBorders>
                    <w:tl2br w:val="nil"/>
                    <w:tr2bl w:val="nil"/>
                  </w:tcBorders>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规格型号</w:t>
                  </w:r>
                </w:p>
              </w:tc>
              <w:tc>
                <w:tcPr>
                  <w:tcW w:w="965" w:type="pct"/>
                  <w:tcBorders>
                    <w:tl2br w:val="nil"/>
                    <w:tr2bl w:val="nil"/>
                  </w:tcBorders>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数量（台）</w:t>
                  </w:r>
                </w:p>
              </w:tc>
              <w:tc>
                <w:tcPr>
                  <w:tcW w:w="964" w:type="pct"/>
                  <w:tcBorders>
                    <w:tl2br w:val="nil"/>
                    <w:tr2bl w:val="nil"/>
                  </w:tcBorders>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6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347"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混凝土搅拌机</w:t>
                  </w:r>
                </w:p>
              </w:tc>
              <w:tc>
                <w:tcPr>
                  <w:tcW w:w="136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HZS180</w:t>
                  </w:r>
                </w:p>
              </w:tc>
              <w:tc>
                <w:tcPr>
                  <w:tcW w:w="965"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64"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36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347"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砂石分离机</w:t>
                  </w:r>
                </w:p>
              </w:tc>
              <w:tc>
                <w:tcPr>
                  <w:tcW w:w="136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ESF30</w:t>
                  </w:r>
                </w:p>
              </w:tc>
              <w:tc>
                <w:tcPr>
                  <w:tcW w:w="965"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964" w:type="pct"/>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6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347"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铲车</w:t>
                  </w:r>
                </w:p>
              </w:tc>
              <w:tc>
                <w:tcPr>
                  <w:tcW w:w="136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LG855D</w:t>
                  </w:r>
                </w:p>
              </w:tc>
              <w:tc>
                <w:tcPr>
                  <w:tcW w:w="965"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615" w:type="dxa"/>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6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347"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搅拌运输车</w:t>
                  </w:r>
                </w:p>
              </w:tc>
              <w:tc>
                <w:tcPr>
                  <w:tcW w:w="1360" w:type="pct"/>
                  <w:tcBorders>
                    <w:tl2br w:val="nil"/>
                    <w:tr2bl w:val="nil"/>
                  </w:tcBorders>
                  <w:vAlign w:val="center"/>
                </w:tcPr>
                <w:p>
                  <w:pPr>
                    <w:adjustRightIn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65"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25</w:t>
                  </w:r>
                </w:p>
              </w:tc>
              <w:tc>
                <w:tcPr>
                  <w:tcW w:w="1615" w:type="dxa"/>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6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1347"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混凝土泵送车</w:t>
                  </w:r>
                </w:p>
              </w:tc>
              <w:tc>
                <w:tcPr>
                  <w:tcW w:w="1360" w:type="pct"/>
                  <w:tcBorders>
                    <w:tl2br w:val="nil"/>
                    <w:tr2bl w:val="nil"/>
                  </w:tcBorders>
                  <w:vAlign w:val="center"/>
                </w:tcPr>
                <w:p>
                  <w:pPr>
                    <w:adjustRightIn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65"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615" w:type="dxa"/>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6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1347"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水泥储罐</w:t>
                  </w:r>
                </w:p>
              </w:tc>
              <w:tc>
                <w:tcPr>
                  <w:tcW w:w="136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200m</w:t>
                  </w:r>
                  <w:r>
                    <w:rPr>
                      <w:rFonts w:ascii="Times New Roman" w:hAnsi="Times New Roman" w:cs="Times New Roman"/>
                      <w:color w:val="auto"/>
                      <w:sz w:val="21"/>
                      <w:szCs w:val="21"/>
                      <w:vertAlign w:val="superscript"/>
                    </w:rPr>
                    <w:t>3</w:t>
                  </w:r>
                </w:p>
              </w:tc>
              <w:tc>
                <w:tcPr>
                  <w:tcW w:w="965"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615" w:type="dxa"/>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6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1347"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电子汽车衡</w:t>
                  </w:r>
                </w:p>
              </w:tc>
              <w:tc>
                <w:tcPr>
                  <w:tcW w:w="1360" w:type="pct"/>
                  <w:tcBorders>
                    <w:tl2br w:val="nil"/>
                    <w:tr2bl w:val="nil"/>
                  </w:tcBorders>
                  <w:vAlign w:val="center"/>
                </w:tcPr>
                <w:p>
                  <w:pPr>
                    <w:adjustRightIn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65"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615" w:type="dxa"/>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 w:hRule="atLeast"/>
                <w:jc w:val="center"/>
              </w:trPr>
              <w:tc>
                <w:tcPr>
                  <w:tcW w:w="360"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1347"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车辆冲洗平台</w:t>
                  </w:r>
                </w:p>
              </w:tc>
              <w:tc>
                <w:tcPr>
                  <w:tcW w:w="1360" w:type="pct"/>
                  <w:tcBorders>
                    <w:tl2br w:val="nil"/>
                    <w:tr2bl w:val="nil"/>
                  </w:tcBorders>
                  <w:vAlign w:val="center"/>
                </w:tcPr>
                <w:p>
                  <w:pPr>
                    <w:adjustRightIn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65" w:type="pct"/>
                  <w:tcBorders>
                    <w:tl2br w:val="nil"/>
                    <w:tr2bl w:val="nil"/>
                  </w:tcBorders>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615" w:type="dxa"/>
                  <w:tcBorders>
                    <w:tl2br w:val="nil"/>
                    <w:tr2bl w:val="nil"/>
                  </w:tcBorders>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bl>
          <w:p>
            <w:pPr>
              <w:pStyle w:val="52"/>
              <w:spacing w:line="440" w:lineRule="exact"/>
              <w:ind w:left="110" w:leftChars="50" w:firstLine="421" w:firstLineChars="200"/>
              <w:jc w:val="both"/>
              <w:rPr>
                <w:rFonts w:ascii="Times New Roman" w:hAnsi="Times New Roman" w:cs="Times New Roman"/>
                <w:b/>
                <w:bCs/>
                <w:color w:val="auto"/>
                <w:sz w:val="21"/>
                <w:lang w:val="en-US"/>
              </w:rPr>
            </w:pPr>
            <w:r>
              <w:rPr>
                <w:rFonts w:ascii="Times New Roman" w:hAnsi="Times New Roman" w:cs="Times New Roman"/>
                <w:b/>
                <w:bCs/>
                <w:color w:val="auto"/>
                <w:sz w:val="21"/>
                <w:lang w:val="en-US"/>
              </w:rPr>
              <w:t>10、原辅材料消耗量</w:t>
            </w:r>
          </w:p>
          <w:p>
            <w:pPr>
              <w:pStyle w:val="52"/>
              <w:spacing w:line="440" w:lineRule="exact"/>
              <w:ind w:firstLine="420" w:firstLineChars="200"/>
              <w:jc w:val="both"/>
              <w:rPr>
                <w:rFonts w:ascii="Times New Roman" w:hAnsi="Times New Roman" w:cs="Times New Roman"/>
                <w:color w:val="auto"/>
                <w:sz w:val="21"/>
                <w:lang w:val="en-US"/>
              </w:rPr>
            </w:pPr>
            <w:r>
              <w:rPr>
                <w:rFonts w:ascii="Times New Roman" w:hAnsi="Times New Roman" w:cs="Times New Roman"/>
                <w:color w:val="auto"/>
                <w:sz w:val="21"/>
                <w:lang w:val="en-US"/>
              </w:rPr>
              <w:t>项目</w:t>
            </w:r>
            <w:r>
              <w:rPr>
                <w:rStyle w:val="39"/>
                <w:rFonts w:hint="eastAsia"/>
                <w:color w:val="auto"/>
              </w:rPr>
              <w:t>实施前后</w:t>
            </w:r>
            <w:r>
              <w:rPr>
                <w:rFonts w:ascii="Times New Roman" w:hAnsi="Times New Roman" w:cs="Times New Roman"/>
                <w:color w:val="auto"/>
                <w:sz w:val="21"/>
                <w:lang w:val="en-US"/>
              </w:rPr>
              <w:t>主要原材料及能源消耗情况见下表。</w:t>
            </w:r>
          </w:p>
          <w:p>
            <w:pPr>
              <w:autoSpaceDE/>
              <w:autoSpaceDN/>
              <w:spacing w:line="440" w:lineRule="exact"/>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表2</w:t>
            </w:r>
            <w:r>
              <w:rPr>
                <w:rFonts w:hint="eastAsia" w:ascii="Times New Roman" w:hAnsi="Times New Roman" w:cs="Times New Roman"/>
                <w:b/>
                <w:bCs/>
                <w:color w:val="auto"/>
                <w:sz w:val="21"/>
                <w:szCs w:val="21"/>
                <w:lang w:val="en-US" w:eastAsia="zh-CN"/>
              </w:rPr>
              <w:t>.7</w:t>
            </w:r>
            <w:r>
              <w:rPr>
                <w:rFonts w:ascii="Times New Roman" w:hAnsi="Times New Roman" w:cs="Times New Roman"/>
                <w:b/>
                <w:bCs/>
                <w:color w:val="auto"/>
                <w:sz w:val="21"/>
                <w:szCs w:val="21"/>
                <w:lang w:val="en-US"/>
              </w:rPr>
              <w:t xml:space="preserve">  项目主要原辅材料消耗变化情况一览表</w:t>
            </w:r>
          </w:p>
          <w:tbl>
            <w:tblPr>
              <w:tblStyle w:val="32"/>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494"/>
              <w:gridCol w:w="675"/>
              <w:gridCol w:w="2263"/>
              <w:gridCol w:w="2049"/>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41" w:type="dxa"/>
                  <w:tcBorders>
                    <w:tl2br w:val="nil"/>
                    <w:tr2bl w:val="nil"/>
                  </w:tcBorders>
                  <w:vAlign w:val="center"/>
                </w:tcPr>
                <w:p>
                  <w:pPr>
                    <w:widowControl/>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1169" w:type="dxa"/>
                  <w:gridSpan w:val="2"/>
                  <w:tcBorders>
                    <w:tl2br w:val="nil"/>
                    <w:tr2bl w:val="nil"/>
                  </w:tcBorders>
                  <w:vAlign w:val="center"/>
                </w:tcPr>
                <w:p>
                  <w:pPr>
                    <w:widowControl/>
                    <w:autoSpaceDE/>
                    <w:autoSpaceDN/>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名称</w:t>
                  </w:r>
                </w:p>
              </w:tc>
              <w:tc>
                <w:tcPr>
                  <w:tcW w:w="2263" w:type="dxa"/>
                  <w:tcBorders>
                    <w:tl2br w:val="nil"/>
                    <w:tr2bl w:val="nil"/>
                  </w:tcBorders>
                  <w:vAlign w:val="center"/>
                </w:tcPr>
                <w:p>
                  <w:pPr>
                    <w:ind w:left="-110" w:leftChars="-50" w:right="-110" w:rightChars="-50"/>
                    <w:jc w:val="center"/>
                    <w:rPr>
                      <w:rFonts w:ascii="Times New Roman" w:hAnsi="Times New Roman" w:cs="Times New Roman"/>
                      <w:b/>
                      <w:bCs/>
                      <w:color w:val="auto"/>
                      <w:sz w:val="21"/>
                      <w:szCs w:val="21"/>
                      <w:lang w:val="en-US" w:bidi="ar"/>
                    </w:rPr>
                  </w:pPr>
                  <w:r>
                    <w:rPr>
                      <w:rFonts w:hint="eastAsia" w:ascii="Times New Roman" w:hAnsi="Times New Roman" w:cs="Times New Roman"/>
                      <w:b/>
                      <w:bCs/>
                      <w:color w:val="auto"/>
                      <w:sz w:val="21"/>
                      <w:szCs w:val="21"/>
                    </w:rPr>
                    <w:t>本项目消耗量</w:t>
                  </w:r>
                </w:p>
              </w:tc>
              <w:tc>
                <w:tcPr>
                  <w:tcW w:w="2049" w:type="dxa"/>
                  <w:tcBorders>
                    <w:tl2br w:val="nil"/>
                    <w:tr2bl w:val="nil"/>
                  </w:tcBorders>
                  <w:shd w:val="clear" w:color="auto" w:fill="auto"/>
                  <w:vAlign w:val="center"/>
                </w:tcPr>
                <w:p>
                  <w:pPr>
                    <w:ind w:left="-110" w:leftChars="-50" w:right="-110" w:rightChars="-50"/>
                    <w:jc w:val="center"/>
                    <w:rPr>
                      <w:rFonts w:hint="eastAsia" w:ascii="Times New Roman" w:hAnsi="Times New Roman" w:eastAsia="宋体" w:cs="Times New Roman"/>
                      <w:b/>
                      <w:bCs/>
                      <w:color w:val="auto"/>
                      <w:sz w:val="21"/>
                      <w:szCs w:val="21"/>
                      <w:lang w:val="en-US" w:eastAsia="zh-CN" w:bidi="ar"/>
                    </w:rPr>
                  </w:pPr>
                  <w:r>
                    <w:rPr>
                      <w:rFonts w:hint="eastAsia" w:ascii="Times New Roman" w:hAnsi="Times New Roman" w:cs="Times New Roman"/>
                      <w:b/>
                      <w:bCs/>
                      <w:color w:val="auto"/>
                      <w:sz w:val="21"/>
                      <w:szCs w:val="21"/>
                    </w:rPr>
                    <w:t>扩建后</w:t>
                  </w:r>
                </w:p>
              </w:tc>
              <w:tc>
                <w:tcPr>
                  <w:tcW w:w="2876" w:type="dxa"/>
                  <w:tcBorders>
                    <w:tl2br w:val="nil"/>
                    <w:tr2bl w:val="nil"/>
                  </w:tcBorders>
                  <w:vAlign w:val="center"/>
                </w:tcPr>
                <w:p>
                  <w:pPr>
                    <w:widowControl/>
                    <w:autoSpaceDE/>
                    <w:autoSpaceDN/>
                    <w:jc w:val="center"/>
                    <w:rPr>
                      <w:rFonts w:ascii="Times New Roman" w:hAnsi="Times New Roman" w:cs="Times New Roman"/>
                      <w:b/>
                      <w:bCs/>
                      <w:color w:val="auto"/>
                      <w:sz w:val="21"/>
                      <w:szCs w:val="21"/>
                      <w:lang w:val="en-US" w:bidi="ar"/>
                    </w:rPr>
                  </w:pPr>
                  <w:r>
                    <w:rPr>
                      <w:rFonts w:ascii="Times New Roman" w:hAnsi="Times New Roman" w:cs="Times New Roman"/>
                      <w:b/>
                      <w:bCs/>
                      <w:color w:val="auto"/>
                      <w:sz w:val="21"/>
                      <w:szCs w:val="21"/>
                      <w:lang w:val="en-US" w:bidi="ar"/>
                    </w:rPr>
                    <w:t>运输/储存方式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41" w:type="dxa"/>
                  <w:tcBorders>
                    <w:tl2br w:val="nil"/>
                    <w:tr2bl w:val="nil"/>
                  </w:tcBorders>
                  <w:vAlign w:val="center"/>
                </w:tcPr>
                <w:p>
                  <w:pPr>
                    <w:widowControl/>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w:t>
                  </w:r>
                </w:p>
              </w:tc>
              <w:tc>
                <w:tcPr>
                  <w:tcW w:w="494" w:type="dxa"/>
                  <w:vMerge w:val="restart"/>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原辅料</w:t>
                  </w:r>
                </w:p>
              </w:tc>
              <w:tc>
                <w:tcPr>
                  <w:tcW w:w="675" w:type="dxa"/>
                  <w:tcBorders>
                    <w:tl2br w:val="nil"/>
                    <w:tr2bl w:val="nil"/>
                  </w:tcBorders>
                  <w:vAlign w:val="bottom"/>
                </w:tcPr>
                <w:p>
                  <w:pPr>
                    <w:widowControl/>
                    <w:autoSpaceDE/>
                    <w:autoSpaceDN/>
                    <w:jc w:val="center"/>
                    <w:textAlignment w:val="bottom"/>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SA"/>
                    </w:rPr>
                    <w:t>水泥</w:t>
                  </w:r>
                </w:p>
              </w:tc>
              <w:tc>
                <w:tcPr>
                  <w:tcW w:w="226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62500</w:t>
                  </w:r>
                  <w:r>
                    <w:rPr>
                      <w:rFonts w:hint="eastAsia" w:ascii="Times New Roman" w:hAnsi="Times New Roman" w:cs="Times New Roman"/>
                      <w:color w:val="auto"/>
                      <w:sz w:val="21"/>
                      <w:szCs w:val="21"/>
                      <w:lang w:val="en-US" w:bidi="ar"/>
                    </w:rPr>
                    <w:t>t/a</w:t>
                  </w:r>
                </w:p>
              </w:tc>
              <w:tc>
                <w:tcPr>
                  <w:tcW w:w="204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bidi="ar"/>
                    </w:rPr>
                    <w:t>79500t/a</w:t>
                  </w:r>
                </w:p>
              </w:tc>
              <w:tc>
                <w:tcPr>
                  <w:tcW w:w="2876" w:type="dxa"/>
                  <w:tcBorders>
                    <w:tl2br w:val="nil"/>
                    <w:tr2bl w:val="nil"/>
                  </w:tcBorders>
                  <w:vAlign w:val="center"/>
                </w:tcPr>
                <w:p>
                  <w:pPr>
                    <w:widowControl/>
                    <w:autoSpaceDE/>
                    <w:autoSpaceDN/>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外购，</w:t>
                  </w:r>
                  <w:r>
                    <w:rPr>
                      <w:rFonts w:ascii="Times New Roman" w:hAnsi="Times New Roman" w:cs="Times New Roman"/>
                      <w:color w:val="auto"/>
                      <w:sz w:val="21"/>
                      <w:szCs w:val="21"/>
                      <w:lang w:val="en-US"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41" w:type="dxa"/>
                  <w:tcBorders>
                    <w:tl2br w:val="nil"/>
                    <w:tr2bl w:val="nil"/>
                  </w:tcBorders>
                  <w:vAlign w:val="center"/>
                </w:tcPr>
                <w:p>
                  <w:pPr>
                    <w:widowControl/>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2</w:t>
                  </w:r>
                </w:p>
              </w:tc>
              <w:tc>
                <w:tcPr>
                  <w:tcW w:w="494"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p>
              </w:tc>
              <w:tc>
                <w:tcPr>
                  <w:tcW w:w="675" w:type="dxa"/>
                  <w:tcBorders>
                    <w:tl2br w:val="nil"/>
                    <w:tr2bl w:val="nil"/>
                  </w:tcBorders>
                  <w:vAlign w:val="bottom"/>
                </w:tcPr>
                <w:p>
                  <w:pPr>
                    <w:widowControl/>
                    <w:autoSpaceDE/>
                    <w:autoSpaceDN/>
                    <w:jc w:val="center"/>
                    <w:textAlignment w:val="bottom"/>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SA"/>
                    </w:rPr>
                    <w:t>粉煤灰</w:t>
                  </w:r>
                </w:p>
              </w:tc>
              <w:tc>
                <w:tcPr>
                  <w:tcW w:w="226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28125</w:t>
                  </w:r>
                  <w:r>
                    <w:rPr>
                      <w:rFonts w:hint="eastAsia" w:ascii="Times New Roman" w:hAnsi="Times New Roman" w:cs="Times New Roman"/>
                      <w:color w:val="auto"/>
                      <w:sz w:val="21"/>
                      <w:szCs w:val="21"/>
                      <w:lang w:val="en-US" w:bidi="ar"/>
                    </w:rPr>
                    <w:t>t/a</w:t>
                  </w:r>
                </w:p>
              </w:tc>
              <w:tc>
                <w:tcPr>
                  <w:tcW w:w="204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bidi="ar"/>
                    </w:rPr>
                    <w:t>37125t/a</w:t>
                  </w:r>
                </w:p>
              </w:tc>
              <w:tc>
                <w:tcPr>
                  <w:tcW w:w="2876" w:type="dxa"/>
                  <w:tcBorders>
                    <w:tl2br w:val="nil"/>
                    <w:tr2bl w:val="nil"/>
                  </w:tcBorders>
                  <w:vAlign w:val="center"/>
                </w:tcPr>
                <w:p>
                  <w:pPr>
                    <w:widowControl/>
                    <w:autoSpaceDE/>
                    <w:autoSpaceDN/>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外购，</w:t>
                  </w:r>
                  <w:r>
                    <w:rPr>
                      <w:rFonts w:ascii="Times New Roman" w:hAnsi="Times New Roman" w:cs="Times New Roman"/>
                      <w:color w:val="auto"/>
                      <w:sz w:val="21"/>
                      <w:szCs w:val="21"/>
                      <w:lang w:val="en-US"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blHeader/>
                <w:jc w:val="center"/>
              </w:trPr>
              <w:tc>
                <w:tcPr>
                  <w:tcW w:w="541"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w:t>
                  </w:r>
                </w:p>
              </w:tc>
              <w:tc>
                <w:tcPr>
                  <w:tcW w:w="494"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p>
              </w:tc>
              <w:tc>
                <w:tcPr>
                  <w:tcW w:w="675" w:type="dxa"/>
                  <w:tcBorders>
                    <w:tl2br w:val="nil"/>
                    <w:tr2bl w:val="nil"/>
                  </w:tcBorders>
                  <w:vAlign w:val="bottom"/>
                </w:tcPr>
                <w:p>
                  <w:pPr>
                    <w:widowControl/>
                    <w:autoSpaceDE/>
                    <w:autoSpaceDN/>
                    <w:jc w:val="center"/>
                    <w:textAlignment w:val="bottom"/>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bidi="ar-SA"/>
                    </w:rPr>
                    <w:t>矿粉</w:t>
                  </w:r>
                </w:p>
              </w:tc>
              <w:tc>
                <w:tcPr>
                  <w:tcW w:w="226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28125</w:t>
                  </w:r>
                  <w:r>
                    <w:rPr>
                      <w:rFonts w:hint="eastAsia" w:ascii="Times New Roman" w:hAnsi="Times New Roman" w:cs="Times New Roman"/>
                      <w:color w:val="auto"/>
                      <w:sz w:val="21"/>
                      <w:szCs w:val="21"/>
                      <w:lang w:val="en-US" w:bidi="ar"/>
                    </w:rPr>
                    <w:t>t/a</w:t>
                  </w:r>
                </w:p>
              </w:tc>
              <w:tc>
                <w:tcPr>
                  <w:tcW w:w="204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bidi="ar"/>
                    </w:rPr>
                    <w:t>37125t/a</w:t>
                  </w:r>
                </w:p>
              </w:tc>
              <w:tc>
                <w:tcPr>
                  <w:tcW w:w="2876" w:type="dxa"/>
                  <w:tcBorders>
                    <w:tl2br w:val="nil"/>
                    <w:tr2bl w:val="nil"/>
                  </w:tcBorders>
                  <w:vAlign w:val="center"/>
                </w:tcPr>
                <w:p>
                  <w:pPr>
                    <w:widowControl/>
                    <w:autoSpaceDE/>
                    <w:autoSpaceDN/>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外购，</w:t>
                  </w:r>
                  <w:r>
                    <w:rPr>
                      <w:rFonts w:ascii="Times New Roman" w:hAnsi="Times New Roman" w:cs="Times New Roman"/>
                      <w:color w:val="auto"/>
                      <w:sz w:val="21"/>
                      <w:szCs w:val="21"/>
                      <w:lang w:val="en-US" w:bidi="ar"/>
                    </w:rPr>
                    <w:t>罐车运输，存放于粉料仓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41"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w:t>
                  </w:r>
                </w:p>
              </w:tc>
              <w:tc>
                <w:tcPr>
                  <w:tcW w:w="494"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p>
              </w:tc>
              <w:tc>
                <w:tcPr>
                  <w:tcW w:w="675" w:type="dxa"/>
                  <w:tcBorders>
                    <w:tl2br w:val="nil"/>
                    <w:tr2bl w:val="nil"/>
                  </w:tcBorders>
                  <w:vAlign w:val="center"/>
                </w:tcPr>
                <w:p>
                  <w:pPr>
                    <w:widowControl/>
                    <w:autoSpaceDE/>
                    <w:autoSpaceDN/>
                    <w:jc w:val="center"/>
                    <w:textAlignment w:val="bottom"/>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砂子</w:t>
                  </w:r>
                </w:p>
              </w:tc>
              <w:tc>
                <w:tcPr>
                  <w:tcW w:w="226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512500</w:t>
                  </w:r>
                  <w:r>
                    <w:rPr>
                      <w:rFonts w:hint="eastAsia" w:ascii="Times New Roman" w:hAnsi="Times New Roman" w:cs="Times New Roman"/>
                      <w:color w:val="auto"/>
                      <w:sz w:val="21"/>
                      <w:szCs w:val="21"/>
                      <w:lang w:val="en-US" w:bidi="ar"/>
                    </w:rPr>
                    <w:t>t/a</w:t>
                  </w:r>
                </w:p>
              </w:tc>
              <w:tc>
                <w:tcPr>
                  <w:tcW w:w="204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bidi="ar"/>
                    </w:rPr>
                    <w:t>589500t/a</w:t>
                  </w:r>
                </w:p>
              </w:tc>
              <w:tc>
                <w:tcPr>
                  <w:tcW w:w="2876" w:type="dxa"/>
                  <w:tcBorders>
                    <w:tl2br w:val="nil"/>
                    <w:tr2bl w:val="nil"/>
                  </w:tcBorders>
                  <w:vAlign w:val="center"/>
                </w:tcPr>
                <w:p>
                  <w:pPr>
                    <w:widowControl/>
                    <w:autoSpaceDE/>
                    <w:autoSpaceDN/>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外购，</w:t>
                  </w:r>
                  <w:r>
                    <w:rPr>
                      <w:rFonts w:ascii="Times New Roman" w:hAnsi="Times New Roman" w:cs="Times New Roman"/>
                      <w:color w:val="auto"/>
                      <w:sz w:val="21"/>
                      <w:szCs w:val="21"/>
                      <w:lang w:val="en-US" w:bidi="ar"/>
                    </w:rPr>
                    <w:t>自卸汽车运输，</w:t>
                  </w:r>
                  <w:r>
                    <w:rPr>
                      <w:rFonts w:hint="eastAsia" w:ascii="Times New Roman" w:hAnsi="Times New Roman" w:cs="Times New Roman"/>
                      <w:color w:val="auto"/>
                      <w:sz w:val="21"/>
                      <w:szCs w:val="21"/>
                      <w:lang w:val="en-US" w:bidi="ar"/>
                    </w:rPr>
                    <w:t>存放于</w:t>
                  </w:r>
                  <w:r>
                    <w:rPr>
                      <w:rFonts w:ascii="Times New Roman" w:hAnsi="Times New Roman" w:cs="Times New Roman"/>
                      <w:color w:val="auto"/>
                      <w:sz w:val="21"/>
                      <w:szCs w:val="21"/>
                    </w:rPr>
                    <w:t>原料库房</w:t>
                  </w:r>
                  <w:r>
                    <w:rPr>
                      <w:rFonts w:hint="eastAsia" w:ascii="Times New Roman" w:hAnsi="Times New Roman" w:cs="Times New Roman"/>
                      <w:color w:val="auto"/>
                      <w:sz w:val="21"/>
                      <w:szCs w:val="21"/>
                    </w:rPr>
                    <w:t>；</w:t>
                  </w:r>
                </w:p>
                <w:p>
                  <w:pPr>
                    <w:widowControl/>
                    <w:autoSpaceDE/>
                    <w:autoSpaceDN/>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rPr>
                    <w:t>粒径≤</w:t>
                  </w:r>
                  <w:r>
                    <w:rPr>
                      <w:rFonts w:hint="eastAsia" w:ascii="Times New Roman" w:hAnsi="Times New Roman" w:cs="Times New Roman"/>
                      <w:color w:val="auto"/>
                      <w:sz w:val="21"/>
                      <w:szCs w:val="21"/>
                      <w:lang w:val="en-US"/>
                    </w:rPr>
                    <w:t>5mm，</w:t>
                  </w:r>
                  <w:r>
                    <w:rPr>
                      <w:rFonts w:hint="eastAsia" w:ascii="Times New Roman" w:hAnsi="Times New Roman"/>
                      <w:color w:val="auto"/>
                      <w:kern w:val="2"/>
                      <w:sz w:val="21"/>
                      <w:szCs w:val="21"/>
                      <w:shd w:val="clear" w:color="auto" w:fill="FFFFFF"/>
                    </w:rPr>
                    <w:t>含泥量≤</w:t>
                  </w:r>
                  <w:r>
                    <w:rPr>
                      <w:rFonts w:ascii="Times New Roman" w:hAnsi="Times New Roman"/>
                      <w:color w:val="auto"/>
                      <w:kern w:val="2"/>
                      <w:sz w:val="21"/>
                      <w:szCs w:val="21"/>
                      <w:shd w:val="clear" w:color="auto" w:fill="FFFFFF"/>
                    </w:rPr>
                    <w:t>10%</w:t>
                  </w:r>
                  <w:r>
                    <w:rPr>
                      <w:rFonts w:hint="eastAsia" w:ascii="Times New Roman" w:hAnsi="Times New Roman"/>
                      <w:color w:val="auto"/>
                      <w:kern w:val="2"/>
                      <w:sz w:val="21"/>
                      <w:szCs w:val="21"/>
                      <w:shd w:val="clear" w:color="auto" w:fill="FFFFFF"/>
                    </w:rPr>
                    <w:t>；机制砂粒径≤</w:t>
                  </w:r>
                  <w:r>
                    <w:rPr>
                      <w:rFonts w:hint="eastAsia" w:ascii="Times New Roman" w:hAnsi="Times New Roman"/>
                      <w:color w:val="auto"/>
                      <w:kern w:val="2"/>
                      <w:sz w:val="21"/>
                      <w:szCs w:val="21"/>
                      <w:shd w:val="clear" w:color="auto" w:fill="FFFFFF"/>
                      <w:lang w:val="en-US"/>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41"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5</w:t>
                  </w:r>
                </w:p>
              </w:tc>
              <w:tc>
                <w:tcPr>
                  <w:tcW w:w="494"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p>
              </w:tc>
              <w:tc>
                <w:tcPr>
                  <w:tcW w:w="675" w:type="dxa"/>
                  <w:tcBorders>
                    <w:tl2br w:val="nil"/>
                    <w:tr2bl w:val="nil"/>
                  </w:tcBorders>
                  <w:vAlign w:val="center"/>
                </w:tcPr>
                <w:p>
                  <w:pPr>
                    <w:widowControl/>
                    <w:autoSpaceDE/>
                    <w:autoSpaceDN/>
                    <w:jc w:val="center"/>
                    <w:textAlignment w:val="bottom"/>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石子</w:t>
                  </w:r>
                </w:p>
              </w:tc>
              <w:tc>
                <w:tcPr>
                  <w:tcW w:w="226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rPr>
                    <w:t xml:space="preserve">0 </w:t>
                  </w:r>
                  <w:r>
                    <w:rPr>
                      <w:rFonts w:hint="eastAsia" w:ascii="Times New Roman" w:hAnsi="Times New Roman" w:cs="Times New Roman"/>
                      <w:color w:val="auto"/>
                      <w:sz w:val="21"/>
                      <w:szCs w:val="21"/>
                      <w:lang w:val="en-US" w:bidi="ar"/>
                    </w:rPr>
                    <w:t>t/a</w:t>
                  </w:r>
                </w:p>
              </w:tc>
              <w:tc>
                <w:tcPr>
                  <w:tcW w:w="2049" w:type="dxa"/>
                  <w:tcBorders>
                    <w:tl2br w:val="nil"/>
                    <w:tr2bl w:val="nil"/>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lang w:val="en-US" w:eastAsia="zh-CN" w:bidi="ar"/>
                    </w:rPr>
                  </w:pPr>
                  <w:r>
                    <w:rPr>
                      <w:rFonts w:ascii="Times New Roman" w:hAnsi="Times New Roman" w:cs="Times New Roman"/>
                      <w:color w:val="auto"/>
                      <w:sz w:val="21"/>
                      <w:szCs w:val="21"/>
                      <w:lang w:val="en-US"/>
                    </w:rPr>
                    <w:t>106000</w:t>
                  </w:r>
                  <w:r>
                    <w:rPr>
                      <w:rFonts w:hint="eastAsia" w:ascii="Times New Roman" w:hAnsi="Times New Roman" w:cs="Times New Roman"/>
                      <w:color w:val="auto"/>
                      <w:sz w:val="21"/>
                      <w:szCs w:val="21"/>
                      <w:lang w:val="en-US" w:bidi="ar"/>
                    </w:rPr>
                    <w:t>t/a</w:t>
                  </w:r>
                </w:p>
              </w:tc>
              <w:tc>
                <w:tcPr>
                  <w:tcW w:w="2876" w:type="dxa"/>
                  <w:tcBorders>
                    <w:tl2br w:val="nil"/>
                    <w:tr2bl w:val="nil"/>
                  </w:tcBorders>
                  <w:vAlign w:val="center"/>
                </w:tcPr>
                <w:p>
                  <w:pPr>
                    <w:widowControl/>
                    <w:autoSpaceDE/>
                    <w:autoSpaceDN/>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外购，</w:t>
                  </w:r>
                  <w:r>
                    <w:rPr>
                      <w:rFonts w:ascii="Times New Roman" w:hAnsi="Times New Roman" w:cs="Times New Roman"/>
                      <w:color w:val="auto"/>
                      <w:sz w:val="21"/>
                      <w:szCs w:val="21"/>
                      <w:lang w:val="en-US" w:bidi="ar"/>
                    </w:rPr>
                    <w:t>自卸汽车运输，</w:t>
                  </w:r>
                  <w:r>
                    <w:rPr>
                      <w:rFonts w:ascii="Times New Roman" w:hAnsi="Times New Roman" w:cs="Times New Roman"/>
                      <w:color w:val="auto"/>
                      <w:sz w:val="21"/>
                      <w:szCs w:val="21"/>
                    </w:rPr>
                    <w:t>储存于原料库房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41"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6</w:t>
                  </w:r>
                </w:p>
              </w:tc>
              <w:tc>
                <w:tcPr>
                  <w:tcW w:w="494"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p>
              </w:tc>
              <w:tc>
                <w:tcPr>
                  <w:tcW w:w="675" w:type="dxa"/>
                  <w:tcBorders>
                    <w:tl2br w:val="nil"/>
                    <w:tr2bl w:val="nil"/>
                  </w:tcBorders>
                  <w:vAlign w:val="center"/>
                </w:tcPr>
                <w:p>
                  <w:pPr>
                    <w:widowControl/>
                    <w:autoSpaceDE/>
                    <w:autoSpaceDN/>
                    <w:jc w:val="center"/>
                    <w:textAlignment w:val="bottom"/>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泵送剂</w:t>
                  </w:r>
                </w:p>
              </w:tc>
              <w:tc>
                <w:tcPr>
                  <w:tcW w:w="226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rPr>
                    <w:t xml:space="preserve">0 </w:t>
                  </w:r>
                  <w:r>
                    <w:rPr>
                      <w:rFonts w:hint="eastAsia" w:ascii="Times New Roman" w:hAnsi="Times New Roman" w:cs="Times New Roman"/>
                      <w:color w:val="auto"/>
                      <w:sz w:val="21"/>
                      <w:szCs w:val="21"/>
                      <w:lang w:val="en-US" w:bidi="ar"/>
                    </w:rPr>
                    <w:t>t/a</w:t>
                  </w:r>
                </w:p>
              </w:tc>
              <w:tc>
                <w:tcPr>
                  <w:tcW w:w="2049" w:type="dxa"/>
                  <w:tcBorders>
                    <w:tl2br w:val="nil"/>
                    <w:tr2bl w:val="nil"/>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lang w:val="en-US" w:eastAsia="zh-CN" w:bidi="ar"/>
                    </w:rPr>
                  </w:pPr>
                  <w:r>
                    <w:rPr>
                      <w:rFonts w:ascii="Times New Roman" w:hAnsi="Times New Roman" w:cs="Times New Roman"/>
                      <w:color w:val="auto"/>
                      <w:sz w:val="21"/>
                      <w:szCs w:val="21"/>
                      <w:lang w:val="en-US"/>
                    </w:rPr>
                    <w:t>5000</w:t>
                  </w:r>
                  <w:r>
                    <w:rPr>
                      <w:rFonts w:hint="eastAsia" w:ascii="Times New Roman" w:hAnsi="Times New Roman" w:cs="Times New Roman"/>
                      <w:color w:val="auto"/>
                      <w:sz w:val="21"/>
                      <w:szCs w:val="21"/>
                      <w:lang w:val="en-US" w:bidi="ar"/>
                    </w:rPr>
                    <w:t>t/a</w:t>
                  </w:r>
                </w:p>
              </w:tc>
              <w:tc>
                <w:tcPr>
                  <w:tcW w:w="2876" w:type="dxa"/>
                  <w:tcBorders>
                    <w:tl2br w:val="nil"/>
                    <w:tr2bl w:val="nil"/>
                  </w:tcBorders>
                  <w:vAlign w:val="center"/>
                </w:tcPr>
                <w:p>
                  <w:pPr>
                    <w:widowControl/>
                    <w:autoSpaceDE/>
                    <w:autoSpaceDN/>
                    <w:rPr>
                      <w:rFonts w:ascii="Times New Roman" w:hAnsi="Times New Roman" w:cs="Times New Roman"/>
                      <w:color w:val="auto"/>
                      <w:sz w:val="21"/>
                      <w:szCs w:val="21"/>
                    </w:rPr>
                  </w:pPr>
                  <w:r>
                    <w:rPr>
                      <w:rFonts w:ascii="Times New Roman" w:hAnsi="Times New Roman" w:cs="Times New Roman"/>
                      <w:color w:val="auto"/>
                      <w:sz w:val="21"/>
                      <w:szCs w:val="21"/>
                      <w:lang w:val="en-US" w:bidi="ar"/>
                    </w:rPr>
                    <w:t>为液态外加剂，存放于储液箱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blHeader/>
                <w:jc w:val="center"/>
              </w:trPr>
              <w:tc>
                <w:tcPr>
                  <w:tcW w:w="541" w:type="dxa"/>
                  <w:tcBorders>
                    <w:tl2br w:val="nil"/>
                    <w:tr2bl w:val="nil"/>
                  </w:tcBorders>
                  <w:shd w:val="clear" w:color="auto" w:fill="auto"/>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7</w:t>
                  </w:r>
                </w:p>
              </w:tc>
              <w:tc>
                <w:tcPr>
                  <w:tcW w:w="494"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p>
              </w:tc>
              <w:tc>
                <w:tcPr>
                  <w:tcW w:w="675" w:type="dxa"/>
                  <w:tcBorders>
                    <w:tl2br w:val="nil"/>
                    <w:tr2bl w:val="nil"/>
                  </w:tcBorders>
                  <w:vAlign w:val="center"/>
                </w:tcPr>
                <w:p>
                  <w:pPr>
                    <w:spacing w:line="300" w:lineRule="exact"/>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rPr>
                    <w:t>外加</w:t>
                  </w:r>
                  <w:r>
                    <w:rPr>
                      <w:rFonts w:ascii="Times New Roman" w:hAnsi="Times New Roman" w:cs="Times New Roman"/>
                      <w:color w:val="auto"/>
                      <w:sz w:val="21"/>
                      <w:szCs w:val="21"/>
                      <w:lang w:val="en-US"/>
                    </w:rPr>
                    <w:t>剂</w:t>
                  </w:r>
                </w:p>
              </w:tc>
              <w:tc>
                <w:tcPr>
                  <w:tcW w:w="2263" w:type="dxa"/>
                  <w:tcBorders>
                    <w:tl2br w:val="nil"/>
                    <w:tr2bl w:val="nil"/>
                  </w:tcBorders>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2500</w:t>
                  </w:r>
                  <w:r>
                    <w:rPr>
                      <w:rFonts w:hint="eastAsia" w:ascii="Times New Roman" w:hAnsi="Times New Roman" w:cs="Times New Roman"/>
                      <w:color w:val="auto"/>
                      <w:sz w:val="21"/>
                      <w:szCs w:val="21"/>
                      <w:lang w:val="en-US" w:bidi="ar"/>
                    </w:rPr>
                    <w:t xml:space="preserve"> t/a</w:t>
                  </w:r>
                </w:p>
              </w:tc>
              <w:tc>
                <w:tcPr>
                  <w:tcW w:w="204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auto"/>
                      <w:sz w:val="21"/>
                      <w:szCs w:val="21"/>
                      <w:lang w:val="en-US" w:eastAsia="zh-CN" w:bidi="zh-CN"/>
                    </w:rPr>
                  </w:pPr>
                  <w:r>
                    <w:rPr>
                      <w:rFonts w:ascii="Times New Roman" w:hAnsi="Times New Roman" w:cs="Times New Roman"/>
                      <w:color w:val="auto"/>
                      <w:sz w:val="21"/>
                      <w:szCs w:val="21"/>
                      <w:lang w:val="en-US" w:bidi="ar"/>
                    </w:rPr>
                    <w:t>2500</w:t>
                  </w:r>
                  <w:r>
                    <w:rPr>
                      <w:rFonts w:hint="eastAsia" w:ascii="Times New Roman" w:hAnsi="Times New Roman" w:cs="Times New Roman"/>
                      <w:color w:val="auto"/>
                      <w:sz w:val="21"/>
                      <w:szCs w:val="21"/>
                      <w:lang w:val="en-US"/>
                    </w:rPr>
                    <w:t xml:space="preserve"> </w:t>
                  </w:r>
                  <w:r>
                    <w:rPr>
                      <w:rFonts w:hint="eastAsia" w:ascii="Times New Roman" w:hAnsi="Times New Roman" w:cs="Times New Roman"/>
                      <w:color w:val="auto"/>
                      <w:sz w:val="21"/>
                      <w:szCs w:val="21"/>
                      <w:lang w:val="en-US" w:bidi="ar"/>
                    </w:rPr>
                    <w:t>t/a</w:t>
                  </w:r>
                </w:p>
              </w:tc>
              <w:tc>
                <w:tcPr>
                  <w:tcW w:w="2876" w:type="dxa"/>
                  <w:tcBorders>
                    <w:tl2br w:val="nil"/>
                    <w:tr2bl w:val="nil"/>
                  </w:tcBorders>
                  <w:vAlign w:val="center"/>
                </w:tcPr>
                <w:p>
                  <w:pPr>
                    <w:widowControl/>
                    <w:autoSpaceDE/>
                    <w:autoSpaceDN/>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为液态外加剂，存放于储液箱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41" w:type="dxa"/>
                  <w:tcBorders>
                    <w:tl2br w:val="nil"/>
                    <w:tr2bl w:val="nil"/>
                  </w:tcBorders>
                  <w:shd w:val="clear" w:color="auto" w:fill="auto"/>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8</w:t>
                  </w:r>
                </w:p>
              </w:tc>
              <w:tc>
                <w:tcPr>
                  <w:tcW w:w="494" w:type="dxa"/>
                  <w:vMerge w:val="restart"/>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能源</w:t>
                  </w:r>
                </w:p>
              </w:tc>
              <w:tc>
                <w:tcPr>
                  <w:tcW w:w="675"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新鲜水</w:t>
                  </w:r>
                </w:p>
              </w:tc>
              <w:tc>
                <w:tcPr>
                  <w:tcW w:w="2263"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57180</w:t>
                  </w:r>
                  <w:r>
                    <w:rPr>
                      <w:rFonts w:ascii="Times New Roman" w:hAnsi="Times New Roman" w:cs="Times New Roman"/>
                      <w:color w:val="auto"/>
                      <w:sz w:val="21"/>
                      <w:szCs w:val="21"/>
                      <w:lang w:val="en-US" w:bidi="ar"/>
                    </w:rPr>
                    <w:t>m</w:t>
                  </w:r>
                  <w:r>
                    <w:rPr>
                      <w:rFonts w:ascii="Times New Roman" w:hAnsi="Times New Roman" w:cs="Times New Roman"/>
                      <w:color w:val="auto"/>
                      <w:sz w:val="21"/>
                      <w:szCs w:val="21"/>
                      <w:vertAlign w:val="superscript"/>
                      <w:lang w:val="en-US" w:bidi="ar"/>
                    </w:rPr>
                    <w:t>3</w:t>
                  </w:r>
                  <w:r>
                    <w:rPr>
                      <w:rFonts w:hint="eastAsia" w:ascii="Times New Roman" w:hAnsi="Times New Roman" w:cs="Times New Roman"/>
                      <w:color w:val="auto"/>
                      <w:sz w:val="21"/>
                      <w:szCs w:val="21"/>
                      <w:lang w:val="en-US" w:bidi="ar"/>
                    </w:rPr>
                    <w:t>/a</w:t>
                  </w:r>
                </w:p>
              </w:tc>
              <w:tc>
                <w:tcPr>
                  <w:tcW w:w="2049" w:type="dxa"/>
                  <w:tcBorders>
                    <w:tl2br w:val="nil"/>
                    <w:tr2bl w:val="nil"/>
                  </w:tcBorders>
                  <w:shd w:val="clear" w:color="auto" w:fill="auto"/>
                  <w:vAlign w:val="center"/>
                </w:tcPr>
                <w:p>
                  <w:pPr>
                    <w:widowControl/>
                    <w:autoSpaceDE/>
                    <w:autoSpaceDN/>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77838</w:t>
                  </w:r>
                  <w:r>
                    <w:rPr>
                      <w:rFonts w:ascii="Times New Roman" w:hAnsi="Times New Roman" w:cs="Times New Roman"/>
                      <w:color w:val="auto"/>
                      <w:sz w:val="21"/>
                      <w:szCs w:val="21"/>
                      <w:lang w:val="en-US" w:bidi="ar"/>
                    </w:rPr>
                    <w:t>m</w:t>
                  </w:r>
                  <w:r>
                    <w:rPr>
                      <w:rFonts w:ascii="Times New Roman" w:hAnsi="Times New Roman" w:cs="Times New Roman"/>
                      <w:color w:val="auto"/>
                      <w:sz w:val="21"/>
                      <w:szCs w:val="21"/>
                      <w:vertAlign w:val="superscript"/>
                      <w:lang w:val="en-US" w:bidi="ar"/>
                    </w:rPr>
                    <w:t>3</w:t>
                  </w:r>
                  <w:r>
                    <w:rPr>
                      <w:rFonts w:hint="eastAsia" w:ascii="Times New Roman" w:hAnsi="Times New Roman" w:cs="Times New Roman"/>
                      <w:color w:val="auto"/>
                      <w:sz w:val="21"/>
                      <w:szCs w:val="21"/>
                      <w:lang w:val="en-US" w:bidi="ar"/>
                    </w:rPr>
                    <w:t>/a</w:t>
                  </w:r>
                </w:p>
              </w:tc>
              <w:tc>
                <w:tcPr>
                  <w:tcW w:w="2876" w:type="dxa"/>
                  <w:tcBorders>
                    <w:tl2br w:val="nil"/>
                    <w:tr2bl w:val="nil"/>
                  </w:tcBorders>
                  <w:vAlign w:val="center"/>
                </w:tcPr>
                <w:p>
                  <w:pPr>
                    <w:textAlignment w:val="baseline"/>
                    <w:rPr>
                      <w:rFonts w:ascii="Times New Roman" w:hAnsi="Times New Roman" w:cs="Times New Roman"/>
                      <w:color w:val="auto"/>
                      <w:sz w:val="21"/>
                      <w:szCs w:val="21"/>
                      <w:lang w:val="en-US" w:bidi="ar"/>
                    </w:rPr>
                  </w:pPr>
                  <w:r>
                    <w:rPr>
                      <w:color w:val="auto"/>
                      <w:sz w:val="21"/>
                      <w:szCs w:val="21"/>
                      <w:lang w:bidi="ar"/>
                    </w:rPr>
                    <w:t>由</w:t>
                  </w:r>
                  <w:r>
                    <w:rPr>
                      <w:rFonts w:hint="eastAsia" w:ascii="Times New Roman" w:hAnsi="Times New Roman" w:cs="Times New Roman"/>
                      <w:color w:val="auto"/>
                      <w:sz w:val="21"/>
                      <w:szCs w:val="21"/>
                      <w:lang w:val="en-US" w:eastAsia="zh-CN"/>
                    </w:rPr>
                    <w:t>企业现有供水系统</w:t>
                  </w:r>
                  <w:r>
                    <w:rPr>
                      <w:rFonts w:hint="eastAsia"/>
                      <w:color w:val="auto"/>
                      <w:sz w:val="21"/>
                      <w:szCs w:val="21"/>
                      <w:lang w:bidi="ar"/>
                    </w:rPr>
                    <w:t>供水，企业不再生产预制构件</w:t>
                  </w:r>
                  <w:r>
                    <w:rPr>
                      <w:rFonts w:ascii="Times New Roman" w:hAnsi="Times New Roman" w:cs="Times New Roman"/>
                      <w:color w:val="auto"/>
                      <w:sz w:val="21"/>
                      <w:szCs w:val="21"/>
                      <w:lang w:bidi="ar"/>
                    </w:rPr>
                    <w:t>，减少预制构件生产用水量</w:t>
                  </w:r>
                  <w:r>
                    <w:rPr>
                      <w:rFonts w:ascii="Times New Roman" w:hAnsi="Times New Roman" w:cs="Times New Roman"/>
                      <w:color w:val="auto"/>
                      <w:sz w:val="21"/>
                      <w:szCs w:val="21"/>
                      <w:lang w:val="en-US" w:bidi="ar"/>
                    </w:rPr>
                    <w:t>27730m</w:t>
                  </w:r>
                  <w:r>
                    <w:rPr>
                      <w:rFonts w:ascii="Times New Roman" w:hAnsi="Times New Roman" w:cs="Times New Roman"/>
                      <w:color w:val="auto"/>
                      <w:sz w:val="21"/>
                      <w:szCs w:val="21"/>
                      <w:vertAlign w:val="superscript"/>
                      <w:lang w:val="en-US" w:bidi="ar"/>
                    </w:rPr>
                    <w:t>3</w:t>
                  </w:r>
                  <w:r>
                    <w:rPr>
                      <w:rFonts w:hint="eastAsia" w:ascii="Times New Roman" w:hAnsi="Times New Roman" w:cs="Times New Roman"/>
                      <w:color w:val="auto"/>
                      <w:sz w:val="21"/>
                      <w:szCs w:val="21"/>
                      <w:lang w:val="en-US"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541"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9</w:t>
                  </w:r>
                </w:p>
              </w:tc>
              <w:tc>
                <w:tcPr>
                  <w:tcW w:w="494" w:type="dxa"/>
                  <w:vMerge w:val="continue"/>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p>
              </w:tc>
              <w:tc>
                <w:tcPr>
                  <w:tcW w:w="675"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电</w:t>
                  </w:r>
                </w:p>
              </w:tc>
              <w:tc>
                <w:tcPr>
                  <w:tcW w:w="2263" w:type="dxa"/>
                  <w:tcBorders>
                    <w:tl2br w:val="nil"/>
                    <w:tr2bl w:val="nil"/>
                  </w:tcBorders>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40</w:t>
                  </w:r>
                  <w:r>
                    <w:rPr>
                      <w:rFonts w:ascii="Times New Roman" w:hAnsi="Times New Roman" w:cs="Times New Roman"/>
                      <w:color w:val="auto"/>
                      <w:sz w:val="21"/>
                      <w:szCs w:val="21"/>
                      <w:lang w:val="en-US" w:bidi="ar"/>
                    </w:rPr>
                    <w:t>万kW・h</w:t>
                  </w:r>
                </w:p>
              </w:tc>
              <w:tc>
                <w:tcPr>
                  <w:tcW w:w="2049" w:type="dxa"/>
                  <w:tcBorders>
                    <w:tl2br w:val="nil"/>
                    <w:tr2bl w:val="nil"/>
                  </w:tcBorders>
                  <w:shd w:val="clear" w:color="auto" w:fill="auto"/>
                  <w:vAlign w:val="center"/>
                </w:tcPr>
                <w:p>
                  <w:pPr>
                    <w:widowControl/>
                    <w:autoSpaceDE/>
                    <w:autoSpaceDN/>
                    <w:jc w:val="center"/>
                    <w:rPr>
                      <w:rFonts w:hint="eastAsia"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bidi="ar"/>
                    </w:rPr>
                    <w:t>6</w:t>
                  </w:r>
                  <w:r>
                    <w:rPr>
                      <w:rFonts w:hint="eastAsia" w:ascii="Times New Roman" w:hAnsi="Times New Roman" w:cs="Times New Roman"/>
                      <w:color w:val="auto"/>
                      <w:sz w:val="21"/>
                      <w:szCs w:val="21"/>
                      <w:lang w:val="en-US" w:eastAsia="zh-CN" w:bidi="ar"/>
                    </w:rPr>
                    <w:t>8</w:t>
                  </w:r>
                  <w:r>
                    <w:rPr>
                      <w:rFonts w:hint="eastAsia" w:ascii="Times New Roman" w:hAnsi="Times New Roman" w:cs="Times New Roman"/>
                      <w:color w:val="auto"/>
                      <w:sz w:val="21"/>
                      <w:szCs w:val="21"/>
                      <w:lang w:val="en-US" w:bidi="ar"/>
                    </w:rPr>
                    <w:t>.07</w:t>
                  </w:r>
                  <w:r>
                    <w:rPr>
                      <w:rFonts w:ascii="Times New Roman" w:hAnsi="Times New Roman" w:cs="Times New Roman"/>
                      <w:color w:val="auto"/>
                      <w:sz w:val="21"/>
                      <w:szCs w:val="21"/>
                      <w:lang w:val="en-US" w:bidi="ar"/>
                    </w:rPr>
                    <w:t>万kW・h</w:t>
                  </w:r>
                </w:p>
              </w:tc>
              <w:tc>
                <w:tcPr>
                  <w:tcW w:w="2876" w:type="dxa"/>
                  <w:tcBorders>
                    <w:tl2br w:val="nil"/>
                    <w:tr2bl w:val="nil"/>
                  </w:tcBorders>
                  <w:vAlign w:val="center"/>
                </w:tcPr>
                <w:p>
                  <w:pPr>
                    <w:textAlignment w:val="baseline"/>
                    <w:rPr>
                      <w:rFonts w:ascii="Times New Roman" w:hAnsi="Times New Roman" w:cs="Times New Roman"/>
                      <w:color w:val="auto"/>
                      <w:sz w:val="21"/>
                      <w:szCs w:val="21"/>
                      <w:lang w:val="en-US" w:bidi="ar"/>
                    </w:rPr>
                  </w:pPr>
                  <w:r>
                    <w:rPr>
                      <w:color w:val="auto"/>
                      <w:sz w:val="21"/>
                      <w:szCs w:val="21"/>
                      <w:lang w:bidi="ar"/>
                    </w:rPr>
                    <w:t>由</w:t>
                  </w:r>
                  <w:r>
                    <w:rPr>
                      <w:rFonts w:hint="eastAsia" w:ascii="Times New Roman" w:hAnsi="Times New Roman" w:cs="Times New Roman"/>
                      <w:color w:val="auto"/>
                      <w:sz w:val="21"/>
                      <w:szCs w:val="21"/>
                      <w:lang w:val="en-US" w:eastAsia="zh-CN"/>
                    </w:rPr>
                    <w:t>企业现有供电系统</w:t>
                  </w:r>
                  <w:r>
                    <w:rPr>
                      <w:rFonts w:hint="eastAsia"/>
                      <w:color w:val="auto"/>
                      <w:sz w:val="21"/>
                      <w:szCs w:val="21"/>
                      <w:lang w:bidi="ar"/>
                    </w:rPr>
                    <w:t>供</w:t>
                  </w:r>
                  <w:r>
                    <w:rPr>
                      <w:rFonts w:hint="eastAsia"/>
                      <w:color w:val="auto"/>
                      <w:sz w:val="21"/>
                      <w:szCs w:val="21"/>
                      <w:lang w:eastAsia="zh-CN" w:bidi="ar"/>
                    </w:rPr>
                    <w:t>电</w:t>
                  </w:r>
                </w:p>
              </w:tc>
            </w:tr>
          </w:tbl>
          <w:p>
            <w:pPr>
              <w:autoSpaceDE/>
              <w:autoSpaceDN/>
              <w:spacing w:line="400" w:lineRule="exact"/>
              <w:ind w:left="110" w:leftChars="50" w:firstLine="420" w:firstLineChars="200"/>
              <w:jc w:val="both"/>
              <w:rPr>
                <w:rFonts w:ascii="Times New Roman" w:hAnsi="Times New Roman" w:cs="Times New Roman"/>
                <w:bCs/>
                <w:snapToGrid w:val="0"/>
                <w:color w:val="auto"/>
                <w:sz w:val="21"/>
                <w:szCs w:val="21"/>
                <w:lang w:val="en-US"/>
              </w:rPr>
            </w:pPr>
            <w:r>
              <w:rPr>
                <w:rFonts w:ascii="Times New Roman" w:hAnsi="Times New Roman" w:cs="Times New Roman"/>
                <w:bCs/>
                <w:snapToGrid w:val="0"/>
                <w:color w:val="auto"/>
                <w:sz w:val="21"/>
                <w:szCs w:val="21"/>
                <w:lang w:val="en-US"/>
              </w:rPr>
              <w:t>本项目原辅材料的理化性质，见下表。</w:t>
            </w:r>
          </w:p>
          <w:p>
            <w:pPr>
              <w:autoSpaceDE/>
              <w:autoSpaceDN/>
              <w:spacing w:line="400" w:lineRule="exact"/>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w:t>
            </w:r>
            <w:r>
              <w:rPr>
                <w:rFonts w:hint="eastAsia"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eastAsia="zh-CN"/>
              </w:rPr>
              <w:t xml:space="preserve">8 </w:t>
            </w:r>
            <w:r>
              <w:rPr>
                <w:rFonts w:ascii="Times New Roman" w:hAnsi="Times New Roman" w:cs="Times New Roman"/>
                <w:b/>
                <w:bCs/>
                <w:color w:val="auto"/>
                <w:sz w:val="21"/>
                <w:szCs w:val="21"/>
                <w:lang w:val="en-US"/>
              </w:rPr>
              <w:t xml:space="preserve"> 本项目原辅材料成分信息表</w:t>
            </w:r>
          </w:p>
          <w:tbl>
            <w:tblPr>
              <w:tblStyle w:val="3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71"/>
              <w:gridCol w:w="6908"/>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57" w:hRule="atLeast"/>
                <w:jc w:val="center"/>
              </w:trPr>
              <w:tc>
                <w:tcPr>
                  <w:tcW w:w="705" w:type="dxa"/>
                </w:tcPr>
                <w:p>
                  <w:pPr>
                    <w:autoSpaceDE/>
                    <w:autoSpaceDN/>
                    <w:jc w:val="center"/>
                    <w:rPr>
                      <w:rFonts w:ascii="Times New Roman" w:hAnsi="Times New Roman" w:cs="Times New Roman"/>
                      <w:b/>
                      <w:snapToGrid w:val="0"/>
                      <w:color w:val="auto"/>
                      <w:sz w:val="21"/>
                      <w:szCs w:val="21"/>
                      <w:lang w:val="en-US"/>
                    </w:rPr>
                  </w:pPr>
                  <w:r>
                    <w:rPr>
                      <w:rFonts w:ascii="Times New Roman" w:hAnsi="Times New Roman" w:cs="Times New Roman"/>
                      <w:b/>
                      <w:snapToGrid w:val="0"/>
                      <w:color w:val="auto"/>
                      <w:sz w:val="21"/>
                      <w:szCs w:val="21"/>
                      <w:lang w:val="en-US"/>
                    </w:rPr>
                    <w:t>序号</w:t>
                  </w:r>
                </w:p>
              </w:tc>
              <w:tc>
                <w:tcPr>
                  <w:tcW w:w="1171" w:type="dxa"/>
                </w:tcPr>
                <w:p>
                  <w:pPr>
                    <w:autoSpaceDE/>
                    <w:autoSpaceDN/>
                    <w:jc w:val="center"/>
                    <w:rPr>
                      <w:rFonts w:ascii="Times New Roman" w:hAnsi="Times New Roman" w:cs="Times New Roman"/>
                      <w:b/>
                      <w:snapToGrid w:val="0"/>
                      <w:color w:val="auto"/>
                      <w:sz w:val="21"/>
                      <w:szCs w:val="21"/>
                      <w:lang w:val="en-US"/>
                    </w:rPr>
                  </w:pPr>
                  <w:r>
                    <w:rPr>
                      <w:rFonts w:ascii="Times New Roman" w:hAnsi="Times New Roman" w:cs="Times New Roman"/>
                      <w:b/>
                      <w:snapToGrid w:val="0"/>
                      <w:color w:val="auto"/>
                      <w:sz w:val="21"/>
                      <w:szCs w:val="21"/>
                      <w:lang w:val="en-US"/>
                    </w:rPr>
                    <w:t>名称</w:t>
                  </w:r>
                </w:p>
              </w:tc>
              <w:tc>
                <w:tcPr>
                  <w:tcW w:w="6908" w:type="dxa"/>
                </w:tcPr>
                <w:p>
                  <w:pPr>
                    <w:autoSpaceDE/>
                    <w:autoSpaceDN/>
                    <w:jc w:val="center"/>
                    <w:rPr>
                      <w:rFonts w:ascii="Times New Roman" w:hAnsi="Times New Roman" w:cs="Times New Roman"/>
                      <w:b/>
                      <w:snapToGrid w:val="0"/>
                      <w:color w:val="auto"/>
                      <w:sz w:val="21"/>
                      <w:szCs w:val="21"/>
                      <w:lang w:val="en-US"/>
                    </w:rPr>
                  </w:pPr>
                  <w:r>
                    <w:rPr>
                      <w:rFonts w:ascii="Times New Roman" w:hAnsi="Times New Roman" w:cs="Times New Roman"/>
                      <w:b/>
                      <w:snapToGrid w:val="0"/>
                      <w:color w:val="auto"/>
                      <w:sz w:val="21"/>
                      <w:szCs w:val="21"/>
                      <w:lang w:val="en-US"/>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vAlign w:val="center"/>
                </w:tcPr>
                <w:p>
                  <w:pPr>
                    <w:widowControl/>
                    <w:autoSpaceDE/>
                    <w:autoSpaceDN/>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bidi="ar"/>
                    </w:rPr>
                    <w:t>1</w:t>
                  </w:r>
                </w:p>
              </w:tc>
              <w:tc>
                <w:tcPr>
                  <w:tcW w:w="1171" w:type="dxa"/>
                  <w:vAlign w:val="center"/>
                </w:tcPr>
                <w:p>
                  <w:pPr>
                    <w:widowControl/>
                    <w:autoSpaceDE/>
                    <w:autoSpaceDN/>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bidi="ar"/>
                    </w:rPr>
                    <w:t>水泥</w:t>
                  </w:r>
                </w:p>
              </w:tc>
              <w:tc>
                <w:tcPr>
                  <w:tcW w:w="6975" w:type="dxa"/>
                  <w:gridSpan w:val="2"/>
                  <w:vAlign w:val="center"/>
                </w:tcPr>
                <w:p>
                  <w:pPr>
                    <w:autoSpaceDE/>
                    <w:autoSpaceDN/>
                    <w:jc w:val="both"/>
                    <w:rPr>
                      <w:rFonts w:ascii="Times New Roman" w:hAnsi="Times New Roman" w:cs="Times New Roman"/>
                      <w:bCs/>
                      <w:snapToGrid w:val="0"/>
                      <w:color w:val="auto"/>
                      <w:sz w:val="21"/>
                      <w:szCs w:val="21"/>
                      <w:lang w:val="en-US"/>
                    </w:rPr>
                  </w:pPr>
                  <w:r>
                    <w:rPr>
                      <w:rFonts w:ascii="Times New Roman" w:hAnsi="Times New Roman" w:cs="Times New Roman"/>
                      <w:color w:val="auto"/>
                      <w:sz w:val="21"/>
                      <w:szCs w:val="21"/>
                    </w:rPr>
                    <w:t>硅酸盐水泥，粉状水硬性无机胶凝材料。加水搅拌后成浆体，能在空气中硬化或者在水中硬化，并能把砂、石等材料牢固地胶结在一起</w:t>
                  </w:r>
                  <w:r>
                    <w:rPr>
                      <w:rFonts w:ascii="Times New Roman" w:hAnsi="Times New Roman" w:cs="Times New Roman"/>
                      <w:bCs/>
                      <w:snapToGrid w:val="0"/>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vAlign w:val="center"/>
                </w:tcPr>
                <w:p>
                  <w:pPr>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w:t>
                  </w:r>
                </w:p>
              </w:tc>
              <w:tc>
                <w:tcPr>
                  <w:tcW w:w="1171" w:type="dxa"/>
                  <w:vAlign w:val="center"/>
                </w:tcPr>
                <w:p>
                  <w:pPr>
                    <w:spacing w:line="300" w:lineRule="exact"/>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砂子</w:t>
                  </w:r>
                </w:p>
              </w:tc>
              <w:tc>
                <w:tcPr>
                  <w:tcW w:w="6975" w:type="dxa"/>
                  <w:gridSpan w:val="2"/>
                </w:tcPr>
                <w:p>
                  <w:pPr>
                    <w:autoSpaceDE/>
                    <w:autoSpaceDN/>
                    <w:jc w:val="both"/>
                    <w:rPr>
                      <w:rFonts w:ascii="Times New Roman" w:hAnsi="Times New Roman" w:cs="Times New Roman"/>
                      <w:bCs/>
                      <w:snapToGrid w:val="0"/>
                      <w:color w:val="auto"/>
                      <w:sz w:val="21"/>
                      <w:szCs w:val="21"/>
                      <w:lang w:val="en-US"/>
                    </w:rPr>
                  </w:pPr>
                  <w:r>
                    <w:rPr>
                      <w:rFonts w:ascii="Times New Roman" w:hAnsi="Times New Roman" w:cs="Times New Roman"/>
                      <w:bCs/>
                      <w:color w:val="auto"/>
                      <w:sz w:val="21"/>
                      <w:szCs w:val="21"/>
                      <w:lang w:val="en-US"/>
                    </w:rPr>
                    <w:t>主要为SiO</w:t>
                  </w:r>
                  <w:r>
                    <w:rPr>
                      <w:rFonts w:ascii="Times New Roman" w:hAnsi="Times New Roman" w:cs="Times New Roman"/>
                      <w:bCs/>
                      <w:color w:val="auto"/>
                      <w:sz w:val="21"/>
                      <w:szCs w:val="21"/>
                      <w:vertAlign w:val="subscript"/>
                      <w:lang w:val="en-US"/>
                    </w:rPr>
                    <w:t>2</w:t>
                  </w:r>
                  <w:r>
                    <w:rPr>
                      <w:rFonts w:ascii="Times New Roman" w:hAnsi="Times New Roman" w:cs="Times New Roman"/>
                      <w:bCs/>
                      <w:color w:val="auto"/>
                      <w:sz w:val="21"/>
                      <w:szCs w:val="21"/>
                      <w:lang w:val="en-US"/>
                    </w:rPr>
                    <w:t>，人工从某些石块上打磨下来，颗粒相对较大，饱满感更强一些，拿在手中能清晰地感觉到有颗粒存在。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vAlign w:val="center"/>
                </w:tcPr>
                <w:p>
                  <w:pPr>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w:t>
                  </w:r>
                </w:p>
              </w:tc>
              <w:tc>
                <w:tcPr>
                  <w:tcW w:w="1171" w:type="dxa"/>
                  <w:vAlign w:val="center"/>
                </w:tcPr>
                <w:p>
                  <w:pPr>
                    <w:spacing w:line="300" w:lineRule="exact"/>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rPr>
                    <w:t>矿粉</w:t>
                  </w:r>
                </w:p>
              </w:tc>
              <w:tc>
                <w:tcPr>
                  <w:tcW w:w="6975" w:type="dxa"/>
                  <w:gridSpan w:val="2"/>
                </w:tcPr>
                <w:p>
                  <w:pPr>
                    <w:autoSpaceDE/>
                    <w:autoSpaceDN/>
                    <w:jc w:val="left"/>
                    <w:rPr>
                      <w:rFonts w:ascii="Times New Roman" w:hAnsi="Times New Roman" w:cs="Times New Roman"/>
                      <w:bCs/>
                      <w:color w:val="auto"/>
                      <w:sz w:val="21"/>
                      <w:szCs w:val="21"/>
                      <w:lang w:val="en-US"/>
                    </w:rPr>
                  </w:pPr>
                  <w:r>
                    <w:rPr>
                      <w:rFonts w:ascii="Times New Roman" w:hAnsi="Times New Roman" w:cs="Times New Roman"/>
                      <w:bCs/>
                      <w:snapToGrid w:val="0"/>
                      <w:color w:val="auto"/>
                      <w:sz w:val="21"/>
                      <w:szCs w:val="21"/>
                      <w:lang w:val="en-US"/>
                    </w:rPr>
                    <w:t>原料中的矿粉是用水淬高炉矿渣，经干燥，粉磨等工艺处理后得到的高细度，高活性粉料，是优质的混凝土掺合料和水泥混合材，是当今世界公认的配制高性能</w:t>
                  </w:r>
                  <w:r>
                    <w:rPr>
                      <w:rFonts w:hint="eastAsia" w:ascii="Times New Roman" w:hAnsi="Times New Roman" w:cs="Times New Roman"/>
                      <w:bCs/>
                      <w:snapToGrid w:val="0"/>
                      <w:color w:val="auto"/>
                      <w:sz w:val="21"/>
                      <w:szCs w:val="21"/>
                      <w:lang w:val="en-US"/>
                    </w:rPr>
                    <w:t>水泥拌和相关产品</w:t>
                  </w:r>
                  <w:r>
                    <w:rPr>
                      <w:rFonts w:ascii="Times New Roman" w:hAnsi="Times New Roman" w:cs="Times New Roman"/>
                      <w:bCs/>
                      <w:snapToGrid w:val="0"/>
                      <w:color w:val="auto"/>
                      <w:sz w:val="21"/>
                      <w:szCs w:val="21"/>
                      <w:lang w:val="en-US"/>
                    </w:rPr>
                    <w:t>的重要材料。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vAlign w:val="center"/>
                </w:tcPr>
                <w:p>
                  <w:pPr>
                    <w:widowControl/>
                    <w:autoSpaceDE/>
                    <w:autoSpaceDN/>
                    <w:jc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4</w:t>
                  </w:r>
                </w:p>
              </w:tc>
              <w:tc>
                <w:tcPr>
                  <w:tcW w:w="1171" w:type="dxa"/>
                  <w:vAlign w:val="center"/>
                </w:tcPr>
                <w:p>
                  <w:pPr>
                    <w:spacing w:line="300" w:lineRule="exact"/>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rPr>
                    <w:t>粉煤灰</w:t>
                  </w:r>
                </w:p>
              </w:tc>
              <w:tc>
                <w:tcPr>
                  <w:tcW w:w="6975" w:type="dxa"/>
                  <w:gridSpan w:val="2"/>
                </w:tcPr>
                <w:p>
                  <w:pPr>
                    <w:autoSpaceDE/>
                    <w:autoSpaceDN/>
                    <w:jc w:val="both"/>
                    <w:rPr>
                      <w:rFonts w:ascii="Times New Roman" w:hAnsi="Times New Roman" w:cs="Times New Roman"/>
                      <w:bCs/>
                      <w:snapToGrid w:val="0"/>
                      <w:color w:val="auto"/>
                      <w:sz w:val="21"/>
                      <w:szCs w:val="21"/>
                      <w:lang w:val="en-US"/>
                    </w:rPr>
                  </w:pPr>
                  <w:r>
                    <w:rPr>
                      <w:rFonts w:ascii="Times New Roman" w:hAnsi="Times New Roman" w:cs="Times New Roman"/>
                      <w:bCs/>
                      <w:color w:val="auto"/>
                      <w:sz w:val="21"/>
                      <w:szCs w:val="21"/>
                      <w:lang w:val="en-US"/>
                    </w:rPr>
                    <w:t>粉煤灰是从煤燃烧后的烟气中收捕下来的细灰，是燃煤电厂排出的主要固体废物。粉煤灰是晶体、玻璃体及少量未燃炭组成的一个复合结构的混合体。混合体中这三者的比例随着煤燃烧所选用的技术及操作手法不同而不同。其中结晶体包括石英、莫来石、磁铁矿等；玻璃体包括光滑的球体形玻璃体粒子、形状不规则孔隙少的小颗粒、疏松多孔且形状不规则的玻璃体球等；未燃炭多呈疏松多孔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5" w:type="dxa"/>
                  <w:vAlign w:val="center"/>
                </w:tcPr>
                <w:p>
                  <w:pPr>
                    <w:widowControl/>
                    <w:autoSpaceDE/>
                    <w:autoSpaceDN/>
                    <w:jc w:val="center"/>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5</w:t>
                  </w:r>
                </w:p>
              </w:tc>
              <w:tc>
                <w:tcPr>
                  <w:tcW w:w="1171" w:type="dxa"/>
                  <w:vAlign w:val="center"/>
                </w:tcPr>
                <w:p>
                  <w:pPr>
                    <w:spacing w:line="300" w:lineRule="exact"/>
                    <w:jc w:val="center"/>
                    <w:rPr>
                      <w:rFonts w:ascii="Times New Roman" w:hAnsi="Times New Roman" w:cs="Times New Roman"/>
                      <w:color w:val="auto"/>
                      <w:kern w:val="2"/>
                      <w:sz w:val="21"/>
                      <w:szCs w:val="21"/>
                      <w:lang w:val="en-US" w:bidi="ar-SA"/>
                    </w:rPr>
                  </w:pPr>
                  <w:r>
                    <w:rPr>
                      <w:rFonts w:hint="eastAsia" w:ascii="Times New Roman" w:hAnsi="Times New Roman" w:cs="Times New Roman"/>
                      <w:color w:val="auto"/>
                      <w:sz w:val="21"/>
                      <w:szCs w:val="21"/>
                      <w:lang w:val="en-US"/>
                    </w:rPr>
                    <w:t>外加</w:t>
                  </w:r>
                  <w:r>
                    <w:rPr>
                      <w:rFonts w:ascii="Times New Roman" w:hAnsi="Times New Roman" w:cs="Times New Roman"/>
                      <w:color w:val="auto"/>
                      <w:sz w:val="21"/>
                      <w:szCs w:val="21"/>
                      <w:lang w:val="en-US"/>
                    </w:rPr>
                    <w:t>剂</w:t>
                  </w:r>
                </w:p>
              </w:tc>
              <w:tc>
                <w:tcPr>
                  <w:tcW w:w="6975" w:type="dxa"/>
                  <w:gridSpan w:val="2"/>
                </w:tcPr>
                <w:p>
                  <w:pPr>
                    <w:autoSpaceDE/>
                    <w:autoSpaceDN/>
                    <w:jc w:val="both"/>
                    <w:rPr>
                      <w:rFonts w:ascii="Times New Roman" w:hAnsi="Times New Roman" w:cs="Times New Roman"/>
                      <w:bCs/>
                      <w:snapToGrid w:val="0"/>
                      <w:color w:val="auto"/>
                      <w:sz w:val="21"/>
                      <w:szCs w:val="21"/>
                      <w:lang w:val="en-US"/>
                    </w:rPr>
                  </w:pPr>
                  <w:r>
                    <w:rPr>
                      <w:rFonts w:ascii="Times New Roman" w:hAnsi="Times New Roman" w:cs="Times New Roman"/>
                      <w:bCs/>
                      <w:color w:val="auto"/>
                      <w:sz w:val="21"/>
                      <w:szCs w:val="21"/>
                      <w:lang w:val="en-US"/>
                    </w:rPr>
                    <w:t>葡萄糖酸钠缓凝剂，能够显著延缓凝结时间。在用量为0.15%以下时，起始凝结时间的对数与配加量成正比例关系，即配加量加一倍，初凝时间延迟到十倍，这就使能工作的时间从很少几个小时延长到几天而无损于强度，特别是在热天和需要放置的时间较长时。</w:t>
                  </w:r>
                </w:p>
              </w:tc>
            </w:tr>
          </w:tbl>
          <w:p>
            <w:pPr>
              <w:pStyle w:val="52"/>
              <w:spacing w:line="400" w:lineRule="exact"/>
              <w:ind w:firstLine="421" w:firstLineChars="200"/>
              <w:jc w:val="both"/>
              <w:rPr>
                <w:rFonts w:ascii="Times New Roman" w:hAnsi="Times New Roman" w:cs="Times New Roman"/>
                <w:b/>
                <w:snapToGrid w:val="0"/>
                <w:color w:val="auto"/>
                <w:sz w:val="21"/>
                <w:szCs w:val="21"/>
                <w:lang w:val="en-US"/>
              </w:rPr>
            </w:pPr>
            <w:r>
              <w:rPr>
                <w:rFonts w:hint="eastAsia" w:ascii="Times New Roman" w:hAnsi="Times New Roman" w:cs="Times New Roman"/>
                <w:b/>
                <w:snapToGrid w:val="0"/>
                <w:color w:val="auto"/>
                <w:sz w:val="21"/>
                <w:szCs w:val="21"/>
                <w:lang w:val="en-US"/>
              </w:rPr>
              <w:t>三</w:t>
            </w:r>
            <w:r>
              <w:rPr>
                <w:rFonts w:ascii="Times New Roman" w:hAnsi="Times New Roman" w:cs="Times New Roman"/>
                <w:b/>
                <w:snapToGrid w:val="0"/>
                <w:color w:val="auto"/>
                <w:sz w:val="21"/>
                <w:szCs w:val="21"/>
                <w:lang w:val="en-US"/>
              </w:rPr>
              <w:t>、公用工程</w:t>
            </w:r>
          </w:p>
          <w:p>
            <w:pPr>
              <w:autoSpaceDE/>
              <w:autoSpaceDN/>
              <w:spacing w:line="400" w:lineRule="exact"/>
              <w:ind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1、</w:t>
            </w:r>
            <w:r>
              <w:rPr>
                <w:rFonts w:ascii="Times New Roman" w:hAnsi="Times New Roman" w:cs="Times New Roman"/>
                <w:b/>
                <w:bCs/>
                <w:color w:val="auto"/>
                <w:sz w:val="21"/>
                <w:szCs w:val="21"/>
              </w:rPr>
              <w:t>给排水</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1）现有工程</w:t>
            </w:r>
            <w:r>
              <w:rPr>
                <w:rFonts w:ascii="Times New Roman" w:hAnsi="Times New Roman" w:cs="Times New Roman"/>
                <w:b/>
                <w:bCs/>
                <w:color w:val="auto"/>
                <w:sz w:val="21"/>
                <w:szCs w:val="21"/>
              </w:rPr>
              <w:t>给排水</w:t>
            </w:r>
          </w:p>
          <w:p>
            <w:pPr>
              <w:autoSpaceDE/>
              <w:autoSpaceDN/>
              <w:spacing w:line="400" w:lineRule="exact"/>
              <w:ind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给水</w:t>
            </w:r>
          </w:p>
          <w:p>
            <w:pPr>
              <w:autoSpaceDE/>
              <w:autoSpaceDN/>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根据企业提供资料，</w:t>
            </w:r>
            <w:r>
              <w:rPr>
                <w:rFonts w:ascii="Times New Roman" w:hAnsi="Times New Roman" w:cs="Times New Roman"/>
                <w:color w:val="auto"/>
                <w:sz w:val="21"/>
                <w:szCs w:val="21"/>
                <w:lang w:val="en-US"/>
              </w:rPr>
              <w:t>用水由魏县水厂供水管网提供</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现有</w:t>
            </w:r>
            <w:r>
              <w:rPr>
                <w:rFonts w:hint="eastAsia" w:ascii="Times New Roman" w:hAnsi="Times New Roman" w:cs="Times New Roman"/>
                <w:color w:val="auto"/>
                <w:sz w:val="21"/>
                <w:szCs w:val="21"/>
                <w:lang w:val="en-US"/>
              </w:rPr>
              <w:t>混凝土</w:t>
            </w:r>
            <w:r>
              <w:rPr>
                <w:rFonts w:ascii="Times New Roman" w:hAnsi="Times New Roman" w:cs="Times New Roman"/>
                <w:color w:val="auto"/>
                <w:sz w:val="21"/>
                <w:szCs w:val="21"/>
                <w:lang w:val="en-US"/>
              </w:rPr>
              <w:t>项目总用水量为2.0</w:t>
            </w:r>
            <w:r>
              <w:rPr>
                <w:rFonts w:hint="eastAsia" w:ascii="Times New Roman" w:hAnsi="Times New Roman" w:cs="Times New Roman"/>
                <w:color w:val="auto"/>
                <w:sz w:val="21"/>
                <w:szCs w:val="21"/>
                <w:lang w:val="en-US"/>
              </w:rPr>
              <w:t>511</w:t>
            </w:r>
            <w:r>
              <w:rPr>
                <w:rFonts w:ascii="Times New Roman" w:hAnsi="Times New Roman" w:cs="Times New Roman"/>
                <w:color w:val="auto"/>
                <w:sz w:val="21"/>
                <w:szCs w:val="21"/>
                <w:lang w:val="en-US"/>
              </w:rPr>
              <w:t>万m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/a。其中生活用水</w:t>
            </w:r>
            <w:r>
              <w:rPr>
                <w:rFonts w:hint="eastAsia" w:ascii="Times New Roman" w:hAnsi="Times New Roman" w:cs="Times New Roman"/>
                <w:color w:val="auto"/>
                <w:sz w:val="21"/>
                <w:szCs w:val="21"/>
                <w:lang w:val="en-US"/>
              </w:rPr>
              <w:t>2.47</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/d，全部使用新鲜水；混凝土拌和用水62m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/d，全部使用新鲜水；</w:t>
            </w:r>
            <w:r>
              <w:rPr>
                <w:rFonts w:hint="eastAsia" w:ascii="Times New Roman" w:hAnsi="Times New Roman" w:cs="Times New Roman"/>
                <w:color w:val="auto"/>
                <w:sz w:val="21"/>
                <w:szCs w:val="21"/>
                <w:lang w:val="en-US" w:eastAsia="zh-CN"/>
              </w:rPr>
              <w:t>设备清洗</w:t>
            </w:r>
            <w:r>
              <w:rPr>
                <w:rFonts w:ascii="Times New Roman" w:hAnsi="Times New Roman" w:cs="Times New Roman"/>
                <w:color w:val="auto"/>
                <w:sz w:val="21"/>
                <w:szCs w:val="21"/>
                <w:lang w:val="en-US"/>
              </w:rPr>
              <w:t>用水6m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/d，其中循环水量为4.5m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/d，每日补充新鲜水1.5m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/d；喷淋用水1.4m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/d，全部使用新鲜水；车辆冲洗用水6m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/d，其中循环水量为5m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/d，每日补充新鲜水1m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hint="eastAsia" w:ascii="Times New Roman" w:hAnsi="Times New Roman" w:cs="Times New Roman"/>
                <w:color w:val="auto"/>
                <w:sz w:val="21"/>
                <w:szCs w:val="21"/>
                <w:lang w:val="en-US"/>
              </w:rPr>
              <w:t>现有预制构件项目总用水</w:t>
            </w:r>
            <w:r>
              <w:rPr>
                <w:rFonts w:ascii="Times New Roman" w:hAnsi="Times New Roman" w:cs="Times New Roman"/>
                <w:color w:val="auto"/>
                <w:sz w:val="21"/>
                <w:szCs w:val="21"/>
                <w:lang w:val="en-US"/>
              </w:rPr>
              <w:t>量为2.</w:t>
            </w:r>
            <w:r>
              <w:rPr>
                <w:rFonts w:hint="eastAsia" w:ascii="Times New Roman" w:hAnsi="Times New Roman" w:cs="Times New Roman"/>
                <w:color w:val="auto"/>
                <w:sz w:val="21"/>
                <w:szCs w:val="21"/>
                <w:lang w:val="en-US"/>
              </w:rPr>
              <w:t>7877</w:t>
            </w:r>
            <w:r>
              <w:rPr>
                <w:rFonts w:ascii="Times New Roman" w:hAnsi="Times New Roman" w:cs="Times New Roman"/>
                <w:color w:val="auto"/>
                <w:sz w:val="21"/>
                <w:szCs w:val="21"/>
                <w:lang w:val="en-US"/>
              </w:rPr>
              <w:t>万m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/a。其中生活用水</w:t>
            </w:r>
            <w:r>
              <w:rPr>
                <w:rFonts w:hint="eastAsia" w:ascii="Times New Roman" w:hAnsi="Times New Roman" w:cs="Times New Roman"/>
                <w:color w:val="auto"/>
                <w:sz w:val="21"/>
                <w:szCs w:val="21"/>
                <w:lang w:val="en-US"/>
              </w:rPr>
              <w:t>0.493</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/d，全部使用新鲜水；</w:t>
            </w:r>
            <w:r>
              <w:rPr>
                <w:rFonts w:hint="eastAsia" w:ascii="Times New Roman" w:hAnsi="Times New Roman" w:cs="Times New Roman"/>
                <w:color w:val="auto"/>
                <w:sz w:val="21"/>
                <w:szCs w:val="21"/>
                <w:lang w:val="en-US"/>
              </w:rPr>
              <w:t>预制构件</w:t>
            </w:r>
            <w:r>
              <w:rPr>
                <w:rFonts w:ascii="Times New Roman" w:hAnsi="Times New Roman" w:cs="Times New Roman"/>
                <w:color w:val="auto"/>
                <w:sz w:val="21"/>
                <w:szCs w:val="21"/>
                <w:lang w:val="en-US"/>
              </w:rPr>
              <w:t>拌和</w:t>
            </w:r>
            <w:r>
              <w:rPr>
                <w:rFonts w:hint="eastAsia" w:ascii="Times New Roman" w:hAnsi="Times New Roman" w:cs="Times New Roman"/>
                <w:color w:val="auto"/>
                <w:sz w:val="21"/>
                <w:szCs w:val="21"/>
                <w:lang w:val="en-US"/>
              </w:rPr>
              <w:t>及养护</w:t>
            </w:r>
            <w:r>
              <w:rPr>
                <w:rFonts w:ascii="Times New Roman" w:hAnsi="Times New Roman" w:cs="Times New Roman"/>
                <w:color w:val="auto"/>
                <w:sz w:val="21"/>
                <w:szCs w:val="21"/>
                <w:lang w:val="en-US"/>
              </w:rPr>
              <w:t>用水</w:t>
            </w:r>
            <w:r>
              <w:rPr>
                <w:rFonts w:hint="eastAsia" w:ascii="Times New Roman" w:hAnsi="Times New Roman" w:cs="Times New Roman"/>
                <w:color w:val="auto"/>
                <w:sz w:val="21"/>
                <w:szCs w:val="21"/>
                <w:lang w:val="en-US"/>
              </w:rPr>
              <w:t>87.83</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/d，全部使用新鲜水；</w:t>
            </w:r>
            <w:r>
              <w:rPr>
                <w:rFonts w:hint="eastAsia" w:ascii="Times New Roman" w:hAnsi="Times New Roman" w:cs="Times New Roman"/>
                <w:color w:val="auto"/>
                <w:sz w:val="21"/>
                <w:szCs w:val="21"/>
                <w:lang w:val="en-US" w:eastAsia="zh-CN"/>
              </w:rPr>
              <w:t>设备清洗</w:t>
            </w:r>
            <w:r>
              <w:rPr>
                <w:rFonts w:ascii="Times New Roman" w:hAnsi="Times New Roman" w:cs="Times New Roman"/>
                <w:color w:val="auto"/>
                <w:sz w:val="21"/>
                <w:szCs w:val="21"/>
                <w:lang w:val="en-US"/>
              </w:rPr>
              <w:t>用水</w:t>
            </w:r>
            <w:r>
              <w:rPr>
                <w:rFonts w:hint="eastAsia" w:ascii="Times New Roman" w:hAnsi="Times New Roman" w:cs="Times New Roman"/>
                <w:color w:val="auto"/>
                <w:sz w:val="21"/>
                <w:szCs w:val="21"/>
                <w:lang w:val="en-US"/>
              </w:rPr>
              <w:t>8</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/d，其中循环水量为</w:t>
            </w: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/d，每日补充新鲜水</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/d；喷淋用水1.</w:t>
            </w: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/d，全部使用新鲜水；车辆冲洗用水6</w:t>
            </w: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/d，其中循环水量为5</w:t>
            </w: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/d，每日补充新鲜水1m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p>
          <w:p>
            <w:pPr>
              <w:autoSpaceDE/>
              <w:autoSpaceDN/>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排水</w:t>
            </w:r>
          </w:p>
          <w:p>
            <w:pPr>
              <w:autoSpaceDE/>
              <w:autoSpaceDN/>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根据企业提供资料，</w:t>
            </w:r>
            <w:r>
              <w:rPr>
                <w:rFonts w:ascii="Times New Roman" w:hAnsi="Times New Roman" w:cs="Times New Roman"/>
                <w:color w:val="auto"/>
                <w:sz w:val="21"/>
                <w:szCs w:val="21"/>
                <w:lang w:val="en-US"/>
              </w:rPr>
              <w:t>现有项目生产废水主要为车辆冲洗废水、</w:t>
            </w:r>
            <w:r>
              <w:rPr>
                <w:rFonts w:hint="eastAsia" w:ascii="Times New Roman" w:hAnsi="Times New Roman" w:cs="Times New Roman"/>
                <w:color w:val="auto"/>
                <w:sz w:val="21"/>
                <w:szCs w:val="21"/>
                <w:lang w:val="en-US" w:eastAsia="zh-CN"/>
              </w:rPr>
              <w:t>设备清洗</w:t>
            </w:r>
            <w:r>
              <w:rPr>
                <w:rFonts w:ascii="Times New Roman" w:hAnsi="Times New Roman" w:cs="Times New Roman"/>
                <w:color w:val="auto"/>
                <w:sz w:val="21"/>
                <w:szCs w:val="21"/>
                <w:lang w:val="en-US"/>
              </w:rPr>
              <w:t>废水，生活废水主要为职工生活污水。车辆冲洗废水产生量约为</w:t>
            </w:r>
            <w:r>
              <w:rPr>
                <w:rFonts w:hint="eastAsia" w:ascii="Times New Roman" w:hAnsi="Times New Roman" w:cs="Times New Roman"/>
                <w:color w:val="auto"/>
                <w:sz w:val="21"/>
                <w:szCs w:val="21"/>
                <w:lang w:val="en-US"/>
              </w:rPr>
              <w:t>10.5</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/d，全部排入沉淀池，经沉淀池沉淀后循环使用；</w:t>
            </w:r>
            <w:r>
              <w:rPr>
                <w:rFonts w:hint="eastAsia" w:ascii="Times New Roman" w:hAnsi="Times New Roman" w:cs="Times New Roman"/>
                <w:color w:val="auto"/>
                <w:sz w:val="21"/>
                <w:szCs w:val="21"/>
                <w:lang w:val="en-US" w:eastAsia="zh-CN"/>
              </w:rPr>
              <w:t>设备清洗</w:t>
            </w:r>
            <w:r>
              <w:rPr>
                <w:rFonts w:ascii="Times New Roman" w:hAnsi="Times New Roman" w:cs="Times New Roman"/>
                <w:color w:val="auto"/>
                <w:sz w:val="21"/>
                <w:szCs w:val="21"/>
                <w:lang w:val="en-US"/>
              </w:rPr>
              <w:t>废水产生量约为</w:t>
            </w:r>
            <w:r>
              <w:rPr>
                <w:rFonts w:hint="eastAsia" w:ascii="Times New Roman" w:hAnsi="Times New Roman" w:cs="Times New Roman"/>
                <w:color w:val="auto"/>
                <w:sz w:val="21"/>
                <w:szCs w:val="21"/>
                <w:lang w:val="en-US"/>
              </w:rPr>
              <w:t>10.</w:t>
            </w:r>
            <w:r>
              <w:rPr>
                <w:rFonts w:ascii="Times New Roman" w:hAnsi="Times New Roman" w:cs="Times New Roman"/>
                <w:color w:val="auto"/>
                <w:sz w:val="21"/>
                <w:szCs w:val="21"/>
                <w:lang w:val="en-US"/>
              </w:rPr>
              <w:t>5m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/d，全部排入沉淀池，经沉淀池沉淀后循环使用；生活</w:t>
            </w:r>
            <w:r>
              <w:rPr>
                <w:rFonts w:hint="eastAsia" w:ascii="Times New Roman" w:hAnsi="Times New Roman" w:cs="Times New Roman"/>
                <w:color w:val="auto"/>
                <w:sz w:val="21"/>
                <w:szCs w:val="21"/>
                <w:lang w:val="en-US"/>
              </w:rPr>
              <w:t>废</w:t>
            </w:r>
            <w:r>
              <w:rPr>
                <w:rFonts w:ascii="Times New Roman" w:hAnsi="Times New Roman" w:cs="Times New Roman"/>
                <w:color w:val="auto"/>
                <w:sz w:val="21"/>
                <w:szCs w:val="21"/>
                <w:lang w:val="en-US"/>
              </w:rPr>
              <w:t>水产生量约为</w:t>
            </w:r>
            <w:r>
              <w:rPr>
                <w:rFonts w:hint="eastAsia" w:ascii="Times New Roman" w:hAnsi="Times New Roman" w:cs="Times New Roman"/>
                <w:color w:val="auto"/>
                <w:sz w:val="21"/>
                <w:szCs w:val="21"/>
                <w:lang w:val="en-US"/>
              </w:rPr>
              <w:t>2.368</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/d，全部排入防渗旱厕，定期清掏。</w:t>
            </w:r>
            <w:r>
              <w:rPr>
                <w:rFonts w:hint="eastAsia" w:ascii="Times New Roman" w:hAnsi="Times New Roman" w:cs="Times New Roman"/>
                <w:color w:val="auto"/>
                <w:sz w:val="21"/>
                <w:szCs w:val="21"/>
                <w:lang w:val="en-US"/>
              </w:rPr>
              <w:t>现有</w:t>
            </w:r>
            <w:r>
              <w:rPr>
                <w:rFonts w:ascii="Times New Roman" w:hAnsi="Times New Roman" w:cs="Times New Roman"/>
                <w:color w:val="auto"/>
                <w:sz w:val="21"/>
                <w:szCs w:val="21"/>
                <w:lang w:val="en-US"/>
              </w:rPr>
              <w:t>项目无废水外排。</w:t>
            </w:r>
          </w:p>
          <w:p>
            <w:pPr>
              <w:autoSpaceDE/>
              <w:autoSpaceDN/>
              <w:spacing w:line="400" w:lineRule="exact"/>
              <w:ind w:left="110" w:leftChars="50"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2）本项目</w:t>
            </w:r>
            <w:r>
              <w:rPr>
                <w:rFonts w:ascii="Times New Roman" w:hAnsi="Times New Roman" w:cs="Times New Roman"/>
                <w:b/>
                <w:bCs/>
                <w:color w:val="auto"/>
                <w:sz w:val="21"/>
                <w:szCs w:val="21"/>
              </w:rPr>
              <w:t>给排水</w:t>
            </w:r>
          </w:p>
          <w:p>
            <w:pPr>
              <w:autoSpaceDE/>
              <w:autoSpaceDN/>
              <w:spacing w:line="400" w:lineRule="exact"/>
              <w:ind w:firstLine="421" w:firstLineChars="200"/>
              <w:jc w:val="both"/>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1</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给水</w:t>
            </w:r>
          </w:p>
          <w:p>
            <w:pPr>
              <w:autoSpaceDE/>
              <w:autoSpaceDN/>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本项目用水</w:t>
            </w:r>
            <w:r>
              <w:rPr>
                <w:rFonts w:ascii="Times New Roman" w:hAnsi="Times New Roman" w:cs="Times New Roman"/>
                <w:color w:val="auto"/>
                <w:sz w:val="21"/>
                <w:szCs w:val="21"/>
              </w:rPr>
              <w:t>由</w:t>
            </w:r>
            <w:r>
              <w:rPr>
                <w:rFonts w:hint="eastAsia" w:ascii="Times New Roman" w:hAnsi="Times New Roman" w:cs="Times New Roman"/>
                <w:color w:val="auto"/>
                <w:sz w:val="21"/>
                <w:szCs w:val="21"/>
              </w:rPr>
              <w:t>当地</w:t>
            </w:r>
            <w:r>
              <w:rPr>
                <w:rFonts w:ascii="Times New Roman" w:hAnsi="Times New Roman" w:cs="Times New Roman"/>
                <w:color w:val="auto"/>
                <w:sz w:val="21"/>
                <w:szCs w:val="21"/>
              </w:rPr>
              <w:t>供水管网提供</w:t>
            </w:r>
            <w:r>
              <w:rPr>
                <w:rFonts w:ascii="Times New Roman" w:hAnsi="Times New Roman" w:cs="Times New Roman"/>
                <w:color w:val="auto"/>
                <w:sz w:val="21"/>
                <w:szCs w:val="21"/>
                <w:lang w:val="en-US"/>
              </w:rPr>
              <w:t>，用水主要</w:t>
            </w:r>
            <w:r>
              <w:rPr>
                <w:rFonts w:hint="eastAsia" w:ascii="Times New Roman" w:hAnsi="Times New Roman" w:cs="Times New Roman"/>
                <w:color w:val="auto"/>
                <w:sz w:val="21"/>
                <w:szCs w:val="21"/>
                <w:lang w:val="en-US"/>
              </w:rPr>
              <w:t>为生活用水、</w:t>
            </w:r>
            <w:r>
              <w:rPr>
                <w:rFonts w:ascii="Times New Roman" w:hAnsi="Times New Roman" w:cs="Times New Roman"/>
                <w:color w:val="auto"/>
                <w:sz w:val="21"/>
                <w:szCs w:val="21"/>
                <w:lang w:val="en-US"/>
              </w:rPr>
              <w:t>拌和用水</w:t>
            </w:r>
            <w:r>
              <w:rPr>
                <w:rFonts w:hint="eastAsia" w:ascii="Times New Roman" w:hAnsi="Times New Roman" w:cs="Times New Roman"/>
                <w:color w:val="auto"/>
                <w:sz w:val="21"/>
                <w:szCs w:val="21"/>
                <w:lang w:val="en-US"/>
              </w:rPr>
              <w:t>、喷淋用水</w:t>
            </w:r>
            <w:r>
              <w:rPr>
                <w:rFonts w:ascii="Times New Roman" w:hAnsi="Times New Roman" w:cs="Times New Roman"/>
                <w:color w:val="auto"/>
                <w:sz w:val="21"/>
                <w:szCs w:val="21"/>
                <w:lang w:val="en-US"/>
              </w:rPr>
              <w:t>及车辆冲洗水。</w:t>
            </w:r>
          </w:p>
          <w:p>
            <w:pPr>
              <w:autoSpaceDE/>
              <w:autoSpaceDN/>
              <w:spacing w:line="400" w:lineRule="exact"/>
              <w:ind w:left="110" w:lef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①生活用水：</w:t>
            </w:r>
            <w:r>
              <w:rPr>
                <w:rFonts w:hint="eastAsia" w:ascii="Times New Roman" w:hAnsi="Times New Roman" w:cs="Times New Roman"/>
                <w:color w:val="auto"/>
                <w:sz w:val="21"/>
                <w:szCs w:val="21"/>
                <w:lang w:val="en-US"/>
              </w:rPr>
              <w:t>原有预制构件</w:t>
            </w:r>
            <w:r>
              <w:rPr>
                <w:rFonts w:ascii="Times New Roman" w:hAnsi="Times New Roman" w:cs="Times New Roman"/>
                <w:color w:val="auto"/>
                <w:sz w:val="21"/>
                <w:szCs w:val="21"/>
                <w:lang w:val="en-US"/>
              </w:rPr>
              <w:t>生产线</w:t>
            </w:r>
            <w:r>
              <w:rPr>
                <w:rFonts w:hint="eastAsia" w:ascii="Times New Roman" w:hAnsi="Times New Roman" w:cs="Times New Roman"/>
                <w:color w:val="auto"/>
                <w:sz w:val="21"/>
                <w:szCs w:val="21"/>
                <w:lang w:val="en-US"/>
              </w:rPr>
              <w:t>劳动定员8人，本项目不新增</w:t>
            </w:r>
            <w:r>
              <w:rPr>
                <w:rFonts w:ascii="Times New Roman" w:hAnsi="Times New Roman" w:cs="Times New Roman"/>
                <w:color w:val="auto"/>
                <w:sz w:val="21"/>
                <w:szCs w:val="21"/>
                <w:lang w:val="en-US"/>
              </w:rPr>
              <w:t>劳动定员</w:t>
            </w:r>
            <w:r>
              <w:rPr>
                <w:rFonts w:hint="eastAsia" w:ascii="Times New Roman" w:hAnsi="Times New Roman" w:cs="Times New Roman"/>
                <w:color w:val="auto"/>
                <w:sz w:val="21"/>
                <w:szCs w:val="21"/>
                <w:lang w:val="en-US"/>
              </w:rPr>
              <w:t>，将原有8人调配至湿拌砂浆生产线。不新增生活用水。</w:t>
            </w:r>
          </w:p>
          <w:p>
            <w:pPr>
              <w:autoSpaceDE/>
              <w:autoSpaceDN/>
              <w:spacing w:line="400" w:lineRule="exact"/>
              <w:ind w:left="110" w:lef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②</w:t>
            </w:r>
            <w:r>
              <w:rPr>
                <w:rFonts w:ascii="Times New Roman" w:hAnsi="Times New Roman" w:cs="Times New Roman"/>
                <w:b/>
                <w:bCs/>
                <w:color w:val="auto"/>
                <w:sz w:val="21"/>
                <w:szCs w:val="21"/>
                <w:lang w:val="en-US"/>
              </w:rPr>
              <w:t>拌和用水：</w:t>
            </w:r>
            <w:r>
              <w:rPr>
                <w:rFonts w:hint="eastAsia" w:ascii="Times New Roman" w:hAnsi="Times New Roman" w:cs="Times New Roman"/>
                <w:color w:val="auto"/>
                <w:sz w:val="21"/>
                <w:szCs w:val="21"/>
                <w:lang w:val="en-US"/>
              </w:rPr>
              <w:t>湿拌砂浆</w:t>
            </w:r>
            <w:r>
              <w:rPr>
                <w:rFonts w:ascii="Times New Roman" w:hAnsi="Times New Roman" w:cs="Times New Roman"/>
                <w:color w:val="auto"/>
                <w:sz w:val="21"/>
                <w:szCs w:val="21"/>
                <w:lang w:val="en-US"/>
              </w:rPr>
              <w:t>拌和用水添加至</w:t>
            </w:r>
            <w:r>
              <w:rPr>
                <w:rFonts w:hint="eastAsia" w:ascii="Times New Roman" w:hAnsi="Times New Roman" w:cs="Times New Roman"/>
                <w:color w:val="auto"/>
                <w:sz w:val="21"/>
                <w:szCs w:val="21"/>
                <w:lang w:val="en-US"/>
              </w:rPr>
              <w:t>砂浆</w:t>
            </w:r>
            <w:r>
              <w:rPr>
                <w:rFonts w:ascii="Times New Roman" w:hAnsi="Times New Roman" w:cs="Times New Roman"/>
                <w:color w:val="auto"/>
                <w:sz w:val="21"/>
                <w:szCs w:val="21"/>
                <w:lang w:val="en-US"/>
              </w:rPr>
              <w:t>混合料中，随成品带走。根据企业提供</w:t>
            </w:r>
            <w:r>
              <w:rPr>
                <w:rFonts w:hint="eastAsia" w:ascii="Times New Roman" w:hAnsi="Times New Roman" w:cs="Times New Roman"/>
                <w:color w:val="auto"/>
                <w:sz w:val="21"/>
                <w:szCs w:val="21"/>
                <w:lang w:val="en-US"/>
              </w:rPr>
              <w:t>资料，考虑蒸发损失，单方砂浆中含水量平均为187.5kg/m</w:t>
            </w:r>
            <w:r>
              <w:rPr>
                <w:rFonts w:hint="eastAsia"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，本项目</w:t>
            </w:r>
            <w:r>
              <w:rPr>
                <w:rFonts w:ascii="Times New Roman" w:hAnsi="Times New Roman" w:cs="Times New Roman"/>
                <w:color w:val="auto"/>
                <w:sz w:val="21"/>
                <w:szCs w:val="21"/>
              </w:rPr>
              <w:t>年产</w:t>
            </w:r>
            <w:r>
              <w:rPr>
                <w:rFonts w:hint="eastAsia" w:ascii="Times New Roman" w:hAnsi="Times New Roman" w:cs="Times New Roman"/>
                <w:color w:val="auto"/>
                <w:sz w:val="21"/>
                <w:szCs w:val="21"/>
                <w:lang w:val="en-US"/>
              </w:rPr>
              <w:t>30</w:t>
            </w:r>
            <w:r>
              <w:rPr>
                <w:rFonts w:ascii="Times New Roman" w:hAnsi="Times New Roman" w:cs="Times New Roman"/>
                <w:color w:val="auto"/>
                <w:sz w:val="21"/>
                <w:szCs w:val="21"/>
              </w:rPr>
              <w:t>万</w:t>
            </w:r>
            <w:r>
              <w:rPr>
                <w:rFonts w:hint="eastAsia" w:ascii="Times New Roman" w:hAnsi="Times New Roman" w:cs="Times New Roman"/>
                <w:color w:val="auto"/>
                <w:sz w:val="21"/>
                <w:szCs w:val="21"/>
              </w:rPr>
              <w:t>立方米湿拌砂浆</w:t>
            </w:r>
            <w:r>
              <w:rPr>
                <w:rFonts w:ascii="Times New Roman" w:hAnsi="Times New Roman" w:cs="Times New Roman"/>
                <w:color w:val="auto"/>
                <w:sz w:val="21"/>
                <w:szCs w:val="21"/>
                <w:lang w:val="en-US"/>
              </w:rPr>
              <w:t>，则拌和用水量为</w:t>
            </w:r>
            <w:r>
              <w:rPr>
                <w:rFonts w:hint="eastAsia" w:ascii="Times New Roman" w:hAnsi="Times New Roman" w:cs="Times New Roman"/>
                <w:color w:val="auto"/>
                <w:sz w:val="21"/>
                <w:szCs w:val="21"/>
                <w:lang w:val="en-US"/>
              </w:rPr>
              <w:t>56250</w:t>
            </w:r>
            <w:r>
              <w:rPr>
                <w:rFonts w:ascii="Times New Roman" w:hAnsi="Times New Roman" w:cs="Times New Roman"/>
                <w:color w:val="auto"/>
                <w:sz w:val="21"/>
                <w:szCs w:val="21"/>
                <w:lang w:val="en-US"/>
              </w:rPr>
              <w:t>t/a，日用水量为</w:t>
            </w:r>
            <w:r>
              <w:rPr>
                <w:rFonts w:hint="eastAsia" w:ascii="Times New Roman" w:hAnsi="Times New Roman" w:cs="Times New Roman"/>
                <w:color w:val="auto"/>
                <w:sz w:val="21"/>
                <w:szCs w:val="21"/>
                <w:lang w:val="en-US"/>
              </w:rPr>
              <w:t>187.5</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hint="eastAsia" w:ascii="Times New Roman" w:hAnsi="Times New Roman" w:cs="Times New Roman"/>
                <w:color w:val="auto"/>
                <w:sz w:val="21"/>
                <w:szCs w:val="21"/>
                <w:lang w:val="en-US"/>
              </w:rPr>
              <w:t>56250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w:t>
            </w:r>
          </w:p>
          <w:p>
            <w:pPr>
              <w:autoSpaceDE/>
              <w:autoSpaceDN/>
              <w:spacing w:line="400" w:lineRule="exact"/>
              <w:ind w:left="110" w:lef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③</w:t>
            </w:r>
            <w:r>
              <w:rPr>
                <w:rFonts w:ascii="Times New Roman" w:hAnsi="Times New Roman" w:cs="Times New Roman"/>
                <w:b/>
                <w:bCs/>
                <w:color w:val="auto"/>
                <w:sz w:val="21"/>
                <w:szCs w:val="21"/>
                <w:lang w:val="en-US"/>
              </w:rPr>
              <w:t>喷淋用水：</w:t>
            </w:r>
            <w:r>
              <w:rPr>
                <w:rFonts w:ascii="Times New Roman" w:hAnsi="Times New Roman" w:cs="Times New Roman"/>
                <w:color w:val="auto"/>
                <w:sz w:val="21"/>
                <w:szCs w:val="21"/>
                <w:lang w:val="en-US"/>
              </w:rPr>
              <w:t>本项目在骨料存放区上方加装喷淋设备，喷淋采用新鲜水，每日用水量为2.0m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hint="eastAsia" w:ascii="Times New Roman" w:hAnsi="Times New Roman" w:cs="Times New Roman"/>
                <w:color w:val="auto"/>
                <w:sz w:val="21"/>
                <w:szCs w:val="21"/>
                <w:lang w:val="en-US"/>
              </w:rPr>
              <w:t>600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w:t>
            </w:r>
          </w:p>
          <w:p>
            <w:pPr>
              <w:autoSpaceDE/>
              <w:autoSpaceDN/>
              <w:spacing w:line="400" w:lineRule="exact"/>
              <w:ind w:left="110" w:lef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④</w:t>
            </w:r>
            <w:r>
              <w:rPr>
                <w:rFonts w:ascii="Times New Roman" w:hAnsi="Times New Roman" w:cs="Times New Roman"/>
                <w:b/>
                <w:bCs/>
                <w:color w:val="auto"/>
                <w:sz w:val="21"/>
                <w:szCs w:val="21"/>
                <w:lang w:val="en-US"/>
              </w:rPr>
              <w:t>车辆冲洗用水：</w:t>
            </w:r>
            <w:r>
              <w:rPr>
                <w:rFonts w:ascii="Times New Roman" w:hAnsi="Times New Roman" w:cs="Times New Roman"/>
                <w:color w:val="auto"/>
                <w:sz w:val="21"/>
                <w:szCs w:val="21"/>
                <w:lang w:val="en-US"/>
              </w:rPr>
              <w:t>本项目在进出厂位置设置车辆洗车平台，对进出车辆进行冲洗，车辆冲洗用水可以循环使用，需定期补充新鲜水。车辆冲洗用水量约为4.5m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/d，循环水量为</w:t>
            </w:r>
            <w:r>
              <w:rPr>
                <w:rFonts w:ascii="Times New Roman" w:hAnsi="Times New Roman" w:cs="Times New Roman"/>
                <w:color w:val="auto"/>
                <w:sz w:val="21"/>
                <w:szCs w:val="21"/>
                <w:lang w:val="en-US" w:bidi="ar-SA"/>
              </w:rPr>
              <w:t>3.6m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w:t>
            </w:r>
            <w:r>
              <w:rPr>
                <w:rFonts w:ascii="Times New Roman" w:hAnsi="Times New Roman" w:cs="Times New Roman"/>
                <w:color w:val="auto"/>
                <w:sz w:val="21"/>
                <w:szCs w:val="21"/>
                <w:lang w:val="en-US"/>
              </w:rPr>
              <w:t>，每日补充新鲜水0.9</w:t>
            </w:r>
            <w:r>
              <w:rPr>
                <w:rFonts w:ascii="Times New Roman" w:hAnsi="Times New Roman" w:cs="Times New Roman"/>
                <w:color w:val="auto"/>
                <w:sz w:val="21"/>
                <w:szCs w:val="21"/>
                <w:lang w:val="en-US" w:bidi="ar-SA"/>
              </w:rPr>
              <w:t>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270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w:t>
            </w:r>
          </w:p>
          <w:p>
            <w:pPr>
              <w:pStyle w:val="7"/>
              <w:rPr>
                <w:rFonts w:hint="eastAsia" w:eastAsia="宋体"/>
                <w:color w:val="auto"/>
                <w:lang w:val="en-US" w:eastAsia="zh-CN"/>
              </w:rPr>
            </w:pPr>
            <w:r>
              <w:rPr>
                <w:rFonts w:hint="eastAsia" w:ascii="Times New Roman" w:hAnsi="Times New Roman" w:cs="Times New Roman"/>
                <w:color w:val="auto"/>
                <w:sz w:val="21"/>
                <w:szCs w:val="21"/>
                <w:lang w:val="en-US" w:eastAsia="zh-CN"/>
              </w:rPr>
              <w:t>⑤</w:t>
            </w:r>
            <w:r>
              <w:rPr>
                <w:rFonts w:hint="eastAsia" w:ascii="Times New Roman" w:hAnsi="Times New Roman" w:cs="Times New Roman"/>
                <w:b/>
                <w:bCs/>
                <w:color w:val="auto"/>
                <w:sz w:val="21"/>
                <w:szCs w:val="21"/>
                <w:lang w:val="en-US" w:eastAsia="zh-CN"/>
              </w:rPr>
              <w:t>设备清洗</w:t>
            </w:r>
            <w:r>
              <w:rPr>
                <w:rFonts w:ascii="Times New Roman" w:hAnsi="Times New Roman" w:cs="Times New Roman"/>
                <w:b/>
                <w:bCs/>
                <w:color w:val="auto"/>
                <w:sz w:val="21"/>
                <w:szCs w:val="21"/>
                <w:lang w:val="en-US"/>
              </w:rPr>
              <w:t>用水：</w:t>
            </w:r>
            <w:r>
              <w:rPr>
                <w:rFonts w:hint="eastAsia" w:ascii="Times New Roman" w:hAnsi="Times New Roman" w:cs="Times New Roman"/>
                <w:b w:val="0"/>
                <w:bCs w:val="0"/>
                <w:color w:val="auto"/>
                <w:sz w:val="21"/>
                <w:szCs w:val="21"/>
                <w:lang w:val="en-US" w:eastAsia="zh-CN"/>
              </w:rPr>
              <w:t>根据企业提供资料，</w:t>
            </w:r>
            <w:r>
              <w:rPr>
                <w:rFonts w:hint="eastAsia" w:ascii="Times New Roman" w:hAnsi="Times New Roman" w:cs="Times New Roman"/>
                <w:color w:val="auto"/>
                <w:sz w:val="21"/>
                <w:szCs w:val="21"/>
                <w:lang w:val="en-US" w:eastAsia="zh-CN"/>
              </w:rPr>
              <w:t>搅拌机等设备清洗用水量为1</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eastAsia="zh-CN"/>
              </w:rPr>
              <w:t>/d，设备清洗废水经沉淀后回用于设备清洗</w:t>
            </w:r>
            <w:r>
              <w:rPr>
                <w:rFonts w:ascii="Times New Roman" w:hAnsi="Times New Roman" w:cs="Times New Roman"/>
                <w:color w:val="auto"/>
                <w:sz w:val="21"/>
                <w:szCs w:val="21"/>
                <w:lang w:val="en-US"/>
              </w:rPr>
              <w:t>，循环水量为</w:t>
            </w:r>
            <w:r>
              <w:rPr>
                <w:rFonts w:hint="eastAsia" w:ascii="Times New Roman" w:hAnsi="Times New Roman" w:cs="Times New Roman"/>
                <w:color w:val="auto"/>
                <w:sz w:val="21"/>
                <w:szCs w:val="21"/>
                <w:lang w:val="en-US" w:eastAsia="zh-CN" w:bidi="ar-SA"/>
              </w:rPr>
              <w:t>0.8</w:t>
            </w:r>
            <w:r>
              <w:rPr>
                <w:rFonts w:ascii="Times New Roman" w:hAnsi="Times New Roman" w:cs="Times New Roman"/>
                <w:color w:val="auto"/>
                <w:sz w:val="21"/>
                <w:szCs w:val="21"/>
                <w:lang w:val="en-US" w:bidi="ar-SA"/>
              </w:rPr>
              <w:t>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w:t>
            </w:r>
            <w:r>
              <w:rPr>
                <w:rFonts w:ascii="Times New Roman" w:hAnsi="Times New Roman" w:cs="Times New Roman"/>
                <w:color w:val="auto"/>
                <w:sz w:val="21"/>
                <w:szCs w:val="21"/>
                <w:lang w:val="en-US"/>
              </w:rPr>
              <w:t>，每日补充新鲜水0.</w:t>
            </w:r>
            <w:r>
              <w:rPr>
                <w:rFonts w:hint="eastAsia" w:ascii="Times New Roman" w:hAnsi="Times New Roman" w:cs="Times New Roman"/>
                <w:color w:val="auto"/>
                <w:sz w:val="21"/>
                <w:szCs w:val="21"/>
                <w:lang w:val="en-US" w:eastAsia="zh-CN"/>
              </w:rPr>
              <w:t>2</w:t>
            </w:r>
            <w:r>
              <w:rPr>
                <w:rFonts w:ascii="Times New Roman" w:hAnsi="Times New Roman" w:cs="Times New Roman"/>
                <w:color w:val="auto"/>
                <w:sz w:val="21"/>
                <w:szCs w:val="21"/>
                <w:lang w:val="en-US" w:bidi="ar-SA"/>
              </w:rPr>
              <w:t>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60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w:t>
            </w:r>
          </w:p>
          <w:p>
            <w:pPr>
              <w:autoSpaceDE/>
              <w:autoSpaceDN/>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综上所述，项目建成后全厂新鲜用水量为</w:t>
            </w:r>
            <w:r>
              <w:rPr>
                <w:rFonts w:hint="eastAsia" w:ascii="Times New Roman" w:hAnsi="Times New Roman" w:cs="Times New Roman"/>
                <w:color w:val="auto"/>
                <w:sz w:val="21"/>
                <w:szCs w:val="21"/>
                <w:lang w:val="en-US" w:bidi="ar"/>
              </w:rPr>
              <w:t>190.</w:t>
            </w:r>
            <w:r>
              <w:rPr>
                <w:rFonts w:hint="eastAsia" w:ascii="Times New Roman" w:hAnsi="Times New Roman" w:cs="Times New Roman"/>
                <w:color w:val="auto"/>
                <w:sz w:val="21"/>
                <w:szCs w:val="21"/>
                <w:lang w:val="en-US" w:eastAsia="zh-CN" w:bidi="ar"/>
              </w:rPr>
              <w:t>6</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hint="eastAsia" w:ascii="Times New Roman" w:hAnsi="Times New Roman" w:cs="Times New Roman"/>
                <w:color w:val="auto"/>
                <w:sz w:val="21"/>
                <w:szCs w:val="21"/>
                <w:lang w:val="en-US" w:eastAsia="zh-CN"/>
              </w:rPr>
              <w:t>57180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/a），循环水量为</w:t>
            </w:r>
            <w:r>
              <w:rPr>
                <w:rFonts w:hint="eastAsia" w:ascii="Times New Roman" w:hAnsi="Times New Roman" w:cs="Times New Roman"/>
                <w:color w:val="auto"/>
                <w:sz w:val="21"/>
                <w:szCs w:val="21"/>
                <w:lang w:val="en-US" w:eastAsia="zh-CN" w:bidi="ar-SA"/>
              </w:rPr>
              <w:t>4.4</w:t>
            </w:r>
            <w:r>
              <w:rPr>
                <w:rFonts w:ascii="Times New Roman" w:hAnsi="Times New Roman" w:cs="Times New Roman"/>
                <w:color w:val="auto"/>
                <w:sz w:val="21"/>
                <w:szCs w:val="21"/>
                <w:lang w:val="en-US" w:bidi="ar-SA"/>
              </w:rPr>
              <w:t>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1</w:t>
            </w:r>
            <w:r>
              <w:rPr>
                <w:rFonts w:hint="eastAsia" w:ascii="Times New Roman" w:hAnsi="Times New Roman" w:cs="Times New Roman"/>
                <w:color w:val="auto"/>
                <w:sz w:val="21"/>
                <w:szCs w:val="21"/>
                <w:lang w:val="en-US" w:eastAsia="zh-CN"/>
              </w:rPr>
              <w:t>320</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/a）。</w:t>
            </w:r>
          </w:p>
          <w:p>
            <w:pPr>
              <w:autoSpaceDE/>
              <w:autoSpaceDN/>
              <w:spacing w:line="400" w:lineRule="exact"/>
              <w:ind w:left="110" w:leftChars="50"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排水</w:t>
            </w:r>
          </w:p>
          <w:p>
            <w:pPr>
              <w:pStyle w:val="52"/>
              <w:spacing w:line="400" w:lineRule="exact"/>
              <w:ind w:left="110" w:leftChars="50" w:firstLine="421" w:firstLineChars="200"/>
              <w:jc w:val="both"/>
              <w:rPr>
                <w:rFonts w:ascii="Times New Roman" w:hAnsi="Times New Roman" w:cs="Times New Roman"/>
                <w:color w:val="auto"/>
                <w:sz w:val="21"/>
                <w:szCs w:val="21"/>
                <w:lang w:val="en-US" w:bidi="ar-SA"/>
              </w:rPr>
            </w:pPr>
            <w:r>
              <w:rPr>
                <w:rFonts w:hint="eastAsia" w:ascii="Times New Roman" w:hAnsi="Times New Roman" w:cs="Times New Roman"/>
                <w:b/>
                <w:bCs/>
                <w:color w:val="auto"/>
                <w:sz w:val="21"/>
                <w:szCs w:val="21"/>
                <w:lang w:val="en-US" w:bidi="ar-SA"/>
              </w:rPr>
              <w:t>①</w:t>
            </w:r>
            <w:r>
              <w:rPr>
                <w:rFonts w:ascii="Times New Roman" w:hAnsi="Times New Roman" w:cs="Times New Roman"/>
                <w:b/>
                <w:bCs/>
                <w:color w:val="auto"/>
                <w:kern w:val="2"/>
                <w:sz w:val="21"/>
                <w:szCs w:val="21"/>
                <w:lang w:val="en-US" w:bidi="ar-SA"/>
              </w:rPr>
              <w:t>生活污水</w:t>
            </w:r>
            <w:r>
              <w:rPr>
                <w:rFonts w:hint="eastAsia" w:ascii="Times New Roman" w:hAnsi="Times New Roman" w:cs="Times New Roman"/>
                <w:b/>
                <w:bCs/>
                <w:color w:val="auto"/>
                <w:kern w:val="2"/>
                <w:sz w:val="21"/>
                <w:szCs w:val="21"/>
                <w:lang w:val="en-US" w:bidi="ar-SA"/>
              </w:rPr>
              <w:t>：</w:t>
            </w:r>
            <w:r>
              <w:rPr>
                <w:rFonts w:hint="eastAsia" w:ascii="Times New Roman" w:hAnsi="Times New Roman" w:cs="Times New Roman"/>
                <w:color w:val="auto"/>
                <w:kern w:val="2"/>
                <w:sz w:val="21"/>
                <w:szCs w:val="21"/>
                <w:lang w:val="en-US" w:bidi="ar-SA"/>
              </w:rPr>
              <w:t>本项目不新增定员，不新增生活污水。</w:t>
            </w:r>
          </w:p>
          <w:p>
            <w:pPr>
              <w:pStyle w:val="52"/>
              <w:spacing w:line="400" w:lineRule="exact"/>
              <w:ind w:left="110" w:leftChars="50" w:firstLine="421" w:firstLineChars="200"/>
              <w:jc w:val="both"/>
              <w:rPr>
                <w:rFonts w:ascii="Times New Roman" w:hAnsi="Times New Roman" w:cs="Times New Roman"/>
                <w:color w:val="auto"/>
                <w:sz w:val="21"/>
                <w:szCs w:val="21"/>
                <w:lang w:val="en-US" w:bidi="ar-SA"/>
              </w:rPr>
            </w:pPr>
            <w:r>
              <w:rPr>
                <w:rFonts w:hint="eastAsia" w:ascii="Times New Roman" w:hAnsi="Times New Roman" w:cs="Times New Roman"/>
                <w:b/>
                <w:bCs/>
                <w:color w:val="auto"/>
                <w:sz w:val="21"/>
                <w:szCs w:val="21"/>
                <w:lang w:val="en-US" w:bidi="ar-SA"/>
              </w:rPr>
              <w:t>②</w:t>
            </w:r>
            <w:r>
              <w:rPr>
                <w:rFonts w:ascii="Times New Roman" w:hAnsi="Times New Roman" w:cs="Times New Roman"/>
                <w:b/>
                <w:bCs/>
                <w:color w:val="auto"/>
                <w:sz w:val="21"/>
                <w:szCs w:val="21"/>
                <w:lang w:val="en-US" w:bidi="ar-SA"/>
              </w:rPr>
              <w:t>车辆冲洗废水：</w:t>
            </w:r>
            <w:r>
              <w:rPr>
                <w:rFonts w:ascii="Times New Roman" w:hAnsi="Times New Roman" w:cs="Times New Roman"/>
                <w:color w:val="auto"/>
                <w:sz w:val="21"/>
                <w:szCs w:val="21"/>
                <w:lang w:val="en-US" w:bidi="ar-SA"/>
              </w:rPr>
              <w:t>车辆冲洗废水产生量按用水量的80%计算，根据上文可知，车辆冲洗用水量为</w:t>
            </w:r>
            <w:r>
              <w:rPr>
                <w:rFonts w:ascii="Times New Roman" w:hAnsi="Times New Roman" w:cs="Times New Roman"/>
                <w:color w:val="auto"/>
                <w:sz w:val="21"/>
                <w:szCs w:val="21"/>
                <w:lang w:val="en-US"/>
              </w:rPr>
              <w:t>4.5m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ascii="Times New Roman" w:hAnsi="Times New Roman" w:cs="Times New Roman"/>
                <w:color w:val="auto"/>
                <w:sz w:val="21"/>
                <w:szCs w:val="21"/>
                <w:lang w:val="en-US" w:bidi="ar-SA"/>
              </w:rPr>
              <w:t>，则车辆冲洗废水的产生量约为3.6m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/d（1080m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/a），废水经沉淀池沉淀后，回用于车辆冲洗，不外排。</w:t>
            </w:r>
          </w:p>
          <w:p>
            <w:pPr>
              <w:pStyle w:val="52"/>
              <w:spacing w:line="400" w:lineRule="exact"/>
              <w:ind w:left="110" w:leftChars="50" w:firstLine="421" w:firstLineChars="200"/>
              <w:jc w:val="both"/>
              <w:rPr>
                <w:rFonts w:ascii="Times New Roman" w:hAnsi="Times New Roman" w:cs="Times New Roman"/>
                <w:color w:val="auto"/>
                <w:sz w:val="21"/>
                <w:szCs w:val="21"/>
                <w:lang w:val="en-US" w:bidi="ar-SA"/>
              </w:rPr>
            </w:pPr>
            <w:r>
              <w:rPr>
                <w:rFonts w:hint="eastAsia" w:ascii="Times New Roman" w:hAnsi="Times New Roman" w:cs="Times New Roman"/>
                <w:b/>
                <w:bCs/>
                <w:color w:val="auto"/>
                <w:sz w:val="21"/>
                <w:szCs w:val="21"/>
                <w:lang w:val="en-US" w:eastAsia="zh-CN" w:bidi="ar-SA"/>
              </w:rPr>
              <w:t>③设备清洗</w:t>
            </w:r>
            <w:r>
              <w:rPr>
                <w:rFonts w:ascii="Times New Roman" w:hAnsi="Times New Roman" w:cs="Times New Roman"/>
                <w:b/>
                <w:bCs/>
                <w:color w:val="auto"/>
                <w:sz w:val="21"/>
                <w:szCs w:val="21"/>
                <w:lang w:val="en-US" w:bidi="ar-SA"/>
              </w:rPr>
              <w:t>废水：</w:t>
            </w:r>
            <w:r>
              <w:rPr>
                <w:rFonts w:hint="eastAsia" w:ascii="Times New Roman" w:hAnsi="Times New Roman" w:cs="Times New Roman"/>
                <w:color w:val="auto"/>
                <w:sz w:val="21"/>
                <w:szCs w:val="21"/>
                <w:lang w:val="en-US" w:eastAsia="zh-CN" w:bidi="ar-SA"/>
              </w:rPr>
              <w:t>设备清洗</w:t>
            </w:r>
            <w:r>
              <w:rPr>
                <w:rFonts w:ascii="Times New Roman" w:hAnsi="Times New Roman" w:cs="Times New Roman"/>
                <w:color w:val="auto"/>
                <w:sz w:val="21"/>
                <w:szCs w:val="21"/>
                <w:lang w:val="en-US" w:bidi="ar-SA"/>
              </w:rPr>
              <w:t>废水产生量按用水量的80%计算，根据上文可知，</w:t>
            </w:r>
            <w:r>
              <w:rPr>
                <w:rFonts w:hint="eastAsia" w:ascii="Times New Roman" w:hAnsi="Times New Roman" w:cs="Times New Roman"/>
                <w:color w:val="auto"/>
                <w:sz w:val="21"/>
                <w:szCs w:val="21"/>
                <w:lang w:val="en-US" w:eastAsia="zh-CN" w:bidi="ar-SA"/>
              </w:rPr>
              <w:t>设备清洗</w:t>
            </w:r>
            <w:r>
              <w:rPr>
                <w:rFonts w:ascii="Times New Roman" w:hAnsi="Times New Roman" w:cs="Times New Roman"/>
                <w:color w:val="auto"/>
                <w:sz w:val="21"/>
                <w:szCs w:val="21"/>
                <w:lang w:val="en-US" w:bidi="ar-SA"/>
              </w:rPr>
              <w:t>用水量为</w:t>
            </w:r>
            <w:r>
              <w:rPr>
                <w:rFonts w:hint="eastAsia" w:ascii="Times New Roman" w:hAnsi="Times New Roman" w:cs="Times New Roman"/>
                <w:color w:val="auto"/>
                <w:sz w:val="21"/>
                <w:szCs w:val="21"/>
                <w:lang w:val="en-US" w:eastAsia="zh-CN"/>
              </w:rPr>
              <w:t>1</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/d</w:t>
            </w:r>
            <w:r>
              <w:rPr>
                <w:rFonts w:ascii="Times New Roman" w:hAnsi="Times New Roman" w:cs="Times New Roman"/>
                <w:color w:val="auto"/>
                <w:sz w:val="21"/>
                <w:szCs w:val="21"/>
                <w:lang w:val="en-US" w:bidi="ar-SA"/>
              </w:rPr>
              <w:t>，则车辆冲洗废水的产生量约为</w:t>
            </w:r>
            <w:r>
              <w:rPr>
                <w:rFonts w:hint="eastAsia" w:ascii="Times New Roman" w:hAnsi="Times New Roman" w:cs="Times New Roman"/>
                <w:color w:val="auto"/>
                <w:sz w:val="21"/>
                <w:szCs w:val="21"/>
                <w:lang w:val="en-US" w:eastAsia="zh-CN" w:bidi="ar-SA"/>
              </w:rPr>
              <w:t>0.8</w:t>
            </w:r>
            <w:r>
              <w:rPr>
                <w:rFonts w:ascii="Times New Roman" w:hAnsi="Times New Roman" w:cs="Times New Roman"/>
                <w:color w:val="auto"/>
                <w:sz w:val="21"/>
                <w:szCs w:val="21"/>
                <w:lang w:val="en-US" w:bidi="ar-SA"/>
              </w:rPr>
              <w:t>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w:t>
            </w:r>
            <w:r>
              <w:rPr>
                <w:rFonts w:hint="eastAsia" w:ascii="Times New Roman" w:hAnsi="Times New Roman" w:cs="Times New Roman"/>
                <w:color w:val="auto"/>
                <w:sz w:val="21"/>
                <w:szCs w:val="21"/>
                <w:lang w:val="en-US" w:eastAsia="zh-CN" w:bidi="ar-SA"/>
              </w:rPr>
              <w:t>240</w:t>
            </w:r>
            <w:r>
              <w:rPr>
                <w:rFonts w:ascii="Times New Roman" w:hAnsi="Times New Roman" w:cs="Times New Roman"/>
                <w:color w:val="auto"/>
                <w:sz w:val="21"/>
                <w:szCs w:val="21"/>
                <w:lang w:val="en-US" w:bidi="ar-SA"/>
              </w:rPr>
              <w:t>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/a），废水经沉淀池沉淀后，回用于</w:t>
            </w:r>
            <w:r>
              <w:rPr>
                <w:rFonts w:hint="eastAsia" w:ascii="Times New Roman" w:hAnsi="Times New Roman" w:cs="Times New Roman"/>
                <w:color w:val="auto"/>
                <w:sz w:val="21"/>
                <w:szCs w:val="21"/>
                <w:lang w:val="en-US" w:eastAsia="zh-CN" w:bidi="ar-SA"/>
              </w:rPr>
              <w:t>设备清洗</w:t>
            </w:r>
            <w:r>
              <w:rPr>
                <w:rFonts w:ascii="Times New Roman" w:hAnsi="Times New Roman" w:cs="Times New Roman"/>
                <w:color w:val="auto"/>
                <w:sz w:val="21"/>
                <w:szCs w:val="21"/>
                <w:lang w:val="en-US" w:bidi="ar-SA"/>
              </w:rPr>
              <w:t>，不外排。</w:t>
            </w:r>
          </w:p>
          <w:p>
            <w:pPr>
              <w:pStyle w:val="52"/>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综上所述，</w:t>
            </w:r>
            <w:r>
              <w:rPr>
                <w:rFonts w:hint="eastAsia" w:ascii="Times New Roman" w:hAnsi="Times New Roman" w:cs="Times New Roman"/>
                <w:color w:val="auto"/>
                <w:sz w:val="21"/>
                <w:szCs w:val="21"/>
                <w:lang w:val="en-US" w:bidi="ar-SA"/>
              </w:rPr>
              <w:t>项目建设无废水外排</w:t>
            </w:r>
            <w:r>
              <w:rPr>
                <w:rFonts w:ascii="Times New Roman" w:hAnsi="Times New Roman" w:cs="Times New Roman"/>
                <w:color w:val="auto"/>
                <w:sz w:val="21"/>
                <w:szCs w:val="21"/>
                <w:lang w:val="en-US" w:bidi="ar-SA"/>
              </w:rPr>
              <w:t>。</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3）扩建后全厂</w:t>
            </w:r>
            <w:r>
              <w:rPr>
                <w:rFonts w:ascii="Times New Roman" w:hAnsi="Times New Roman" w:cs="Times New Roman"/>
                <w:b/>
                <w:bCs/>
                <w:color w:val="auto"/>
                <w:sz w:val="21"/>
                <w:szCs w:val="21"/>
              </w:rPr>
              <w:t>给排水</w:t>
            </w:r>
          </w:p>
          <w:p>
            <w:pPr>
              <w:autoSpaceDE/>
              <w:autoSpaceDN/>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扩建后不再生产预制构件，无预制构件生产用水。全厂用水主要为混凝土生产线用水、湿拌砂浆生产线用水及生活用水：总用水量共计</w:t>
            </w:r>
            <w:r>
              <w:rPr>
                <w:rFonts w:hint="eastAsia" w:ascii="Times New Roman" w:hAnsi="Times New Roman" w:cs="Times New Roman"/>
                <w:color w:val="auto"/>
                <w:sz w:val="21"/>
                <w:szCs w:val="21"/>
                <w:lang w:val="en-US" w:eastAsia="zh-CN"/>
              </w:rPr>
              <w:t>77838</w:t>
            </w:r>
            <w:r>
              <w:rPr>
                <w:rFonts w:hint="eastAsia" w:ascii="Times New Roman" w:hAnsi="Times New Roman" w:cs="Times New Roman"/>
                <w:color w:val="auto"/>
                <w:sz w:val="21"/>
                <w:szCs w:val="21"/>
                <w:lang w:val="en-US"/>
              </w:rPr>
              <w:t>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/a，回用水用量为</w:t>
            </w:r>
            <w:r>
              <w:rPr>
                <w:rFonts w:hint="eastAsia" w:ascii="Times New Roman" w:hAnsi="Times New Roman" w:cs="Times New Roman"/>
                <w:color w:val="auto"/>
                <w:sz w:val="21"/>
                <w:szCs w:val="21"/>
                <w:lang w:val="en-US" w:eastAsia="zh-CN"/>
              </w:rPr>
              <w:t>4170</w:t>
            </w:r>
            <w:r>
              <w:rPr>
                <w:rFonts w:hint="eastAsia" w:ascii="Times New Roman" w:hAnsi="Times New Roman" w:cs="Times New Roman"/>
                <w:color w:val="auto"/>
                <w:sz w:val="21"/>
                <w:szCs w:val="21"/>
                <w:lang w:val="en-US"/>
              </w:rPr>
              <w:t>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/a。项目生产工艺无废水产生，产品拌和用水全部由产品带走，废水主要为车辆清洗废水、设备清洗废水和生活污水，共计</w:t>
            </w:r>
            <w:r>
              <w:rPr>
                <w:rFonts w:hint="eastAsia" w:ascii="Times New Roman" w:hAnsi="Times New Roman" w:cs="Times New Roman"/>
                <w:color w:val="auto"/>
                <w:sz w:val="21"/>
                <w:szCs w:val="21"/>
                <w:lang w:val="en-US" w:eastAsia="zh-CN"/>
              </w:rPr>
              <w:t>4880.4</w:t>
            </w:r>
            <w:r>
              <w:rPr>
                <w:rFonts w:hint="eastAsia" w:ascii="Times New Roman" w:hAnsi="Times New Roman" w:cs="Times New Roman"/>
                <w:color w:val="auto"/>
                <w:sz w:val="21"/>
                <w:szCs w:val="21"/>
                <w:lang w:val="en-US"/>
              </w:rPr>
              <w:t>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/a，其中生活污水水质简单，泼洒抑尘，厂区设防渗旱厕，定期清掏用作农肥。项目扩建后全厂</w:t>
            </w:r>
            <w:r>
              <w:rPr>
                <w:rFonts w:ascii="Times New Roman" w:hAnsi="Times New Roman" w:cs="Times New Roman"/>
                <w:color w:val="auto"/>
                <w:sz w:val="21"/>
                <w:szCs w:val="21"/>
                <w:lang w:val="en-US"/>
              </w:rPr>
              <w:t>给排水水量平衡图见图</w:t>
            </w:r>
            <w:r>
              <w:rPr>
                <w:rFonts w:hint="eastAsia" w:ascii="Times New Roman" w:hAnsi="Times New Roman" w:cs="Times New Roman"/>
                <w:color w:val="auto"/>
                <w:sz w:val="21"/>
                <w:szCs w:val="21"/>
                <w:lang w:val="en-US"/>
              </w:rPr>
              <w:t>2.1</w:t>
            </w:r>
            <w:r>
              <w:rPr>
                <w:rFonts w:ascii="Times New Roman" w:hAnsi="Times New Roman" w:cs="Times New Roman"/>
                <w:color w:val="auto"/>
                <w:sz w:val="21"/>
                <w:szCs w:val="21"/>
                <w:lang w:val="en-US"/>
              </w:rPr>
              <w:t>。全厂给排水情况一览表</w:t>
            </w:r>
            <w:r>
              <w:rPr>
                <w:rFonts w:hint="eastAsia" w:ascii="Times New Roman" w:hAnsi="Times New Roman" w:cs="Times New Roman"/>
                <w:color w:val="auto"/>
                <w:sz w:val="21"/>
                <w:szCs w:val="21"/>
                <w:lang w:val="en-US"/>
              </w:rPr>
              <w:t>见表2.7.</w:t>
            </w:r>
          </w:p>
          <w:p>
            <w:pPr>
              <w:autoSpaceDE/>
              <w:autoSpaceDN/>
              <w:spacing w:line="400" w:lineRule="exact"/>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表</w:t>
            </w:r>
            <w:r>
              <w:rPr>
                <w:rFonts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eastAsia="zh-CN"/>
              </w:rPr>
              <w:t>9</w:t>
            </w:r>
            <w:r>
              <w:rPr>
                <w:rFonts w:ascii="Times New Roman" w:hAnsi="Times New Roman" w:cs="Times New Roman"/>
                <w:b/>
                <w:bCs/>
                <w:color w:val="auto"/>
                <w:sz w:val="21"/>
                <w:szCs w:val="21"/>
                <w:lang w:val="en-US"/>
              </w:rPr>
              <w:t xml:space="preserve">  </w:t>
            </w:r>
            <w:r>
              <w:rPr>
                <w:rFonts w:hint="eastAsia" w:ascii="Times New Roman" w:hAnsi="Times New Roman" w:cs="Times New Roman"/>
                <w:b/>
                <w:bCs/>
                <w:color w:val="auto"/>
                <w:sz w:val="21"/>
                <w:szCs w:val="21"/>
                <w:lang w:val="en-US"/>
              </w:rPr>
              <w:t>全厂</w:t>
            </w:r>
            <w:r>
              <w:rPr>
                <w:rFonts w:ascii="Times New Roman" w:hAnsi="Times New Roman" w:cs="Times New Roman"/>
                <w:b/>
                <w:bCs/>
                <w:color w:val="auto"/>
                <w:sz w:val="21"/>
                <w:szCs w:val="21"/>
                <w:lang w:val="en-US"/>
              </w:rPr>
              <w:t>给排水情况一览表      单位m</w:t>
            </w:r>
            <w:r>
              <w:rPr>
                <w:rFonts w:ascii="Times New Roman" w:hAnsi="Times New Roman" w:cs="Times New Roman"/>
                <w:b/>
                <w:bCs/>
                <w:color w:val="auto"/>
                <w:sz w:val="21"/>
                <w:szCs w:val="21"/>
                <w:vertAlign w:val="superscript"/>
                <w:lang w:val="en-US"/>
              </w:rPr>
              <w:t>3</w:t>
            </w: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d</w:t>
            </w:r>
          </w:p>
          <w:tbl>
            <w:tblPr>
              <w:tblStyle w:val="33"/>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370"/>
              <w:gridCol w:w="1015"/>
              <w:gridCol w:w="1228"/>
              <w:gridCol w:w="1281"/>
              <w:gridCol w:w="106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13" w:type="dxa"/>
                  <w:vMerge w:val="restar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用水环节</w:t>
                  </w:r>
                </w:p>
              </w:tc>
              <w:tc>
                <w:tcPr>
                  <w:tcW w:w="3045" w:type="dxa"/>
                  <w:gridSpan w:val="3"/>
                  <w:vAlign w:val="center"/>
                </w:tcPr>
                <w:p>
                  <w:pPr>
                    <w:autoSpaceDE/>
                    <w:autoSpaceDN/>
                    <w:ind w:left="-110" w:leftChars="-50" w:right="-110" w:rightChars="-50"/>
                    <w:jc w:val="center"/>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总</w:t>
                  </w:r>
                  <w:r>
                    <w:rPr>
                      <w:rFonts w:ascii="Times New Roman" w:hAnsi="Times New Roman" w:cs="Times New Roman"/>
                      <w:b/>
                      <w:bCs/>
                      <w:color w:val="auto"/>
                      <w:sz w:val="21"/>
                      <w:szCs w:val="21"/>
                      <w:lang w:val="en-US"/>
                    </w:rPr>
                    <w:t>用水量</w:t>
                  </w:r>
                </w:p>
              </w:tc>
              <w:tc>
                <w:tcPr>
                  <w:tcW w:w="1080" w:type="dxa"/>
                  <w:vMerge w:val="restart"/>
                  <w:vAlign w:val="center"/>
                </w:tcPr>
                <w:p>
                  <w:pPr>
                    <w:widowControl/>
                    <w:jc w:val="center"/>
                    <w:textAlignment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bidi="ar"/>
                    </w:rPr>
                    <w:t>损耗量</w:t>
                  </w:r>
                </w:p>
              </w:tc>
              <w:tc>
                <w:tcPr>
                  <w:tcW w:w="900" w:type="dxa"/>
                  <w:vMerge w:val="restart"/>
                  <w:vAlign w:val="center"/>
                </w:tcPr>
                <w:p>
                  <w:pPr>
                    <w:widowControl/>
                    <w:jc w:val="center"/>
                    <w:textAlignment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bidi="ar"/>
                    </w:rPr>
                    <w:t>排放量</w:t>
                  </w:r>
                </w:p>
              </w:tc>
              <w:tc>
                <w:tcPr>
                  <w:tcW w:w="1261" w:type="dxa"/>
                  <w:vMerge w:val="restart"/>
                  <w:vAlign w:val="center"/>
                </w:tcPr>
                <w:p>
                  <w:pPr>
                    <w:widowControl/>
                    <w:jc w:val="center"/>
                    <w:textAlignment w:val="center"/>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bidi="ar"/>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13" w:type="dxa"/>
                  <w:vMerge w:val="continue"/>
                  <w:vAlign w:val="center"/>
                </w:tcPr>
                <w:p>
                  <w:pPr>
                    <w:autoSpaceDE/>
                    <w:autoSpaceDN/>
                    <w:ind w:left="-110" w:leftChars="-50" w:right="-110" w:rightChars="-50"/>
                    <w:jc w:val="center"/>
                    <w:rPr>
                      <w:rFonts w:ascii="Times New Roman" w:hAnsi="Times New Roman" w:cs="Times New Roman"/>
                      <w:color w:val="auto"/>
                      <w:sz w:val="21"/>
                      <w:szCs w:val="21"/>
                    </w:rPr>
                  </w:pPr>
                </w:p>
              </w:tc>
              <w:tc>
                <w:tcPr>
                  <w:tcW w:w="1155" w:type="dxa"/>
                  <w:vAlign w:val="center"/>
                </w:tcPr>
                <w:p>
                  <w:pPr>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新鲜水</w:t>
                  </w:r>
                </w:p>
              </w:tc>
              <w:tc>
                <w:tcPr>
                  <w:tcW w:w="855" w:type="dxa"/>
                  <w:vAlign w:val="center"/>
                </w:tcPr>
                <w:p>
                  <w:pPr>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回用水</w:t>
                  </w:r>
                </w:p>
              </w:tc>
              <w:tc>
                <w:tcPr>
                  <w:tcW w:w="1035" w:type="dxa"/>
                  <w:vAlign w:val="center"/>
                </w:tcPr>
                <w:p>
                  <w:pPr>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合计</w:t>
                  </w:r>
                </w:p>
              </w:tc>
              <w:tc>
                <w:tcPr>
                  <w:tcW w:w="1080" w:type="dxa"/>
                  <w:vMerge w:val="continue"/>
                  <w:vAlign w:val="center"/>
                </w:tcPr>
                <w:p>
                  <w:pPr>
                    <w:autoSpaceDE/>
                    <w:autoSpaceDN/>
                    <w:ind w:left="-110" w:leftChars="-50" w:right="-110" w:rightChars="-50"/>
                    <w:jc w:val="center"/>
                    <w:rPr>
                      <w:rFonts w:ascii="Times New Roman" w:hAnsi="Times New Roman" w:cs="Times New Roman"/>
                      <w:b/>
                      <w:bCs/>
                      <w:color w:val="auto"/>
                      <w:sz w:val="21"/>
                      <w:szCs w:val="21"/>
                      <w:lang w:val="en-US"/>
                    </w:rPr>
                  </w:pPr>
                </w:p>
              </w:tc>
              <w:tc>
                <w:tcPr>
                  <w:tcW w:w="900" w:type="dxa"/>
                  <w:vMerge w:val="continue"/>
                  <w:vAlign w:val="center"/>
                </w:tcPr>
                <w:p>
                  <w:pPr>
                    <w:autoSpaceDE/>
                    <w:autoSpaceDN/>
                    <w:ind w:left="-110" w:leftChars="-50" w:right="-110" w:rightChars="-50"/>
                    <w:jc w:val="center"/>
                    <w:rPr>
                      <w:rFonts w:ascii="Times New Roman" w:hAnsi="Times New Roman" w:cs="Times New Roman"/>
                      <w:b/>
                      <w:bCs/>
                      <w:color w:val="auto"/>
                      <w:sz w:val="21"/>
                      <w:szCs w:val="21"/>
                      <w:lang w:val="en-US"/>
                    </w:rPr>
                  </w:pPr>
                </w:p>
              </w:tc>
              <w:tc>
                <w:tcPr>
                  <w:tcW w:w="1261" w:type="dxa"/>
                  <w:vMerge w:val="continue"/>
                  <w:vAlign w:val="center"/>
                </w:tcPr>
                <w:p>
                  <w:pPr>
                    <w:autoSpaceDE/>
                    <w:autoSpaceDN/>
                    <w:ind w:left="-110" w:leftChars="-50" w:right="-110" w:rightChars="-50"/>
                    <w:jc w:val="center"/>
                    <w:rPr>
                      <w:rFonts w:ascii="Times New Roman" w:hAnsi="Times New Roman" w:cs="Times New Roman"/>
                      <w:b/>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pPr>
                    <w:widowControl/>
                    <w:jc w:val="center"/>
                    <w:textAlignment w:val="center"/>
                    <w:rPr>
                      <w:rFonts w:ascii="Times New Roman" w:hAnsi="Times New Roman" w:cs="Times New Roman"/>
                      <w:color w:val="auto"/>
                      <w:sz w:val="21"/>
                      <w:szCs w:val="21"/>
                      <w:lang w:val="en-US"/>
                    </w:rPr>
                  </w:pPr>
                  <w:r>
                    <w:rPr>
                      <w:rFonts w:hint="eastAsia"/>
                      <w:color w:val="auto"/>
                      <w:sz w:val="21"/>
                      <w:szCs w:val="21"/>
                      <w:lang w:val="en-US" w:bidi="ar"/>
                    </w:rPr>
                    <w:t>生活用水</w:t>
                  </w:r>
                </w:p>
              </w:tc>
              <w:tc>
                <w:tcPr>
                  <w:tcW w:w="115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2.96</w:t>
                  </w:r>
                </w:p>
              </w:tc>
              <w:tc>
                <w:tcPr>
                  <w:tcW w:w="85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03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2.96</w:t>
                  </w:r>
                </w:p>
              </w:tc>
              <w:tc>
                <w:tcPr>
                  <w:tcW w:w="108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0.592</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2.368</w:t>
                  </w:r>
                </w:p>
              </w:tc>
              <w:tc>
                <w:tcPr>
                  <w:tcW w:w="1261"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泼洒抑尘，定期清掏用作农肥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喷淋用水</w:t>
                  </w:r>
                </w:p>
              </w:tc>
              <w:tc>
                <w:tcPr>
                  <w:tcW w:w="115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3.4</w:t>
                  </w:r>
                </w:p>
              </w:tc>
              <w:tc>
                <w:tcPr>
                  <w:tcW w:w="85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03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3.4</w:t>
                  </w:r>
                </w:p>
              </w:tc>
              <w:tc>
                <w:tcPr>
                  <w:tcW w:w="108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3.4</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261"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用于厂区抑尘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拌和用水</w:t>
                  </w:r>
                </w:p>
              </w:tc>
              <w:tc>
                <w:tcPr>
                  <w:tcW w:w="115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249.5</w:t>
                  </w:r>
                </w:p>
              </w:tc>
              <w:tc>
                <w:tcPr>
                  <w:tcW w:w="85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03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249.5</w:t>
                  </w:r>
                </w:p>
              </w:tc>
              <w:tc>
                <w:tcPr>
                  <w:tcW w:w="108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249.5</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261"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产品带走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车辆清洗用水</w:t>
                  </w:r>
                </w:p>
              </w:tc>
              <w:tc>
                <w:tcPr>
                  <w:tcW w:w="115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1.9</w:t>
                  </w:r>
                </w:p>
              </w:tc>
              <w:tc>
                <w:tcPr>
                  <w:tcW w:w="85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8.6</w:t>
                  </w:r>
                </w:p>
              </w:tc>
              <w:tc>
                <w:tcPr>
                  <w:tcW w:w="103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10.5</w:t>
                  </w:r>
                </w:p>
              </w:tc>
              <w:tc>
                <w:tcPr>
                  <w:tcW w:w="108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1.9</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8.6</w:t>
                  </w:r>
                </w:p>
              </w:tc>
              <w:tc>
                <w:tcPr>
                  <w:tcW w:w="1261"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回用于车辆清洗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设备清洗用水</w:t>
                  </w:r>
                </w:p>
              </w:tc>
              <w:tc>
                <w:tcPr>
                  <w:tcW w:w="1155" w:type="dxa"/>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1.</w:t>
                  </w:r>
                  <w:r>
                    <w:rPr>
                      <w:rFonts w:hint="eastAsia" w:ascii="Times New Roman" w:hAnsi="Times New Roman" w:cs="Times New Roman"/>
                      <w:color w:val="auto"/>
                      <w:sz w:val="21"/>
                      <w:szCs w:val="21"/>
                      <w:lang w:val="en-US" w:eastAsia="zh-CN"/>
                    </w:rPr>
                    <w:t>7</w:t>
                  </w:r>
                </w:p>
              </w:tc>
              <w:tc>
                <w:tcPr>
                  <w:tcW w:w="855" w:type="dxa"/>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5.3</w:t>
                  </w:r>
                </w:p>
              </w:tc>
              <w:tc>
                <w:tcPr>
                  <w:tcW w:w="1035" w:type="dxa"/>
                  <w:shd w:val="clear" w:color="auto" w:fill="auto"/>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080" w:type="dxa"/>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1.</w:t>
                  </w:r>
                  <w:r>
                    <w:rPr>
                      <w:rFonts w:hint="eastAsia" w:ascii="Times New Roman" w:hAnsi="Times New Roman" w:cs="Times New Roman"/>
                      <w:color w:val="auto"/>
                      <w:sz w:val="21"/>
                      <w:szCs w:val="21"/>
                      <w:lang w:val="en-US" w:eastAsia="zh-CN"/>
                    </w:rPr>
                    <w:t>7</w:t>
                  </w:r>
                </w:p>
              </w:tc>
              <w:tc>
                <w:tcPr>
                  <w:tcW w:w="900" w:type="dxa"/>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5.3</w:t>
                  </w:r>
                </w:p>
              </w:tc>
              <w:tc>
                <w:tcPr>
                  <w:tcW w:w="1261"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回用于设备清洗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vAlign w:val="center"/>
                </w:tcPr>
                <w:p>
                  <w:pPr>
                    <w:widowControl/>
                    <w:jc w:val="center"/>
                    <w:textAlignment w:val="center"/>
                    <w:rPr>
                      <w:rFonts w:ascii="Times New Roman" w:hAnsi="Times New Roman" w:cs="Times New Roman"/>
                      <w:color w:val="auto"/>
                      <w:sz w:val="21"/>
                      <w:szCs w:val="21"/>
                      <w:lang w:val="en-US"/>
                    </w:rPr>
                  </w:pPr>
                  <w:r>
                    <w:rPr>
                      <w:rFonts w:hint="eastAsia"/>
                      <w:color w:val="auto"/>
                      <w:sz w:val="21"/>
                      <w:szCs w:val="21"/>
                      <w:lang w:val="en-US" w:bidi="ar"/>
                    </w:rPr>
                    <w:t>合计</w:t>
                  </w:r>
                </w:p>
              </w:tc>
              <w:tc>
                <w:tcPr>
                  <w:tcW w:w="115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259.</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val="en-US"/>
                    </w:rPr>
                    <w:t>6</w:t>
                  </w:r>
                </w:p>
              </w:tc>
              <w:tc>
                <w:tcPr>
                  <w:tcW w:w="855" w:type="dxa"/>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13.</w:t>
                  </w:r>
                  <w:r>
                    <w:rPr>
                      <w:rFonts w:hint="eastAsia" w:ascii="Times New Roman" w:hAnsi="Times New Roman" w:cs="Times New Roman"/>
                      <w:color w:val="auto"/>
                      <w:sz w:val="21"/>
                      <w:szCs w:val="21"/>
                      <w:lang w:val="en-US" w:eastAsia="zh-CN"/>
                    </w:rPr>
                    <w:t>9</w:t>
                  </w:r>
                </w:p>
              </w:tc>
              <w:tc>
                <w:tcPr>
                  <w:tcW w:w="103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27</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rPr>
                    <w:t>.36</w:t>
                  </w:r>
                </w:p>
              </w:tc>
              <w:tc>
                <w:tcPr>
                  <w:tcW w:w="108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25</w:t>
                  </w:r>
                  <w:r>
                    <w:rPr>
                      <w:rFonts w:hint="eastAsia"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rPr>
                    <w:t>92</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w:t>
                  </w:r>
                  <w:r>
                    <w:rPr>
                      <w:rFonts w:hint="eastAsia"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rPr>
                    <w:t>68</w:t>
                  </w:r>
                </w:p>
              </w:tc>
              <w:tc>
                <w:tcPr>
                  <w:tcW w:w="1261"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bl>
          <w:p>
            <w:pPr>
              <w:autoSpaceDE/>
              <w:autoSpaceDN/>
              <w:spacing w:line="400" w:lineRule="exact"/>
              <w:ind w:left="110" w:leftChars="50" w:firstLine="480" w:firstLineChars="200"/>
              <w:rPr>
                <w:color w:val="auto"/>
                <w:sz w:val="21"/>
                <w:szCs w:val="21"/>
                <w:lang w:bidi="ar"/>
              </w:rPr>
            </w:pPr>
            <w:r>
              <w:rPr>
                <w:rFonts w:ascii="Times New Roman" w:hAnsi="Times New Roman" w:cs="Times New Roman"/>
                <w:color w:val="auto"/>
                <w:sz w:val="24"/>
                <w:lang w:val="en-US" w:bidi="ar-SA"/>
              </w:rPr>
              <mc:AlternateContent>
                <mc:Choice Requires="wpc">
                  <w:drawing>
                    <wp:anchor distT="0" distB="0" distL="114300" distR="114300" simplePos="0" relativeHeight="251669504" behindDoc="0" locked="0" layoutInCell="1" allowOverlap="1">
                      <wp:simplePos x="0" y="0"/>
                      <wp:positionH relativeFrom="column">
                        <wp:posOffset>25400</wp:posOffset>
                      </wp:positionH>
                      <wp:positionV relativeFrom="paragraph">
                        <wp:posOffset>-7770495</wp:posOffset>
                      </wp:positionV>
                      <wp:extent cx="5644515" cy="4954905"/>
                      <wp:effectExtent l="0" t="0" r="13335" b="0"/>
                      <wp:wrapTopAndBottom/>
                      <wp:docPr id="310" name="画布 310"/>
                      <wp:cNvGraphicFramePr/>
                      <a:graphic xmlns:a="http://schemas.openxmlformats.org/drawingml/2006/main">
                        <a:graphicData uri="http://schemas.microsoft.com/office/word/2010/wordprocessingCanvas">
                          <wpc:wpc>
                            <wpc:bg>
                              <a:noFill/>
                            </wpc:bg>
                            <wpc:whole>
                              <a:ln>
                                <a:noFill/>
                              </a:ln>
                            </wpc:whole>
                            <wps:wsp>
                              <wps:cNvPr id="311" name="文本框 163"/>
                              <wps:cNvSpPr txBox="true"/>
                              <wps:spPr>
                                <a:xfrm>
                                  <a:off x="3013075" y="368935"/>
                                  <a:ext cx="747395" cy="44704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2.368</w:t>
                                    </w:r>
                                  </w:p>
                                  <w:p>
                                    <w:pPr>
                                      <w:rPr>
                                        <w:rFonts w:ascii="Times New Roman" w:hAnsi="Times New Roman" w:cs="Times New Roman"/>
                                        <w:sz w:val="21"/>
                                        <w:szCs w:val="21"/>
                                        <w:lang w:val="en-US"/>
                                      </w:rPr>
                                    </w:pP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12" name="文本框 165"/>
                              <wps:cNvSpPr txBox="true"/>
                              <wps:spPr>
                                <a:xfrm>
                                  <a:off x="2091690" y="73660"/>
                                  <a:ext cx="871220" cy="408305"/>
                                </a:xfrm>
                                <a:prstGeom prst="rect">
                                  <a:avLst/>
                                </a:prstGeom>
                                <a:noFill/>
                                <a:ln>
                                  <a:noFill/>
                                </a:ln>
                              </wps:spPr>
                              <wps:txbx>
                                <w:txbxContent>
                                  <w:p>
                                    <w:pPr>
                                      <w:rPr>
                                        <w:rFonts w:ascii="Times New Roman" w:hAnsi="Times New Roman" w:cs="Times New Roman"/>
                                        <w:sz w:val="21"/>
                                        <w:szCs w:val="21"/>
                                      </w:rPr>
                                    </w:pPr>
                                    <w:r>
                                      <w:rPr>
                                        <w:rFonts w:ascii="Times New Roman" w:hAnsi="Times New Roman" w:cs="Times New Roman"/>
                                        <w:sz w:val="21"/>
                                        <w:szCs w:val="21"/>
                                        <w:lang w:val="en-US"/>
                                      </w:rPr>
                                      <w:t>0.</w:t>
                                    </w:r>
                                    <w:r>
                                      <w:rPr>
                                        <w:rFonts w:hint="eastAsia" w:ascii="Times New Roman" w:hAnsi="Times New Roman" w:cs="Times New Roman"/>
                                        <w:sz w:val="21"/>
                                        <w:szCs w:val="21"/>
                                        <w:lang w:val="en-US"/>
                                      </w:rPr>
                                      <w:t>592</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13" name="直接连接符 166"/>
                              <wps:cNvCnPr/>
                              <wps:spPr>
                                <a:xfrm flipV="true">
                                  <a:off x="2609850" y="168275"/>
                                  <a:ext cx="248920" cy="247015"/>
                                </a:xfrm>
                                <a:prstGeom prst="line">
                                  <a:avLst/>
                                </a:prstGeom>
                                <a:ln w="9525" cap="flat" cmpd="sng">
                                  <a:solidFill>
                                    <a:srgbClr val="000000"/>
                                  </a:solidFill>
                                  <a:prstDash val="dash"/>
                                  <a:headEnd type="none" w="med" len="med"/>
                                  <a:tailEnd type="arrow" w="med" len="med"/>
                                </a:ln>
                              </wps:spPr>
                              <wps:bodyPr/>
                            </wps:wsp>
                            <wps:wsp>
                              <wps:cNvPr id="314" name="文本框 167"/>
                              <wps:cNvSpPr txBox="true"/>
                              <wps:spPr>
                                <a:xfrm>
                                  <a:off x="1324610" y="294640"/>
                                  <a:ext cx="747395" cy="25654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2.96 </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15" name="直接连接符 168"/>
                              <wps:cNvCnPr/>
                              <wps:spPr>
                                <a:xfrm>
                                  <a:off x="1364615" y="543560"/>
                                  <a:ext cx="11430" cy="3420111"/>
                                </a:xfrm>
                                <a:prstGeom prst="line">
                                  <a:avLst/>
                                </a:prstGeom>
                                <a:ln w="9525" cap="flat" cmpd="sng">
                                  <a:solidFill>
                                    <a:srgbClr val="000000"/>
                                  </a:solidFill>
                                  <a:prstDash val="solid"/>
                                  <a:headEnd type="none" w="med" len="med"/>
                                  <a:tailEnd type="none" w="med" len="med"/>
                                </a:ln>
                              </wps:spPr>
                              <wps:bodyPr/>
                            </wps:wsp>
                            <wps:wsp>
                              <wps:cNvPr id="316" name="文本框 170"/>
                              <wps:cNvSpPr txBox="true"/>
                              <wps:spPr>
                                <a:xfrm>
                                  <a:off x="3568701" y="420370"/>
                                  <a:ext cx="2075815" cy="313055"/>
                                </a:xfrm>
                                <a:prstGeom prst="rect">
                                  <a:avLst/>
                                </a:prstGeom>
                                <a:solidFill>
                                  <a:srgbClr val="FFFFFF"/>
                                </a:solidFill>
                                <a:ln>
                                  <a:noFill/>
                                </a:ln>
                              </wps:spPr>
                              <wps:txbx>
                                <w:txbxContent>
                                  <w:p>
                                    <w:pPr>
                                      <w:rPr>
                                        <w:sz w:val="21"/>
                                        <w:szCs w:val="21"/>
                                        <w:lang w:val="en-US"/>
                                      </w:rPr>
                                    </w:pPr>
                                    <w:r>
                                      <w:rPr>
                                        <w:rFonts w:hint="eastAsia"/>
                                        <w:sz w:val="21"/>
                                        <w:szCs w:val="21"/>
                                        <w:lang w:val="en-US"/>
                                      </w:rPr>
                                      <w:t>防渗旱厕，定期清掏</w:t>
                                    </w:r>
                                  </w:p>
                                </w:txbxContent>
                              </wps:txbx>
                              <wps:bodyPr upright="true"/>
                            </wps:wsp>
                            <wps:wsp>
                              <wps:cNvPr id="317" name="直接连接符 171"/>
                              <wps:cNvCnPr/>
                              <wps:spPr>
                                <a:xfrm flipV="true">
                                  <a:off x="3027681" y="591185"/>
                                  <a:ext cx="558800" cy="635"/>
                                </a:xfrm>
                                <a:prstGeom prst="line">
                                  <a:avLst/>
                                </a:prstGeom>
                                <a:ln w="9525" cap="flat" cmpd="sng">
                                  <a:solidFill>
                                    <a:srgbClr val="000000"/>
                                  </a:solidFill>
                                  <a:prstDash val="dash"/>
                                  <a:headEnd type="none" w="med" len="med"/>
                                  <a:tailEnd type="arrow" w="med" len="med"/>
                                </a:ln>
                              </wps:spPr>
                              <wps:bodyPr/>
                            </wps:wsp>
                            <wps:wsp>
                              <wps:cNvPr id="318" name="文本框 172"/>
                              <wps:cNvSpPr txBox="true"/>
                              <wps:spPr>
                                <a:xfrm>
                                  <a:off x="1952625" y="411480"/>
                                  <a:ext cx="1066800" cy="313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lang w:val="en-US"/>
                                      </w:rPr>
                                    </w:pPr>
                                    <w:r>
                                      <w:rPr>
                                        <w:rFonts w:hint="eastAsia"/>
                                        <w:sz w:val="21"/>
                                        <w:szCs w:val="21"/>
                                        <w:lang w:val="en-US"/>
                                      </w:rPr>
                                      <w:t>生活用水</w:t>
                                    </w:r>
                                  </w:p>
                                </w:txbxContent>
                              </wps:txbx>
                              <wps:bodyPr upright="true"/>
                            </wps:wsp>
                            <wps:wsp>
                              <wps:cNvPr id="319" name="直接连接符 177"/>
                              <wps:cNvCnPr/>
                              <wps:spPr>
                                <a:xfrm>
                                  <a:off x="1374775" y="556895"/>
                                  <a:ext cx="588010" cy="635"/>
                                </a:xfrm>
                                <a:prstGeom prst="line">
                                  <a:avLst/>
                                </a:prstGeom>
                                <a:ln w="9525" cap="flat" cmpd="sng">
                                  <a:solidFill>
                                    <a:srgbClr val="000000"/>
                                  </a:solidFill>
                                  <a:prstDash val="solid"/>
                                  <a:headEnd type="none" w="med" len="med"/>
                                  <a:tailEnd type="arrow" w="med" len="med"/>
                                </a:ln>
                              </wps:spPr>
                              <wps:bodyPr/>
                            </wps:wsp>
                            <wps:wsp>
                              <wps:cNvPr id="320" name="文本框 178"/>
                              <wps:cNvSpPr txBox="true"/>
                              <wps:spPr>
                                <a:xfrm>
                                  <a:off x="233045" y="621665"/>
                                  <a:ext cx="1283970" cy="262255"/>
                                </a:xfrm>
                                <a:prstGeom prst="rect">
                                  <a:avLst/>
                                </a:prstGeom>
                                <a:noFill/>
                                <a:ln>
                                  <a:noFill/>
                                </a:ln>
                              </wps:spPr>
                              <wps:txbx>
                                <w:txbxContent>
                                  <w:p>
                                    <w:pPr>
                                      <w:rPr>
                                        <w:sz w:val="21"/>
                                        <w:szCs w:val="21"/>
                                        <w:lang w:val="en-US"/>
                                      </w:rPr>
                                    </w:pPr>
                                    <w:r>
                                      <w:rPr>
                                        <w:rFonts w:hint="eastAsia"/>
                                        <w:sz w:val="21"/>
                                        <w:szCs w:val="21"/>
                                      </w:rPr>
                                      <w:t>新</w:t>
                                    </w:r>
                                    <w:r>
                                      <w:rPr>
                                        <w:rFonts w:ascii="Times New Roman" w:hAnsi="Times New Roman" w:cs="Times New Roman"/>
                                        <w:sz w:val="21"/>
                                        <w:szCs w:val="21"/>
                                      </w:rPr>
                                      <w:t>鲜水</w:t>
                                    </w:r>
                                    <w:r>
                                      <w:rPr>
                                        <w:rFonts w:hint="eastAsia" w:ascii="Times New Roman" w:hAnsi="Times New Roman" w:cs="Times New Roman"/>
                                        <w:sz w:val="21"/>
                                        <w:szCs w:val="21"/>
                                        <w:lang w:val="en-US"/>
                                      </w:rPr>
                                      <w:t>259.</w:t>
                                    </w: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val="en-US"/>
                                      </w:rPr>
                                      <w:t>6</w:t>
                                    </w:r>
                                    <w:r>
                                      <w:rPr>
                                        <w:rFonts w:ascii="Times New Roman" w:hAnsi="Times New Roman" w:cs="Times New Roman"/>
                                        <w:bCs/>
                                        <w:color w:val="000000"/>
                                      </w:rPr>
                                      <w:t>m</w:t>
                                    </w:r>
                                    <w:r>
                                      <w:rPr>
                                        <w:rFonts w:ascii="Times New Roman" w:hAnsi="Times New Roman" w:cs="Times New Roman"/>
                                        <w:bCs/>
                                        <w:color w:val="000000"/>
                                        <w:vertAlign w:val="superscript"/>
                                      </w:rPr>
                                      <w:t>3</w:t>
                                    </w:r>
                                    <w:r>
                                      <w:rPr>
                                        <w:rFonts w:ascii="Times New Roman" w:hAnsi="Times New Roman" w:cs="Times New Roman"/>
                                        <w:bCs/>
                                        <w:color w:val="000000"/>
                                      </w:rPr>
                                      <w:t>/d</w:t>
                                    </w:r>
                                  </w:p>
                                </w:txbxContent>
                              </wps:txbx>
                              <wps:bodyPr upright="true"/>
                            </wps:wsp>
                            <wps:wsp>
                              <wps:cNvPr id="321" name="文本框 179"/>
                              <wps:cNvSpPr txBox="true"/>
                              <wps:spPr>
                                <a:xfrm>
                                  <a:off x="1987550" y="937260"/>
                                  <a:ext cx="747395" cy="256540"/>
                                </a:xfrm>
                                <a:prstGeom prst="rect">
                                  <a:avLst/>
                                </a:prstGeom>
                                <a:noFill/>
                                <a:ln>
                                  <a:noFill/>
                                </a:ln>
                              </wps:spPr>
                              <wps:txbx>
                                <w:txbxContent>
                                  <w:p>
                                    <w:pPr>
                                      <w:rPr>
                                        <w:rFonts w:ascii="Times New Roman" w:hAnsi="Times New Roman" w:cs="Times New Roman"/>
                                        <w:sz w:val="20"/>
                                        <w:szCs w:val="20"/>
                                        <w:lang w:val="en-US"/>
                                      </w:rPr>
                                    </w:pPr>
                                    <w:r>
                                      <w:rPr>
                                        <w:rFonts w:hint="eastAsia" w:ascii="Times New Roman" w:hAnsi="Times New Roman" w:cs="Times New Roman"/>
                                        <w:sz w:val="20"/>
                                        <w:szCs w:val="20"/>
                                        <w:lang w:val="en-US"/>
                                      </w:rPr>
                                      <w:t>3.4</w:t>
                                    </w:r>
                                    <w:r>
                                      <w:rPr>
                                        <w:rFonts w:ascii="Times New Roman" w:hAnsi="Times New Roman" w:cs="Times New Roman"/>
                                        <w:sz w:val="21"/>
                                        <w:szCs w:val="21"/>
                                        <w:lang w:val="en-US"/>
                                      </w:rPr>
                                      <w:t>m</w:t>
                                    </w:r>
                                    <w:r>
                                      <w:rPr>
                                        <w:rFonts w:ascii="Times New Roman" w:hAnsi="Times New Roman" w:cs="Times New Roman"/>
                                        <w:sz w:val="21"/>
                                        <w:szCs w:val="21"/>
                                        <w:vertAlign w:val="superscript"/>
                                        <w:lang w:val="en-US"/>
                                      </w:rPr>
                                      <w:t>3</w:t>
                                    </w:r>
                                    <w:r>
                                      <w:rPr>
                                        <w:rFonts w:ascii="Times New Roman" w:hAnsi="Times New Roman" w:cs="Times New Roman"/>
                                        <w:sz w:val="21"/>
                                        <w:szCs w:val="21"/>
                                        <w:lang w:val="en-US"/>
                                      </w:rPr>
                                      <w:t>/d</w:t>
                                    </w:r>
                                  </w:p>
                                </w:txbxContent>
                              </wps:txbx>
                              <wps:bodyPr upright="true"/>
                            </wps:wsp>
                            <wps:wsp>
                              <wps:cNvPr id="322" name="直接连接符 184"/>
                              <wps:cNvCnPr/>
                              <wps:spPr>
                                <a:xfrm>
                                  <a:off x="269875" y="956945"/>
                                  <a:ext cx="1104900" cy="10160"/>
                                </a:xfrm>
                                <a:prstGeom prst="line">
                                  <a:avLst/>
                                </a:prstGeom>
                                <a:ln w="9525" cap="flat" cmpd="sng">
                                  <a:solidFill>
                                    <a:srgbClr val="000000"/>
                                  </a:solidFill>
                                  <a:prstDash val="solid"/>
                                  <a:headEnd type="none" w="med" len="med"/>
                                  <a:tailEnd type="arrow" w="med" len="med"/>
                                </a:ln>
                              </wps:spPr>
                              <wps:bodyPr/>
                            </wps:wsp>
                            <wps:wsp>
                              <wps:cNvPr id="323" name="文本框 186"/>
                              <wps:cNvSpPr txBox="true"/>
                              <wps:spPr>
                                <a:xfrm>
                                  <a:off x="1364615" y="1186815"/>
                                  <a:ext cx="747395" cy="256540"/>
                                </a:xfrm>
                                <a:prstGeom prst="rect">
                                  <a:avLst/>
                                </a:prstGeom>
                                <a:noFill/>
                                <a:ln>
                                  <a:noFill/>
                                </a:ln>
                              </wps:spPr>
                              <wps:txbx>
                                <w:txbxContent>
                                  <w:p>
                                    <w:pPr>
                                      <w:rPr>
                                        <w:sz w:val="21"/>
                                        <w:szCs w:val="21"/>
                                        <w:lang w:val="en-US"/>
                                      </w:rPr>
                                    </w:pPr>
                                    <w:r>
                                      <w:rPr>
                                        <w:rFonts w:hint="eastAsia" w:ascii="Times New Roman" w:hAnsi="Times New Roman" w:cs="Times New Roman"/>
                                        <w:sz w:val="21"/>
                                        <w:szCs w:val="21"/>
                                        <w:lang w:val="en-US"/>
                                      </w:rPr>
                                      <w:t>3.4</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24" name="文本框 188"/>
                              <wps:cNvSpPr txBox="true"/>
                              <wps:spPr>
                                <a:xfrm>
                                  <a:off x="1962150" y="1247141"/>
                                  <a:ext cx="1073150" cy="313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lang w:val="en-US"/>
                                      </w:rPr>
                                    </w:pPr>
                                    <w:r>
                                      <w:rPr>
                                        <w:rFonts w:hint="eastAsia"/>
                                        <w:sz w:val="21"/>
                                        <w:szCs w:val="21"/>
                                        <w:lang w:val="en-US"/>
                                      </w:rPr>
                                      <w:t>喷淋用水</w:t>
                                    </w:r>
                                  </w:p>
                                </w:txbxContent>
                              </wps:txbx>
                              <wps:bodyPr upright="true"/>
                            </wps:wsp>
                            <wps:wsp>
                              <wps:cNvPr id="325" name="直接连接符 194"/>
                              <wps:cNvCnPr/>
                              <wps:spPr>
                                <a:xfrm>
                                  <a:off x="1384935" y="1458596"/>
                                  <a:ext cx="567690" cy="635"/>
                                </a:xfrm>
                                <a:prstGeom prst="line">
                                  <a:avLst/>
                                </a:prstGeom>
                                <a:ln w="9525" cap="flat" cmpd="sng">
                                  <a:solidFill>
                                    <a:srgbClr val="000000"/>
                                  </a:solidFill>
                                  <a:prstDash val="solid"/>
                                  <a:headEnd type="none" w="med" len="med"/>
                                  <a:tailEnd type="arrow" w="med" len="med"/>
                                </a:ln>
                              </wps:spPr>
                              <wps:bodyPr/>
                            </wps:wsp>
                            <wps:wsp>
                              <wps:cNvPr id="326" name="直接连接符 195"/>
                              <wps:cNvCnPr/>
                              <wps:spPr>
                                <a:xfrm flipV="true">
                                  <a:off x="2381250" y="995045"/>
                                  <a:ext cx="241300" cy="241300"/>
                                </a:xfrm>
                                <a:prstGeom prst="line">
                                  <a:avLst/>
                                </a:prstGeom>
                                <a:ln w="9525" cap="flat" cmpd="sng">
                                  <a:solidFill>
                                    <a:srgbClr val="000000"/>
                                  </a:solidFill>
                                  <a:prstDash val="dash"/>
                                  <a:headEnd type="none" w="med" len="med"/>
                                  <a:tailEnd type="arrow" w="med" len="med"/>
                                </a:ln>
                              </wps:spPr>
                              <wps:bodyPr/>
                            </wps:wsp>
                            <wps:wsp>
                              <wps:cNvPr id="327" name="文本框 196"/>
                              <wps:cNvSpPr txBox="true"/>
                              <wps:spPr>
                                <a:xfrm>
                                  <a:off x="1947545" y="1989456"/>
                                  <a:ext cx="10668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lang w:val="en-US"/>
                                      </w:rPr>
                                    </w:pPr>
                                    <w:r>
                                      <w:rPr>
                                        <w:rFonts w:hint="eastAsia"/>
                                        <w:sz w:val="21"/>
                                        <w:szCs w:val="21"/>
                                        <w:lang w:val="en-US"/>
                                      </w:rPr>
                                      <w:t>拌和用水</w:t>
                                    </w:r>
                                  </w:p>
                                </w:txbxContent>
                              </wps:txbx>
                              <wps:bodyPr upright="true"/>
                            </wps:wsp>
                            <wps:wsp>
                              <wps:cNvPr id="328" name="直接连接符 198"/>
                              <wps:cNvCnPr/>
                              <wps:spPr>
                                <a:xfrm>
                                  <a:off x="1397000" y="2148206"/>
                                  <a:ext cx="558800" cy="0"/>
                                </a:xfrm>
                                <a:prstGeom prst="line">
                                  <a:avLst/>
                                </a:prstGeom>
                                <a:ln w="9525" cap="flat" cmpd="sng">
                                  <a:solidFill>
                                    <a:srgbClr val="000000"/>
                                  </a:solidFill>
                                  <a:prstDash val="solid"/>
                                  <a:headEnd type="none" w="med" len="med"/>
                                  <a:tailEnd type="arrow" w="med" len="med"/>
                                </a:ln>
                              </wps:spPr>
                              <wps:bodyPr/>
                            </wps:wsp>
                            <wps:wsp>
                              <wps:cNvPr id="329" name="文本框 199"/>
                              <wps:cNvSpPr txBox="true"/>
                              <wps:spPr>
                                <a:xfrm>
                                  <a:off x="1322705" y="1862456"/>
                                  <a:ext cx="736600" cy="254000"/>
                                </a:xfrm>
                                <a:prstGeom prst="rect">
                                  <a:avLst/>
                                </a:prstGeom>
                                <a:noFill/>
                                <a:ln>
                                  <a:noFill/>
                                </a:ln>
                              </wps:spPr>
                              <wps:txbx>
                                <w:txbxContent>
                                  <w:p>
                                    <w:pPr>
                                      <w:rPr>
                                        <w:sz w:val="21"/>
                                        <w:szCs w:val="21"/>
                                        <w:lang w:val="en-US"/>
                                      </w:rPr>
                                    </w:pPr>
                                    <w:r>
                                      <w:rPr>
                                        <w:rFonts w:hint="eastAsia" w:ascii="Times New Roman" w:hAnsi="Times New Roman" w:cs="Times New Roman"/>
                                        <w:lang w:val="en-US"/>
                                      </w:rPr>
                                      <w:t>249.5</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30" name="直接连接符 200"/>
                              <wps:cNvCnPr/>
                              <wps:spPr>
                                <a:xfrm flipV="true">
                                  <a:off x="2391410" y="1745616"/>
                                  <a:ext cx="241300" cy="241300"/>
                                </a:xfrm>
                                <a:prstGeom prst="line">
                                  <a:avLst/>
                                </a:prstGeom>
                                <a:ln w="9525" cap="flat" cmpd="sng">
                                  <a:solidFill>
                                    <a:srgbClr val="000000"/>
                                  </a:solidFill>
                                  <a:prstDash val="dash"/>
                                  <a:headEnd type="none" w="med" len="med"/>
                                  <a:tailEnd type="arrow" w="med" len="med"/>
                                </a:ln>
                              </wps:spPr>
                              <wps:bodyPr/>
                            </wps:wsp>
                            <wps:wsp>
                              <wps:cNvPr id="331" name="文本框 201"/>
                              <wps:cNvSpPr txBox="true"/>
                              <wps:spPr>
                                <a:xfrm>
                                  <a:off x="2027555" y="1743710"/>
                                  <a:ext cx="736600" cy="2540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249.5</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32" name="文本框 202"/>
                              <wps:cNvSpPr txBox="true"/>
                              <wps:spPr>
                                <a:xfrm>
                                  <a:off x="2667000" y="1640206"/>
                                  <a:ext cx="2070100" cy="304800"/>
                                </a:xfrm>
                                <a:prstGeom prst="rect">
                                  <a:avLst/>
                                </a:prstGeom>
                                <a:solidFill>
                                  <a:srgbClr val="FFFFFF"/>
                                </a:solidFill>
                                <a:ln>
                                  <a:noFill/>
                                </a:ln>
                              </wps:spPr>
                              <wps:txbx>
                                <w:txbxContent>
                                  <w:p>
                                    <w:pPr>
                                      <w:rPr>
                                        <w:sz w:val="21"/>
                                        <w:szCs w:val="21"/>
                                        <w:lang w:val="en-US"/>
                                      </w:rPr>
                                    </w:pPr>
                                    <w:r>
                                      <w:rPr>
                                        <w:rFonts w:hint="eastAsia"/>
                                        <w:sz w:val="21"/>
                                        <w:szCs w:val="21"/>
                                        <w:lang w:val="en-US"/>
                                      </w:rPr>
                                      <w:t>产品带走</w:t>
                                    </w:r>
                                  </w:p>
                                </w:txbxContent>
                              </wps:txbx>
                              <wps:bodyPr upright="true"/>
                            </wps:wsp>
                            <wps:wsp>
                              <wps:cNvPr id="333" name="直接连接符 203"/>
                              <wps:cNvCnPr/>
                              <wps:spPr>
                                <a:xfrm flipV="true">
                                  <a:off x="2370455" y="2508251"/>
                                  <a:ext cx="241300" cy="241300"/>
                                </a:xfrm>
                                <a:prstGeom prst="line">
                                  <a:avLst/>
                                </a:prstGeom>
                                <a:ln w="9525" cap="flat" cmpd="sng">
                                  <a:solidFill>
                                    <a:srgbClr val="000000"/>
                                  </a:solidFill>
                                  <a:prstDash val="dash"/>
                                  <a:headEnd type="none" w="med" len="med"/>
                                  <a:tailEnd type="arrow" w="med" len="med"/>
                                </a:ln>
                              </wps:spPr>
                              <wps:bodyPr/>
                            </wps:wsp>
                            <wps:wsp>
                              <wps:cNvPr id="334" name="直接连接符 204"/>
                              <wps:cNvCnPr/>
                              <wps:spPr>
                                <a:xfrm>
                                  <a:off x="3016251" y="2921001"/>
                                  <a:ext cx="558800" cy="0"/>
                                </a:xfrm>
                                <a:prstGeom prst="line">
                                  <a:avLst/>
                                </a:prstGeom>
                                <a:ln w="9525" cap="flat" cmpd="sng">
                                  <a:solidFill>
                                    <a:srgbClr val="000000"/>
                                  </a:solidFill>
                                  <a:prstDash val="solid"/>
                                  <a:headEnd type="arrow" w="med" len="med"/>
                                  <a:tailEnd type="none" w="med" len="med"/>
                                </a:ln>
                              </wps:spPr>
                              <wps:bodyPr/>
                            </wps:wsp>
                            <wps:wsp>
                              <wps:cNvPr id="335" name="文本框 205"/>
                              <wps:cNvSpPr txBox="true"/>
                              <wps:spPr>
                                <a:xfrm>
                                  <a:off x="1936115" y="2772411"/>
                                  <a:ext cx="10668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lang w:val="en-US"/>
                                      </w:rPr>
                                    </w:pPr>
                                    <w:r>
                                      <w:rPr>
                                        <w:rFonts w:hint="eastAsia"/>
                                        <w:sz w:val="21"/>
                                        <w:szCs w:val="21"/>
                                        <w:lang w:val="en-US"/>
                                      </w:rPr>
                                      <w:t>车辆冲洗用水</w:t>
                                    </w:r>
                                  </w:p>
                                </w:txbxContent>
                              </wps:txbx>
                              <wps:bodyPr upright="true"/>
                            </wps:wsp>
                            <wps:wsp>
                              <wps:cNvPr id="336" name="文本框 206"/>
                              <wps:cNvSpPr txBox="true"/>
                              <wps:spPr>
                                <a:xfrm>
                                  <a:off x="1354455" y="2645411"/>
                                  <a:ext cx="736600" cy="2540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1.9</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37" name="直接连接符 207"/>
                              <wps:cNvCnPr/>
                              <wps:spPr>
                                <a:xfrm>
                                  <a:off x="1386205" y="2920366"/>
                                  <a:ext cx="558800" cy="0"/>
                                </a:xfrm>
                                <a:prstGeom prst="line">
                                  <a:avLst/>
                                </a:prstGeom>
                                <a:ln w="9525" cap="flat" cmpd="sng">
                                  <a:solidFill>
                                    <a:srgbClr val="000000"/>
                                  </a:solidFill>
                                  <a:prstDash val="solid"/>
                                  <a:headEnd type="none" w="med" len="med"/>
                                  <a:tailEnd type="arrow" w="med" len="med"/>
                                </a:ln>
                              </wps:spPr>
                              <wps:bodyPr/>
                            </wps:wsp>
                            <wps:wsp>
                              <wps:cNvPr id="338" name="文本框 208"/>
                              <wps:cNvSpPr txBox="true"/>
                              <wps:spPr>
                                <a:xfrm>
                                  <a:off x="3576956" y="2773046"/>
                                  <a:ext cx="136271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cs="Times New Roman"/>
                                        <w:sz w:val="21"/>
                                        <w:szCs w:val="21"/>
                                        <w:lang w:val="en-US"/>
                                      </w:rPr>
                                    </w:pPr>
                                    <w:r>
                                      <w:rPr>
                                        <w:rFonts w:ascii="Times New Roman" w:hAnsi="Times New Roman" w:cs="Times New Roman"/>
                                        <w:sz w:val="21"/>
                                        <w:szCs w:val="21"/>
                                        <w:lang w:val="en-US"/>
                                      </w:rPr>
                                      <w:t>沉淀池</w:t>
                                    </w:r>
                                  </w:p>
                                </w:txbxContent>
                              </wps:txbx>
                              <wps:bodyPr upright="true"/>
                            </wps:wsp>
                            <wps:wsp>
                              <wps:cNvPr id="339" name="文本框 209"/>
                              <wps:cNvSpPr txBox="true"/>
                              <wps:spPr>
                                <a:xfrm>
                                  <a:off x="1957705" y="2476501"/>
                                  <a:ext cx="736600" cy="2540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1.9</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40" name="肘形连接符 210"/>
                              <wps:cNvCnPr/>
                              <wps:spPr>
                                <a:xfrm rot="5400000" flipV="true">
                                  <a:off x="3363575" y="2183110"/>
                                  <a:ext cx="635" cy="1788796"/>
                                </a:xfrm>
                                <a:prstGeom prst="bentConnector3">
                                  <a:avLst>
                                    <a:gd name="adj1" fmla="val 30900000"/>
                                  </a:avLst>
                                </a:prstGeom>
                                <a:ln w="9525" cap="flat" cmpd="sng">
                                  <a:solidFill>
                                    <a:srgbClr val="000000"/>
                                  </a:solidFill>
                                  <a:prstDash val="solid"/>
                                  <a:miter/>
                                  <a:headEnd type="none" w="med" len="med"/>
                                  <a:tailEnd type="arrow" w="med" len="med"/>
                                </a:ln>
                              </wps:spPr>
                              <wps:bodyPr/>
                            </wps:wsp>
                            <wps:wsp>
                              <wps:cNvPr id="341" name="文本框 211"/>
                              <wps:cNvSpPr txBox="true"/>
                              <wps:spPr>
                                <a:xfrm>
                                  <a:off x="3003551" y="2646046"/>
                                  <a:ext cx="736600" cy="2540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lang w:val="en-US"/>
                                      </w:rPr>
                                      <w:t>8.6</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42" name="文本框 212"/>
                              <wps:cNvSpPr txBox="true"/>
                              <wps:spPr>
                                <a:xfrm>
                                  <a:off x="3004821" y="2984501"/>
                                  <a:ext cx="736600" cy="2540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lang w:val="en-US"/>
                                      </w:rPr>
                                      <w:t>8.6</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43" name="文本框 238"/>
                              <wps:cNvSpPr txBox="true"/>
                              <wps:spPr>
                                <a:xfrm>
                                  <a:off x="1925320" y="3798572"/>
                                  <a:ext cx="10668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lang w:val="en-US"/>
                                      </w:rPr>
                                    </w:pPr>
                                    <w:r>
                                      <w:rPr>
                                        <w:rFonts w:hint="eastAsia"/>
                                        <w:sz w:val="21"/>
                                        <w:szCs w:val="21"/>
                                        <w:lang w:val="en-US" w:eastAsia="zh-CN"/>
                                      </w:rPr>
                                      <w:t>设备清洗</w:t>
                                    </w:r>
                                    <w:r>
                                      <w:rPr>
                                        <w:rFonts w:hint="eastAsia"/>
                                        <w:sz w:val="21"/>
                                        <w:szCs w:val="21"/>
                                        <w:lang w:val="en-US"/>
                                      </w:rPr>
                                      <w:t>用水</w:t>
                                    </w:r>
                                  </w:p>
                                </w:txbxContent>
                              </wps:txbx>
                              <wps:bodyPr upright="true"/>
                            </wps:wsp>
                            <wps:wsp>
                              <wps:cNvPr id="344" name="文本框 240"/>
                              <wps:cNvSpPr txBox="true"/>
                              <wps:spPr>
                                <a:xfrm>
                                  <a:off x="1343660" y="3671571"/>
                                  <a:ext cx="736600" cy="2540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w:t>
                                    </w:r>
                                    <w:r>
                                      <w:rPr>
                                        <w:rFonts w:hint="eastAsia" w:ascii="Times New Roman" w:hAnsi="Times New Roman" w:cs="Times New Roman"/>
                                        <w:sz w:val="21"/>
                                        <w:szCs w:val="21"/>
                                        <w:lang w:val="en-US" w:eastAsia="zh-CN"/>
                                      </w:rPr>
                                      <w:t>7</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45" name="直接连接符 241"/>
                              <wps:cNvCnPr/>
                              <wps:spPr>
                                <a:xfrm>
                                  <a:off x="1375410" y="3946527"/>
                                  <a:ext cx="558800" cy="0"/>
                                </a:xfrm>
                                <a:prstGeom prst="line">
                                  <a:avLst/>
                                </a:prstGeom>
                                <a:ln w="9525" cap="flat" cmpd="sng">
                                  <a:solidFill>
                                    <a:srgbClr val="000000"/>
                                  </a:solidFill>
                                  <a:prstDash val="solid"/>
                                  <a:headEnd type="none" w="med" len="med"/>
                                  <a:tailEnd type="arrow" w="med" len="med"/>
                                </a:ln>
                              </wps:spPr>
                              <wps:bodyPr/>
                            </wps:wsp>
                            <wps:wsp>
                              <wps:cNvPr id="346" name="文本框 246"/>
                              <wps:cNvSpPr txBox="true"/>
                              <wps:spPr>
                                <a:xfrm>
                                  <a:off x="3566161" y="3799207"/>
                                  <a:ext cx="13843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lang w:val="en-US"/>
                                      </w:rPr>
                                    </w:pPr>
                                    <w:r>
                                      <w:rPr>
                                        <w:rFonts w:hint="eastAsia"/>
                                        <w:sz w:val="21"/>
                                        <w:szCs w:val="21"/>
                                        <w:lang w:val="en-US"/>
                                      </w:rPr>
                                      <w:t>沉淀池</w:t>
                                    </w:r>
                                  </w:p>
                                </w:txbxContent>
                              </wps:txbx>
                              <wps:bodyPr upright="true"/>
                            </wps:wsp>
                            <wps:wsp>
                              <wps:cNvPr id="347" name="文本框 247"/>
                              <wps:cNvSpPr txBox="true"/>
                              <wps:spPr>
                                <a:xfrm>
                                  <a:off x="1946910" y="3502661"/>
                                  <a:ext cx="736600" cy="2540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w:t>
                                    </w:r>
                                    <w:r>
                                      <w:rPr>
                                        <w:rFonts w:hint="eastAsia" w:ascii="Times New Roman" w:hAnsi="Times New Roman" w:cs="Times New Roman"/>
                                        <w:sz w:val="21"/>
                                        <w:szCs w:val="21"/>
                                        <w:lang w:val="en-US" w:eastAsia="zh-CN"/>
                                      </w:rPr>
                                      <w:t>7</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48" name="肘形连接符 248"/>
                              <wps:cNvCnPr/>
                              <wps:spPr>
                                <a:xfrm rot="5400000" flipV="true">
                                  <a:off x="3358495" y="3203555"/>
                                  <a:ext cx="3175" cy="1799591"/>
                                </a:xfrm>
                                <a:prstGeom prst="bentConnector3">
                                  <a:avLst>
                                    <a:gd name="adj1" fmla="val 5880000"/>
                                  </a:avLst>
                                </a:prstGeom>
                                <a:ln w="9525" cap="flat" cmpd="sng">
                                  <a:solidFill>
                                    <a:srgbClr val="000000"/>
                                  </a:solidFill>
                                  <a:prstDash val="solid"/>
                                  <a:miter/>
                                  <a:headEnd type="none" w="med" len="med"/>
                                  <a:tailEnd type="arrow" w="med" len="med"/>
                                </a:ln>
                              </wps:spPr>
                              <wps:bodyPr/>
                            </wps:wsp>
                            <wps:wsp>
                              <wps:cNvPr id="349" name="文本框 249"/>
                              <wps:cNvSpPr txBox="true"/>
                              <wps:spPr>
                                <a:xfrm>
                                  <a:off x="2992756" y="3672206"/>
                                  <a:ext cx="736600" cy="2540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eastAsia="zh-CN"/>
                                      </w:rPr>
                                      <w:t>5.3</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50" name="文本框 250"/>
                              <wps:cNvSpPr txBox="true"/>
                              <wps:spPr>
                                <a:xfrm>
                                  <a:off x="2994026" y="4010662"/>
                                  <a:ext cx="736600" cy="254000"/>
                                </a:xfrm>
                                <a:prstGeom prst="rect">
                                  <a:avLst/>
                                </a:prstGeom>
                                <a:noFill/>
                                <a:ln>
                                  <a:noFill/>
                                </a:ln>
                              </wps:spPr>
                              <wps:txb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eastAsia="zh-CN"/>
                                      </w:rPr>
                                      <w:t>5.3</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wps:txbx>
                              <wps:bodyPr upright="true"/>
                            </wps:wsp>
                            <wps:wsp>
                              <wps:cNvPr id="351" name="直接连接符 253"/>
                              <wps:cNvCnPr/>
                              <wps:spPr>
                                <a:xfrm flipV="true">
                                  <a:off x="2370455" y="3556001"/>
                                  <a:ext cx="241300" cy="241300"/>
                                </a:xfrm>
                                <a:prstGeom prst="line">
                                  <a:avLst/>
                                </a:prstGeom>
                                <a:ln w="9525" cap="flat" cmpd="sng">
                                  <a:solidFill>
                                    <a:srgbClr val="000000"/>
                                  </a:solidFill>
                                  <a:prstDash val="dash"/>
                                  <a:headEnd type="none" w="med" len="med"/>
                                  <a:tailEnd type="arrow" w="med" len="med"/>
                                </a:ln>
                              </wps:spPr>
                              <wps:bodyPr/>
                            </wps:wsp>
                            <wps:wsp>
                              <wps:cNvPr id="352" name="文本框 255"/>
                              <wps:cNvSpPr txBox="true"/>
                              <wps:spPr>
                                <a:xfrm>
                                  <a:off x="1447800" y="4559300"/>
                                  <a:ext cx="3630295" cy="285750"/>
                                </a:xfrm>
                                <a:prstGeom prst="rect">
                                  <a:avLst/>
                                </a:prstGeom>
                                <a:solidFill>
                                  <a:srgbClr val="FFFFFF"/>
                                </a:solidFill>
                                <a:ln>
                                  <a:noFill/>
                                </a:ln>
                              </wps:spPr>
                              <wps:txbx>
                                <w:txbxContent>
                                  <w:p>
                                    <w:pPr>
                                      <w:rPr>
                                        <w:rFonts w:ascii="Times New Roman" w:hAnsi="Times New Roman" w:cs="Times New Roman"/>
                                        <w:sz w:val="21"/>
                                        <w:szCs w:val="21"/>
                                      </w:rPr>
                                    </w:pPr>
                                    <w:r>
                                      <w:rPr>
                                        <w:rFonts w:ascii="Times New Roman" w:hAnsi="Times New Roman" w:cs="Times New Roman"/>
                                        <w:b/>
                                        <w:sz w:val="21"/>
                                        <w:szCs w:val="21"/>
                                      </w:rPr>
                                      <w:t>图</w:t>
                                    </w:r>
                                    <w:r>
                                      <w:rPr>
                                        <w:rFonts w:hint="eastAsia" w:ascii="Times New Roman" w:hAnsi="Times New Roman" w:cs="Times New Roman"/>
                                        <w:b/>
                                        <w:sz w:val="21"/>
                                        <w:szCs w:val="21"/>
                                        <w:lang w:val="en-US"/>
                                      </w:rPr>
                                      <w:t>2.</w:t>
                                    </w:r>
                                    <w:r>
                                      <w:rPr>
                                        <w:rFonts w:ascii="Times New Roman" w:hAnsi="Times New Roman" w:cs="Times New Roman"/>
                                        <w:b/>
                                        <w:sz w:val="21"/>
                                        <w:szCs w:val="21"/>
                                      </w:rPr>
                                      <w:t>1    项目</w:t>
                                    </w:r>
                                    <w:r>
                                      <w:rPr>
                                        <w:rFonts w:hint="eastAsia" w:ascii="Times New Roman" w:hAnsi="Times New Roman" w:cs="Times New Roman"/>
                                        <w:b/>
                                        <w:sz w:val="21"/>
                                        <w:szCs w:val="21"/>
                                      </w:rPr>
                                      <w:t>扩建后全厂</w:t>
                                    </w:r>
                                    <w:r>
                                      <w:rPr>
                                        <w:rFonts w:ascii="Times New Roman" w:hAnsi="Times New Roman" w:cs="Times New Roman"/>
                                        <w:b/>
                                        <w:sz w:val="21"/>
                                        <w:szCs w:val="21"/>
                                      </w:rPr>
                                      <w:t xml:space="preserve">水平衡图   </w:t>
                                    </w:r>
                                  </w:p>
                                </w:txbxContent>
                              </wps:txbx>
                              <wps:bodyPr upright="true"/>
                            </wps:wsp>
                            <wps:wsp>
                              <wps:cNvPr id="353" name="直接箭头连接符 258"/>
                              <wps:cNvCnPr/>
                              <wps:spPr>
                                <a:xfrm flipH="true">
                                  <a:off x="3008630" y="3961131"/>
                                  <a:ext cx="558800" cy="0"/>
                                </a:xfrm>
                                <a:prstGeom prst="straightConnector1">
                                  <a:avLst/>
                                </a:prstGeom>
                                <a:ln w="9525" cap="flat" cmpd="sng">
                                  <a:solidFill>
                                    <a:srgbClr val="000000"/>
                                  </a:solidFill>
                                  <a:prstDash val="solid"/>
                                  <a:headEnd type="none" w="med" len="med"/>
                                  <a:tailEnd type="arrow" w="med" len="med"/>
                                </a:ln>
                              </wps:spPr>
                              <wps:bodyPr/>
                            </wps:wsp>
                          </wpc:wpc>
                        </a:graphicData>
                      </a:graphic>
                    </wp:anchor>
                  </w:drawing>
                </mc:Choice>
                <mc:Fallback>
                  <w:pict>
                    <v:group id="_x0000_s1026" o:spid="_x0000_s1026" o:spt="203" style="position:absolute;left:0pt;margin-left:2pt;margin-top:-611.85pt;height:390.15pt;width:444.45pt;mso-wrap-distance-bottom:0pt;mso-wrap-distance-top:0pt;z-index:251669504;mso-width-relative:page;mso-height-relative:page;" coordsize="5644515,4954905" editas="canvas" o:gfxdata="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">
                      <o:lock v:ext="edit" aspectratio="f"/>
                      <v:shape id="_x0000_s1026" o:spid="_x0000_s1026" style="position:absolute;left:0;top:0;height:4954905;width:5644515;" filled="f" stroked="f" coordsize="21600,21600" o:gfxdata="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">
                        <v:fill on="f" focussize="0,0"/>
                        <v:stroke on="f"/>
                        <v:imagedata o:title=""/>
                        <o:lock v:ext="edit" aspectratio="f"/>
                      </v:shape>
                      <v:shape id="文本框 163" o:spid="_x0000_s1026" o:spt="202" type="#_x0000_t202" style="position:absolute;left:3013075;top:368935;height:447040;width:747395;"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FEeciLZAAAADAEAAA8AAAAAAAAAAQAgAAAAOAAAAGRycy9kb3ducmV2LnhtbFBLAQIU&#10;ABQAAAAIAIdO4kDkgBANowEAABQDAAAOAAAAAAAAAAEAIAAAAD4BAABkcnMvZTJvRG9jLnhtbFBL&#10;BQYAAAAABgAGAFkBAABT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2.368</w:t>
                              </w:r>
                            </w:p>
                            <w:p>
                              <w:pPr>
                                <w:rPr>
                                  <w:rFonts w:ascii="Times New Roman" w:hAnsi="Times New Roman" w:cs="Times New Roman"/>
                                  <w:sz w:val="21"/>
                                  <w:szCs w:val="21"/>
                                  <w:lang w:val="en-US"/>
                                </w:rPr>
                              </w:pP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shape id="文本框 165" o:spid="_x0000_s1026" o:spt="202" type="#_x0000_t202" style="position:absolute;left:2091690;top:73660;height:408305;width:871220;"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RHnIi2QAAAAwBAAAPAAAAAAAAAAEAIAAAADgAAABkcnMvZG93bnJldi54bWxQSwECFAAU&#10;AAAACACHTuJAvxp9VqEBAAATAwAADgAAAAAAAAABACAAAAA+AQAAZHJzL2Uyb0RvYy54bWxQSwUG&#10;AAAAAAYABgBZAQAAUQUAAAAA&#10;">
                        <v:fill on="f" focussize="0,0"/>
                        <v:stroke on="f"/>
                        <v:imagedata o:title=""/>
                        <o:lock v:ext="edit" aspectratio="f"/>
                        <v:textbox>
                          <w:txbxContent>
                            <w:p>
                              <w:pPr>
                                <w:rPr>
                                  <w:rFonts w:ascii="Times New Roman" w:hAnsi="Times New Roman" w:cs="Times New Roman"/>
                                  <w:sz w:val="21"/>
                                  <w:szCs w:val="21"/>
                                </w:rPr>
                              </w:pPr>
                              <w:r>
                                <w:rPr>
                                  <w:rFonts w:ascii="Times New Roman" w:hAnsi="Times New Roman" w:cs="Times New Roman"/>
                                  <w:sz w:val="21"/>
                                  <w:szCs w:val="21"/>
                                  <w:lang w:val="en-US"/>
                                </w:rPr>
                                <w:t>0.</w:t>
                              </w:r>
                              <w:r>
                                <w:rPr>
                                  <w:rFonts w:hint="eastAsia" w:ascii="Times New Roman" w:hAnsi="Times New Roman" w:cs="Times New Roman"/>
                                  <w:sz w:val="21"/>
                                  <w:szCs w:val="21"/>
                                  <w:lang w:val="en-US"/>
                                </w:rPr>
                                <w:t>592</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line id="直接连接符 166" o:spid="_x0000_s1026" o:spt="20" style="position:absolute;left:2609850;top:168275;flip:y;height:247015;width:248920;" filled="f" stroked="t" coordsize="21600,21600" o:gfxdata="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NClcM2gAAAAwBAAAPAAAAAAAAAAEAIAAA&#10;ADgAAABkcnMvZG93bnJldi54bWxQSwECFAAUAAAACACHTuJAtwEgS/QBAACqAwAADgAAAAAAAAAB&#10;ACAAAAA/AQAAZHJzL2Uyb0RvYy54bWxQSwUGAAAAAAYABgBZAQAApQUAAAAA&#10;">
                        <v:fill on="f" focussize="0,0"/>
                        <v:stroke color="#000000" joinstyle="round" dashstyle="dash" endarrow="open"/>
                        <v:imagedata o:title=""/>
                        <o:lock v:ext="edit" aspectratio="f"/>
                      </v:line>
                      <v:shape id="文本框 167" o:spid="_x0000_s1026" o:spt="202" type="#_x0000_t202" style="position:absolute;left:1324610;top:294640;height:256540;width:747395;"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R5yItkAAAAMAQAADwAAAAAAAAABACAAAAA4AAAAZHJzL2Rvd25yZXYueG1sUEsBAhQA&#10;FAAAAAgAh07iQFwhZ/CiAQAAFAMAAA4AAAAAAAAAAQAgAAAAPgEAAGRycy9lMm9Eb2MueG1sUEsF&#10;BgAAAAAGAAYAWQEAAFIFA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 xml:space="preserve">2.96 </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line id="直接连接符 168" o:spid="_x0000_s1026" o:spt="20" style="position:absolute;left:1364615;top:543560;height:3420111;width:11430;" filled="f" stroked="t" coordsize="21600,21600" o:gfxdata="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9GArr2wAAAAwBAAAPAAAAAAAAAAEAIAAAADgAAABkcnMvZG93bnJldi54&#10;bWxQSwECFAAUAAAACACHTuJA4Je1vOEBAACdAwAADgAAAAAAAAABACAAAABAAQAAZHJzL2Uyb0Rv&#10;Yy54bWxQSwUGAAAAAAYABgBZAQAAkwUAAAAA&#10;">
                        <v:fill on="f" focussize="0,0"/>
                        <v:stroke color="#000000" joinstyle="round"/>
                        <v:imagedata o:title=""/>
                        <o:lock v:ext="edit" aspectratio="f"/>
                      </v:line>
                      <v:shape id="文本框 170" o:spid="_x0000_s1026" o:spt="202" type="#_x0000_t202" style="position:absolute;left:3568701;top:420370;height:313055;width:2075815;" fillcolor="#FFFFFF" filled="t" stroked="f" coordsize="21600,21600" o:gfxdata="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UU91EdoAAAAMAQAADwAAAAAAAAABACAAAAA4AAAA&#10;ZHJzL2Rvd25yZXYueG1sUEsBAhQAFAAAAAgAh07iQHEzgZa2AQAAPgMAAA4AAAAAAAAAAQAgAAAA&#10;PwEAAGRycy9lMm9Eb2MueG1sUEsFBgAAAAAGAAYAWQEAAGcFAAAAAA==&#10;">
                        <v:fill on="t" focussize="0,0"/>
                        <v:stroke on="f"/>
                        <v:imagedata o:title=""/>
                        <o:lock v:ext="edit" aspectratio="f"/>
                        <v:textbox>
                          <w:txbxContent>
                            <w:p>
                              <w:pPr>
                                <w:rPr>
                                  <w:sz w:val="21"/>
                                  <w:szCs w:val="21"/>
                                  <w:lang w:val="en-US"/>
                                </w:rPr>
                              </w:pPr>
                              <w:r>
                                <w:rPr>
                                  <w:rFonts w:hint="eastAsia"/>
                                  <w:sz w:val="21"/>
                                  <w:szCs w:val="21"/>
                                  <w:lang w:val="en-US"/>
                                </w:rPr>
                                <w:t>防渗旱厕，定期清掏</w:t>
                              </w:r>
                            </w:p>
                          </w:txbxContent>
                        </v:textbox>
                      </v:shape>
                      <v:line id="直接连接符 171" o:spid="_x0000_s1026" o:spt="20" style="position:absolute;left:3027681;top:591185;flip:y;height:635;width:558800;" filled="f" stroked="t" coordsize="21600,21600" o:gfxdata="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0KVwzaAAAADAEAAA8AAAAAAAAAAQAgAAAA&#10;OAAAAGRycy9kb3ducmV2LnhtbFBLAQIUABQAAAAIAIdO4kD/K2QB8wEAAKcDAAAOAAAAAAAAAAEA&#10;IAAAAD8BAABkcnMvZTJvRG9jLnhtbFBLBQYAAAAABgAGAFkBAACkBQAAAAA=&#10;">
                        <v:fill on="f" focussize="0,0"/>
                        <v:stroke color="#000000" joinstyle="round" dashstyle="dash" endarrow="open"/>
                        <v:imagedata o:title=""/>
                        <o:lock v:ext="edit" aspectratio="f"/>
                      </v:line>
                      <v:shape id="文本框 172" o:spid="_x0000_s1026" o:spt="202" type="#_x0000_t202" style="position:absolute;left:1952625;top:411480;height:313055;width:1066800;" fillcolor="#FFFFFF" filled="t" stroked="t" coordsize="21600,21600" o:gfxdata="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iivqj2wAAAAwBAAAP&#10;AAAAAAAAAAEAIAAAADgAAABkcnMvZG93bnJldi54bWxQSwECFAAUAAAACACHTuJAacvfiP8BAAD9&#10;AwAADgAAAAAAAAABACAAAABAAQAAZHJzL2Uyb0RvYy54bWxQSwUGAAAAAAYABgBZAQAAsQUAAAAA&#10;">
                        <v:fill on="t" focussize="0,0"/>
                        <v:stroke color="#000000" joinstyle="miter"/>
                        <v:imagedata o:title=""/>
                        <o:lock v:ext="edit" aspectratio="f"/>
                        <v:textbox>
                          <w:txbxContent>
                            <w:p>
                              <w:pPr>
                                <w:jc w:val="center"/>
                                <w:rPr>
                                  <w:sz w:val="21"/>
                                  <w:szCs w:val="21"/>
                                  <w:lang w:val="en-US"/>
                                </w:rPr>
                              </w:pPr>
                              <w:r>
                                <w:rPr>
                                  <w:rFonts w:hint="eastAsia"/>
                                  <w:sz w:val="21"/>
                                  <w:szCs w:val="21"/>
                                  <w:lang w:val="en-US"/>
                                </w:rPr>
                                <w:t>生活用水</w:t>
                              </w:r>
                            </w:p>
                          </w:txbxContent>
                        </v:textbox>
                      </v:shape>
                      <v:line id="直接连接符 177" o:spid="_x0000_s1026" o:spt="20" style="position:absolute;left:1374775;top:556895;height:635;width:588010;" filled="f" stroked="t" coordsize="21600,21600" o:gfxdata="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xnWit0AAAAMAQAADwAAAAAAAAABACAAAAA4AAAAZHJz&#10;L2Rvd25yZXYueG1sUEsBAhQAFAAAAAgAh07iQGyd0U3pAQAAmwMAAA4AAAAAAAAAAQAgAAAAQgEA&#10;AGRycy9lMm9Eb2MueG1sUEsFBgAAAAAGAAYAWQEAAJ0FAAAAAA==&#10;">
                        <v:fill on="f" focussize="0,0"/>
                        <v:stroke color="#000000" joinstyle="round" endarrow="open"/>
                        <v:imagedata o:title=""/>
                        <o:lock v:ext="edit" aspectratio="f"/>
                      </v:line>
                      <v:shape id="文本框 178" o:spid="_x0000_s1026" o:spt="202" type="#_x0000_t202" style="position:absolute;left:233045;top:621665;height:262255;width:1283970;"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FEeciLZAAAADAEAAA8AAAAAAAAAAQAgAAAAOAAAAGRycy9kb3ducmV2LnhtbFBLAQIU&#10;ABQAAAAIAIdO4kBKLFlvowEAABQDAAAOAAAAAAAAAAEAIAAAAD4BAABkcnMvZTJvRG9jLnhtbFBL&#10;BQYAAAAABgAGAFkBAABTBQAAAAA=&#10;">
                        <v:fill on="f" focussize="0,0"/>
                        <v:stroke on="f"/>
                        <v:imagedata o:title=""/>
                        <o:lock v:ext="edit" aspectratio="f"/>
                        <v:textbox>
                          <w:txbxContent>
                            <w:p>
                              <w:pPr>
                                <w:rPr>
                                  <w:sz w:val="21"/>
                                  <w:szCs w:val="21"/>
                                  <w:lang w:val="en-US"/>
                                </w:rPr>
                              </w:pPr>
                              <w:r>
                                <w:rPr>
                                  <w:rFonts w:hint="eastAsia"/>
                                  <w:sz w:val="21"/>
                                  <w:szCs w:val="21"/>
                                </w:rPr>
                                <w:t>新</w:t>
                              </w:r>
                              <w:r>
                                <w:rPr>
                                  <w:rFonts w:ascii="Times New Roman" w:hAnsi="Times New Roman" w:cs="Times New Roman"/>
                                  <w:sz w:val="21"/>
                                  <w:szCs w:val="21"/>
                                </w:rPr>
                                <w:t>鲜水</w:t>
                              </w:r>
                              <w:r>
                                <w:rPr>
                                  <w:rFonts w:hint="eastAsia" w:ascii="Times New Roman" w:hAnsi="Times New Roman" w:cs="Times New Roman"/>
                                  <w:sz w:val="21"/>
                                  <w:szCs w:val="21"/>
                                  <w:lang w:val="en-US"/>
                                </w:rPr>
                                <w:t>259.</w:t>
                              </w: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val="en-US"/>
                                </w:rPr>
                                <w:t>6</w:t>
                              </w:r>
                              <w:r>
                                <w:rPr>
                                  <w:rFonts w:ascii="Times New Roman" w:hAnsi="Times New Roman" w:cs="Times New Roman"/>
                                  <w:bCs/>
                                  <w:color w:val="000000"/>
                                </w:rPr>
                                <w:t>m</w:t>
                              </w:r>
                              <w:r>
                                <w:rPr>
                                  <w:rFonts w:ascii="Times New Roman" w:hAnsi="Times New Roman" w:cs="Times New Roman"/>
                                  <w:bCs/>
                                  <w:color w:val="000000"/>
                                  <w:vertAlign w:val="superscript"/>
                                </w:rPr>
                                <w:t>3</w:t>
                              </w:r>
                              <w:r>
                                <w:rPr>
                                  <w:rFonts w:ascii="Times New Roman" w:hAnsi="Times New Roman" w:cs="Times New Roman"/>
                                  <w:bCs/>
                                  <w:color w:val="000000"/>
                                </w:rPr>
                                <w:t>/d</w:t>
                              </w:r>
                            </w:p>
                          </w:txbxContent>
                        </v:textbox>
                      </v:shape>
                      <v:shape id="文本框 179" o:spid="_x0000_s1026" o:spt="202" type="#_x0000_t202" style="position:absolute;left:1987550;top:937260;height:256540;width:747395;"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FEeciLZAAAADAEAAA8AAAAAAAAAAQAgAAAAOAAAAGRycy9kb3ducmV2LnhtbFBLAQIU&#10;ABQAAAAIAIdO4kBn5kq7owEAABQDAAAOAAAAAAAAAAEAIAAAAD4BAABkcnMvZTJvRG9jLnhtbFBL&#10;BQYAAAAABgAGAFkBAABTBQAAAAA=&#10;">
                        <v:fill on="f" focussize="0,0"/>
                        <v:stroke on="f"/>
                        <v:imagedata o:title=""/>
                        <o:lock v:ext="edit" aspectratio="f"/>
                        <v:textbox>
                          <w:txbxContent>
                            <w:p>
                              <w:pPr>
                                <w:rPr>
                                  <w:rFonts w:ascii="Times New Roman" w:hAnsi="Times New Roman" w:cs="Times New Roman"/>
                                  <w:sz w:val="20"/>
                                  <w:szCs w:val="20"/>
                                  <w:lang w:val="en-US"/>
                                </w:rPr>
                              </w:pPr>
                              <w:r>
                                <w:rPr>
                                  <w:rFonts w:hint="eastAsia" w:ascii="Times New Roman" w:hAnsi="Times New Roman" w:cs="Times New Roman"/>
                                  <w:sz w:val="20"/>
                                  <w:szCs w:val="20"/>
                                  <w:lang w:val="en-US"/>
                                </w:rPr>
                                <w:t>3.4</w:t>
                              </w:r>
                              <w:r>
                                <w:rPr>
                                  <w:rFonts w:ascii="Times New Roman" w:hAnsi="Times New Roman" w:cs="Times New Roman"/>
                                  <w:sz w:val="21"/>
                                  <w:szCs w:val="21"/>
                                  <w:lang w:val="en-US"/>
                                </w:rPr>
                                <w:t>m</w:t>
                              </w:r>
                              <w:r>
                                <w:rPr>
                                  <w:rFonts w:ascii="Times New Roman" w:hAnsi="Times New Roman" w:cs="Times New Roman"/>
                                  <w:sz w:val="21"/>
                                  <w:szCs w:val="21"/>
                                  <w:vertAlign w:val="superscript"/>
                                  <w:lang w:val="en-US"/>
                                </w:rPr>
                                <w:t>3</w:t>
                              </w:r>
                              <w:r>
                                <w:rPr>
                                  <w:rFonts w:ascii="Times New Roman" w:hAnsi="Times New Roman" w:cs="Times New Roman"/>
                                  <w:sz w:val="21"/>
                                  <w:szCs w:val="21"/>
                                  <w:lang w:val="en-US"/>
                                </w:rPr>
                                <w:t>/d</w:t>
                              </w:r>
                            </w:p>
                          </w:txbxContent>
                        </v:textbox>
                      </v:shape>
                      <v:line id="直接连接符 184" o:spid="_x0000_s1026" o:spt="20" style="position:absolute;left:269875;top:956945;height:10160;width:1104900;" filled="f" stroked="t" coordsize="21600,21600" o:gfxdata="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sZ1ordAAAADAEAAA8AAAAAAAAAAQAgAAAAOAAAAGRy&#10;cy9kb3ducmV2LnhtbFBLAQIUABQAAAAIAIdO4kAuL5t56gEAAJ0DAAAOAAAAAAAAAAEAIAAAAEIB&#10;AABkcnMvZTJvRG9jLnhtbFBLBQYAAAAABgAGAFkBAACeBQAAAAA=&#10;">
                        <v:fill on="f" focussize="0,0"/>
                        <v:stroke color="#000000" joinstyle="round" endarrow="open"/>
                        <v:imagedata o:title=""/>
                        <o:lock v:ext="edit" aspectratio="f"/>
                      </v:line>
                      <v:shape id="文本框 186" o:spid="_x0000_s1026" o:spt="202" type="#_x0000_t202" style="position:absolute;left:1364615;top:1186815;height:256540;width:747395;"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R5yItkAAAAMAQAADwAAAAAAAAABACAAAAA4AAAAZHJzL2Rvd25yZXYueG1sUEsBAhQA&#10;FAAAAAgAh07iQGXeLAqiAQAAFQMAAA4AAAAAAAAAAQAgAAAAPgEAAGRycy9lMm9Eb2MueG1sUEsF&#10;BgAAAAAGAAYAWQEAAFIFAAAAAA==&#10;">
                        <v:fill on="f" focussize="0,0"/>
                        <v:stroke on="f"/>
                        <v:imagedata o:title=""/>
                        <o:lock v:ext="edit" aspectratio="f"/>
                        <v:textbox>
                          <w:txbxContent>
                            <w:p>
                              <w:pPr>
                                <w:rPr>
                                  <w:sz w:val="21"/>
                                  <w:szCs w:val="21"/>
                                  <w:lang w:val="en-US"/>
                                </w:rPr>
                              </w:pPr>
                              <w:r>
                                <w:rPr>
                                  <w:rFonts w:hint="eastAsia" w:ascii="Times New Roman" w:hAnsi="Times New Roman" w:cs="Times New Roman"/>
                                  <w:sz w:val="21"/>
                                  <w:szCs w:val="21"/>
                                  <w:lang w:val="en-US"/>
                                </w:rPr>
                                <w:t>3.4</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shape id="文本框 188" o:spid="_x0000_s1026" o:spt="202" type="#_x0000_t202" style="position:absolute;left:1962150;top:1247141;height:313055;width:1073150;" fillcolor="#FFFFFF" filled="t" stroked="t" coordsize="21600,21600" o:gfxdata="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iivqj2wAAAAwBAAAP&#10;AAAAAAAAAAEAIAAAADgAAABkcnMvZG93bnJldi54bWxQSwECFAAUAAAACACHTuJAZnBagP8BAAD+&#10;AwAADgAAAAAAAAABACAAAABAAQAAZHJzL2Uyb0RvYy54bWxQSwUGAAAAAAYABgBZAQAAsQUAAAAA&#10;">
                        <v:fill on="t" focussize="0,0"/>
                        <v:stroke color="#000000" joinstyle="miter"/>
                        <v:imagedata o:title=""/>
                        <o:lock v:ext="edit" aspectratio="f"/>
                        <v:textbox>
                          <w:txbxContent>
                            <w:p>
                              <w:pPr>
                                <w:jc w:val="center"/>
                                <w:rPr>
                                  <w:sz w:val="21"/>
                                  <w:szCs w:val="21"/>
                                  <w:lang w:val="en-US"/>
                                </w:rPr>
                              </w:pPr>
                              <w:r>
                                <w:rPr>
                                  <w:rFonts w:hint="eastAsia"/>
                                  <w:sz w:val="21"/>
                                  <w:szCs w:val="21"/>
                                  <w:lang w:val="en-US"/>
                                </w:rPr>
                                <w:t>喷淋用水</w:t>
                              </w:r>
                            </w:p>
                          </w:txbxContent>
                        </v:textbox>
                      </v:shape>
                      <v:line id="直接连接符 194" o:spid="_x0000_s1026" o:spt="20" style="position:absolute;left:1384935;top:1458596;height:635;width:567690;" filled="f" stroked="t" coordsize="21600,21600" o:gfxdata="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xnWit0AAAAMAQAADwAAAAAAAAABACAAAAA4AAAAZHJzL2Rv&#10;d25yZXYueG1sUEsBAhQAFAAAAAgAh07iQCUmBZbmAQAAnAMAAA4AAAAAAAAAAQAgAAAAQgEAAGRy&#10;cy9lMm9Eb2MueG1sUEsFBgAAAAAGAAYAWQEAAJoFAAAAAA==&#10;">
                        <v:fill on="f" focussize="0,0"/>
                        <v:stroke color="#000000" joinstyle="round" endarrow="open"/>
                        <v:imagedata o:title=""/>
                        <o:lock v:ext="edit" aspectratio="f"/>
                      </v:line>
                      <v:line id="直接连接符 195" o:spid="_x0000_s1026" o:spt="20" style="position:absolute;left:2381250;top:995045;flip:y;height:241300;width:241300;" filled="f" stroked="t" coordsize="21600,21600" o:gfxdata="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0KVwzaAAAADAEAAA8AAAAAAAAAAQAgAAAAOAAA&#10;AGRycy9kb3ducmV2LnhtbFBLAQIUABQAAAAIAIdO4kDVuHCj8AEAAKoDAAAOAAAAAAAAAAEAIAAA&#10;AD8BAABkcnMvZTJvRG9jLnhtbFBLBQYAAAAABgAGAFkBAAChBQAAAAA=&#10;">
                        <v:fill on="f" focussize="0,0"/>
                        <v:stroke color="#000000" joinstyle="round" dashstyle="dash" endarrow="open"/>
                        <v:imagedata o:title=""/>
                        <o:lock v:ext="edit" aspectratio="f"/>
                      </v:line>
                      <v:shape id="文本框 196" o:spid="_x0000_s1026" o:spt="202" type="#_x0000_t202" style="position:absolute;left:1947545;top:1989456;height:304800;width:1066800;" fillcolor="#FFFFFF" filled="t" stroked="t" coordsize="21600,21600" o:gfxdata="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4or6o9sAAAAMAQAA&#10;DwAAAAAAAAABACAAAAA4AAAAZHJzL2Rvd25yZXYueG1sUEsBAhQAFAAAAAgAh07iQNtKd5MAAgAA&#10;/gMAAA4AAAAAAAAAAQAgAAAAQAEAAGRycy9lMm9Eb2MueG1sUEsFBgAAAAAGAAYAWQEAALIFAAAA&#10;AA==&#10;">
                        <v:fill on="t" focussize="0,0"/>
                        <v:stroke color="#000000" joinstyle="miter"/>
                        <v:imagedata o:title=""/>
                        <o:lock v:ext="edit" aspectratio="f"/>
                        <v:textbox>
                          <w:txbxContent>
                            <w:p>
                              <w:pPr>
                                <w:jc w:val="center"/>
                                <w:rPr>
                                  <w:sz w:val="21"/>
                                  <w:szCs w:val="21"/>
                                  <w:lang w:val="en-US"/>
                                </w:rPr>
                              </w:pPr>
                              <w:r>
                                <w:rPr>
                                  <w:rFonts w:hint="eastAsia"/>
                                  <w:sz w:val="21"/>
                                  <w:szCs w:val="21"/>
                                  <w:lang w:val="en-US"/>
                                </w:rPr>
                                <w:t>拌和用水</w:t>
                              </w:r>
                            </w:p>
                          </w:txbxContent>
                        </v:textbox>
                      </v:shape>
                      <v:line id="直接连接符 198" o:spid="_x0000_s1026" o:spt="20" style="position:absolute;left:1397000;top:2148206;height:0;width:558800;" filled="f" stroked="t" coordsize="21600,21600" o:gfxdata="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sZ1ordAAAADAEAAA8AAAAAAAAAAQAgAAAAOAAAAGRycy9k&#10;b3ducmV2LnhtbFBLAQIUABQAAAAIAIdO4kD4mY1z5wEAAJoDAAAOAAAAAAAAAAEAIAAAAEIBAABk&#10;cnMvZTJvRG9jLnhtbFBLBQYAAAAABgAGAFkBAACbBQAAAAA=&#10;">
                        <v:fill on="f" focussize="0,0"/>
                        <v:stroke color="#000000" joinstyle="round" endarrow="open"/>
                        <v:imagedata o:title=""/>
                        <o:lock v:ext="edit" aspectratio="f"/>
                      </v:line>
                      <v:shape id="文本框 199" o:spid="_x0000_s1026" o:spt="202" type="#_x0000_t202" style="position:absolute;left:1322705;top:1862456;height:254000;width:736600;"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FEeciLZAAAADAEAAA8AAAAAAAAAAQAgAAAAOAAAAGRycy9kb3ducmV2LnhtbFBLAQIU&#10;ABQAAAAIAIdO4kDVoOzjowEAABUDAAAOAAAAAAAAAAEAIAAAAD4BAABkcnMvZTJvRG9jLnhtbFBL&#10;BQYAAAAABgAGAFkBAABTBQAAAAA=&#10;">
                        <v:fill on="f" focussize="0,0"/>
                        <v:stroke on="f"/>
                        <v:imagedata o:title=""/>
                        <o:lock v:ext="edit" aspectratio="f"/>
                        <v:textbox>
                          <w:txbxContent>
                            <w:p>
                              <w:pPr>
                                <w:rPr>
                                  <w:sz w:val="21"/>
                                  <w:szCs w:val="21"/>
                                  <w:lang w:val="en-US"/>
                                </w:rPr>
                              </w:pPr>
                              <w:r>
                                <w:rPr>
                                  <w:rFonts w:hint="eastAsia" w:ascii="Times New Roman" w:hAnsi="Times New Roman" w:cs="Times New Roman"/>
                                  <w:lang w:val="en-US"/>
                                </w:rPr>
                                <w:t>249.5</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line id="直接连接符 200" o:spid="_x0000_s1026" o:spt="20" style="position:absolute;left:2391410;top:1745616;flip:y;height:241300;width:241300;" filled="f" stroked="t" coordsize="21600,21600" o:gfxdata="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DQpXDNoAAAAMAQAADwAAAAAAAAABACAAAAA4AAAA&#10;ZHJzL2Rvd25yZXYueG1sUEsBAhQAFAAAAAgAh07iQNDo3yHvAQAAqwMAAA4AAAAAAAAAAQAgAAAA&#10;PwEAAGRycy9lMm9Eb2MueG1sUEsFBgAAAAAGAAYAWQEAAKAFAAAAAA==&#10;">
                        <v:fill on="f" focussize="0,0"/>
                        <v:stroke color="#000000" joinstyle="round" dashstyle="dash" endarrow="open"/>
                        <v:imagedata o:title=""/>
                        <o:lock v:ext="edit" aspectratio="f"/>
                      </v:line>
                      <v:shape id="文本框 201" o:spid="_x0000_s1026" o:spt="202" type="#_x0000_t202" style="position:absolute;left:2027555;top:1743710;height:254000;width:736600;"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R5yItkAAAAMAQAADwAAAAAAAAABACAAAAA4AAAAZHJzL2Rvd25yZXYueG1sUEsBAhQA&#10;FAAAAAgAh07iQN9csCWiAQAAFQMAAA4AAAAAAAAAAQAgAAAAPgEAAGRycy9lMm9Eb2MueG1sUEsF&#10;BgAAAAAGAAYAWQEAAFIFA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249.5</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shape id="文本框 202" o:spid="_x0000_s1026" o:spt="202" type="#_x0000_t202" style="position:absolute;left:2667000;top:1640206;height:304800;width:2070100;" fillcolor="#FFFFFF" filled="t" stroked="f" coordsize="21600,21600" o:gfxdata="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FFPdRHaAAAADAEAAA8AAAAAAAAAAQAgAAAAOAAAAGRy&#10;cy9kb3ducmV2LnhtbFBLAQIUABQAAAAIAIdO4kDA21uftAEAAD8DAAAOAAAAAAAAAAEAIAAAAD8B&#10;AABkcnMvZTJvRG9jLnhtbFBLBQYAAAAABgAGAFkBAABlBQAAAAA=&#10;">
                        <v:fill on="t" focussize="0,0"/>
                        <v:stroke on="f"/>
                        <v:imagedata o:title=""/>
                        <o:lock v:ext="edit" aspectratio="f"/>
                        <v:textbox>
                          <w:txbxContent>
                            <w:p>
                              <w:pPr>
                                <w:rPr>
                                  <w:sz w:val="21"/>
                                  <w:szCs w:val="21"/>
                                  <w:lang w:val="en-US"/>
                                </w:rPr>
                              </w:pPr>
                              <w:r>
                                <w:rPr>
                                  <w:rFonts w:hint="eastAsia"/>
                                  <w:sz w:val="21"/>
                                  <w:szCs w:val="21"/>
                                  <w:lang w:val="en-US"/>
                                </w:rPr>
                                <w:t>产品带走</w:t>
                              </w:r>
                            </w:p>
                          </w:txbxContent>
                        </v:textbox>
                      </v:shape>
                      <v:line id="直接连接符 203" o:spid="_x0000_s1026" o:spt="20" style="position:absolute;left:2370455;top:2508251;flip:y;height:241300;width:241300;" filled="f" stroked="t" coordsize="21600,21600" o:gfxdata="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0KVwzaAAAADAEAAA8AAAAAAAAAAQAgAAAAOAAA&#10;AGRycy9kb3ducmV2LnhtbFBLAQIUABQAAAAIAIdO4kDRsuEL8AEAAKsDAAAOAAAAAAAAAAEAIAAA&#10;AD8BAABkcnMvZTJvRG9jLnhtbFBLBQYAAAAABgAGAFkBAAChBQAAAAA=&#10;">
                        <v:fill on="f" focussize="0,0"/>
                        <v:stroke color="#000000" joinstyle="round" dashstyle="dash" endarrow="open"/>
                        <v:imagedata o:title=""/>
                        <o:lock v:ext="edit" aspectratio="f"/>
                      </v:line>
                      <v:line id="直接连接符 204" o:spid="_x0000_s1026" o:spt="20" style="position:absolute;left:3016251;top:2921001;height:0;width:558800;" filled="f" stroked="t" coordsize="21600,21600" o:gfxdata="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FxcJT3QAAAAwBAAAPAAAAAAAAAAEAIAAAADgAAABkcnMv&#10;ZG93bnJldi54bWxQSwECFAAUAAAACACHTuJAODcrMOgBAACaAwAADgAAAAAAAAABACAAAABCAQAA&#10;ZHJzL2Uyb0RvYy54bWxQSwUGAAAAAAYABgBZAQAAnAUAAAAA&#10;">
                        <v:fill on="f" focussize="0,0"/>
                        <v:stroke color="#000000" joinstyle="round" startarrow="open"/>
                        <v:imagedata o:title=""/>
                        <o:lock v:ext="edit" aspectratio="f"/>
                      </v:line>
                      <v:shape id="文本框 205" o:spid="_x0000_s1026" o:spt="202" type="#_x0000_t202" style="position:absolute;left:1936115;top:2772411;height:304800;width:1066800;" fillcolor="#FFFFFF" filled="t" stroked="t" coordsize="21600,21600" o:gfxdata="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4or6o9sAAAAMAQAA&#10;DwAAAAAAAAABACAAAAA4AAAAZHJzL2Rvd25yZXYueG1sUEsBAhQAFAAAAAgAh07iQEJsDsAAAgAA&#10;/gMAAA4AAAAAAAAAAQAgAAAAQAEAAGRycy9lMm9Eb2MueG1sUEsFBgAAAAAGAAYAWQEAALIFAAAA&#10;AA==&#10;">
                        <v:fill on="t" focussize="0,0"/>
                        <v:stroke color="#000000" joinstyle="miter"/>
                        <v:imagedata o:title=""/>
                        <o:lock v:ext="edit" aspectratio="f"/>
                        <v:textbox>
                          <w:txbxContent>
                            <w:p>
                              <w:pPr>
                                <w:jc w:val="center"/>
                                <w:rPr>
                                  <w:sz w:val="21"/>
                                  <w:szCs w:val="21"/>
                                  <w:lang w:val="en-US"/>
                                </w:rPr>
                              </w:pPr>
                              <w:r>
                                <w:rPr>
                                  <w:rFonts w:hint="eastAsia"/>
                                  <w:sz w:val="21"/>
                                  <w:szCs w:val="21"/>
                                  <w:lang w:val="en-US"/>
                                </w:rPr>
                                <w:t>车辆冲洗用水</w:t>
                              </w:r>
                            </w:p>
                          </w:txbxContent>
                        </v:textbox>
                      </v:shape>
                      <v:shape id="文本框 206" o:spid="_x0000_s1026" o:spt="202" type="#_x0000_t202" style="position:absolute;left:1354455;top:2645411;height:254000;width:736600;"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FEeciLZAAAADAEAAA8AAAAAAAAAAQAgAAAAOAAAAGRycy9kb3ducmV2LnhtbFBLAQIU&#10;ABQAAAAIAIdO4kC62s5NowEAABUDAAAOAAAAAAAAAAEAIAAAAD4BAABkcnMvZTJvRG9jLnhtbFBL&#10;BQYAAAAABgAGAFkBAABT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1.9</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line id="直接连接符 207" o:spid="_x0000_s1026" o:spt="20" style="position:absolute;left:1386205;top:2920366;height:0;width:558800;" filled="f" stroked="t" coordsize="21600,21600" o:gfxdata="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7GdaK3QAAAAwBAAAPAAAAAAAAAAEAIAAAADgAAABkcnMv&#10;ZG93bnJldi54bWxQSwECFAAUAAAACACHTuJAbuKQYegBAACaAwAADgAAAAAAAAABACAAAABCAQAA&#10;ZHJzL2Uyb0RvYy54bWxQSwUGAAAAAAYABgBZAQAAnAUAAAAA&#10;">
                        <v:fill on="f" focussize="0,0"/>
                        <v:stroke color="#000000" joinstyle="round" endarrow="open"/>
                        <v:imagedata o:title=""/>
                        <o:lock v:ext="edit" aspectratio="f"/>
                      </v:line>
                      <v:shape id="文本框 208" o:spid="_x0000_s1026" o:spt="202" type="#_x0000_t202" style="position:absolute;left:3576956;top:2773046;height:304800;width:1362710;" fillcolor="#FFFFFF" filled="t" stroked="t" coordsize="21600,21600" o:gfxdata="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iivqj2wAA&#10;AAwBAAAPAAAAAAAAAAEAIAAAADgAAABkcnMvZG93bnJldi54bWxQSwECFAAUAAAACACHTuJAJ3Lb&#10;HgUCAAD+AwAADgAAAAAAAAABACAAAABAAQAAZHJzL2Uyb0RvYy54bWxQSwUGAAAAAAYABgBZAQAA&#10;twUAAAAA&#10;">
                        <v:fill on="t" focussize="0,0"/>
                        <v:stroke color="#000000" joinstyle="miter"/>
                        <v:imagedata o:title=""/>
                        <o:lock v:ext="edit" aspectratio="f"/>
                        <v:textbox>
                          <w:txbxContent>
                            <w:p>
                              <w:pPr>
                                <w:jc w:val="center"/>
                                <w:rPr>
                                  <w:rFonts w:ascii="Times New Roman" w:hAnsi="Times New Roman" w:cs="Times New Roman"/>
                                  <w:sz w:val="21"/>
                                  <w:szCs w:val="21"/>
                                  <w:lang w:val="en-US"/>
                                </w:rPr>
                              </w:pPr>
                              <w:r>
                                <w:rPr>
                                  <w:rFonts w:ascii="Times New Roman" w:hAnsi="Times New Roman" w:cs="Times New Roman"/>
                                  <w:sz w:val="21"/>
                                  <w:szCs w:val="21"/>
                                  <w:lang w:val="en-US"/>
                                </w:rPr>
                                <w:t>沉淀池</w:t>
                              </w:r>
                            </w:p>
                          </w:txbxContent>
                        </v:textbox>
                      </v:shape>
                      <v:shape id="文本框 209" o:spid="_x0000_s1026" o:spt="202" type="#_x0000_t202" style="position:absolute;left:1957705;top:2476501;height:254000;width:736600;"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FEeciLZAAAADAEAAA8AAAAAAAAAAQAgAAAAOAAAAGRycy9kb3ducmV2LnhtbFBLAQIU&#10;ABQAAAAIAIdO4kD+zxaJowEAABUDAAAOAAAAAAAAAAEAIAAAAD4BAABkcnMvZTJvRG9jLnhtbFBL&#10;BQYAAAAABgAGAFkBAABT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1.9</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shape id="肘形连接符 210" o:spid="_x0000_s1026" o:spt="34" type="#_x0000_t34" style="position:absolute;left:3363575;top:2183110;flip:y;height:1788796;width:635;rotation:-5898240f;" filled="f" stroked="t" coordsize="21600,21600" o:gfxdata="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Ek6Gc2gAAAAwBAAAPAAAAAAAAAAEAIAAAADgAAABkcnMvZG93&#10;bnJldi54bWxQSwECFAAUAAAACACHTuJA9MTldSECAAD8AwAADgAAAAAAAAABACAAAAA/AQAAZHJz&#10;L2Uyb0RvYy54bWxQSwUGAAAAAAYABgBZAQAA0gUAAAAA&#10;" adj="6674400">
                        <v:fill on="f" focussize="0,0"/>
                        <v:stroke color="#000000" joinstyle="miter" endarrow="open"/>
                        <v:imagedata o:title=""/>
                        <o:lock v:ext="edit" aspectratio="f"/>
                      </v:shape>
                      <v:shape id="文本框 211" o:spid="_x0000_s1026" o:spt="202" type="#_x0000_t202" style="position:absolute;left:3003551;top:2646046;height:254000;width:736600;"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R5yItkAAAAMAQAADwAAAAAAAAABACAAAAA4AAAAZHJzL2Rvd25yZXYueG1sUEsBAhQA&#10;FAAAAAgAh07iQMxByImiAQAAFQMAAA4AAAAAAAAAAQAgAAAAPgEAAGRycy9lMm9Eb2MueG1sUEsF&#10;BgAAAAAGAAYAWQEAAFIFA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lang w:val="en-US"/>
                                </w:rPr>
                                <w:t>8.6</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shape id="文本框 212" o:spid="_x0000_s1026" o:spt="202" type="#_x0000_t202" style="position:absolute;left:3004821;top:2984501;height:254000;width:736600;"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R5yItkAAAAMAQAADwAAAAAAAAABACAAAAA4AAAAZHJzL2Rvd25yZXYueG1sUEsBAhQA&#10;FAAAAAgAh07iQMI2j7iiAQAAFQMAAA4AAAAAAAAAAQAgAAAAPgEAAGRycy9lMm9Eb2MueG1sUEsF&#10;BgAAAAAGAAYAWQEAAFIFA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lang w:val="en-US"/>
                                </w:rPr>
                                <w:t>8.6</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shape id="文本框 238" o:spid="_x0000_s1026" o:spt="202" type="#_x0000_t202" style="position:absolute;left:1925320;top:3798572;height:304800;width:1066800;" fillcolor="#FFFFFF" filled="t" stroked="t" coordsize="21600,21600" o:gfxdata="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iivqj2wAAAAwBAAAP&#10;AAAAAAAAAAEAIAAAADgAAABkcnMvZG93bnJldi54bWxQSwECFAAUAAAACACHTuJALrq8fP8BAAD+&#10;AwAADgAAAAAAAAABACAAAABAAQAAZHJzL2Uyb0RvYy54bWxQSwUGAAAAAAYABgBZAQAAsQUAAAAA&#10;">
                        <v:fill on="t" focussize="0,0"/>
                        <v:stroke color="#000000" joinstyle="miter"/>
                        <v:imagedata o:title=""/>
                        <o:lock v:ext="edit" aspectratio="f"/>
                        <v:textbox>
                          <w:txbxContent>
                            <w:p>
                              <w:pPr>
                                <w:jc w:val="center"/>
                                <w:rPr>
                                  <w:sz w:val="21"/>
                                  <w:szCs w:val="21"/>
                                  <w:lang w:val="en-US"/>
                                </w:rPr>
                              </w:pPr>
                              <w:r>
                                <w:rPr>
                                  <w:rFonts w:hint="eastAsia"/>
                                  <w:sz w:val="21"/>
                                  <w:szCs w:val="21"/>
                                  <w:lang w:val="en-US" w:eastAsia="zh-CN"/>
                                </w:rPr>
                                <w:t>设备清洗</w:t>
                              </w:r>
                              <w:r>
                                <w:rPr>
                                  <w:rFonts w:hint="eastAsia"/>
                                  <w:sz w:val="21"/>
                                  <w:szCs w:val="21"/>
                                  <w:lang w:val="en-US"/>
                                </w:rPr>
                                <w:t>用水</w:t>
                              </w:r>
                            </w:p>
                          </w:txbxContent>
                        </v:textbox>
                      </v:shape>
                      <v:shape id="文本框 240" o:spid="_x0000_s1026" o:spt="202" type="#_x0000_t202" style="position:absolute;left:1343660;top:3671571;height:254000;width:736600;"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UR5yItkAAAAMAQAADwAAAAAAAAABACAAAAA4AAAAZHJzL2Rvd25yZXYueG1sUEsBAhQAFAAA&#10;AAgAh07iQPWUocGfAQAAFQMAAA4AAAAAAAAAAQAgAAAAPgEAAGRycy9lMm9Eb2MueG1sUEsFBgAA&#10;AAAGAAYAWQEAAE8FA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w:t>
                              </w:r>
                              <w:r>
                                <w:rPr>
                                  <w:rFonts w:hint="eastAsia" w:ascii="Times New Roman" w:hAnsi="Times New Roman" w:cs="Times New Roman"/>
                                  <w:sz w:val="21"/>
                                  <w:szCs w:val="21"/>
                                  <w:lang w:val="en-US" w:eastAsia="zh-CN"/>
                                </w:rPr>
                                <w:t>7</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line id="直接连接符 241" o:spid="_x0000_s1026" o:spt="20" style="position:absolute;left:1375410;top:3946527;height:0;width:558800;" filled="f" stroked="t" coordsize="21600,21600" o:gfxdata="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xnWit0AAAAMAQAADwAAAAAAAAABACAAAAA4AAAAZHJz&#10;L2Rvd25yZXYueG1sUEsBAhQAFAAAAAgAh07iQFptl3zpAQAAmgMAAA4AAAAAAAAAAQAgAAAAQgEA&#10;AGRycy9lMm9Eb2MueG1sUEsFBgAAAAAGAAYAWQEAAJ0FAAAAAA==&#10;">
                        <v:fill on="f" focussize="0,0"/>
                        <v:stroke color="#000000" joinstyle="round" endarrow="open"/>
                        <v:imagedata o:title=""/>
                        <o:lock v:ext="edit" aspectratio="f"/>
                      </v:line>
                      <v:shape id="文本框 246" o:spid="_x0000_s1026" o:spt="202" type="#_x0000_t202" style="position:absolute;left:3566161;top:3799207;height:304800;width:1384300;" fillcolor="#FFFFFF" filled="t" stroked="t" coordsize="21600,21600" o:gfxdata="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OKK+qPbAAAADAEA&#10;AA8AAAAAAAAAAQAgAAAAOAAAAGRycy9kb3ducmV2LnhtbFBLAQIUABQAAAAIAIdO4kDSzV07AQIA&#10;AP4DAAAOAAAAAAAAAAEAIAAAAEABAABkcnMvZTJvRG9jLnhtbFBLBQYAAAAABgAGAFkBAACzBQAA&#10;AAA=&#10;">
                        <v:fill on="t" focussize="0,0"/>
                        <v:stroke color="#000000" joinstyle="miter"/>
                        <v:imagedata o:title=""/>
                        <o:lock v:ext="edit" aspectratio="f"/>
                        <v:textbox>
                          <w:txbxContent>
                            <w:p>
                              <w:pPr>
                                <w:jc w:val="center"/>
                                <w:rPr>
                                  <w:sz w:val="21"/>
                                  <w:szCs w:val="21"/>
                                  <w:lang w:val="en-US"/>
                                </w:rPr>
                              </w:pPr>
                              <w:r>
                                <w:rPr>
                                  <w:rFonts w:hint="eastAsia"/>
                                  <w:sz w:val="21"/>
                                  <w:szCs w:val="21"/>
                                  <w:lang w:val="en-US"/>
                                </w:rPr>
                                <w:t>沉淀池</w:t>
                              </w:r>
                            </w:p>
                          </w:txbxContent>
                        </v:textbox>
                      </v:shape>
                      <v:shape id="文本框 247" o:spid="_x0000_s1026" o:spt="202" type="#_x0000_t202" style="position:absolute;left:1946910;top:3502661;height:254000;width:736600;"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R5yItkAAAAMAQAADwAAAAAAAAABACAAAAA4AAAAZHJzL2Rvd25yZXYueG1sUEsBAhQA&#10;FAAAAAgAh07iQLYUsp6iAQAAFQMAAA4AAAAAAAAAAQAgAAAAPgEAAGRycy9lMm9Eb2MueG1sUEsF&#10;BgAAAAAGAAYAWQEAAFIFA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rPr>
                                <w:t>1.</w:t>
                              </w:r>
                              <w:r>
                                <w:rPr>
                                  <w:rFonts w:hint="eastAsia" w:ascii="Times New Roman" w:hAnsi="Times New Roman" w:cs="Times New Roman"/>
                                  <w:sz w:val="21"/>
                                  <w:szCs w:val="21"/>
                                  <w:lang w:val="en-US" w:eastAsia="zh-CN"/>
                                </w:rPr>
                                <w:t>7</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shape id="肘形连接符 248" o:spid="_x0000_s1026" o:spt="34" type="#_x0000_t34" style="position:absolute;left:3358495;top:3203555;flip:y;height:1799591;width:3175;rotation:-5898240f;" filled="f" stroked="t" coordsize="21600,21600" o:gfxdata="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RvVd+2QAAAAwBAAAPAAAAAAAAAAEAIAAAADgAAABkcnMvZG93&#10;bnJldi54bWxQSwECFAAUAAAACACHTuJAdaxDsSICAAD8AwAADgAAAAAAAAABACAAAAA+AQAAZHJz&#10;L2Uyb0RvYy54bWxQSwUGAAAAAAYABgBZAQAA0gUAAAAA&#10;" adj="1270080">
                        <v:fill on="f" focussize="0,0"/>
                        <v:stroke color="#000000" joinstyle="miter" endarrow="open"/>
                        <v:imagedata o:title=""/>
                        <o:lock v:ext="edit" aspectratio="f"/>
                      </v:shape>
                      <v:shape id="文本框 249" o:spid="_x0000_s1026" o:spt="202" type="#_x0000_t202" style="position:absolute;left:2992756;top:3672206;height:254000;width:736600;"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FEeciLZAAAADAEAAA8AAAAAAAAAAQAgAAAAOAAAAGRycy9kb3ducmV2LnhtbFBLAQIU&#10;ABQAAAAIAIdO4kAntmuTowEAABUDAAAOAAAAAAAAAAEAIAAAAD4BAABkcnMvZTJvRG9jLnhtbFBL&#10;BQYAAAAABgAGAFkBAABTBQ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eastAsia="zh-CN"/>
                                </w:rPr>
                                <w:t>5.3</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shape id="文本框 250" o:spid="_x0000_s1026" o:spt="202" type="#_x0000_t202" style="position:absolute;left:2994026;top:4010662;height:254000;width:736600;" filled="f" stroked="f" coordsize="21600,21600" o:gfxdata="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R5yItkAAAAMAQAADwAAAAAAAAABACAAAAA4AAAAZHJzL2Rvd25yZXYueG1sUEsBAhQA&#10;FAAAAAgAh07iQDawr22iAQAAFQMAAA4AAAAAAAAAAQAgAAAAPgEAAGRycy9lMm9Eb2MueG1sUEsF&#10;BgAAAAAGAAYAWQEAAFIFAAAAAA==&#10;">
                        <v:fill on="f" focussize="0,0"/>
                        <v:stroke on="f"/>
                        <v:imagedata o:title=""/>
                        <o:lock v:ext="edit" aspectratio="f"/>
                        <v:textbox>
                          <w:txbxContent>
                            <w:p>
                              <w:pPr>
                                <w:rPr>
                                  <w:rFonts w:ascii="Times New Roman" w:hAnsi="Times New Roman" w:cs="Times New Roman"/>
                                  <w:sz w:val="21"/>
                                  <w:szCs w:val="21"/>
                                  <w:lang w:val="en-US"/>
                                </w:rPr>
                              </w:pPr>
                              <w:r>
                                <w:rPr>
                                  <w:rFonts w:hint="eastAsia" w:ascii="Times New Roman" w:hAnsi="Times New Roman" w:cs="Times New Roman"/>
                                  <w:sz w:val="21"/>
                                  <w:szCs w:val="21"/>
                                  <w:lang w:val="en-US" w:eastAsia="zh-CN"/>
                                </w:rPr>
                                <w:t>5.3</w:t>
                              </w:r>
                              <w:r>
                                <w:rPr>
                                  <w:rFonts w:ascii="Times New Roman" w:hAnsi="Times New Roman" w:cs="Times New Roman"/>
                                  <w:lang w:val="en-US"/>
                                </w:rPr>
                                <w:t>m</w:t>
                              </w:r>
                              <w:r>
                                <w:rPr>
                                  <w:rFonts w:ascii="Times New Roman" w:hAnsi="Times New Roman" w:cs="Times New Roman"/>
                                  <w:vertAlign w:val="superscript"/>
                                  <w:lang w:val="en-US"/>
                                </w:rPr>
                                <w:t>3</w:t>
                              </w:r>
                              <w:r>
                                <w:rPr>
                                  <w:rFonts w:ascii="Times New Roman" w:hAnsi="Times New Roman" w:cs="Times New Roman"/>
                                  <w:lang w:val="en-US"/>
                                </w:rPr>
                                <w:t>/d</w:t>
                              </w:r>
                            </w:p>
                          </w:txbxContent>
                        </v:textbox>
                      </v:shape>
                      <v:line id="直接连接符 253" o:spid="_x0000_s1026" o:spt="20" style="position:absolute;left:2370455;top:3556001;flip:y;height:241300;width:241300;" filled="f" stroked="t" coordsize="21600,21600" o:gfxdata="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0KVwzaAAAADAEAAA8AAAAAAAAAAQAgAAAAOAAA&#10;AGRycy9kb3ducmV2LnhtbFBLAQIUABQAAAAIAIdO4kCuG92F8AEAAKsDAAAOAAAAAAAAAAEAIAAA&#10;AD8BAABkcnMvZTJvRG9jLnhtbFBLBQYAAAAABgAGAFkBAAChBQAAAAA=&#10;">
                        <v:fill on="f" focussize="0,0"/>
                        <v:stroke color="#000000" joinstyle="round" dashstyle="dash" endarrow="open"/>
                        <v:imagedata o:title=""/>
                        <o:lock v:ext="edit" aspectratio="f"/>
                      </v:line>
                      <v:shape id="文本框 255" o:spid="_x0000_s1026" o:spt="202" type="#_x0000_t202" style="position:absolute;left:1447800;top:4559300;height:285750;width:3630295;" fillcolor="#FFFFFF" filled="t" stroked="f" coordsize="21600,21600" o:gfxdata="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RT3UR2gAAAAwBAAAPAAAAAAAAAAEAIAAA&#10;ADgAAABkcnMvZG93bnJldi54bWxQSwECFAAUAAAACACHTuJAJM4c5LsBAAA/AwAADgAAAAAAAAAB&#10;ACAAAAA/AQAAZHJzL2Uyb0RvYy54bWxQSwUGAAAAAAYABgBZAQAAbAUAAAAA&#10;">
                        <v:fill on="t" focussize="0,0"/>
                        <v:stroke on="f"/>
                        <v:imagedata o:title=""/>
                        <o:lock v:ext="edit" aspectratio="f"/>
                        <v:textbox>
                          <w:txbxContent>
                            <w:p>
                              <w:pPr>
                                <w:rPr>
                                  <w:rFonts w:ascii="Times New Roman" w:hAnsi="Times New Roman" w:cs="Times New Roman"/>
                                  <w:sz w:val="21"/>
                                  <w:szCs w:val="21"/>
                                </w:rPr>
                              </w:pPr>
                              <w:r>
                                <w:rPr>
                                  <w:rFonts w:ascii="Times New Roman" w:hAnsi="Times New Roman" w:cs="Times New Roman"/>
                                  <w:b/>
                                  <w:sz w:val="21"/>
                                  <w:szCs w:val="21"/>
                                </w:rPr>
                                <w:t>图</w:t>
                              </w:r>
                              <w:r>
                                <w:rPr>
                                  <w:rFonts w:hint="eastAsia" w:ascii="Times New Roman" w:hAnsi="Times New Roman" w:cs="Times New Roman"/>
                                  <w:b/>
                                  <w:sz w:val="21"/>
                                  <w:szCs w:val="21"/>
                                  <w:lang w:val="en-US"/>
                                </w:rPr>
                                <w:t>2.</w:t>
                              </w:r>
                              <w:r>
                                <w:rPr>
                                  <w:rFonts w:ascii="Times New Roman" w:hAnsi="Times New Roman" w:cs="Times New Roman"/>
                                  <w:b/>
                                  <w:sz w:val="21"/>
                                  <w:szCs w:val="21"/>
                                </w:rPr>
                                <w:t>1    项目</w:t>
                              </w:r>
                              <w:r>
                                <w:rPr>
                                  <w:rFonts w:hint="eastAsia" w:ascii="Times New Roman" w:hAnsi="Times New Roman" w:cs="Times New Roman"/>
                                  <w:b/>
                                  <w:sz w:val="21"/>
                                  <w:szCs w:val="21"/>
                                </w:rPr>
                                <w:t>扩建后全厂</w:t>
                              </w:r>
                              <w:r>
                                <w:rPr>
                                  <w:rFonts w:ascii="Times New Roman" w:hAnsi="Times New Roman" w:cs="Times New Roman"/>
                                  <w:b/>
                                  <w:sz w:val="21"/>
                                  <w:szCs w:val="21"/>
                                </w:rPr>
                                <w:t xml:space="preserve">水平衡图   </w:t>
                              </w:r>
                            </w:p>
                          </w:txbxContent>
                        </v:textbox>
                      </v:shape>
                      <v:shape id="直接箭头连接符 258" o:spid="_x0000_s1026" o:spt="32" type="#_x0000_t32" style="position:absolute;left:3008630;top:3961131;flip:x;height:0;width:558800;" filled="f" stroked="t" coordsize="21600,21600" o:gfxdata="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DPd5B2wAAAAwB&#10;AAAPAAAAAAAAAAEAIAAAADgAAABkcnMvZG93bnJldi54bWxQSwECFAAUAAAACACHTuJAF6/WzgIC&#10;AAC7AwAADgAAAAAAAAABACAAAABAAQAAZHJzL2Uyb0RvYy54bWxQSwUGAAAAAAYABgBZAQAAtAUA&#10;AAAA&#10;">
                        <v:fill on="f" focussize="0,0"/>
                        <v:stroke color="#000000" joinstyle="round" endarrow="open"/>
                        <v:imagedata o:title=""/>
                        <o:lock v:ext="edit" aspectratio="f"/>
                      </v:shape>
                      <w10:wrap type="topAndBottom"/>
                    </v:group>
                  </w:pict>
                </mc:Fallback>
              </mc:AlternateContent>
            </w:r>
            <w:r>
              <w:rPr>
                <w:rFonts w:hint="eastAsia" w:cs="Times New Roman"/>
                <w:color w:val="auto"/>
                <w:sz w:val="21"/>
                <w:szCs w:val="21"/>
                <w:lang w:val="en-US"/>
              </w:rPr>
              <w:t>综上</w:t>
            </w:r>
            <w:r>
              <w:rPr>
                <w:rFonts w:ascii="Times New Roman" w:hAnsi="Times New Roman" w:cs="Times New Roman"/>
                <w:color w:val="auto"/>
                <w:sz w:val="21"/>
                <w:szCs w:val="21"/>
                <w:lang w:val="en-US"/>
              </w:rPr>
              <w:t>，项目给排水平衡。</w:t>
            </w:r>
            <w:r>
              <w:rPr>
                <w:rFonts w:hint="eastAsia" w:cs="Times New Roman"/>
                <w:color w:val="auto"/>
                <w:sz w:val="21"/>
                <w:szCs w:val="21"/>
                <w:lang w:val="en-US"/>
              </w:rPr>
              <w:t>项目用水由</w:t>
            </w:r>
            <w:r>
              <w:rPr>
                <w:rFonts w:hint="eastAsia" w:ascii="Times New Roman" w:hAnsi="Times New Roman"/>
                <w:color w:val="auto"/>
                <w:sz w:val="21"/>
                <w:szCs w:val="20"/>
              </w:rPr>
              <w:t>王庄</w:t>
            </w:r>
            <w:r>
              <w:rPr>
                <w:rFonts w:hint="eastAsia"/>
                <w:color w:val="auto"/>
                <w:sz w:val="21"/>
                <w:szCs w:val="21"/>
                <w:lang w:bidi="ar"/>
              </w:rPr>
              <w:t>村</w:t>
            </w:r>
            <w:r>
              <w:rPr>
                <w:color w:val="auto"/>
                <w:sz w:val="21"/>
                <w:szCs w:val="21"/>
                <w:lang w:bidi="ar"/>
              </w:rPr>
              <w:t>供</w:t>
            </w:r>
            <w:r>
              <w:rPr>
                <w:rFonts w:hint="eastAsia"/>
                <w:color w:val="auto"/>
                <w:sz w:val="21"/>
                <w:szCs w:val="21"/>
                <w:lang w:bidi="ar"/>
              </w:rPr>
              <w:t>水管网提供，管网已铺设到位。</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rPr>
              <w:t>供电</w:t>
            </w:r>
          </w:p>
          <w:p>
            <w:pPr>
              <w:pStyle w:val="43"/>
              <w:autoSpaceDE/>
              <w:autoSpaceDN/>
              <w:adjustRightInd/>
              <w:snapToGrid/>
              <w:spacing w:line="400" w:lineRule="exact"/>
              <w:ind w:left="110" w:leftChars="50" w:firstLine="420"/>
              <w:rPr>
                <w:rFonts w:ascii="Times New Roman" w:hAnsi="Times New Roman" w:cs="Times New Roman"/>
                <w:color w:val="auto"/>
                <w:sz w:val="21"/>
                <w:szCs w:val="21"/>
              </w:rPr>
            </w:pPr>
            <w:r>
              <w:rPr>
                <w:rFonts w:hint="eastAsia" w:ascii="Times New Roman" w:hAnsi="Times New Roman" w:cs="Times New Roman"/>
                <w:color w:val="auto"/>
                <w:sz w:val="21"/>
                <w:szCs w:val="21"/>
              </w:rPr>
              <w:t>项目用电</w:t>
            </w:r>
            <w:r>
              <w:rPr>
                <w:color w:val="auto"/>
                <w:sz w:val="21"/>
                <w:szCs w:val="21"/>
                <w:lang w:bidi="ar"/>
              </w:rPr>
              <w:t>由</w:t>
            </w:r>
            <w:r>
              <w:rPr>
                <w:rFonts w:hint="eastAsia" w:ascii="Times New Roman" w:hAnsi="Times New Roman"/>
                <w:color w:val="auto"/>
                <w:sz w:val="21"/>
                <w:szCs w:val="20"/>
              </w:rPr>
              <w:t>王庄</w:t>
            </w:r>
            <w:r>
              <w:rPr>
                <w:rFonts w:hint="eastAsia"/>
                <w:color w:val="auto"/>
                <w:sz w:val="21"/>
                <w:szCs w:val="21"/>
                <w:lang w:bidi="ar"/>
              </w:rPr>
              <w:t>村</w:t>
            </w:r>
            <w:r>
              <w:rPr>
                <w:color w:val="auto"/>
                <w:sz w:val="21"/>
                <w:szCs w:val="21"/>
                <w:lang w:bidi="ar"/>
              </w:rPr>
              <w:t>供电电网供电</w:t>
            </w:r>
            <w:r>
              <w:rPr>
                <w:rFonts w:hint="eastAsia"/>
                <w:color w:val="auto"/>
                <w:sz w:val="21"/>
                <w:szCs w:val="21"/>
                <w:lang w:bidi="ar"/>
              </w:rPr>
              <w:t>，利用现有变压器可以满足本项目用电要求</w:t>
            </w:r>
            <w:r>
              <w:rPr>
                <w:rFonts w:ascii="Times New Roman" w:hAnsi="Times New Roman" w:cs="Times New Roman"/>
                <w:color w:val="auto"/>
                <w:sz w:val="21"/>
                <w:szCs w:val="21"/>
              </w:rPr>
              <w:t>，年用电量</w:t>
            </w:r>
            <w:r>
              <w:rPr>
                <w:rFonts w:hint="eastAsia" w:ascii="Times New Roman" w:hAnsi="Times New Roman" w:cs="Times New Roman"/>
                <w:color w:val="auto"/>
                <w:sz w:val="21"/>
                <w:szCs w:val="21"/>
              </w:rPr>
              <w:t>40</w:t>
            </w:r>
            <w:r>
              <w:rPr>
                <w:rFonts w:ascii="Times New Roman" w:hAnsi="Times New Roman" w:cs="Times New Roman"/>
                <w:color w:val="auto"/>
                <w:sz w:val="21"/>
                <w:szCs w:val="21"/>
              </w:rPr>
              <w:t>万kWh。</w:t>
            </w:r>
          </w:p>
          <w:p>
            <w:pPr>
              <w:pStyle w:val="52"/>
              <w:spacing w:line="400" w:lineRule="exact"/>
              <w:ind w:left="110" w:leftChars="50" w:firstLine="421" w:firstLineChars="200"/>
              <w:rPr>
                <w:rFonts w:ascii="Times New Roman" w:hAnsi="Times New Roman" w:cs="Times New Roman"/>
                <w:b/>
                <w:bCs/>
                <w:color w:val="auto"/>
                <w:sz w:val="21"/>
              </w:rPr>
            </w:pPr>
            <w:r>
              <w:rPr>
                <w:rFonts w:hint="eastAsia" w:ascii="Times New Roman" w:hAnsi="Times New Roman" w:cs="Times New Roman"/>
                <w:b/>
                <w:bCs/>
                <w:color w:val="auto"/>
                <w:sz w:val="21"/>
                <w:lang w:val="en-US" w:eastAsia="zh-CN"/>
              </w:rPr>
              <w:t>3、</w:t>
            </w:r>
            <w:r>
              <w:rPr>
                <w:rFonts w:ascii="Times New Roman" w:hAnsi="Times New Roman" w:cs="Times New Roman"/>
                <w:b/>
                <w:bCs/>
                <w:color w:val="auto"/>
                <w:sz w:val="21"/>
              </w:rPr>
              <w:t>制冷、供热</w:t>
            </w:r>
          </w:p>
          <w:p>
            <w:pPr>
              <w:pStyle w:val="52"/>
              <w:spacing w:line="400" w:lineRule="exact"/>
              <w:ind w:left="110" w:leftChars="50" w:firstLine="420" w:firstLineChars="200"/>
              <w:rPr>
                <w:rFonts w:ascii="Times New Roman" w:hAnsi="Times New Roman" w:cs="Times New Roman"/>
                <w:color w:val="auto"/>
                <w:sz w:val="21"/>
                <w:lang w:val="en-US"/>
              </w:rPr>
            </w:pPr>
            <w:r>
              <w:rPr>
                <w:rFonts w:ascii="Times New Roman" w:hAnsi="Times New Roman" w:cs="Times New Roman"/>
                <w:color w:val="auto"/>
                <w:sz w:val="21"/>
                <w:szCs w:val="21"/>
                <w:lang w:val="en-US"/>
              </w:rPr>
              <w:t>本项目办公冬季采暖及夏季制冷由分体空调提供</w:t>
            </w:r>
            <w:r>
              <w:rPr>
                <w:rFonts w:hint="eastAsia" w:ascii="Times New Roman" w:hAnsi="Times New Roman" w:cs="Times New Roman"/>
                <w:color w:val="auto"/>
                <w:sz w:val="21"/>
                <w:szCs w:val="21"/>
                <w:lang w:val="en-US"/>
              </w:rPr>
              <w:t>。</w:t>
            </w:r>
          </w:p>
          <w:p>
            <w:pPr>
              <w:spacing w:line="400" w:lineRule="exact"/>
              <w:ind w:left="110" w:leftChars="50" w:firstLine="421" w:firstLineChars="200"/>
              <w:rPr>
                <w:rFonts w:ascii="Times New Roman" w:hAnsi="Times New Roman" w:cs="Times New Roman"/>
                <w:b/>
                <w:bCs/>
                <w:color w:val="auto"/>
                <w:lang w:val="en-US"/>
              </w:rPr>
            </w:pPr>
            <w:r>
              <w:rPr>
                <w:rFonts w:hint="eastAsia" w:ascii="Times New Roman" w:hAnsi="Times New Roman" w:cs="Times New Roman"/>
                <w:b/>
                <w:bCs/>
                <w:color w:val="auto"/>
                <w:sz w:val="21"/>
                <w:lang w:val="en-US"/>
              </w:rPr>
              <w:t>四</w:t>
            </w:r>
            <w:r>
              <w:rPr>
                <w:rFonts w:ascii="Times New Roman" w:hAnsi="Times New Roman" w:cs="Times New Roman"/>
                <w:b/>
                <w:bCs/>
                <w:color w:val="auto"/>
                <w:sz w:val="21"/>
                <w:lang w:val="en-US"/>
              </w:rPr>
              <w:t>、</w:t>
            </w:r>
            <w:r>
              <w:rPr>
                <w:rFonts w:ascii="Times New Roman" w:hAnsi="Times New Roman" w:cs="Times New Roman"/>
                <w:b/>
                <w:bCs/>
                <w:color w:val="auto"/>
                <w:sz w:val="21"/>
                <w:szCs w:val="21"/>
                <w:lang w:val="en-US"/>
              </w:rPr>
              <w:t>厂区平面布局</w:t>
            </w:r>
          </w:p>
          <w:p>
            <w:pPr>
              <w:widowControl/>
              <w:autoSpaceDE/>
              <w:autoSpaceDN/>
              <w:spacing w:line="400" w:lineRule="exact"/>
              <w:ind w:left="110" w:leftChars="50" w:firstLine="420" w:firstLineChars="200"/>
              <w:rPr>
                <w:rFonts w:ascii="Times New Roman" w:hAnsi="Times New Roman" w:cs="Times New Roman"/>
                <w:b/>
                <w:color w:val="auto"/>
                <w:sz w:val="21"/>
                <w:szCs w:val="21"/>
                <w:lang w:val="en-US"/>
              </w:rPr>
            </w:pPr>
            <w:r>
              <w:rPr>
                <w:rFonts w:ascii="Times New Roman" w:hAnsi="Times New Roman" w:cs="Times New Roman"/>
                <w:color w:val="auto"/>
                <w:kern w:val="44"/>
                <w:sz w:val="21"/>
                <w:szCs w:val="21"/>
              </w:rPr>
              <w:t>根据《工业企业总平面设计规范》（</w:t>
            </w:r>
            <w:r>
              <w:rPr>
                <w:rFonts w:ascii="Times New Roman" w:hAnsi="Times New Roman" w:cs="Times New Roman"/>
                <w:color w:val="auto"/>
                <w:kern w:val="44"/>
                <w:sz w:val="21"/>
                <w:szCs w:val="21"/>
                <w:lang w:val="en-US"/>
              </w:rPr>
              <w:t>GB50187-2012</w:t>
            </w:r>
            <w:r>
              <w:rPr>
                <w:rFonts w:ascii="Times New Roman" w:hAnsi="Times New Roman" w:cs="Times New Roman"/>
                <w:color w:val="auto"/>
                <w:kern w:val="44"/>
                <w:sz w:val="21"/>
                <w:szCs w:val="21"/>
              </w:rPr>
              <w:t>）的相关规定，按照“合理分区，物流便捷，突出环保，和谐统一”的原则，结合场地的用地条件及生产工艺，综合考虑了生产、环保、绿化、劳动卫生要求，对厂区进行了统筹安排。</w:t>
            </w:r>
          </w:p>
          <w:p>
            <w:pPr>
              <w:widowControl/>
              <w:autoSpaceDE/>
              <w:autoSpaceDN/>
              <w:spacing w:line="400" w:lineRule="exact"/>
              <w:ind w:left="110" w:leftChars="50" w:firstLine="420" w:firstLineChars="200"/>
              <w:rPr>
                <w:rFonts w:ascii="Times New Roman" w:hAnsi="Times New Roman" w:cs="Times New Roman"/>
                <w:bCs/>
                <w:color w:val="auto"/>
                <w:sz w:val="21"/>
                <w:szCs w:val="21"/>
                <w:lang w:val="en-US"/>
              </w:rPr>
            </w:pPr>
            <w:r>
              <w:rPr>
                <w:rFonts w:hint="eastAsia" w:ascii="Times New Roman" w:hAnsi="Times New Roman" w:cs="Times New Roman"/>
                <w:bCs/>
                <w:color w:val="auto"/>
                <w:sz w:val="21"/>
                <w:szCs w:val="21"/>
                <w:lang w:val="en-US"/>
              </w:rPr>
              <w:t>项目紧邻混凝土生产线，位于其东侧，</w:t>
            </w:r>
            <w:r>
              <w:rPr>
                <w:rFonts w:hint="eastAsia" w:ascii="Times New Roman" w:hAnsi="Times New Roman" w:cs="Times New Roman"/>
                <w:color w:val="auto"/>
                <w:sz w:val="21"/>
                <w:szCs w:val="21"/>
                <w:lang w:val="en-US"/>
              </w:rPr>
              <w:t>原料料场</w:t>
            </w:r>
            <w:r>
              <w:rPr>
                <w:rFonts w:hint="eastAsia" w:ascii="Times New Roman" w:hAnsi="Times New Roman" w:cs="Times New Roman"/>
                <w:bCs/>
                <w:color w:val="auto"/>
                <w:sz w:val="21"/>
                <w:szCs w:val="21"/>
                <w:lang w:val="en-US"/>
              </w:rPr>
              <w:t>位于项目占地南侧，搅拌楼位于料场北侧，</w:t>
            </w:r>
            <w:r>
              <w:rPr>
                <w:rFonts w:ascii="Times New Roman" w:hAnsi="Times New Roman" w:cs="Times New Roman"/>
                <w:color w:val="auto"/>
                <w:sz w:val="21"/>
                <w:szCs w:val="21"/>
                <w:lang w:val="en-US" w:bidi="ar-SA"/>
              </w:rPr>
              <w:t>项目职工出入、原料和成品运输出入口位于</w:t>
            </w:r>
            <w:r>
              <w:rPr>
                <w:rFonts w:hint="eastAsia" w:ascii="Times New Roman" w:hAnsi="Times New Roman" w:cs="Times New Roman"/>
                <w:color w:val="auto"/>
                <w:sz w:val="21"/>
                <w:szCs w:val="21"/>
                <w:lang w:val="en-US" w:bidi="ar-SA"/>
              </w:rPr>
              <w:t>厂区西南侧</w:t>
            </w:r>
            <w:r>
              <w:rPr>
                <w:rFonts w:hint="eastAsia" w:ascii="Times New Roman" w:hAnsi="Times New Roman" w:cs="Times New Roman"/>
                <w:bCs/>
                <w:color w:val="auto"/>
                <w:sz w:val="21"/>
                <w:szCs w:val="21"/>
                <w:lang w:val="en-US"/>
              </w:rPr>
              <w:t>。</w:t>
            </w:r>
          </w:p>
          <w:p>
            <w:pPr>
              <w:widowControl/>
              <w:autoSpaceDE/>
              <w:autoSpaceDN/>
              <w:spacing w:line="400" w:lineRule="exact"/>
              <w:ind w:left="110" w:leftChars="50" w:firstLine="420" w:firstLineChars="200"/>
              <w:rPr>
                <w:color w:val="auto"/>
                <w:lang w:val="en-US"/>
              </w:rPr>
            </w:pPr>
            <w:r>
              <w:rPr>
                <w:rFonts w:ascii="Times New Roman" w:hAnsi="Times New Roman" w:cs="Times New Roman"/>
                <w:bCs/>
                <w:color w:val="auto"/>
                <w:sz w:val="21"/>
                <w:szCs w:val="21"/>
                <w:lang w:val="en-US"/>
              </w:rPr>
              <w:t>本项目</w:t>
            </w:r>
            <w:r>
              <w:rPr>
                <w:rFonts w:ascii="Times New Roman" w:hAnsi="Times New Roman" w:cs="Times New Roman"/>
                <w:color w:val="auto"/>
                <w:kern w:val="44"/>
                <w:sz w:val="21"/>
                <w:szCs w:val="21"/>
              </w:rPr>
              <w:t>工艺分区清晰，工艺流程顺畅。平面布置图使原材料和成品运输线路短捷，提高了产品的生产效率，总体看，厂区内各功能区布设便于生产的开展，符合</w:t>
            </w:r>
            <w:r>
              <w:rPr>
                <w:rFonts w:ascii="Times New Roman" w:hAnsi="Times New Roman" w:cs="Times New Roman"/>
                <w:color w:val="auto"/>
                <w:kern w:val="44"/>
                <w:sz w:val="21"/>
                <w:szCs w:val="21"/>
                <w:lang w:val="en-US"/>
              </w:rPr>
              <w:t>规范</w:t>
            </w:r>
            <w:r>
              <w:rPr>
                <w:rFonts w:ascii="Times New Roman" w:hAnsi="Times New Roman" w:cs="Times New Roman"/>
                <w:color w:val="auto"/>
                <w:kern w:val="44"/>
                <w:sz w:val="21"/>
                <w:szCs w:val="21"/>
              </w:rPr>
              <w:t>要求</w:t>
            </w:r>
            <w:r>
              <w:rPr>
                <w:rFonts w:hint="eastAsia" w:ascii="Times New Roman" w:hAnsi="Times New Roman" w:cs="Times New Roman"/>
                <w:color w:val="auto"/>
                <w:kern w:val="44"/>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09" w:hRule="atLeast"/>
          <w:jc w:val="center"/>
        </w:trPr>
        <w:tc>
          <w:tcPr>
            <w:tcW w:w="446" w:type="dxa"/>
            <w:tcBorders>
              <w:top w:val="single" w:color="000000" w:sz="4" w:space="0"/>
              <w:bottom w:val="single" w:color="000000" w:sz="4" w:space="0"/>
              <w:right w:val="single" w:color="000000" w:sz="4" w:space="0"/>
            </w:tcBorders>
            <w:vAlign w:val="center"/>
          </w:tcPr>
          <w:p>
            <w:pPr>
              <w:pStyle w:val="52"/>
              <w:spacing w:line="243" w:lineRule="auto"/>
              <w:ind w:left="110" w:leftChars="50" w:right="110" w:rightChars="50"/>
              <w:jc w:val="center"/>
              <w:rPr>
                <w:rFonts w:ascii="Times New Roman" w:hAnsi="Times New Roman" w:cs="Times New Roman"/>
                <w:color w:val="auto"/>
                <w:sz w:val="21"/>
              </w:rPr>
            </w:pPr>
            <w:r>
              <w:rPr>
                <w:rFonts w:ascii="Times New Roman" w:hAnsi="Times New Roman" w:cs="Times New Roman"/>
                <w:b/>
                <w:bCs/>
                <w:color w:val="auto"/>
                <w:sz w:val="21"/>
              </w:rPr>
              <w:t>工艺流程和产排污环节</w:t>
            </w:r>
          </w:p>
        </w:tc>
        <w:tc>
          <w:tcPr>
            <w:tcW w:w="9105" w:type="dxa"/>
            <w:tcBorders>
              <w:top w:val="single" w:color="000000" w:sz="4" w:space="0"/>
              <w:left w:val="single" w:color="000000" w:sz="4" w:space="0"/>
              <w:bottom w:val="single" w:color="000000" w:sz="4" w:space="0"/>
            </w:tcBorders>
          </w:tcPr>
          <w:p>
            <w:pPr>
              <w:autoSpaceDE/>
              <w:autoSpaceDN/>
              <w:spacing w:line="440" w:lineRule="exact"/>
              <w:ind w:left="110" w:leftChars="50" w:firstLine="421" w:firstLineChars="200"/>
              <w:outlineLvl w:val="1"/>
              <w:rPr>
                <w:rFonts w:ascii="Times New Roman" w:hAnsi="Times New Roman" w:cs="Times New Roman"/>
                <w:color w:val="auto"/>
                <w:sz w:val="21"/>
                <w:szCs w:val="21"/>
              </w:rPr>
            </w:pPr>
            <w:r>
              <w:rPr>
                <w:rFonts w:ascii="Times New Roman" w:hAnsi="Times New Roman" w:cs="Times New Roman"/>
                <w:b/>
                <w:bCs/>
                <w:color w:val="auto"/>
                <w:sz w:val="21"/>
                <w:szCs w:val="21"/>
                <w:lang w:val="en-US"/>
              </w:rPr>
              <w:t>1、施工</w:t>
            </w:r>
            <w:r>
              <w:rPr>
                <w:rFonts w:ascii="Times New Roman" w:hAnsi="Times New Roman" w:cs="Times New Roman"/>
                <w:b/>
                <w:bCs/>
                <w:color w:val="auto"/>
                <w:sz w:val="21"/>
                <w:szCs w:val="21"/>
              </w:rPr>
              <w:t>期</w:t>
            </w:r>
            <w:r>
              <w:rPr>
                <w:rFonts w:ascii="Times New Roman" w:hAnsi="Times New Roman" w:cs="Times New Roman"/>
                <w:color w:val="auto"/>
                <w:sz w:val="21"/>
                <w:szCs w:val="21"/>
              </w:rPr>
              <w:t xml:space="preserve">                 </w:t>
            </w:r>
          </w:p>
          <w:p>
            <w:pPr>
              <w:autoSpaceDE/>
              <w:autoSpaceDN/>
              <w:spacing w:line="400" w:lineRule="exact"/>
              <w:ind w:left="110" w:leftChars="50" w:firstLine="630" w:firstLineChars="300"/>
              <w:rPr>
                <w:rFonts w:ascii="Times New Roman" w:hAnsi="Times New Roman" w:cs="Times New Roman"/>
                <w:color w:val="auto"/>
                <w:sz w:val="21"/>
                <w:szCs w:val="21"/>
              </w:rPr>
            </w:pPr>
            <w:r>
              <w:rPr>
                <w:rFonts w:hint="eastAsia" w:ascii="Times New Roman" w:hAnsi="Times New Roman" w:cs="Times New Roman"/>
                <w:color w:val="auto"/>
                <w:sz w:val="21"/>
                <w:szCs w:val="21"/>
              </w:rPr>
              <w:t>本项目经原有预制构件生产线改造而成，</w:t>
            </w:r>
            <w:r>
              <w:rPr>
                <w:rFonts w:ascii="Times New Roman" w:hAnsi="Times New Roman" w:cs="Times New Roman"/>
                <w:color w:val="auto"/>
                <w:sz w:val="21"/>
                <w:szCs w:val="21"/>
              </w:rPr>
              <w:t>施工期主要为</w:t>
            </w:r>
            <w:r>
              <w:rPr>
                <w:rFonts w:hint="eastAsia" w:ascii="Times New Roman" w:hAnsi="Times New Roman" w:cs="Times New Roman"/>
                <w:color w:val="auto"/>
                <w:sz w:val="21"/>
                <w:szCs w:val="21"/>
              </w:rPr>
              <w:t>基建工程，设备安装，</w:t>
            </w:r>
            <w:r>
              <w:rPr>
                <w:rFonts w:ascii="Times New Roman" w:hAnsi="Times New Roman" w:cs="Times New Roman"/>
                <w:color w:val="auto"/>
                <w:sz w:val="21"/>
                <w:szCs w:val="21"/>
              </w:rPr>
              <w:t>随着设备</w:t>
            </w:r>
            <w:r>
              <w:rPr>
                <w:rFonts w:hint="eastAsia" w:ascii="Times New Roman" w:hAnsi="Times New Roman" w:cs="Times New Roman"/>
                <w:color w:val="auto"/>
                <w:sz w:val="21"/>
                <w:szCs w:val="21"/>
              </w:rPr>
              <w:t>调试</w:t>
            </w:r>
            <w:r>
              <w:rPr>
                <w:rFonts w:ascii="Times New Roman" w:hAnsi="Times New Roman" w:cs="Times New Roman"/>
                <w:color w:val="auto"/>
                <w:sz w:val="21"/>
                <w:szCs w:val="21"/>
              </w:rPr>
              <w:t>完成，污染随之消失，不会对周围环境产生明显不利影响</w:t>
            </w:r>
            <w:r>
              <w:rPr>
                <w:rFonts w:hint="eastAsia" w:ascii="Times New Roman" w:hAnsi="Times New Roman" w:cs="Times New Roman"/>
                <w:color w:val="auto"/>
                <w:sz w:val="21"/>
                <w:szCs w:val="21"/>
              </w:rPr>
              <w:t>。</w:t>
            </w:r>
            <w:r>
              <w:rPr>
                <w:rFonts w:ascii="Times New Roman" w:hAnsi="Times New Roman" w:cs="Times New Roman"/>
                <w:color w:val="auto"/>
                <w:sz w:val="21"/>
                <w:szCs w:val="21"/>
              </w:rPr>
              <w:t>本项目施工期</w:t>
            </w:r>
            <w:r>
              <w:rPr>
                <w:rFonts w:ascii="Times New Roman" w:hAnsi="Times New Roman" w:cs="Times New Roman"/>
                <w:color w:val="auto"/>
                <w:sz w:val="21"/>
                <w:szCs w:val="21"/>
                <w:lang w:val="en-US"/>
              </w:rPr>
              <w:t>的工艺</w:t>
            </w:r>
            <w:r>
              <w:rPr>
                <w:rFonts w:ascii="Times New Roman" w:hAnsi="Times New Roman" w:cs="Times New Roman"/>
                <w:color w:val="auto"/>
                <w:sz w:val="21"/>
                <w:szCs w:val="21"/>
              </w:rPr>
              <w:t>主要为</w:t>
            </w:r>
            <w:r>
              <w:rPr>
                <w:rFonts w:hint="eastAsia" w:ascii="Times New Roman" w:hAnsi="Times New Roman" w:cs="Times New Roman"/>
                <w:color w:val="auto"/>
                <w:sz w:val="21"/>
                <w:szCs w:val="21"/>
              </w:rPr>
              <w:t>基建工程，设备安装</w:t>
            </w:r>
            <w:r>
              <w:rPr>
                <w:rFonts w:ascii="Times New Roman" w:hAnsi="Times New Roman" w:cs="Times New Roman"/>
                <w:color w:val="auto"/>
                <w:sz w:val="21"/>
                <w:szCs w:val="21"/>
                <w:lang w:val="en-US"/>
              </w:rPr>
              <w:t>等</w:t>
            </w:r>
            <w:r>
              <w:rPr>
                <w:rFonts w:ascii="Times New Roman" w:hAnsi="Times New Roman" w:cs="Times New Roman"/>
                <w:color w:val="auto"/>
                <w:sz w:val="21"/>
                <w:szCs w:val="21"/>
              </w:rPr>
              <w:t>。施工期工艺流程及排污节点见</w:t>
            </w:r>
            <w:r>
              <w:rPr>
                <w:rFonts w:hint="eastAsia" w:ascii="Times New Roman" w:hAnsi="Times New Roman" w:cs="Times New Roman"/>
                <w:color w:val="auto"/>
                <w:sz w:val="21"/>
                <w:szCs w:val="21"/>
              </w:rPr>
              <w:t>下</w:t>
            </w:r>
            <w:r>
              <w:rPr>
                <w:rFonts w:ascii="Times New Roman" w:hAnsi="Times New Roman" w:cs="Times New Roman"/>
                <w:color w:val="auto"/>
                <w:sz w:val="21"/>
                <w:szCs w:val="21"/>
              </w:rPr>
              <w:t>图。</w:t>
            </w:r>
          </w:p>
          <w:p>
            <w:pPr>
              <w:ind w:firstLine="480"/>
              <w:rPr>
                <w:color w:val="auto"/>
              </w:rPr>
            </w:pPr>
          </w:p>
          <w:p>
            <w:pPr>
              <w:pStyle w:val="5"/>
              <w:spacing w:before="120" w:after="120"/>
              <w:rPr>
                <w:rFonts w:ascii="Times New Roman" w:hAnsi="Times New Roman" w:eastAsia="宋体" w:cs="Times New Roman"/>
                <w:color w:val="auto"/>
                <w:sz w:val="21"/>
                <w:szCs w:val="21"/>
              </w:rPr>
            </w:pPr>
            <w:r>
              <w:rPr>
                <w:rFonts w:ascii="Times New Roman" w:hAnsi="Times New Roman" w:cs="Times New Roman"/>
                <w:color w:val="auto"/>
                <w:lang w:val="en-US" w:bidi="ar-SA"/>
              </w:rPr>
              <mc:AlternateContent>
                <mc:Choice Requires="wps">
                  <w:drawing>
                    <wp:anchor distT="0" distB="0" distL="114300" distR="114300" simplePos="0" relativeHeight="251665408" behindDoc="0" locked="0" layoutInCell="1" allowOverlap="1">
                      <wp:simplePos x="0" y="0"/>
                      <wp:positionH relativeFrom="column">
                        <wp:posOffset>889635</wp:posOffset>
                      </wp:positionH>
                      <wp:positionV relativeFrom="paragraph">
                        <wp:posOffset>2547620</wp:posOffset>
                      </wp:positionV>
                      <wp:extent cx="3895725" cy="533400"/>
                      <wp:effectExtent l="0" t="0" r="9525" b="0"/>
                      <wp:wrapTopAndBottom/>
                      <wp:docPr id="21" name="文本框 21"/>
                      <wp:cNvGraphicFramePr/>
                      <a:graphic xmlns:a="http://schemas.openxmlformats.org/drawingml/2006/main">
                        <a:graphicData uri="http://schemas.microsoft.com/office/word/2010/wordprocessingShape">
                          <wps:wsp>
                            <wps:cNvSpPr txBox="true"/>
                            <wps:spPr>
                              <a:xfrm>
                                <a:off x="0" y="0"/>
                                <a:ext cx="3895725" cy="533400"/>
                              </a:xfrm>
                              <a:prstGeom prst="rect">
                                <a:avLst/>
                              </a:prstGeom>
                              <a:solidFill>
                                <a:srgbClr val="FFFFFF"/>
                              </a:solidFill>
                              <a:ln>
                                <a:noFill/>
                              </a:ln>
                              <a:effectLst/>
                            </wps:spPr>
                            <wps:txbx>
                              <w:txbxContent>
                                <w:p>
                                  <w:pPr>
                                    <w:spacing w:line="520" w:lineRule="exact"/>
                                    <w:jc w:val="center"/>
                                  </w:pPr>
                                  <w:r>
                                    <w:rPr>
                                      <w:rFonts w:hint="eastAsia" w:ascii="Times New Roman"/>
                                      <w:b/>
                                      <w:color w:val="222222"/>
                                      <w:sz w:val="21"/>
                                      <w:szCs w:val="21"/>
                                    </w:rPr>
                                    <w:t>图2</w:t>
                                  </w:r>
                                  <w:r>
                                    <w:rPr>
                                      <w:rFonts w:hint="eastAsia" w:ascii="Times New Roman"/>
                                      <w:b/>
                                      <w:color w:val="222222"/>
                                      <w:sz w:val="21"/>
                                      <w:szCs w:val="21"/>
                                      <w:lang w:val="en-US"/>
                                    </w:rPr>
                                    <w:t>.</w:t>
                                  </w:r>
                                  <w:r>
                                    <w:rPr>
                                      <w:rFonts w:hint="eastAsia" w:ascii="Times New Roman"/>
                                      <w:b/>
                                      <w:color w:val="222222"/>
                                      <w:sz w:val="21"/>
                                      <w:szCs w:val="21"/>
                                      <w:lang w:val="en-US" w:eastAsia="zh-CN"/>
                                    </w:rPr>
                                    <w:t>2</w:t>
                                  </w:r>
                                  <w:r>
                                    <w:rPr>
                                      <w:rFonts w:ascii="Times New Roman"/>
                                      <w:b/>
                                      <w:color w:val="222222"/>
                                      <w:sz w:val="21"/>
                                      <w:szCs w:val="21"/>
                                    </w:rPr>
                                    <w:t xml:space="preserve">  </w:t>
                                  </w:r>
                                  <w:r>
                                    <w:rPr>
                                      <w:rFonts w:hint="eastAsia" w:ascii="Times New Roman"/>
                                      <w:b/>
                                      <w:color w:val="222222"/>
                                      <w:sz w:val="21"/>
                                      <w:szCs w:val="21"/>
                                    </w:rPr>
                                    <w:t>项目施工作业流程及排污节点图</w:t>
                                  </w:r>
                                </w:p>
                              </w:txbxContent>
                            </wps:txbx>
                            <wps:bodyPr upright="true"/>
                          </wps:wsp>
                        </a:graphicData>
                      </a:graphic>
                    </wp:anchor>
                  </w:drawing>
                </mc:Choice>
                <mc:Fallback>
                  <w:pict>
                    <v:shape id="_x0000_s1026" o:spid="_x0000_s1026" o:spt="202" type="#_x0000_t202" style="position:absolute;left:0pt;margin-left:70.05pt;margin-top:200.6pt;height:42pt;width:306.75pt;mso-wrap-distance-bottom:0pt;mso-wrap-distance-top:0pt;z-index:251665408;mso-width-relative:page;mso-height-relative:page;" fillcolor="#FFFFFF" filled="t" stroked="f" coordsize="21600,21600" o:gfxdata="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Ax0qNHYAAAACwEAAA8AAAAAAAAAAQAgAAAAOAAAAGRycy9kb3du&#10;cmV2LnhtbFBLAQIUABQAAAAIAIdO4kDJtKXusAEAAD8DAAAOAAAAAAAAAAEAIAAAAD0BAABkcnMv&#10;ZTJvRG9jLnhtbFBLBQYAAAAABgAGAFkBAABfBQAAAAA=&#10;">
                      <v:fill on="t" focussize="0,0"/>
                      <v:stroke on="f"/>
                      <v:imagedata o:title=""/>
                      <o:lock v:ext="edit" aspectratio="f"/>
                      <v:textbox>
                        <w:txbxContent>
                          <w:p>
                            <w:pPr>
                              <w:spacing w:line="520" w:lineRule="exact"/>
                              <w:jc w:val="center"/>
                            </w:pPr>
                            <w:r>
                              <w:rPr>
                                <w:rFonts w:hint="eastAsia" w:ascii="Times New Roman"/>
                                <w:b/>
                                <w:color w:val="222222"/>
                                <w:sz w:val="21"/>
                                <w:szCs w:val="21"/>
                              </w:rPr>
                              <w:t>图2</w:t>
                            </w:r>
                            <w:r>
                              <w:rPr>
                                <w:rFonts w:hint="eastAsia" w:ascii="Times New Roman"/>
                                <w:b/>
                                <w:color w:val="222222"/>
                                <w:sz w:val="21"/>
                                <w:szCs w:val="21"/>
                                <w:lang w:val="en-US"/>
                              </w:rPr>
                              <w:t>.</w:t>
                            </w:r>
                            <w:r>
                              <w:rPr>
                                <w:rFonts w:hint="eastAsia" w:ascii="Times New Roman"/>
                                <w:b/>
                                <w:color w:val="222222"/>
                                <w:sz w:val="21"/>
                                <w:szCs w:val="21"/>
                                <w:lang w:val="en-US" w:eastAsia="zh-CN"/>
                              </w:rPr>
                              <w:t>2</w:t>
                            </w:r>
                            <w:r>
                              <w:rPr>
                                <w:rFonts w:ascii="Times New Roman"/>
                                <w:b/>
                                <w:color w:val="222222"/>
                                <w:sz w:val="21"/>
                                <w:szCs w:val="21"/>
                              </w:rPr>
                              <w:t xml:space="preserve">  </w:t>
                            </w:r>
                            <w:r>
                              <w:rPr>
                                <w:rFonts w:hint="eastAsia" w:ascii="Times New Roman"/>
                                <w:b/>
                                <w:color w:val="222222"/>
                                <w:sz w:val="21"/>
                                <w:szCs w:val="21"/>
                              </w:rPr>
                              <w:t>项目施工作业流程及排污节点图</w:t>
                            </w:r>
                          </w:p>
                        </w:txbxContent>
                      </v:textbox>
                      <w10:wrap type="topAndBottom"/>
                    </v:shape>
                  </w:pict>
                </mc:Fallback>
              </mc:AlternateContent>
            </w:r>
            <w:r>
              <w:rPr>
                <w:color w:val="auto"/>
                <w:sz w:val="28"/>
                <w:lang w:val="en-US" w:bidi="ar-SA"/>
              </w:rPr>
              <mc:AlternateContent>
                <mc:Choice Requires="wpg">
                  <w:drawing>
                    <wp:anchor distT="0" distB="0" distL="114300" distR="114300" simplePos="0" relativeHeight="251670528" behindDoc="0" locked="0" layoutInCell="1" allowOverlap="1">
                      <wp:simplePos x="0" y="0"/>
                      <wp:positionH relativeFrom="column">
                        <wp:posOffset>404495</wp:posOffset>
                      </wp:positionH>
                      <wp:positionV relativeFrom="paragraph">
                        <wp:posOffset>190500</wp:posOffset>
                      </wp:positionV>
                      <wp:extent cx="4886960" cy="2043430"/>
                      <wp:effectExtent l="4445" t="4445" r="0" b="9525"/>
                      <wp:wrapTopAndBottom/>
                      <wp:docPr id="13" name="组合 13"/>
                      <wp:cNvGraphicFramePr/>
                      <a:graphic xmlns:a="http://schemas.openxmlformats.org/drawingml/2006/main">
                        <a:graphicData uri="http://schemas.microsoft.com/office/word/2010/wordprocessingGroup">
                          <wpg:wgp>
                            <wpg:cNvGrpSpPr/>
                            <wpg:grpSpPr>
                              <a:xfrm>
                                <a:off x="0" y="0"/>
                                <a:ext cx="4886960" cy="2043430"/>
                                <a:chOff x="10279" y="468715"/>
                                <a:chExt cx="7696" cy="3218"/>
                              </a:xfrm>
                            </wpg:grpSpPr>
                            <wpg:grpSp>
                              <wpg:cNvPr id="56" name="组合 19"/>
                              <wpg:cNvGrpSpPr/>
                              <wpg:grpSpPr>
                                <a:xfrm>
                                  <a:off x="10279" y="468715"/>
                                  <a:ext cx="7696" cy="3218"/>
                                  <a:chOff x="0" y="0"/>
                                  <a:chExt cx="7696" cy="3218"/>
                                </a:xfrm>
                                <a:effectLst/>
                              </wpg:grpSpPr>
                              <wps:wsp>
                                <wps:cNvPr id="145" name="Line 1152"/>
                                <wps:cNvCnPr>
                                  <a:cxnSpLocks noChangeShapeType="true"/>
                                  <a:stCxn id="185" idx="0"/>
                                  <a:endCxn id="155" idx="5"/>
                                </wps:cNvCnPr>
                                <wps:spPr bwMode="auto">
                                  <a:xfrm flipH="true" flipV="true">
                                    <a:off x="1536" y="427"/>
                                    <a:ext cx="3717" cy="1116"/>
                                  </a:xfrm>
                                  <a:prstGeom prst="line">
                                    <a:avLst/>
                                  </a:prstGeom>
                                  <a:noFill/>
                                  <a:ln w="9525">
                                    <a:solidFill>
                                      <a:srgbClr val="000000"/>
                                    </a:solidFill>
                                    <a:round/>
                                    <a:tailEnd type="triangle" w="med" len="med"/>
                                  </a:ln>
                                  <a:effectLst/>
                                </wps:spPr>
                                <wps:bodyPr/>
                              </wps:wsp>
                              <wps:wsp>
                                <wps:cNvPr id="147" name="Line 1030"/>
                                <wps:cNvCnPr>
                                  <a:cxnSpLocks noChangeShapeType="true"/>
                                </wps:cNvCnPr>
                                <wps:spPr bwMode="auto">
                                  <a:xfrm flipV="true">
                                    <a:off x="1235" y="402"/>
                                    <a:ext cx="1472" cy="1171"/>
                                  </a:xfrm>
                                  <a:prstGeom prst="line">
                                    <a:avLst/>
                                  </a:prstGeom>
                                  <a:noFill/>
                                  <a:ln w="9525">
                                    <a:solidFill>
                                      <a:srgbClr val="000000"/>
                                    </a:solidFill>
                                    <a:round/>
                                    <a:tailEnd type="stealth" w="med" len="lg"/>
                                  </a:ln>
                                  <a:effectLst/>
                                </wps:spPr>
                                <wps:bodyPr/>
                              </wps:wsp>
                              <wps:wsp>
                                <wps:cNvPr id="148" name="Line 1022"/>
                                <wps:cNvCnPr>
                                  <a:cxnSpLocks noChangeShapeType="true"/>
                                </wps:cNvCnPr>
                                <wps:spPr bwMode="auto">
                                  <a:xfrm flipH="true">
                                    <a:off x="4320" y="244"/>
                                    <a:ext cx="900" cy="1"/>
                                  </a:xfrm>
                                  <a:prstGeom prst="line">
                                    <a:avLst/>
                                  </a:prstGeom>
                                  <a:noFill/>
                                  <a:ln w="9525">
                                    <a:solidFill>
                                      <a:srgbClr val="000000"/>
                                    </a:solidFill>
                                    <a:round/>
                                    <a:tailEnd type="stealth" w="med" len="lg"/>
                                  </a:ln>
                                  <a:effectLst/>
                                </wps:spPr>
                                <wps:bodyPr/>
                              </wps:wsp>
                              <wps:wsp>
                                <wps:cNvPr id="149" name="Rectangle 1010"/>
                                <wps:cNvSpPr>
                                  <a:spLocks noChangeArrowheads="true"/>
                                </wps:cNvSpPr>
                                <wps:spPr bwMode="auto">
                                  <a:xfrm>
                                    <a:off x="5221" y="0"/>
                                    <a:ext cx="198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50" name="Text Box 1009"/>
                                <wps:cNvSpPr txBox="true">
                                  <a:spLocks noChangeArrowheads="true"/>
                                </wps:cNvSpPr>
                                <wps:spPr bwMode="auto">
                                  <a:xfrm>
                                    <a:off x="3015" y="28"/>
                                    <a:ext cx="900" cy="468"/>
                                  </a:xfrm>
                                  <a:prstGeom prst="rect">
                                    <a:avLst/>
                                  </a:prstGeom>
                                  <a:solidFill>
                                    <a:srgbClr val="FFFFFF">
                                      <a:alpha val="0"/>
                                    </a:srgbClr>
                                  </a:solidFill>
                                  <a:ln>
                                    <a:noFill/>
                                  </a:ln>
                                  <a:effectLst/>
                                </wps:spPr>
                                <wps:txbx>
                                  <w:txbxContent>
                                    <w:p>
                                      <w:pPr>
                                        <w:spacing w:line="300" w:lineRule="exact"/>
                                        <w:rPr>
                                          <w:szCs w:val="21"/>
                                        </w:rPr>
                                      </w:pPr>
                                      <w:r>
                                        <w:rPr>
                                          <w:rFonts w:hint="eastAsia"/>
                                          <w:sz w:val="21"/>
                                          <w:szCs w:val="20"/>
                                        </w:rPr>
                                        <w:t>扬尘</w:t>
                                      </w:r>
                                      <w:r>
                                        <w:rPr>
                                          <w:rFonts w:hint="eastAsia"/>
                                          <w:szCs w:val="21"/>
                                        </w:rPr>
                                        <w:t xml:space="preserve"> </w:t>
                                      </w:r>
                                    </w:p>
                                    <w:p/>
                                    <w:p/>
                                    <w:p/>
                                  </w:txbxContent>
                                </wps:txbx>
                                <wps:bodyPr rot="0" vert="horz" wrap="square" lIns="91439" tIns="45719" rIns="91439" bIns="45719" anchor="t" anchorCtr="false" upright="true">
                                  <a:noAutofit/>
                                </wps:bodyPr>
                              </wps:wsp>
                              <wps:wsp>
                                <wps:cNvPr id="153" name="Oval 1008"/>
                                <wps:cNvSpPr>
                                  <a:spLocks noChangeArrowheads="true"/>
                                </wps:cNvSpPr>
                                <wps:spPr bwMode="auto">
                                  <a:xfrm>
                                    <a:off x="2520" y="28"/>
                                    <a:ext cx="1800" cy="468"/>
                                  </a:xfrm>
                                  <a:prstGeom prst="ellipse">
                                    <a:avLst/>
                                  </a:prstGeom>
                                  <a:noFill/>
                                  <a:ln w="9525">
                                    <a:solidFill>
                                      <a:srgbClr val="000000"/>
                                    </a:solidFill>
                                    <a:round/>
                                  </a:ln>
                                  <a:effectLst/>
                                </wps:spPr>
                                <wps:bodyPr rot="0" vert="horz" wrap="square" lIns="91439" tIns="45719" rIns="91439" bIns="45719" anchor="t" anchorCtr="false" upright="true">
                                  <a:noAutofit/>
                                </wps:bodyPr>
                              </wps:wsp>
                              <wps:wsp>
                                <wps:cNvPr id="154" name="Text Box 1007"/>
                                <wps:cNvSpPr txBox="true">
                                  <a:spLocks noChangeArrowheads="true"/>
                                </wps:cNvSpPr>
                                <wps:spPr bwMode="auto">
                                  <a:xfrm>
                                    <a:off x="540" y="28"/>
                                    <a:ext cx="900" cy="468"/>
                                  </a:xfrm>
                                  <a:prstGeom prst="rect">
                                    <a:avLst/>
                                  </a:prstGeom>
                                  <a:solidFill>
                                    <a:srgbClr val="FFFFFF">
                                      <a:alpha val="0"/>
                                    </a:srgbClr>
                                  </a:solidFill>
                                  <a:ln>
                                    <a:noFill/>
                                  </a:ln>
                                  <a:effectLst/>
                                </wps:spPr>
                                <wps:txbx>
                                  <w:txbxContent>
                                    <w:p>
                                      <w:pPr>
                                        <w:spacing w:line="300" w:lineRule="exact"/>
                                        <w:rPr>
                                          <w:sz w:val="21"/>
                                          <w:szCs w:val="20"/>
                                        </w:rPr>
                                      </w:pPr>
                                      <w:r>
                                        <w:rPr>
                                          <w:rFonts w:hint="eastAsia"/>
                                          <w:sz w:val="21"/>
                                          <w:szCs w:val="20"/>
                                        </w:rPr>
                                        <w:t>噪 声</w:t>
                                      </w:r>
                                    </w:p>
                                  </w:txbxContent>
                                </wps:txbx>
                                <wps:bodyPr rot="0" vert="horz" wrap="square" lIns="91439" tIns="45719" rIns="91439" bIns="45719" anchor="t" anchorCtr="false" upright="true">
                                  <a:noAutofit/>
                                </wps:bodyPr>
                              </wps:wsp>
                              <wps:wsp>
                                <wps:cNvPr id="155" name="Oval 1006"/>
                                <wps:cNvSpPr>
                                  <a:spLocks noChangeArrowheads="true"/>
                                </wps:cNvSpPr>
                                <wps:spPr bwMode="auto">
                                  <a:xfrm>
                                    <a:off x="0" y="28"/>
                                    <a:ext cx="1800" cy="468"/>
                                  </a:xfrm>
                                  <a:prstGeom prst="ellipse">
                                    <a:avLst/>
                                  </a:prstGeom>
                                  <a:noFill/>
                                  <a:ln w="9525">
                                    <a:solidFill>
                                      <a:srgbClr val="000000"/>
                                    </a:solidFill>
                                    <a:round/>
                                  </a:ln>
                                  <a:effectLst/>
                                </wps:spPr>
                                <wps:bodyPr rot="0" vert="horz" wrap="square" lIns="91439" tIns="45719" rIns="91439" bIns="45719" anchor="t" anchorCtr="false" upright="true">
                                  <a:noAutofit/>
                                </wps:bodyPr>
                              </wps:wsp>
                              <wps:wsp>
                                <wps:cNvPr id="156" name="Text Box 1004"/>
                                <wps:cNvSpPr txBox="true">
                                  <a:spLocks noChangeArrowheads="true"/>
                                </wps:cNvSpPr>
                                <wps:spPr bwMode="auto">
                                  <a:xfrm>
                                    <a:off x="4996" y="30"/>
                                    <a:ext cx="2700" cy="468"/>
                                  </a:xfrm>
                                  <a:prstGeom prst="rect">
                                    <a:avLst/>
                                  </a:prstGeom>
                                  <a:solidFill>
                                    <a:srgbClr val="FFFFFF">
                                      <a:alpha val="0"/>
                                    </a:srgbClr>
                                  </a:solidFill>
                                  <a:ln>
                                    <a:noFill/>
                                  </a:ln>
                                  <a:effectLst/>
                                </wps:spPr>
                                <wps:txbx>
                                  <w:txbxContent>
                                    <w:p>
                                      <w:pPr>
                                        <w:spacing w:line="300" w:lineRule="exact"/>
                                        <w:ind w:firstLine="315" w:firstLineChars="150"/>
                                        <w:rPr>
                                          <w:sz w:val="21"/>
                                          <w:szCs w:val="20"/>
                                        </w:rPr>
                                      </w:pPr>
                                      <w:r>
                                        <w:rPr>
                                          <w:rFonts w:hint="eastAsia"/>
                                          <w:sz w:val="21"/>
                                          <w:szCs w:val="20"/>
                                        </w:rPr>
                                        <w:t>物料堆放、运输</w:t>
                                      </w:r>
                                    </w:p>
                                  </w:txbxContent>
                                </wps:txbx>
                                <wps:bodyPr rot="0" vert="horz" wrap="square" lIns="91439" tIns="45719" rIns="91439" bIns="45719" anchor="t" anchorCtr="false" upright="true">
                                  <a:noAutofit/>
                                </wps:bodyPr>
                              </wps:wsp>
                              <wps:wsp>
                                <wps:cNvPr id="158" name="Line 1029"/>
                                <wps:cNvCnPr>
                                  <a:cxnSpLocks noChangeShapeType="true"/>
                                </wps:cNvCnPr>
                                <wps:spPr bwMode="auto">
                                  <a:xfrm flipH="true" flipV="true">
                                    <a:off x="900" y="495"/>
                                    <a:ext cx="350" cy="1048"/>
                                  </a:xfrm>
                                  <a:prstGeom prst="line">
                                    <a:avLst/>
                                  </a:prstGeom>
                                  <a:noFill/>
                                  <a:ln w="9525">
                                    <a:solidFill>
                                      <a:srgbClr val="000000"/>
                                    </a:solidFill>
                                    <a:round/>
                                    <a:tailEnd type="stealth" w="med" len="lg"/>
                                  </a:ln>
                                  <a:effectLst/>
                                </wps:spPr>
                                <wps:bodyPr/>
                              </wps:wsp>
                              <wps:wsp>
                                <wps:cNvPr id="169" name="Line 1034"/>
                                <wps:cNvCnPr>
                                  <a:cxnSpLocks noChangeShapeType="true"/>
                                </wps:cNvCnPr>
                                <wps:spPr bwMode="auto">
                                  <a:xfrm>
                                    <a:off x="1115" y="2038"/>
                                    <a:ext cx="1164" cy="665"/>
                                  </a:xfrm>
                                  <a:prstGeom prst="line">
                                    <a:avLst/>
                                  </a:prstGeom>
                                  <a:noFill/>
                                  <a:ln w="9525">
                                    <a:solidFill>
                                      <a:srgbClr val="000000"/>
                                    </a:solidFill>
                                    <a:round/>
                                    <a:tailEnd type="stealth" w="med" len="lg"/>
                                  </a:ln>
                                  <a:effectLst/>
                                </wps:spPr>
                                <wps:bodyPr/>
                              </wps:wsp>
                              <wps:wsp>
                                <wps:cNvPr id="176" name="Text Box 1012"/>
                                <wps:cNvSpPr txBox="true">
                                  <a:spLocks noChangeArrowheads="true"/>
                                </wps:cNvSpPr>
                                <wps:spPr bwMode="auto">
                                  <a:xfrm>
                                    <a:off x="1352" y="1542"/>
                                    <a:ext cx="1552" cy="559"/>
                                  </a:xfrm>
                                  <a:prstGeom prst="rect">
                                    <a:avLst/>
                                  </a:prstGeom>
                                  <a:noFill/>
                                  <a:ln>
                                    <a:noFill/>
                                  </a:ln>
                                  <a:effectLst/>
                                </wps:spPr>
                                <wps:txbx>
                                  <w:txbxContent>
                                    <w:p>
                                      <w:pPr>
                                        <w:rPr>
                                          <w:sz w:val="21"/>
                                          <w:szCs w:val="21"/>
                                        </w:rPr>
                                      </w:pPr>
                                      <w:r>
                                        <w:rPr>
                                          <w:rFonts w:hint="eastAsia"/>
                                          <w:sz w:val="21"/>
                                          <w:szCs w:val="21"/>
                                        </w:rPr>
                                        <w:t>基建工程</w:t>
                                      </w:r>
                                    </w:p>
                                  </w:txbxContent>
                                </wps:txbx>
                                <wps:bodyPr rot="0" vert="horz" wrap="square" lIns="91439" tIns="45719" rIns="91439" bIns="45719" anchor="t" anchorCtr="false" upright="true">
                                  <a:noAutofit/>
                                </wps:bodyPr>
                              </wps:wsp>
                              <wps:wsp>
                                <wps:cNvPr id="180" name="Rectangle 1013"/>
                                <wps:cNvSpPr>
                                  <a:spLocks noChangeArrowheads="true"/>
                                </wps:cNvSpPr>
                                <wps:spPr bwMode="auto">
                                  <a:xfrm>
                                    <a:off x="34" y="1573"/>
                                    <a:ext cx="3884"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83" name="Text Box 1016"/>
                                <wps:cNvSpPr txBox="true">
                                  <a:spLocks noChangeArrowheads="true"/>
                                </wps:cNvSpPr>
                                <wps:spPr bwMode="auto">
                                  <a:xfrm>
                                    <a:off x="4743" y="1588"/>
                                    <a:ext cx="1260" cy="468"/>
                                  </a:xfrm>
                                  <a:prstGeom prst="rect">
                                    <a:avLst/>
                                  </a:prstGeom>
                                  <a:noFill/>
                                  <a:ln>
                                    <a:noFill/>
                                  </a:ln>
                                  <a:effectLst/>
                                </wps:spPr>
                                <wps:txbx>
                                  <w:txbxContent>
                                    <w:p>
                                      <w:pPr>
                                        <w:spacing w:line="300" w:lineRule="exact"/>
                                        <w:rPr>
                                          <w:sz w:val="21"/>
                                          <w:szCs w:val="20"/>
                                        </w:rPr>
                                      </w:pPr>
                                      <w:r>
                                        <w:rPr>
                                          <w:rFonts w:hint="eastAsia"/>
                                          <w:sz w:val="21"/>
                                          <w:szCs w:val="20"/>
                                        </w:rPr>
                                        <w:t>设备安装</w:t>
                                      </w:r>
                                    </w:p>
                                    <w:p>
                                      <w:pPr>
                                        <w:pStyle w:val="7"/>
                                        <w:ind w:firstLine="560"/>
                                      </w:pPr>
                                    </w:p>
                                  </w:txbxContent>
                                </wps:txbx>
                                <wps:bodyPr rot="0" vert="horz" wrap="square" lIns="91439" tIns="45719" rIns="91439" bIns="45719" anchor="t" anchorCtr="false" upright="true">
                                  <a:noAutofit/>
                                </wps:bodyPr>
                              </wps:wsp>
                              <wps:wsp>
                                <wps:cNvPr id="185" name="Rectangle 1019"/>
                                <wps:cNvSpPr>
                                  <a:spLocks noChangeArrowheads="true"/>
                                </wps:cNvSpPr>
                                <wps:spPr bwMode="auto">
                                  <a:xfrm>
                                    <a:off x="4623" y="1543"/>
                                    <a:ext cx="1260" cy="468"/>
                                  </a:xfrm>
                                  <a:prstGeom prst="rect">
                                    <a:avLst/>
                                  </a:prstGeom>
                                  <a:noFill/>
                                  <a:ln w="9525">
                                    <a:solidFill>
                                      <a:srgbClr val="000000"/>
                                    </a:solidFill>
                                    <a:miter lim="800000"/>
                                  </a:ln>
                                  <a:effectLst/>
                                </wps:spPr>
                                <wps:bodyPr rot="0" vert="horz" wrap="square" lIns="91439" tIns="45719" rIns="91439" bIns="45719" anchor="t" anchorCtr="false" upright="true">
                                  <a:noAutofit/>
                                </wps:bodyPr>
                              </wps:wsp>
                              <wps:wsp>
                                <wps:cNvPr id="190" name="Line 1038"/>
                                <wps:cNvCnPr>
                                  <a:cxnSpLocks noChangeShapeType="true"/>
                                  <a:stCxn id="180" idx="3"/>
                                </wps:cNvCnPr>
                                <wps:spPr bwMode="auto">
                                  <a:xfrm flipV="true">
                                    <a:off x="3918" y="1798"/>
                                    <a:ext cx="743" cy="9"/>
                                  </a:xfrm>
                                  <a:prstGeom prst="line">
                                    <a:avLst/>
                                  </a:prstGeom>
                                  <a:noFill/>
                                  <a:ln w="12700" cap="rnd">
                                    <a:solidFill>
                                      <a:srgbClr val="000000"/>
                                    </a:solidFill>
                                    <a:prstDash val="sysDot"/>
                                    <a:round/>
                                    <a:tailEnd type="triangle" w="med" len="med"/>
                                  </a:ln>
                                  <a:effectLst/>
                                </wps:spPr>
                                <wps:bodyPr/>
                              </wps:wsp>
                              <wps:wsp>
                                <wps:cNvPr id="193" name="Text Box 1033"/>
                                <wps:cNvSpPr txBox="true">
                                  <a:spLocks noChangeArrowheads="true"/>
                                </wps:cNvSpPr>
                                <wps:spPr bwMode="auto">
                                  <a:xfrm>
                                    <a:off x="672" y="2746"/>
                                    <a:ext cx="6248" cy="468"/>
                                  </a:xfrm>
                                  <a:prstGeom prst="rect">
                                    <a:avLst/>
                                  </a:prstGeom>
                                  <a:solidFill>
                                    <a:srgbClr val="FFFFFF">
                                      <a:alpha val="0"/>
                                    </a:srgbClr>
                                  </a:solidFill>
                                  <a:ln>
                                    <a:noFill/>
                                  </a:ln>
                                  <a:effectLst/>
                                </wps:spPr>
                                <wps:txbx>
                                  <w:txbxContent>
                                    <w:p>
                                      <w:pPr>
                                        <w:spacing w:line="300" w:lineRule="exact"/>
                                        <w:ind w:firstLine="315" w:firstLineChars="150"/>
                                        <w:rPr>
                                          <w:szCs w:val="21"/>
                                        </w:rPr>
                                      </w:pPr>
                                      <w:r>
                                        <w:rPr>
                                          <w:rFonts w:hint="eastAsia"/>
                                          <w:sz w:val="21"/>
                                          <w:szCs w:val="20"/>
                                        </w:rPr>
                                        <w:t>建筑垃圾、施工废水、生活垃圾、生活污水、冲洗废水</w:t>
                                      </w:r>
                                    </w:p>
                                  </w:txbxContent>
                                </wps:txbx>
                                <wps:bodyPr rot="0" vert="horz" wrap="square" lIns="91439" tIns="45719" rIns="91439" bIns="45719" anchor="t" anchorCtr="false" upright="true">
                                  <a:noAutofit/>
                                </wps:bodyPr>
                              </wps:wsp>
                              <wps:wsp>
                                <wps:cNvPr id="197" name="Rectangle 1032"/>
                                <wps:cNvSpPr>
                                  <a:spLocks noChangeArrowheads="true"/>
                                </wps:cNvSpPr>
                                <wps:spPr bwMode="auto">
                                  <a:xfrm>
                                    <a:off x="969" y="2750"/>
                                    <a:ext cx="5374" cy="468"/>
                                  </a:xfrm>
                                  <a:prstGeom prst="rect">
                                    <a:avLst/>
                                  </a:prstGeom>
                                  <a:solidFill>
                                    <a:srgbClr val="FFFFFF">
                                      <a:alpha val="0"/>
                                    </a:srgbClr>
                                  </a:solidFill>
                                  <a:ln w="9525">
                                    <a:solidFill>
                                      <a:srgbClr val="000000"/>
                                    </a:solidFill>
                                    <a:miter lim="800000"/>
                                  </a:ln>
                                  <a:effectLst/>
                                </wps:spPr>
                                <wps:bodyPr rot="0" vert="horz" wrap="square" lIns="91439" tIns="45719" rIns="91439" bIns="45719" anchor="t" anchorCtr="false" upright="true">
                                  <a:noAutofit/>
                                </wps:bodyPr>
                              </wps:wsp>
                            </wpg:grpSp>
                            <wps:wsp>
                              <wps:cNvPr id="57" name="Line 1034"/>
                              <wps:cNvCnPr>
                                <a:cxnSpLocks noChangeShapeType="true"/>
                              </wps:cNvCnPr>
                              <wps:spPr bwMode="auto">
                                <a:xfrm flipH="true">
                                  <a:off x="14925" y="470755"/>
                                  <a:ext cx="577" cy="739"/>
                                </a:xfrm>
                                <a:prstGeom prst="line">
                                  <a:avLst/>
                                </a:prstGeom>
                                <a:noFill/>
                                <a:ln w="9525">
                                  <a:solidFill>
                                    <a:srgbClr val="000000"/>
                                  </a:solidFill>
                                  <a:round/>
                                  <a:tailEnd type="stealth" w="med" len="lg"/>
                                </a:ln>
                                <a:effectLst/>
                              </wps:spPr>
                              <wps:bodyPr/>
                            </wps:wsp>
                          </wpg:wgp>
                        </a:graphicData>
                      </a:graphic>
                    </wp:anchor>
                  </w:drawing>
                </mc:Choice>
                <mc:Fallback>
                  <w:pict>
                    <v:group id="_x0000_s1026" o:spid="_x0000_s1026" o:spt="203" style="position:absolute;left:0pt;margin-left:31.85pt;margin-top:15pt;height:160.9pt;width:384.8pt;mso-wrap-distance-bottom:0pt;mso-wrap-distance-top:0pt;z-index:251670528;mso-width-relative:page;mso-height-relative:page;" coordorigin="10279,468715" coordsize="7696,3218" o:gfxdata="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">
                      <o:lock v:ext="edit" aspectratio="f"/>
                      <v:group id="组合 19" o:spid="_x0000_s1026" o:spt="203" style="position:absolute;left:10279;top:468715;height:3218;width:7696;" coordsize="7696,3218" o:gfxdata="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TBFTq9AAAA2wAAAA8AAAAAAAAAAQAg&#10;AAAAOAAAAGRycy9kb3ducmV2LnhtbFBLAQIUABQAAAAIAIdO4kAzLwWeOwAAADkAAAAVAAAAAAAA&#10;AAEAIAAAACIBAABkcnMvZ3JvdXBzaGFwZXhtbC54bWxQSwUGAAAAAAYABgBgAQAA3wMAAAAA&#10;">
                        <o:lock v:ext="edit" aspectratio="f"/>
                        <v:line id="Line 1152" o:spid="_x0000_s1026" o:spt="20" style="position:absolute;left:1536;top:427;flip:x y;height:1116;width:3717;" filled="f" stroked="t" coordsize="21600,21600" o:gfxdata="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YT1cO7AAAA3A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line id="Line 1030" o:spid="_x0000_s1026" o:spt="20" style="position:absolute;left:1235;top:402;flip:y;height:1171;width:1472;" filled="f" stroked="t" coordsize="21600,21600" o:gfxdata="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&#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DFYML0AAADcAAAADwAAAAAAAAABACAAAAA4AAAAZHJzL2Rvd25yZXYu&#10;eG1sUEsBAhQAFAAAAAgAh07iQDMvBZ47AAAAOQAAABAAAAAAAAAAAQAgAAAAIgEAAGRycy9zaGFw&#10;ZXhtbC54bWxQSwUGAAAAAAYABgBbAQAAzAMAAAAA&#10;">
                          <v:fill on="f" focussize="0,0"/>
                          <v:stroke color="#000000" joinstyle="round" endarrow="classic" endarrowlength="long"/>
                          <v:imagedata o:title=""/>
                          <o:lock v:ext="edit" aspectratio="f"/>
                        </v:line>
                        <v:line id="Line 1022" o:spid="_x0000_s1026" o:spt="20" style="position:absolute;left:4320;top:244;flip:x;height:1;width:900;" filled="f" stroked="t" coordsize="21600,21600" o:gfxdata="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2a7MQsAAAADcAAAADwAAAAAAAAABACAAAAA4AAAAZHJzL2Rvd25y&#10;ZXYueG1sUEsBAhQAFAAAAAgAh07iQDMvBZ47AAAAOQAAABAAAAAAAAAAAQAgAAAAJQEAAGRycy9z&#10;aGFwZXhtbC54bWxQSwUGAAAAAAYABgBbAQAAzwMAAAAA&#10;">
                          <v:fill on="f" focussize="0,0"/>
                          <v:stroke color="#000000" joinstyle="round" endarrow="classic" endarrowlength="long"/>
                          <v:imagedata o:title=""/>
                          <o:lock v:ext="edit" aspectratio="f"/>
                        </v:line>
                        <v:rect id="Rectangle 1010" o:spid="_x0000_s1026" o:spt="1" style="position:absolute;left:5221;top:0;height:468;width:1980;" filled="f" stroked="t" coordsize="21600,21600" o:gfxdata="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ecFKroAAADcAAAADwAAAAAAAAABACAAAAA4AAAAZHJzL2Rvd25yZXYueG1s&#10;UEsBAhQAFAAAAAgAh07iQDMvBZ47AAAAOQAAABAAAAAAAAAAAQAgAAAAHwEAAGRycy9zaGFwZXht&#10;bC54bWxQSwUGAAAAAAYABgBbAQAAyQMAAAAA&#10;">
                          <v:fill on="f" focussize="0,0"/>
                          <v:stroke color="#000000" miterlimit="8" joinstyle="miter"/>
                          <v:imagedata o:title=""/>
                          <o:lock v:ext="edit" aspectratio="f"/>
                          <v:textbox inset="7.19992125984252pt,3.59992125984252pt,7.19992125984252pt,3.59992125984252pt"/>
                        </v:rect>
                        <v:shape id="Text Box 1009" o:spid="_x0000_s1026" o:spt="202" type="#_x0000_t202" style="position:absolute;left:3015;top:28;height:468;width:900;" fillcolor="#FFFFFF" filled="t" stroked="f" coordsize="21600,21600" o:gfxdata="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AagTu+AAAA3AAAAA8AAAAAAAAAAQAgAAAAOAAAAGRycy9kb3ducmV2&#10;LnhtbFBLAQIUABQAAAAIAIdO4kAzLwWeOwAAADkAAAAQAAAAAAAAAAEAIAAAACMBAABkcnMvc2hh&#10;cGV4bWwueG1sUEsFBgAAAAAGAAYAWwEAAM0DAAAAAA==&#10;">
                          <v:fill on="t" opacity="0f" focussize="0,0"/>
                          <v:stroke on="f"/>
                          <v:imagedata o:title=""/>
                          <o:lock v:ext="edit" aspectratio="f"/>
                          <v:textbox inset="7.19992125984252pt,3.59992125984252pt,7.19992125984252pt,3.59992125984252pt">
                            <w:txbxContent>
                              <w:p>
                                <w:pPr>
                                  <w:spacing w:line="300" w:lineRule="exact"/>
                                  <w:rPr>
                                    <w:szCs w:val="21"/>
                                  </w:rPr>
                                </w:pPr>
                                <w:r>
                                  <w:rPr>
                                    <w:rFonts w:hint="eastAsia"/>
                                    <w:sz w:val="21"/>
                                    <w:szCs w:val="20"/>
                                  </w:rPr>
                                  <w:t>扬尘</w:t>
                                </w:r>
                                <w:r>
                                  <w:rPr>
                                    <w:rFonts w:hint="eastAsia"/>
                                    <w:szCs w:val="21"/>
                                  </w:rPr>
                                  <w:t xml:space="preserve"> </w:t>
                                </w:r>
                              </w:p>
                              <w:p/>
                              <w:p/>
                              <w:p/>
                            </w:txbxContent>
                          </v:textbox>
                        </v:shape>
                        <v:shape id="Oval 1008" o:spid="_x0000_s1026" o:spt="3" type="#_x0000_t3" style="position:absolute;left:2520;top:28;height:468;width:1800;" filled="f" stroked="t" coordsize="21600,21600" o:gfxdata="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vYWR70AAADcAAAADwAAAAAAAAABACAAAAA4AAAAZHJzL2Rvd25yZXYu&#10;eG1sUEsBAhQAFAAAAAgAh07iQDMvBZ47AAAAOQAAABAAAAAAAAAAAQAgAAAAIgEAAGRycy9zaGFw&#10;ZXhtbC54bWxQSwUGAAAAAAYABgBbAQAAzAMAAAAA&#10;">
                          <v:fill on="f" focussize="0,0"/>
                          <v:stroke color="#000000" joinstyle="round"/>
                          <v:imagedata o:title=""/>
                          <o:lock v:ext="edit" aspectratio="f"/>
                          <v:textbox inset="7.19992125984252pt,3.59992125984252pt,7.19992125984252pt,3.59992125984252pt"/>
                        </v:shape>
                        <v:shape id="Text Box 1007" o:spid="_x0000_s1026" o:spt="202" type="#_x0000_t202" style="position:absolute;left:540;top:28;height:468;width:900;" fillcolor="#FFFFFF" filled="t" stroked="f" coordsize="21600,21600" o:gfxdata="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yGHOL0AAADcAAAADwAAAAAAAAABACAAAAA4AAAAZHJzL2Rvd25yZXYu&#10;eG1sUEsBAhQAFAAAAAgAh07iQDMvBZ47AAAAOQAAABAAAAAAAAAAAQAgAAAAIgEAAGRycy9zaGFw&#10;ZXhtbC54bWxQSwUGAAAAAAYABgBbAQAAzAMAAAAA&#10;">
                          <v:fill on="t" opacity="0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噪 声</w:t>
                                </w:r>
                              </w:p>
                            </w:txbxContent>
                          </v:textbox>
                        </v:shape>
                        <v:shape id="Oval 1006" o:spid="_x0000_s1026" o:spt="3" type="#_x0000_t3" style="position:absolute;left:0;top:28;height:468;width:1800;" filled="f" stroked="t" coordsize="21600,21600" o:gfxdata="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lMrqL0AAADcAAAADwAAAAAAAAABACAAAAA4AAAAZHJzL2Rvd25yZXYu&#10;eG1sUEsBAhQAFAAAAAgAh07iQDMvBZ47AAAAOQAAABAAAAAAAAAAAQAgAAAAIgEAAGRycy9zaGFw&#10;ZXhtbC54bWxQSwUGAAAAAAYABgBbAQAAzAMAAAAA&#10;">
                          <v:fill on="f" focussize="0,0"/>
                          <v:stroke color="#000000" joinstyle="round"/>
                          <v:imagedata o:title=""/>
                          <o:lock v:ext="edit" aspectratio="f"/>
                          <v:textbox inset="7.19992125984252pt,3.59992125984252pt,7.19992125984252pt,3.59992125984252pt"/>
                        </v:shape>
                        <v:shape id="Text Box 1004" o:spid="_x0000_s1026" o:spt="202" type="#_x0000_t202" style="position:absolute;left:4996;top:30;height:468;width:2700;" fillcolor="#FFFFFF" filled="t" stroked="f" coordsize="21600,21600" o:gfxdata="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v7zUvAAAANwAAAAPAAAAAAAAAAEAIAAAADgAAABkcnMvZG93bnJldi54&#10;bWxQSwECFAAUAAAACACHTuJAMy8FnjsAAAA5AAAAEAAAAAAAAAABACAAAAAhAQAAZHJzL3NoYXBl&#10;eG1sLnhtbFBLBQYAAAAABgAGAFsBAADLAwAAAAA=&#10;">
                          <v:fill on="t" opacity="0f" focussize="0,0"/>
                          <v:stroke on="f"/>
                          <v:imagedata o:title=""/>
                          <o:lock v:ext="edit" aspectratio="f"/>
                          <v:textbox inset="7.19992125984252pt,3.59992125984252pt,7.19992125984252pt,3.59992125984252pt">
                            <w:txbxContent>
                              <w:p>
                                <w:pPr>
                                  <w:spacing w:line="300" w:lineRule="exact"/>
                                  <w:ind w:firstLine="315" w:firstLineChars="150"/>
                                  <w:rPr>
                                    <w:sz w:val="21"/>
                                    <w:szCs w:val="20"/>
                                  </w:rPr>
                                </w:pPr>
                                <w:r>
                                  <w:rPr>
                                    <w:rFonts w:hint="eastAsia"/>
                                    <w:sz w:val="21"/>
                                    <w:szCs w:val="20"/>
                                  </w:rPr>
                                  <w:t>物料堆放、运输</w:t>
                                </w:r>
                              </w:p>
                            </w:txbxContent>
                          </v:textbox>
                        </v:shape>
                        <v:line id="Line 1029" o:spid="_x0000_s1026" o:spt="20" style="position:absolute;left:900;top:495;flip:x y;height:1048;width:350;" filled="f" stroked="t" coordsize="21600,21600" o:gfxdata="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UvsXS+AAAA3AAAAA8AAAAAAAAAAQAgAAAAOAAAAGRycy9kb3ducmV2&#10;LnhtbFBLAQIUABQAAAAIAIdO4kAzLwWeOwAAADkAAAAQAAAAAAAAAAEAIAAAACMBAABkcnMvc2hh&#10;cGV4bWwueG1sUEsFBgAAAAAGAAYAWwEAAM0DAAAAAA==&#10;">
                          <v:fill on="f" focussize="0,0"/>
                          <v:stroke color="#000000" joinstyle="round" endarrow="classic" endarrowlength="long"/>
                          <v:imagedata o:title=""/>
                          <o:lock v:ext="edit" aspectratio="f"/>
                        </v:line>
                        <v:line id="Line 1034" o:spid="_x0000_s1026" o:spt="20" style="position:absolute;left:1115;top:2038;height:665;width:1164;" filled="f" stroked="t" coordsize="21600,21600" o:gfxdata="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vtIpkvAAAANwAAAAPAAAAAAAAAAEAIAAAADgAAABkcnMvZG93bnJldi54&#10;bWxQSwECFAAUAAAACACHTuJAMy8FnjsAAAA5AAAAEAAAAAAAAAABACAAAAAhAQAAZHJzL3NoYXBl&#10;eG1sLnhtbFBLBQYAAAAABgAGAFsBAADLAwAAAAA=&#10;">
                          <v:fill on="f" focussize="0,0"/>
                          <v:stroke color="#000000" joinstyle="round" endarrow="classic" endarrowlength="long"/>
                          <v:imagedata o:title=""/>
                          <o:lock v:ext="edit" aspectratio="f"/>
                        </v:line>
                        <v:shape id="Text Box 1012" o:spid="_x0000_s1026" o:spt="202" type="#_x0000_t202" style="position:absolute;left:1352;top:1542;height:559;width:1552;" filled="f" stroked="f" coordsize="21600,21600" o:gfxdata="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ofK9a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rPr>
                                    <w:sz w:val="21"/>
                                    <w:szCs w:val="21"/>
                                  </w:rPr>
                                </w:pPr>
                                <w:r>
                                  <w:rPr>
                                    <w:rFonts w:hint="eastAsia"/>
                                    <w:sz w:val="21"/>
                                    <w:szCs w:val="21"/>
                                  </w:rPr>
                                  <w:t>基建工程</w:t>
                                </w:r>
                              </w:p>
                            </w:txbxContent>
                          </v:textbox>
                        </v:shape>
                        <v:rect id="Rectangle 1013" o:spid="_x0000_s1026" o:spt="1" style="position:absolute;left:34;top:1573;height:468;width:3884;" filled="f" stroked="t" coordsize="21600,21600" o:gfxdata="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kFi2+AAAA3AAAAA8AAAAAAAAAAQAgAAAAOAAAAGRycy9kb3ducmV2&#10;LnhtbFBLAQIUABQAAAAIAIdO4kAzLwWeOwAAADkAAAAQAAAAAAAAAAEAIAAAACMBAABkcnMvc2hh&#10;cGV4bWwueG1sUEsFBgAAAAAGAAYAWwEAAM0DAAAAAA==&#10;">
                          <v:fill on="f" focussize="0,0"/>
                          <v:stroke color="#000000" miterlimit="8" joinstyle="miter"/>
                          <v:imagedata o:title=""/>
                          <o:lock v:ext="edit" aspectratio="f"/>
                          <v:textbox inset="7.19992125984252pt,3.59992125984252pt,7.19992125984252pt,3.59992125984252pt"/>
                        </v:rect>
                        <v:shape id="Text Box 1016" o:spid="_x0000_s1026" o:spt="202" type="#_x0000_t202" style="position:absolute;left:4743;top:1588;height:468;width:1260;" filled="f" stroked="f" coordsize="21600,21600" o:gfxdata="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9+Gm7AAAA3AAAAA8AAAAAAAAAAQAgAAAAOAAAAGRycy9kb3ducmV2Lnht&#10;bFBLAQIUABQAAAAIAIdO4kAzLwWeOwAAADkAAAAQAAAAAAAAAAEAIAAAACABAABkcnMvc2hhcGV4&#10;bWwueG1sUEsFBgAAAAAGAAYAWwEAAMoDAAAAAA==&#10;">
                          <v:fill on="f" focussize="0,0"/>
                          <v:stroke on="f"/>
                          <v:imagedata o:title=""/>
                          <o:lock v:ext="edit" aspectratio="f"/>
                          <v:textbox inset="7.19992125984252pt,3.59992125984252pt,7.19992125984252pt,3.59992125984252pt">
                            <w:txbxContent>
                              <w:p>
                                <w:pPr>
                                  <w:spacing w:line="300" w:lineRule="exact"/>
                                  <w:rPr>
                                    <w:sz w:val="21"/>
                                    <w:szCs w:val="20"/>
                                  </w:rPr>
                                </w:pPr>
                                <w:r>
                                  <w:rPr>
                                    <w:rFonts w:hint="eastAsia"/>
                                    <w:sz w:val="21"/>
                                    <w:szCs w:val="20"/>
                                  </w:rPr>
                                  <w:t>设备安装</w:t>
                                </w:r>
                              </w:p>
                              <w:p>
                                <w:pPr>
                                  <w:pStyle w:val="7"/>
                                  <w:ind w:firstLine="560"/>
                                </w:pPr>
                              </w:p>
                            </w:txbxContent>
                          </v:textbox>
                        </v:shape>
                        <v:rect id="Rectangle 1019" o:spid="_x0000_s1026" o:spt="1" style="position:absolute;left:4623;top:1543;height:468;width:1260;" filled="f" stroked="t" coordsize="21600,21600" o:gfxdata="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xO1tboAAADcAAAADwAAAAAAAAABACAAAAA4AAAAZHJzL2Rvd25yZXYueG1s&#10;UEsBAhQAFAAAAAgAh07iQDMvBZ47AAAAOQAAABAAAAAAAAAAAQAgAAAAHwEAAGRycy9zaGFwZXht&#10;bC54bWxQSwUGAAAAAAYABgBbAQAAyQMAAAAA&#10;">
                          <v:fill on="f" focussize="0,0"/>
                          <v:stroke color="#000000" miterlimit="8" joinstyle="miter"/>
                          <v:imagedata o:title=""/>
                          <o:lock v:ext="edit" aspectratio="f"/>
                          <v:textbox inset="7.19992125984252pt,3.59992125984252pt,7.19992125984252pt,3.59992125984252pt"/>
                        </v:rect>
                        <v:line id="Line 1038" o:spid="_x0000_s1026" o:spt="20" style="position:absolute;left:3918;top:1798;flip:y;height:9;width:743;" filled="f" stroked="t" coordsize="21600,21600" o:gfxdata="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GV1j/DBAAAA3AAAAA8AAAAAAAAAAQAgAAAAOAAAAGRycy9kb3du&#10;cmV2LnhtbFBLAQIUABQAAAAIAIdO4kAzLwWeOwAAADkAAAAQAAAAAAAAAAEAIAAAACYBAABkcnMv&#10;c2hhcGV4bWwueG1sUEsFBgAAAAAGAAYAWwEAANADAAAAAA==&#10;">
                          <v:fill on="f" focussize="0,0"/>
                          <v:stroke weight="1pt" color="#000000" joinstyle="round" dashstyle="1 1" endcap="round" endarrow="block"/>
                          <v:imagedata o:title=""/>
                          <o:lock v:ext="edit" aspectratio="f"/>
                        </v:line>
                        <v:shape id="Text Box 1033" o:spid="_x0000_s1026" o:spt="202" type="#_x0000_t202" style="position:absolute;left:672;top:2746;height:468;width:6248;" fillcolor="#FFFFFF" filled="t" stroked="f" coordsize="21600,21600" o:gfxdata="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3Gl1r0AAADcAAAADwAAAAAAAAABACAAAAA4AAAAZHJzL2Rvd25yZXYu&#10;eG1sUEsBAhQAFAAAAAgAh07iQDMvBZ47AAAAOQAAABAAAAAAAAAAAQAgAAAAIgEAAGRycy9zaGFw&#10;ZXhtbC54bWxQSwUGAAAAAAYABgBbAQAAzAMAAAAA&#10;">
                          <v:fill on="t" opacity="0f" focussize="0,0"/>
                          <v:stroke on="f"/>
                          <v:imagedata o:title=""/>
                          <o:lock v:ext="edit" aspectratio="f"/>
                          <v:textbox inset="7.19992125984252pt,3.59992125984252pt,7.19992125984252pt,3.59992125984252pt">
                            <w:txbxContent>
                              <w:p>
                                <w:pPr>
                                  <w:spacing w:line="300" w:lineRule="exact"/>
                                  <w:ind w:firstLine="315" w:firstLineChars="150"/>
                                  <w:rPr>
                                    <w:szCs w:val="21"/>
                                  </w:rPr>
                                </w:pPr>
                                <w:r>
                                  <w:rPr>
                                    <w:rFonts w:hint="eastAsia"/>
                                    <w:sz w:val="21"/>
                                    <w:szCs w:val="20"/>
                                  </w:rPr>
                                  <w:t>建筑垃圾、施工废水、生活垃圾、生活污水、冲洗废水</w:t>
                                </w:r>
                              </w:p>
                            </w:txbxContent>
                          </v:textbox>
                        </v:shape>
                        <v:rect id="Rectangle 1032" o:spid="_x0000_s1026" o:spt="1" style="position:absolute;left:969;top:2750;height:468;width:5374;" fillcolor="#FFFFFF" filled="t" stroked="t" coordsize="21600,21600" o:gfxdata="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7U42LoAAADcAAAADwAAAAAAAAABACAAAAA4AAAAZHJzL2Rvd25yZXYueG1s&#10;UEsBAhQAFAAAAAgAh07iQDMvBZ47AAAAOQAAABAAAAAAAAAAAQAgAAAAHwEAAGRycy9zaGFwZXht&#10;bC54bWxQSwUGAAAAAAYABgBbAQAAyQMAAAAA&#10;">
                          <v:fill on="t" opacity="0f" focussize="0,0"/>
                          <v:stroke color="#000000" miterlimit="8" joinstyle="miter"/>
                          <v:imagedata o:title=""/>
                          <o:lock v:ext="edit" aspectratio="f"/>
                          <v:textbox inset="7.19992125984252pt,3.59992125984252pt,7.19992125984252pt,3.59992125984252pt"/>
                        </v:rect>
                      </v:group>
                      <v:line id="Line 1034" o:spid="_x0000_s1026" o:spt="20" style="position:absolute;left:14925;top:470755;flip:x;height:739;width:577;" filled="f" stroked="t" coordsize="21600,21600" o:gfxdata="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cnr5AvwAAANsAAAAPAAAAAAAAAAEAIAAAADgAAABkcnMvZG93bnJl&#10;di54bWxQSwECFAAUAAAACACHTuJAMy8FnjsAAAA5AAAAEAAAAAAAAAABACAAAAAkAQAAZHJzL3No&#10;YXBleG1sLnhtbFBLBQYAAAAABgAGAFsBAADOAwAAAAA=&#10;">
                        <v:fill on="f" focussize="0,0"/>
                        <v:stroke color="#000000" joinstyle="round" endarrow="classic" endarrowlength="long"/>
                        <v:imagedata o:title=""/>
                        <o:lock v:ext="edit" aspectratio="f"/>
                      </v:line>
                      <w10:wrap type="topAndBottom"/>
                    </v:group>
                  </w:pict>
                </mc:Fallback>
              </mc:AlternateContent>
            </w:r>
          </w:p>
          <w:p>
            <w:pPr>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7"/>
              <w:ind w:firstLine="420"/>
              <w:rPr>
                <w:rFonts w:ascii="Times New Roman" w:hAnsi="Times New Roman" w:cs="Times New Roman"/>
                <w:color w:val="auto"/>
                <w:sz w:val="21"/>
                <w:szCs w:val="21"/>
              </w:rPr>
            </w:pPr>
          </w:p>
          <w:p>
            <w:pPr>
              <w:pStyle w:val="5"/>
              <w:spacing w:before="120" w:after="120"/>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7"/>
              <w:ind w:firstLine="420"/>
              <w:rPr>
                <w:rFonts w:ascii="Times New Roman" w:hAnsi="Times New Roman" w:cs="Times New Roman"/>
                <w:color w:val="auto"/>
                <w:sz w:val="21"/>
                <w:szCs w:val="21"/>
              </w:rPr>
            </w:pPr>
          </w:p>
          <w:p>
            <w:pPr>
              <w:pStyle w:val="5"/>
              <w:spacing w:before="120" w:after="120"/>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7"/>
              <w:ind w:firstLine="420"/>
              <w:rPr>
                <w:rFonts w:ascii="Times New Roman" w:hAnsi="Times New Roman" w:cs="Times New Roman"/>
                <w:color w:val="auto"/>
                <w:sz w:val="21"/>
                <w:szCs w:val="21"/>
              </w:rPr>
            </w:pPr>
          </w:p>
          <w:p>
            <w:pPr>
              <w:pStyle w:val="5"/>
              <w:spacing w:before="120" w:after="120"/>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7"/>
              <w:ind w:firstLine="420"/>
              <w:rPr>
                <w:rFonts w:ascii="Times New Roman" w:hAnsi="Times New Roman" w:cs="Times New Roman"/>
                <w:color w:val="auto"/>
                <w:sz w:val="21"/>
                <w:szCs w:val="21"/>
              </w:rPr>
            </w:pPr>
          </w:p>
          <w:p>
            <w:pPr>
              <w:pStyle w:val="5"/>
              <w:spacing w:before="120" w:after="120"/>
              <w:rPr>
                <w:rFonts w:ascii="Times New Roman" w:hAnsi="Times New Roman" w:cs="Times New Roman"/>
                <w:color w:val="auto"/>
                <w:sz w:val="21"/>
                <w:szCs w:val="21"/>
              </w:rPr>
            </w:pPr>
          </w:p>
          <w:p>
            <w:pPr>
              <w:pStyle w:val="43"/>
              <w:ind w:firstLine="420"/>
              <w:rPr>
                <w:rFonts w:ascii="Times New Roman" w:hAnsi="Times New Roman" w:cs="Times New Roman"/>
                <w:color w:val="auto"/>
                <w:sz w:val="21"/>
                <w:szCs w:val="21"/>
              </w:rPr>
            </w:pPr>
          </w:p>
          <w:p>
            <w:pPr>
              <w:rPr>
                <w:rFonts w:ascii="Times New Roman" w:hAnsi="Times New Roman" w:cs="Times New Roman"/>
                <w:color w:val="auto"/>
                <w:sz w:val="21"/>
                <w:szCs w:val="21"/>
              </w:rPr>
            </w:pPr>
          </w:p>
          <w:p>
            <w:pPr>
              <w:widowControl/>
              <w:autoSpaceDE/>
              <w:autoSpaceDN/>
              <w:spacing w:line="400" w:lineRule="exact"/>
              <w:ind w:left="110" w:leftChars="50" w:firstLine="421" w:firstLineChars="200"/>
              <w:rPr>
                <w:rFonts w:ascii="Times New Roman" w:hAnsi="Times New Roman" w:cs="Times New Roman"/>
                <w:b/>
                <w:bCs/>
                <w:color w:val="auto"/>
                <w:kern w:val="44"/>
                <w:sz w:val="21"/>
                <w:szCs w:val="21"/>
              </w:rPr>
            </w:pPr>
            <w:r>
              <w:rPr>
                <w:rFonts w:ascii="Times New Roman" w:hAnsi="Times New Roman" w:cs="Times New Roman"/>
                <w:b/>
                <w:bCs/>
                <w:color w:val="auto"/>
                <w:kern w:val="44"/>
                <w:sz w:val="21"/>
                <w:szCs w:val="21"/>
                <w:lang w:val="en-US"/>
              </w:rPr>
              <w:t>2、</w:t>
            </w:r>
            <w:r>
              <w:rPr>
                <w:rFonts w:ascii="Times New Roman" w:hAnsi="Times New Roman" w:cs="Times New Roman"/>
                <w:b/>
                <w:bCs/>
                <w:color w:val="auto"/>
                <w:kern w:val="44"/>
                <w:sz w:val="21"/>
                <w:szCs w:val="21"/>
              </w:rPr>
              <w:t>营运期</w:t>
            </w:r>
          </w:p>
          <w:p>
            <w:pPr>
              <w:widowControl/>
              <w:autoSpaceDE/>
              <w:autoSpaceDN/>
              <w:spacing w:line="400" w:lineRule="exact"/>
              <w:ind w:left="110" w:leftChars="50" w:firstLine="421" w:firstLineChars="200"/>
              <w:rPr>
                <w:rFonts w:ascii="Times New Roman" w:hAnsi="Times New Roman" w:cs="Times New Roman"/>
                <w:b/>
                <w:bCs/>
                <w:color w:val="auto"/>
                <w:kern w:val="44"/>
                <w:sz w:val="21"/>
                <w:szCs w:val="21"/>
                <w:lang w:val="en-US"/>
              </w:rPr>
            </w:pPr>
            <w:r>
              <w:rPr>
                <w:rFonts w:ascii="Times New Roman" w:hAnsi="Times New Roman" w:cs="Times New Roman"/>
                <w:b/>
                <w:bCs/>
                <w:color w:val="auto"/>
                <w:kern w:val="44"/>
                <w:sz w:val="21"/>
                <w:szCs w:val="21"/>
                <w:lang w:val="en-US"/>
              </w:rPr>
              <w:t>（1）</w:t>
            </w:r>
            <w:r>
              <w:rPr>
                <w:rFonts w:hint="eastAsia" w:ascii="Times New Roman" w:hAnsi="Times New Roman" w:cs="Times New Roman"/>
                <w:b/>
                <w:bCs/>
                <w:color w:val="auto"/>
                <w:kern w:val="44"/>
                <w:sz w:val="21"/>
                <w:szCs w:val="21"/>
                <w:lang w:val="en-US"/>
              </w:rPr>
              <w:t>湿拌</w:t>
            </w:r>
            <w:r>
              <w:rPr>
                <w:rFonts w:ascii="Times New Roman" w:hAnsi="Times New Roman" w:cs="Times New Roman"/>
                <w:b/>
                <w:bCs/>
                <w:color w:val="auto"/>
                <w:kern w:val="44"/>
                <w:sz w:val="21"/>
                <w:szCs w:val="21"/>
                <w:lang w:val="en-US"/>
              </w:rPr>
              <w:t>砂浆生产线工艺流程</w:t>
            </w:r>
            <w:r>
              <w:rPr>
                <w:rFonts w:hint="eastAsia" w:ascii="Times New Roman" w:hAnsi="Times New Roman" w:cs="Times New Roman"/>
                <w:b/>
                <w:bCs/>
                <w:color w:val="auto"/>
                <w:kern w:val="44"/>
                <w:sz w:val="21"/>
                <w:szCs w:val="21"/>
                <w:lang w:val="en-US"/>
              </w:rPr>
              <w:t>及排污节点</w:t>
            </w:r>
          </w:p>
          <w:p>
            <w:pPr>
              <w:jc w:val="center"/>
              <w:rPr>
                <w:rFonts w:ascii="Times New Roman" w:hAnsi="Times New Roman"/>
                <w:color w:val="auto"/>
                <w:kern w:val="2"/>
                <w:sz w:val="21"/>
                <w:szCs w:val="21"/>
                <w:lang w:val="en-US" w:bidi="ar-SA"/>
              </w:rPr>
            </w:pPr>
            <w:r>
              <w:rPr>
                <w:rFonts w:hint="eastAsia" w:ascii="Times New Roman" w:hAnsi="Times New Roman" w:cs="Times New Roman"/>
                <w:b/>
                <w:bCs/>
                <w:color w:val="auto"/>
                <w:sz w:val="21"/>
                <w:szCs w:val="21"/>
                <w:lang w:val="en-US" w:bidi="ar-SA"/>
              </w:rPr>
              <mc:AlternateContent>
                <mc:Choice Requires="wpc">
                  <w:drawing>
                    <wp:anchor distT="0" distB="0" distL="114300" distR="114300" simplePos="0" relativeHeight="251668480" behindDoc="0" locked="0" layoutInCell="1" allowOverlap="1">
                      <wp:simplePos x="0" y="0"/>
                      <wp:positionH relativeFrom="column">
                        <wp:posOffset>558800</wp:posOffset>
                      </wp:positionH>
                      <wp:positionV relativeFrom="paragraph">
                        <wp:posOffset>85090</wp:posOffset>
                      </wp:positionV>
                      <wp:extent cx="4737100" cy="2788285"/>
                      <wp:effectExtent l="0" t="0" r="25400" b="0"/>
                      <wp:wrapTopAndBottom/>
                      <wp:docPr id="573" name="画布 573"/>
                      <wp:cNvGraphicFramePr/>
                      <a:graphic xmlns:a="http://schemas.openxmlformats.org/drawingml/2006/main">
                        <a:graphicData uri="http://schemas.microsoft.com/office/word/2010/wordprocessingCanvas">
                          <wpc:wpc>
                            <wpc:bg>
                              <a:noFill/>
                            </wpc:bg>
                            <wpc:whole>
                              <a:ln>
                                <a:noFill/>
                              </a:ln>
                            </wpc:whole>
                            <wps:wsp>
                              <wps:cNvPr id="1" name="矩形 4"/>
                              <wps:cNvSpPr/>
                              <wps:spPr>
                                <a:xfrm>
                                  <a:off x="2951480" y="21590"/>
                                  <a:ext cx="1100455" cy="356235"/>
                                </a:xfrm>
                                <a:prstGeom prst="rect">
                                  <a:avLst/>
                                </a:prstGeom>
                                <a:noFill/>
                                <a:ln w="9525" cap="flat" cmpd="sng">
                                  <a:solidFill>
                                    <a:schemeClr val="tx1"/>
                                  </a:solidFill>
                                  <a:prstDash val="dash"/>
                                  <a:miter/>
                                  <a:headEnd type="none" w="med" len="med"/>
                                  <a:tailEnd type="none" w="med" len="med"/>
                                </a:ln>
                              </wps:spPr>
                              <wps:txbx>
                                <w:txbxContent>
                                  <w:p>
                                    <w:pPr>
                                      <w:jc w:val="center"/>
                                      <w:rPr>
                                        <w:sz w:val="21"/>
                                        <w:szCs w:val="21"/>
                                      </w:rPr>
                                    </w:pPr>
                                  </w:p>
                                  <w:p>
                                    <w:pPr>
                                      <w:jc w:val="both"/>
                                      <w:rPr>
                                        <w:sz w:val="18"/>
                                        <w:szCs w:val="18"/>
                                      </w:rPr>
                                    </w:pPr>
                                    <w:r>
                                      <w:rPr>
                                        <w:rFonts w:hint="eastAsia"/>
                                        <w:sz w:val="16"/>
                                        <w:szCs w:val="16"/>
                                      </w:rPr>
                                      <w:t>封闭式厂房</w:t>
                                    </w:r>
                                  </w:p>
                                </w:txbxContent>
                              </wps:txbx>
                              <wps:bodyPr lIns="0" tIns="18000" rIns="0" bIns="18000" upright="true"/>
                            </wps:wsp>
                            <wps:wsp>
                              <wps:cNvPr id="2" name="矩形 513"/>
                              <wps:cNvSpPr/>
                              <wps:spPr>
                                <a:xfrm>
                                  <a:off x="3291205" y="41275"/>
                                  <a:ext cx="473710" cy="197485"/>
                                </a:xfrm>
                                <a:prstGeom prst="rect">
                                  <a:avLst/>
                                </a:prstGeom>
                                <a:noFill/>
                                <a:ln>
                                  <a:noFill/>
                                </a:ln>
                              </wps:spPr>
                              <wps:txbx>
                                <w:txbxContent>
                                  <w:p>
                                    <w:pPr>
                                      <w:jc w:val="center"/>
                                    </w:pPr>
                                    <w:r>
                                      <w:rPr>
                                        <w:rFonts w:hint="eastAsia"/>
                                      </w:rPr>
                                      <w:t>细骨料</w:t>
                                    </w:r>
                                  </w:p>
                                </w:txbxContent>
                              </wps:txbx>
                              <wps:bodyPr lIns="0" tIns="18000" rIns="0" bIns="18000" upright="true"/>
                            </wps:wsp>
                            <wps:wsp>
                              <wps:cNvPr id="3" name="矩形 515"/>
                              <wps:cNvSpPr/>
                              <wps:spPr>
                                <a:xfrm>
                                  <a:off x="1930400" y="41275"/>
                                  <a:ext cx="1020445" cy="248285"/>
                                </a:xfrm>
                                <a:prstGeom prst="rect">
                                  <a:avLst/>
                                </a:prstGeom>
                                <a:noFill/>
                                <a:ln>
                                  <a:noFill/>
                                </a:ln>
                              </wps:spPr>
                              <wps:txbx>
                                <w:txbxContent>
                                  <w:p>
                                    <w:pPr>
                                      <w:jc w:val="center"/>
                                    </w:pPr>
                                    <w:r>
                                      <w:rPr>
                                        <w:rFonts w:hint="eastAsia"/>
                                      </w:rPr>
                                      <w:t>外加剂</w:t>
                                    </w:r>
                                  </w:p>
                                </w:txbxContent>
                              </wps:txbx>
                              <wps:bodyPr lIns="0" tIns="18000" rIns="0" bIns="18000" upright="true"/>
                            </wps:wsp>
                            <wps:wsp>
                              <wps:cNvPr id="516" name="矩形 516"/>
                              <wps:cNvSpPr/>
                              <wps:spPr>
                                <a:xfrm>
                                  <a:off x="1562735" y="69850"/>
                                  <a:ext cx="321310" cy="207010"/>
                                </a:xfrm>
                                <a:prstGeom prst="rect">
                                  <a:avLst/>
                                </a:prstGeom>
                                <a:noFill/>
                                <a:ln>
                                  <a:noFill/>
                                </a:ln>
                              </wps:spPr>
                              <wps:txbx>
                                <w:txbxContent>
                                  <w:p>
                                    <w:pPr>
                                      <w:jc w:val="center"/>
                                    </w:pPr>
                                    <w:r>
                                      <w:rPr>
                                        <w:rFonts w:hint="eastAsia"/>
                                      </w:rPr>
                                      <w:t>矿粉</w:t>
                                    </w:r>
                                  </w:p>
                                </w:txbxContent>
                              </wps:txbx>
                              <wps:bodyPr lIns="0" tIns="18000" rIns="0" bIns="18000" upright="true"/>
                            </wps:wsp>
                            <wps:wsp>
                              <wps:cNvPr id="4" name="矩形 517"/>
                              <wps:cNvSpPr/>
                              <wps:spPr>
                                <a:xfrm>
                                  <a:off x="829945" y="41275"/>
                                  <a:ext cx="428625" cy="207010"/>
                                </a:xfrm>
                                <a:prstGeom prst="rect">
                                  <a:avLst/>
                                </a:prstGeom>
                                <a:noFill/>
                                <a:ln>
                                  <a:noFill/>
                                </a:ln>
                              </wps:spPr>
                              <wps:txbx>
                                <w:txbxContent>
                                  <w:p>
                                    <w:pPr>
                                      <w:jc w:val="center"/>
                                    </w:pPr>
                                    <w:r>
                                      <w:rPr>
                                        <w:rFonts w:hint="eastAsia"/>
                                      </w:rPr>
                                      <w:t>粉煤灰</w:t>
                                    </w:r>
                                  </w:p>
                                </w:txbxContent>
                              </wps:txbx>
                              <wps:bodyPr lIns="0" tIns="18000" rIns="0" bIns="18000" upright="true"/>
                            </wps:wsp>
                            <wps:wsp>
                              <wps:cNvPr id="8" name="矩形 518"/>
                              <wps:cNvSpPr/>
                              <wps:spPr>
                                <a:xfrm>
                                  <a:off x="88900" y="41275"/>
                                  <a:ext cx="631190" cy="207010"/>
                                </a:xfrm>
                                <a:prstGeom prst="rect">
                                  <a:avLst/>
                                </a:prstGeom>
                                <a:noFill/>
                                <a:ln>
                                  <a:noFill/>
                                </a:ln>
                              </wps:spPr>
                              <wps:txbx>
                                <w:txbxContent>
                                  <w:p>
                                    <w:pPr>
                                      <w:jc w:val="center"/>
                                    </w:pPr>
                                    <w:r>
                                      <w:rPr>
                                        <w:rFonts w:hint="eastAsia"/>
                                      </w:rPr>
                                      <w:t>水泥</w:t>
                                    </w:r>
                                  </w:p>
                                </w:txbxContent>
                              </wps:txbx>
                              <wps:bodyPr lIns="0" tIns="18000" rIns="0" bIns="18000" upright="true"/>
                            </wps:wsp>
                            <wps:wsp>
                              <wps:cNvPr id="9" name="矩形 519"/>
                              <wps:cNvSpPr/>
                              <wps:spPr>
                                <a:xfrm>
                                  <a:off x="4261485" y="82550"/>
                                  <a:ext cx="321310" cy="179070"/>
                                </a:xfrm>
                                <a:prstGeom prst="rect">
                                  <a:avLst/>
                                </a:prstGeom>
                                <a:noFill/>
                                <a:ln>
                                  <a:noFill/>
                                </a:ln>
                              </wps:spPr>
                              <wps:txbx>
                                <w:txbxContent>
                                  <w:p>
                                    <w:pPr>
                                      <w:jc w:val="center"/>
                                    </w:pPr>
                                    <w:r>
                                      <w:rPr>
                                        <w:rFonts w:hint="eastAsia"/>
                                      </w:rPr>
                                      <w:t>水</w:t>
                                    </w:r>
                                  </w:p>
                                  <w:p>
                                    <w:pPr>
                                      <w:jc w:val="center"/>
                                    </w:pPr>
                                  </w:p>
                                </w:txbxContent>
                              </wps:txbx>
                              <wps:bodyPr lIns="0" tIns="18000" rIns="0" bIns="18000" upright="true"/>
                            </wps:wsp>
                            <wps:wsp>
                              <wps:cNvPr id="10" name="文本框 520"/>
                              <wps:cNvSpPr txBox="true"/>
                              <wps:spPr>
                                <a:xfrm>
                                  <a:off x="4147820" y="333375"/>
                                  <a:ext cx="326390" cy="252095"/>
                                </a:xfrm>
                                <a:prstGeom prst="rect">
                                  <a:avLst/>
                                </a:prstGeom>
                                <a:noFill/>
                                <a:ln w="9525" cap="flat" cmpd="sng">
                                  <a:noFill/>
                                  <a:prstDash val="dash"/>
                                  <a:miter/>
                                  <a:headEnd type="none" w="med" len="med"/>
                                  <a:tailEnd type="none" w="med" len="med"/>
                                </a:ln>
                              </wps:spPr>
                              <wps:txbx>
                                <w:txbxContent>
                                  <w:p>
                                    <w:pPr>
                                      <w:jc w:val="center"/>
                                      <w:rPr>
                                        <w:rFonts w:ascii="Times New Roman" w:hAnsi="Times New Roman" w:cs="Times New Roman"/>
                                        <w:sz w:val="21"/>
                                        <w:szCs w:val="20"/>
                                      </w:rPr>
                                    </w:pPr>
                                    <w:r>
                                      <w:rPr>
                                        <w:rFonts w:ascii="Times New Roman" w:hAnsi="Times New Roman" w:cs="Times New Roman"/>
                                        <w:sz w:val="21"/>
                                        <w:szCs w:val="20"/>
                                      </w:rPr>
                                      <w:t>N</w:t>
                                    </w:r>
                                  </w:p>
                                  <w:p>
                                    <w:pPr>
                                      <w:rPr>
                                        <w:rFonts w:ascii="Times New Roman" w:hAnsi="Times New Roman" w:cs="Times New Roman"/>
                                        <w:sz w:val="21"/>
                                        <w:szCs w:val="21"/>
                                      </w:rPr>
                                    </w:pPr>
                                  </w:p>
                                </w:txbxContent>
                              </wps:txbx>
                              <wps:bodyPr upright="true"/>
                            </wps:wsp>
                            <wps:wsp>
                              <wps:cNvPr id="11" name="文本框 521"/>
                              <wps:cNvSpPr txBox="true"/>
                              <wps:spPr>
                                <a:xfrm>
                                  <a:off x="2389505" y="901065"/>
                                  <a:ext cx="327660" cy="252095"/>
                                </a:xfrm>
                                <a:prstGeom prst="rect">
                                  <a:avLst/>
                                </a:prstGeom>
                                <a:noFill/>
                                <a:ln w="9525" cap="flat" cmpd="sng">
                                  <a:noFill/>
                                  <a:prstDash val="dash"/>
                                  <a:miter/>
                                  <a:headEnd type="none" w="med" len="med"/>
                                  <a:tailEnd type="none" w="med" len="med"/>
                                </a:ln>
                              </wps:spPr>
                              <wps:txbx>
                                <w:txbxContent>
                                  <w:p>
                                    <w:pPr>
                                      <w:jc w:val="center"/>
                                      <w:rPr>
                                        <w:rFonts w:ascii="Times New Roman" w:hAnsi="Times New Roman" w:cs="Times New Roman"/>
                                        <w:sz w:val="21"/>
                                        <w:szCs w:val="21"/>
                                      </w:rPr>
                                    </w:pPr>
                                    <w:r>
                                      <w:rPr>
                                        <w:rFonts w:ascii="Times New Roman" w:hAnsi="Times New Roman" w:cs="Times New Roman"/>
                                        <w:sz w:val="21"/>
                                        <w:szCs w:val="20"/>
                                      </w:rPr>
                                      <w:t>N</w:t>
                                    </w:r>
                                  </w:p>
                                </w:txbxContent>
                              </wps:txbx>
                              <wps:bodyPr upright="true"/>
                            </wps:wsp>
                            <wps:wsp>
                              <wps:cNvPr id="12" name="文本框 522"/>
                              <wps:cNvSpPr txBox="true"/>
                              <wps:spPr>
                                <a:xfrm>
                                  <a:off x="411480" y="321310"/>
                                  <a:ext cx="489585" cy="271145"/>
                                </a:xfrm>
                                <a:prstGeom prst="rect">
                                  <a:avLst/>
                                </a:prstGeom>
                                <a:noFill/>
                                <a:ln w="9525" cap="flat" cmpd="sng">
                                  <a:noFill/>
                                  <a:prstDash val="dash"/>
                                  <a:miter/>
                                  <a:headEnd type="none" w="med" len="med"/>
                                  <a:tailEnd type="none" w="med" len="med"/>
                                </a:ln>
                              </wps:spPr>
                              <wps:txb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wps:txbx>
                              <wps:bodyPr upright="true"/>
                            </wps:wsp>
                            <wps:wsp>
                              <wps:cNvPr id="14" name="文本框 524"/>
                              <wps:cNvSpPr txBox="true"/>
                              <wps:spPr>
                                <a:xfrm>
                                  <a:off x="2992755" y="6985"/>
                                  <a:ext cx="440690" cy="252095"/>
                                </a:xfrm>
                                <a:prstGeom prst="rect">
                                  <a:avLst/>
                                </a:prstGeom>
                                <a:noFill/>
                                <a:ln w="9525" cap="flat" cmpd="sng">
                                  <a:noFill/>
                                  <a:prstDash val="dash"/>
                                  <a:miter/>
                                  <a:headEnd type="none" w="med" len="med"/>
                                  <a:tailEnd type="none" w="med" len="med"/>
                                </a:ln>
                              </wps:spPr>
                              <wps:txbx>
                                <w:txbxContent>
                                  <w:p>
                                    <w:pPr>
                                      <w:autoSpaceDE/>
                                      <w:autoSpaceDN/>
                                      <w:adjustRightInd w:val="0"/>
                                      <w:snapToGrid w:val="0"/>
                                      <w:ind w:left="-110" w:leftChars="-50" w:right="-110" w:rightChars="-50"/>
                                      <w:rPr>
                                        <w:rFonts w:ascii="Times New Roman" w:hAnsi="Times New Roman" w:cs="Times New Roman"/>
                                        <w:sz w:val="21"/>
                                        <w:szCs w:val="20"/>
                                      </w:rPr>
                                    </w:pPr>
                                    <w:r>
                                      <w:rPr>
                                        <w:rFonts w:ascii="Times New Roman" w:hAnsi="Times New Roman" w:cs="Times New Roman"/>
                                        <w:sz w:val="21"/>
                                        <w:szCs w:val="20"/>
                                      </w:rPr>
                                      <w:t>G</w:t>
                                    </w:r>
                                    <w:r>
                                      <w:rPr>
                                        <w:rFonts w:ascii="Times New Roman" w:hAnsi="Times New Roman" w:cs="Times New Roman"/>
                                        <w:sz w:val="21"/>
                                        <w:szCs w:val="20"/>
                                        <w:vertAlign w:val="subscript"/>
                                        <w:lang w:val="en-US"/>
                                      </w:rPr>
                                      <w:t>0</w:t>
                                    </w:r>
                                  </w:p>
                                  <w:p>
                                    <w:pPr>
                                      <w:autoSpaceDE/>
                                      <w:autoSpaceDN/>
                                      <w:adjustRightInd w:val="0"/>
                                      <w:snapToGrid w:val="0"/>
                                      <w:ind w:left="-110" w:leftChars="-50" w:right="-110" w:rightChars="-50"/>
                                      <w:rPr>
                                        <w:rFonts w:ascii="Times New Roman" w:hAnsi="Times New Roman" w:cs="Times New Roman"/>
                                        <w:color w:val="FF0000"/>
                                        <w:sz w:val="21"/>
                                        <w:szCs w:val="21"/>
                                        <w14:textOutline w14:w="9525" w14:cap="flat" w14:cmpd="sng" w14:algn="ctr">
                                          <w14:solidFill>
                                            <w14:srgbClr w14:val="000000"/>
                                          </w14:solidFill>
                                          <w14:prstDash w14:val="solid"/>
                                          <w14:round/>
                                        </w14:textOutline>
                                      </w:rPr>
                                    </w:pPr>
                                  </w:p>
                                </w:txbxContent>
                              </wps:txbx>
                              <wps:bodyPr upright="true"/>
                            </wps:wsp>
                            <wps:wsp>
                              <wps:cNvPr id="15" name="直接连接符 525"/>
                              <wps:cNvCnPr/>
                              <wps:spPr>
                                <a:xfrm>
                                  <a:off x="4431030" y="309880"/>
                                  <a:ext cx="0" cy="268605"/>
                                </a:xfrm>
                                <a:prstGeom prst="line">
                                  <a:avLst/>
                                </a:prstGeom>
                                <a:ln w="9525" cap="flat" cmpd="sng">
                                  <a:solidFill>
                                    <a:srgbClr val="000000"/>
                                  </a:solidFill>
                                  <a:prstDash val="solid"/>
                                  <a:headEnd type="none" w="med" len="med"/>
                                  <a:tailEnd type="triangle" w="med" len="med"/>
                                </a:ln>
                              </wps:spPr>
                              <wps:bodyPr/>
                            </wps:wsp>
                            <wps:wsp>
                              <wps:cNvPr id="16" name="直接连接符 526"/>
                              <wps:cNvCnPr/>
                              <wps:spPr>
                                <a:xfrm>
                                  <a:off x="3528060" y="238760"/>
                                  <a:ext cx="8255" cy="377190"/>
                                </a:xfrm>
                                <a:prstGeom prst="line">
                                  <a:avLst/>
                                </a:prstGeom>
                                <a:ln w="9525" cap="flat" cmpd="sng">
                                  <a:solidFill>
                                    <a:srgbClr val="000000"/>
                                  </a:solidFill>
                                  <a:prstDash val="solid"/>
                                  <a:headEnd type="none" w="med" len="med"/>
                                  <a:tailEnd type="triangle" w="med" len="med"/>
                                </a:ln>
                              </wps:spPr>
                              <wps:bodyPr/>
                            </wps:wsp>
                            <wps:wsp>
                              <wps:cNvPr id="17" name="直接连接符 527"/>
                              <wps:cNvCnPr/>
                              <wps:spPr>
                                <a:xfrm>
                                  <a:off x="2446655" y="309880"/>
                                  <a:ext cx="0" cy="268605"/>
                                </a:xfrm>
                                <a:prstGeom prst="line">
                                  <a:avLst/>
                                </a:prstGeom>
                                <a:ln w="9525" cap="flat" cmpd="sng">
                                  <a:solidFill>
                                    <a:srgbClr val="000000"/>
                                  </a:solidFill>
                                  <a:prstDash val="solid"/>
                                  <a:headEnd type="none" w="med" len="med"/>
                                  <a:tailEnd type="triangle" w="med" len="med"/>
                                </a:ln>
                              </wps:spPr>
                              <wps:bodyPr/>
                            </wps:wsp>
                            <wps:wsp>
                              <wps:cNvPr id="528" name="直接连接符 528"/>
                              <wps:cNvCnPr/>
                              <wps:spPr>
                                <a:xfrm>
                                  <a:off x="1709420" y="309880"/>
                                  <a:ext cx="0" cy="268605"/>
                                </a:xfrm>
                                <a:prstGeom prst="line">
                                  <a:avLst/>
                                </a:prstGeom>
                                <a:ln w="9525" cap="flat" cmpd="sng">
                                  <a:solidFill>
                                    <a:srgbClr val="000000"/>
                                  </a:solidFill>
                                  <a:prstDash val="solid"/>
                                  <a:headEnd type="none" w="med" len="med"/>
                                  <a:tailEnd type="triangle" w="med" len="med"/>
                                </a:ln>
                              </wps:spPr>
                              <wps:bodyPr/>
                            </wps:wsp>
                            <wps:wsp>
                              <wps:cNvPr id="18" name="直接连接符 529"/>
                              <wps:cNvCnPr/>
                              <wps:spPr>
                                <a:xfrm>
                                  <a:off x="1052195" y="309880"/>
                                  <a:ext cx="0" cy="268605"/>
                                </a:xfrm>
                                <a:prstGeom prst="line">
                                  <a:avLst/>
                                </a:prstGeom>
                                <a:ln w="9525" cap="flat" cmpd="sng">
                                  <a:solidFill>
                                    <a:srgbClr val="000000"/>
                                  </a:solidFill>
                                  <a:prstDash val="solid"/>
                                  <a:headEnd type="none" w="med" len="med"/>
                                  <a:tailEnd type="triangle" w="med" len="med"/>
                                </a:ln>
                              </wps:spPr>
                              <wps:bodyPr/>
                            </wps:wsp>
                            <wps:wsp>
                              <wps:cNvPr id="20" name="直接连接符 530"/>
                              <wps:cNvCnPr/>
                              <wps:spPr>
                                <a:xfrm>
                                  <a:off x="363855" y="309880"/>
                                  <a:ext cx="0" cy="268605"/>
                                </a:xfrm>
                                <a:prstGeom prst="line">
                                  <a:avLst/>
                                </a:prstGeom>
                                <a:ln w="9525" cap="flat" cmpd="sng">
                                  <a:solidFill>
                                    <a:srgbClr val="000000"/>
                                  </a:solidFill>
                                  <a:prstDash val="solid"/>
                                  <a:headEnd type="none" w="med" len="med"/>
                                  <a:tailEnd type="triangle" w="med" len="med"/>
                                </a:ln>
                              </wps:spPr>
                              <wps:bodyPr/>
                            </wps:wsp>
                            <wps:wsp>
                              <wps:cNvPr id="22" name="矩形 531"/>
                              <wps:cNvSpPr/>
                              <wps:spPr>
                                <a:xfrm>
                                  <a:off x="4222750" y="612140"/>
                                  <a:ext cx="467360" cy="2451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水槽</w:t>
                                    </w:r>
                                  </w:p>
                                </w:txbxContent>
                              </wps:txbx>
                              <wps:bodyPr lIns="0" tIns="18000" rIns="0" bIns="18000" upright="true"/>
                            </wps:wsp>
                            <wps:wsp>
                              <wps:cNvPr id="23" name="矩形 532"/>
                              <wps:cNvSpPr/>
                              <wps:spPr>
                                <a:xfrm>
                                  <a:off x="2917190" y="612140"/>
                                  <a:ext cx="1110615"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sz w:val="21"/>
                                        <w:szCs w:val="21"/>
                                      </w:rPr>
                                      <w:t>骨料配料仓</w:t>
                                    </w:r>
                                  </w:p>
                                </w:txbxContent>
                              </wps:txbx>
                              <wps:bodyPr lIns="0" tIns="18000" rIns="0" bIns="18000" upright="true"/>
                            </wps:wsp>
                            <wps:wsp>
                              <wps:cNvPr id="533" name="矩形 533"/>
                              <wps:cNvSpPr/>
                              <wps:spPr>
                                <a:xfrm>
                                  <a:off x="1543050" y="612140"/>
                                  <a:ext cx="428625" cy="2451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矿粉仓</w:t>
                                    </w:r>
                                  </w:p>
                                </w:txbxContent>
                              </wps:txbx>
                              <wps:bodyPr lIns="0" tIns="18000" rIns="0" bIns="18000" upright="true"/>
                            </wps:wsp>
                            <wps:wsp>
                              <wps:cNvPr id="24" name="矩形 534"/>
                              <wps:cNvSpPr/>
                              <wps:spPr>
                                <a:xfrm>
                                  <a:off x="792480" y="612140"/>
                                  <a:ext cx="535940"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煤灰仓</w:t>
                                    </w:r>
                                  </w:p>
                                </w:txbxContent>
                              </wps:txbx>
                              <wps:bodyPr lIns="0" tIns="18000" rIns="0" bIns="18000" upright="true"/>
                            </wps:wsp>
                            <wps:wsp>
                              <wps:cNvPr id="25" name="矩形 535"/>
                              <wps:cNvSpPr/>
                              <wps:spPr>
                                <a:xfrm>
                                  <a:off x="149225" y="612140"/>
                                  <a:ext cx="428625" cy="2451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水泥仓</w:t>
                                    </w:r>
                                  </w:p>
                                </w:txbxContent>
                              </wps:txbx>
                              <wps:bodyPr lIns="0" tIns="18000" rIns="0" bIns="18000" upright="true"/>
                            </wps:wsp>
                            <wps:wsp>
                              <wps:cNvPr id="26" name="矩形 536"/>
                              <wps:cNvSpPr/>
                              <wps:spPr>
                                <a:xfrm>
                                  <a:off x="2099310" y="612140"/>
                                  <a:ext cx="688975" cy="23495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储罐</w:t>
                                    </w:r>
                                  </w:p>
                                </w:txbxContent>
                              </wps:txbx>
                              <wps:bodyPr lIns="0" tIns="18000" rIns="0" bIns="18000" upright="true"/>
                            </wps:wsp>
                            <wps:wsp>
                              <wps:cNvPr id="27" name="文本框 537"/>
                              <wps:cNvSpPr txBox="true"/>
                              <wps:spPr>
                                <a:xfrm>
                                  <a:off x="2914015" y="371475"/>
                                  <a:ext cx="469900" cy="252095"/>
                                </a:xfrm>
                                <a:prstGeom prst="rect">
                                  <a:avLst/>
                                </a:prstGeom>
                                <a:noFill/>
                                <a:ln w="9525" cap="flat" cmpd="sng">
                                  <a:noFill/>
                                  <a:prstDash val="dash"/>
                                  <a:miter/>
                                  <a:headEnd type="none" w="med" len="med"/>
                                  <a:tailEnd type="none" w="med" len="med"/>
                                </a:ln>
                              </wps:spPr>
                              <wps:txbx>
                                <w:txbxContent>
                                  <w:p>
                                    <w:pPr>
                                      <w:autoSpaceDE/>
                                      <w:autoSpaceDN/>
                                      <w:adjustRightInd w:val="0"/>
                                      <w:snapToGrid w:val="0"/>
                                      <w:ind w:left="-110" w:leftChars="-50" w:right="-110" w:rightChars="-50"/>
                                      <w:jc w:val="center"/>
                                      <w:rPr>
                                        <w:rFonts w:ascii="Times New Roman" w:hAnsi="Times New Roman" w:cs="Times New Roman"/>
                                        <w:sz w:val="21"/>
                                        <w:szCs w:val="21"/>
                                        <w:lang w:val="en-US"/>
                                      </w:rPr>
                                    </w:pPr>
                                    <w:r>
                                      <w:rPr>
                                        <w:rFonts w:ascii="Times New Roman" w:hAnsi="Times New Roman" w:cs="Times New Roman"/>
                                        <w:sz w:val="21"/>
                                        <w:szCs w:val="20"/>
                                      </w:rPr>
                                      <w:t>G</w:t>
                                    </w:r>
                                    <w:r>
                                      <w:rPr>
                                        <w:rFonts w:ascii="Times New Roman" w:hAnsi="Times New Roman" w:cs="Times New Roman"/>
                                        <w:sz w:val="21"/>
                                        <w:szCs w:val="20"/>
                                        <w:vertAlign w:val="subscript"/>
                                        <w:lang w:val="en-US"/>
                                      </w:rPr>
                                      <w:t>2</w:t>
                                    </w:r>
                                    <w:r>
                                      <w:rPr>
                                        <w:rFonts w:ascii="Times New Roman" w:hAnsi="Times New Roman" w:cs="Times New Roman"/>
                                        <w:sz w:val="21"/>
                                        <w:szCs w:val="20"/>
                                      </w:rPr>
                                      <w:t>、</w:t>
                                    </w:r>
                                    <w:r>
                                      <w:rPr>
                                        <w:rFonts w:ascii="Times New Roman" w:hAnsi="Times New Roman" w:cs="Times New Roman"/>
                                        <w:sz w:val="21"/>
                                        <w:szCs w:val="20"/>
                                        <w:lang w:val="en-US"/>
                                      </w:rPr>
                                      <w:t>N</w:t>
                                    </w:r>
                                  </w:p>
                                </w:txbxContent>
                              </wps:txbx>
                              <wps:bodyPr upright="true"/>
                            </wps:wsp>
                            <wps:wsp>
                              <wps:cNvPr id="28" name="直接连接符 538"/>
                              <wps:cNvCnPr/>
                              <wps:spPr>
                                <a:xfrm>
                                  <a:off x="4436745" y="866140"/>
                                  <a:ext cx="635" cy="297180"/>
                                </a:xfrm>
                                <a:prstGeom prst="line">
                                  <a:avLst/>
                                </a:prstGeom>
                                <a:ln w="9525" cap="flat" cmpd="sng">
                                  <a:solidFill>
                                    <a:srgbClr val="000000"/>
                                  </a:solidFill>
                                  <a:prstDash val="solid"/>
                                  <a:headEnd type="none" w="med" len="med"/>
                                  <a:tailEnd type="triangle" w="med" len="med"/>
                                </a:ln>
                              </wps:spPr>
                              <wps:bodyPr/>
                            </wps:wsp>
                            <wps:wsp>
                              <wps:cNvPr id="29" name="直接连接符 539"/>
                              <wps:cNvCnPr>
                                <a:endCxn id="2" idx="0"/>
                              </wps:cNvCnPr>
                              <wps:spPr>
                                <a:xfrm>
                                  <a:off x="3526790" y="873125"/>
                                  <a:ext cx="1270" cy="306705"/>
                                </a:xfrm>
                                <a:prstGeom prst="line">
                                  <a:avLst/>
                                </a:prstGeom>
                                <a:ln w="9525" cap="flat" cmpd="sng">
                                  <a:solidFill>
                                    <a:srgbClr val="000000"/>
                                  </a:solidFill>
                                  <a:prstDash val="solid"/>
                                  <a:headEnd type="none" w="med" len="med"/>
                                  <a:tailEnd type="triangle" w="med" len="med"/>
                                </a:ln>
                              </wps:spPr>
                              <wps:bodyPr/>
                            </wps:wsp>
                            <wps:wsp>
                              <wps:cNvPr id="30" name="直接连接符 541"/>
                              <wps:cNvCnPr/>
                              <wps:spPr>
                                <a:xfrm>
                                  <a:off x="2446655" y="883285"/>
                                  <a:ext cx="0" cy="268605"/>
                                </a:xfrm>
                                <a:prstGeom prst="line">
                                  <a:avLst/>
                                </a:prstGeom>
                                <a:ln w="9525" cap="flat" cmpd="sng">
                                  <a:solidFill>
                                    <a:srgbClr val="000000"/>
                                  </a:solidFill>
                                  <a:prstDash val="solid"/>
                                  <a:headEnd type="none" w="med" len="med"/>
                                  <a:tailEnd type="triangle" w="med" len="med"/>
                                </a:ln>
                              </wps:spPr>
                              <wps:bodyPr/>
                            </wps:wsp>
                            <wps:wsp>
                              <wps:cNvPr id="542" name="直接连接符 542"/>
                              <wps:cNvCnPr/>
                              <wps:spPr>
                                <a:xfrm>
                                  <a:off x="1750695" y="883285"/>
                                  <a:ext cx="0" cy="268605"/>
                                </a:xfrm>
                                <a:prstGeom prst="line">
                                  <a:avLst/>
                                </a:prstGeom>
                                <a:ln w="9525" cap="flat" cmpd="sng">
                                  <a:solidFill>
                                    <a:srgbClr val="000000"/>
                                  </a:solidFill>
                                  <a:prstDash val="solid"/>
                                  <a:headEnd type="none" w="med" len="med"/>
                                  <a:tailEnd type="triangle" w="med" len="med"/>
                                </a:ln>
                              </wps:spPr>
                              <wps:bodyPr/>
                            </wps:wsp>
                            <wps:wsp>
                              <wps:cNvPr id="31" name="直接连接符 543"/>
                              <wps:cNvCnPr/>
                              <wps:spPr>
                                <a:xfrm>
                                  <a:off x="1007110" y="878205"/>
                                  <a:ext cx="0" cy="268605"/>
                                </a:xfrm>
                                <a:prstGeom prst="line">
                                  <a:avLst/>
                                </a:prstGeom>
                                <a:ln w="9525" cap="flat" cmpd="sng">
                                  <a:solidFill>
                                    <a:srgbClr val="000000"/>
                                  </a:solidFill>
                                  <a:prstDash val="solid"/>
                                  <a:headEnd type="none" w="med" len="med"/>
                                  <a:tailEnd type="triangle" w="med" len="med"/>
                                </a:ln>
                              </wps:spPr>
                              <wps:bodyPr/>
                            </wps:wsp>
                            <wps:wsp>
                              <wps:cNvPr id="32" name="直接连接符 544"/>
                              <wps:cNvCnPr/>
                              <wps:spPr>
                                <a:xfrm>
                                  <a:off x="363855" y="878205"/>
                                  <a:ext cx="0" cy="268605"/>
                                </a:xfrm>
                                <a:prstGeom prst="line">
                                  <a:avLst/>
                                </a:prstGeom>
                                <a:ln w="9525" cap="flat" cmpd="sng">
                                  <a:solidFill>
                                    <a:srgbClr val="000000"/>
                                  </a:solidFill>
                                  <a:prstDash val="solid"/>
                                  <a:headEnd type="none" w="med" len="med"/>
                                  <a:tailEnd type="triangle" w="med" len="med"/>
                                </a:ln>
                              </wps:spPr>
                              <wps:bodyPr/>
                            </wps:wsp>
                            <wps:wsp>
                              <wps:cNvPr id="33" name="矩形 545"/>
                              <wps:cNvSpPr/>
                              <wps:spPr>
                                <a:xfrm>
                                  <a:off x="4213860" y="1190625"/>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计量斗</w:t>
                                    </w:r>
                                  </w:p>
                                </w:txbxContent>
                              </wps:txbx>
                              <wps:bodyPr lIns="0" tIns="18000" rIns="0" bIns="18000" upright="true"/>
                            </wps:wsp>
                            <wps:wsp>
                              <wps:cNvPr id="548" name="矩形 548"/>
                              <wps:cNvSpPr/>
                              <wps:spPr>
                                <a:xfrm>
                                  <a:off x="1527175" y="1190625"/>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计量斗</w:t>
                                    </w:r>
                                  </w:p>
                                  <w:p/>
                                </w:txbxContent>
                              </wps:txbx>
                              <wps:bodyPr lIns="0" tIns="18000" rIns="0" bIns="18000" upright="true"/>
                            </wps:wsp>
                            <wps:wsp>
                              <wps:cNvPr id="34" name="矩形 549"/>
                              <wps:cNvSpPr/>
                              <wps:spPr>
                                <a:xfrm>
                                  <a:off x="792480" y="1181100"/>
                                  <a:ext cx="428625" cy="2165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计量斗</w:t>
                                    </w:r>
                                  </w:p>
                                  <w:p>
                                    <w:pPr>
                                      <w:jc w:val="center"/>
                                    </w:pPr>
                                  </w:p>
                                </w:txbxContent>
                              </wps:txbx>
                              <wps:bodyPr lIns="0" tIns="18000" rIns="0" bIns="18000" upright="true"/>
                            </wps:wsp>
                            <wps:wsp>
                              <wps:cNvPr id="35" name="矩形 550"/>
                              <wps:cNvSpPr/>
                              <wps:spPr>
                                <a:xfrm>
                                  <a:off x="149225" y="1143000"/>
                                  <a:ext cx="428625"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计量斗</w:t>
                                    </w:r>
                                  </w:p>
                                  <w:p/>
                                </w:txbxContent>
                              </wps:txbx>
                              <wps:bodyPr lIns="0" tIns="18000" rIns="0" bIns="18000" upright="true"/>
                            </wps:wsp>
                            <wps:wsp>
                              <wps:cNvPr id="36" name="矩形 551"/>
                              <wps:cNvSpPr/>
                              <wps:spPr>
                                <a:xfrm>
                                  <a:off x="2234565" y="1190625"/>
                                  <a:ext cx="428625" cy="20701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计量斗</w:t>
                                    </w:r>
                                  </w:p>
                                  <w:p/>
                                </w:txbxContent>
                              </wps:txbx>
                              <wps:bodyPr lIns="0" tIns="18000" rIns="0" bIns="18000" upright="true"/>
                            </wps:wsp>
                            <wps:wsp>
                              <wps:cNvPr id="37" name="直接连接符 552"/>
                              <wps:cNvCnPr>
                                <a:stCxn id="2" idx="2"/>
                              </wps:cNvCnPr>
                              <wps:spPr>
                                <a:xfrm>
                                  <a:off x="3528060" y="1386840"/>
                                  <a:ext cx="8255" cy="334010"/>
                                </a:xfrm>
                                <a:prstGeom prst="line">
                                  <a:avLst/>
                                </a:prstGeom>
                                <a:ln w="9525" cap="flat" cmpd="sng">
                                  <a:solidFill>
                                    <a:srgbClr val="000000"/>
                                  </a:solidFill>
                                  <a:prstDash val="solid"/>
                                  <a:headEnd type="none" w="med" len="med"/>
                                  <a:tailEnd type="none" w="med" len="med"/>
                                </a:ln>
                              </wps:spPr>
                              <wps:bodyPr/>
                            </wps:wsp>
                            <wps:wsp>
                              <wps:cNvPr id="38" name="直接连接符 553"/>
                              <wps:cNvCnPr/>
                              <wps:spPr>
                                <a:xfrm>
                                  <a:off x="4436745" y="1430655"/>
                                  <a:ext cx="635" cy="306705"/>
                                </a:xfrm>
                                <a:prstGeom prst="line">
                                  <a:avLst/>
                                </a:prstGeom>
                                <a:ln w="9525" cap="flat" cmpd="sng">
                                  <a:solidFill>
                                    <a:srgbClr val="000000"/>
                                  </a:solidFill>
                                  <a:prstDash val="solid"/>
                                  <a:headEnd type="none" w="med" len="med"/>
                                  <a:tailEnd type="none" w="med" len="med"/>
                                </a:ln>
                              </wps:spPr>
                              <wps:bodyPr/>
                            </wps:wsp>
                            <wps:wsp>
                              <wps:cNvPr id="39" name="直接连接符 555"/>
                              <wps:cNvCnPr/>
                              <wps:spPr>
                                <a:xfrm>
                                  <a:off x="2449195" y="1397635"/>
                                  <a:ext cx="1270" cy="323215"/>
                                </a:xfrm>
                                <a:prstGeom prst="line">
                                  <a:avLst/>
                                </a:prstGeom>
                                <a:ln w="9525" cap="flat" cmpd="sng">
                                  <a:solidFill>
                                    <a:srgbClr val="000000"/>
                                  </a:solidFill>
                                  <a:prstDash val="solid"/>
                                  <a:headEnd type="none" w="med" len="med"/>
                                  <a:tailEnd type="none" w="med" len="med"/>
                                </a:ln>
                              </wps:spPr>
                              <wps:bodyPr/>
                            </wps:wsp>
                            <wps:wsp>
                              <wps:cNvPr id="556" name="直接连接符 556"/>
                              <wps:cNvCnPr>
                                <a:stCxn id="548" idx="2"/>
                              </wps:cNvCnPr>
                              <wps:spPr>
                                <a:xfrm flipH="true">
                                  <a:off x="1736090" y="1397635"/>
                                  <a:ext cx="5715" cy="332740"/>
                                </a:xfrm>
                                <a:prstGeom prst="line">
                                  <a:avLst/>
                                </a:prstGeom>
                                <a:ln w="9525" cap="flat" cmpd="sng">
                                  <a:solidFill>
                                    <a:srgbClr val="000000"/>
                                  </a:solidFill>
                                  <a:prstDash val="solid"/>
                                  <a:headEnd type="none" w="med" len="med"/>
                                  <a:tailEnd type="none" w="med" len="med"/>
                                </a:ln>
                              </wps:spPr>
                              <wps:bodyPr/>
                            </wps:wsp>
                            <wps:wsp>
                              <wps:cNvPr id="40" name="直接连接符 557"/>
                              <wps:cNvCnPr/>
                              <wps:spPr>
                                <a:xfrm flipH="true">
                                  <a:off x="1002665" y="1397635"/>
                                  <a:ext cx="4445" cy="332740"/>
                                </a:xfrm>
                                <a:prstGeom prst="line">
                                  <a:avLst/>
                                </a:prstGeom>
                                <a:ln w="9525" cap="flat" cmpd="sng">
                                  <a:solidFill>
                                    <a:srgbClr val="000000"/>
                                  </a:solidFill>
                                  <a:prstDash val="solid"/>
                                  <a:headEnd type="none" w="med" len="med"/>
                                  <a:tailEnd type="none" w="med" len="med"/>
                                </a:ln>
                              </wps:spPr>
                              <wps:bodyPr/>
                            </wps:wsp>
                            <wps:wsp>
                              <wps:cNvPr id="41" name="直接连接符 558"/>
                              <wps:cNvCnPr/>
                              <wps:spPr>
                                <a:xfrm flipH="true">
                                  <a:off x="354965" y="1402080"/>
                                  <a:ext cx="8890" cy="334645"/>
                                </a:xfrm>
                                <a:prstGeom prst="line">
                                  <a:avLst/>
                                </a:prstGeom>
                                <a:ln w="9525" cap="flat" cmpd="sng">
                                  <a:solidFill>
                                    <a:srgbClr val="000000"/>
                                  </a:solidFill>
                                  <a:prstDash val="solid"/>
                                  <a:headEnd type="none" w="med" len="med"/>
                                  <a:tailEnd type="none" w="med" len="med"/>
                                </a:ln>
                              </wps:spPr>
                              <wps:bodyPr/>
                            </wps:wsp>
                            <wps:wsp>
                              <wps:cNvPr id="42" name="直接连接符 559"/>
                              <wps:cNvCnPr/>
                              <wps:spPr>
                                <a:xfrm>
                                  <a:off x="2447925" y="1732916"/>
                                  <a:ext cx="0" cy="268605"/>
                                </a:xfrm>
                                <a:prstGeom prst="line">
                                  <a:avLst/>
                                </a:prstGeom>
                                <a:ln w="9525" cap="flat" cmpd="sng">
                                  <a:solidFill>
                                    <a:srgbClr val="000000"/>
                                  </a:solidFill>
                                  <a:prstDash val="solid"/>
                                  <a:headEnd type="none" w="med" len="med"/>
                                  <a:tailEnd type="triangle" w="med" len="med"/>
                                </a:ln>
                              </wps:spPr>
                              <wps:bodyPr/>
                            </wps:wsp>
                            <wps:wsp>
                              <wps:cNvPr id="43" name="文本框 560"/>
                              <wps:cNvSpPr txBox="true"/>
                              <wps:spPr>
                                <a:xfrm>
                                  <a:off x="708660" y="1990090"/>
                                  <a:ext cx="946785" cy="252095"/>
                                </a:xfrm>
                                <a:prstGeom prst="rect">
                                  <a:avLst/>
                                </a:prstGeom>
                                <a:noFill/>
                                <a:ln w="9525" cap="flat" cmpd="sng">
                                  <a:solidFill>
                                    <a:srgbClr val="000000"/>
                                  </a:solidFill>
                                  <a:prstDash val="dash"/>
                                  <a:miter/>
                                  <a:headEnd type="none" w="med" len="med"/>
                                  <a:tailEnd type="none" w="med" len="med"/>
                                </a:ln>
                              </wps:spPr>
                              <wps:txb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w:t>
                                    </w:r>
                                    <w:r>
                                      <w:rPr>
                                        <w:rFonts w:ascii="Times New Roman" w:hAnsi="Times New Roman" w:cs="Times New Roman"/>
                                        <w:sz w:val="21"/>
                                        <w:szCs w:val="20"/>
                                        <w:lang w:val="en-US"/>
                                      </w:rPr>
                                      <w:t>W</w:t>
                                    </w:r>
                                    <w:r>
                                      <w:rPr>
                                        <w:rFonts w:ascii="Times New Roman" w:hAnsi="Times New Roman" w:cs="Times New Roman"/>
                                        <w:sz w:val="21"/>
                                        <w:szCs w:val="20"/>
                                        <w:vertAlign w:val="subscript"/>
                                        <w:lang w:val="en-US"/>
                                      </w:rPr>
                                      <w:t>1</w:t>
                                    </w:r>
                                    <w:r>
                                      <w:rPr>
                                        <w:rFonts w:ascii="Times New Roman" w:hAnsi="Times New Roman" w:cs="Times New Roman"/>
                                        <w:sz w:val="21"/>
                                        <w:szCs w:val="20"/>
                                        <w:lang w:val="en-US"/>
                                      </w:rPr>
                                      <w:t>、</w:t>
                                    </w:r>
                                    <w:r>
                                      <w:rPr>
                                        <w:rFonts w:ascii="Times New Roman" w:hAnsi="Times New Roman" w:cs="Times New Roman"/>
                                        <w:sz w:val="21"/>
                                        <w:szCs w:val="20"/>
                                      </w:rPr>
                                      <w:t>G</w:t>
                                    </w:r>
                                    <w:r>
                                      <w:rPr>
                                        <w:rFonts w:hint="eastAsia" w:ascii="Times New Roman" w:hAnsi="Times New Roman" w:cs="Times New Roman"/>
                                        <w:sz w:val="21"/>
                                        <w:szCs w:val="20"/>
                                        <w:vertAlign w:val="subscript"/>
                                        <w:lang w:val="en-US"/>
                                      </w:rPr>
                                      <w:t>4</w:t>
                                    </w:r>
                                  </w:p>
                                  <w:p>
                                    <w:pPr>
                                      <w:autoSpaceDE/>
                                      <w:autoSpaceDN/>
                                      <w:snapToGrid w:val="0"/>
                                      <w:ind w:left="-110" w:leftChars="-50" w:right="-110" w:rightChars="-50"/>
                                      <w:rPr>
                                        <w:rFonts w:ascii="Times New Roman" w:hAnsi="Times New Roman" w:cs="Times New Roman"/>
                                        <w:sz w:val="21"/>
                                        <w:szCs w:val="20"/>
                                      </w:rPr>
                                    </w:pPr>
                                  </w:p>
                                </w:txbxContent>
                              </wps:txbx>
                              <wps:bodyPr upright="true"/>
                            </wps:wsp>
                            <wps:wsp>
                              <wps:cNvPr id="44" name="直接连接符 561"/>
                              <wps:cNvCnPr/>
                              <wps:spPr>
                                <a:xfrm>
                                  <a:off x="363855" y="1732915"/>
                                  <a:ext cx="4070985" cy="0"/>
                                </a:xfrm>
                                <a:prstGeom prst="line">
                                  <a:avLst/>
                                </a:prstGeom>
                                <a:ln w="9525" cap="flat" cmpd="sng">
                                  <a:solidFill>
                                    <a:srgbClr val="000000"/>
                                  </a:solidFill>
                                  <a:prstDash val="solid"/>
                                  <a:headEnd type="none" w="med" len="med"/>
                                  <a:tailEnd type="none" w="med" len="med"/>
                                </a:ln>
                              </wps:spPr>
                              <wps:bodyPr/>
                            </wps:wsp>
                            <wps:wsp>
                              <wps:cNvPr id="45" name="直接连接符 562"/>
                              <wps:cNvCnPr/>
                              <wps:spPr>
                                <a:xfrm>
                                  <a:off x="2446655" y="2237106"/>
                                  <a:ext cx="0" cy="268605"/>
                                </a:xfrm>
                                <a:prstGeom prst="line">
                                  <a:avLst/>
                                </a:prstGeom>
                                <a:ln w="9525" cap="flat" cmpd="sng">
                                  <a:solidFill>
                                    <a:srgbClr val="000000"/>
                                  </a:solidFill>
                                  <a:prstDash val="solid"/>
                                  <a:headEnd type="none" w="med" len="med"/>
                                  <a:tailEnd type="triangle" w="med" len="med"/>
                                </a:ln>
                              </wps:spPr>
                              <wps:bodyPr/>
                            </wps:wsp>
                            <wps:wsp>
                              <wps:cNvPr id="46" name="矩形 563"/>
                              <wps:cNvSpPr/>
                              <wps:spPr>
                                <a:xfrm>
                                  <a:off x="2024380" y="2007871"/>
                                  <a:ext cx="857250" cy="23495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搅拌机</w:t>
                                    </w:r>
                                  </w:p>
                                </w:txbxContent>
                              </wps:txbx>
                              <wps:bodyPr lIns="0" tIns="18000" rIns="0" bIns="18000" upright="true"/>
                            </wps:wsp>
                            <wps:wsp>
                              <wps:cNvPr id="47" name="矩形 565"/>
                              <wps:cNvSpPr/>
                              <wps:spPr>
                                <a:xfrm>
                                  <a:off x="1857375" y="2520950"/>
                                  <a:ext cx="1307465" cy="226060"/>
                                </a:xfrm>
                                <a:prstGeom prst="rect">
                                  <a:avLst/>
                                </a:prstGeom>
                                <a:noFill/>
                                <a:ln w="9525" cap="flat" cmpd="sng">
                                  <a:noFill/>
                                  <a:prstDash val="solid"/>
                                  <a:miter/>
                                  <a:headEnd type="none" w="med" len="med"/>
                                  <a:tailEnd type="none" w="med" len="med"/>
                                </a:ln>
                              </wps:spPr>
                              <wps:txbx>
                                <w:txbxContent>
                                  <w:p>
                                    <w:pPr>
                                      <w:jc w:val="center"/>
                                    </w:pPr>
                                    <w:r>
                                      <w:rPr>
                                        <w:rFonts w:hint="eastAsia"/>
                                      </w:rPr>
                                      <w:t>湿拌砂浆（外运）</w:t>
                                    </w:r>
                                  </w:p>
                                </w:txbxContent>
                              </wps:txbx>
                              <wps:bodyPr lIns="0" tIns="18000" rIns="0" bIns="18000" upright="true"/>
                            </wps:wsp>
                            <pic:pic xmlns:pic="http://schemas.openxmlformats.org/drawingml/2006/picture">
                              <pic:nvPicPr>
                                <pic:cNvPr id="48" name="图片 57"/>
                                <pic:cNvPicPr>
                                  <a:picLocks noChangeAspect="true"/>
                                </pic:cNvPicPr>
                              </pic:nvPicPr>
                              <pic:blipFill>
                                <a:blip r:embed="rId12"/>
                                <a:stretch>
                                  <a:fillRect/>
                                </a:stretch>
                              </pic:blipFill>
                              <pic:spPr>
                                <a:xfrm>
                                  <a:off x="3339465" y="1791970"/>
                                  <a:ext cx="1333500" cy="673100"/>
                                </a:xfrm>
                                <a:prstGeom prst="rect">
                                  <a:avLst/>
                                </a:prstGeom>
                                <a:noFill/>
                                <a:ln>
                                  <a:noFill/>
                                </a:ln>
                              </pic:spPr>
                            </pic:pic>
                            <wps:wsp>
                              <wps:cNvPr id="49" name="直接连接符 571"/>
                              <wps:cNvCnPr/>
                              <wps:spPr>
                                <a:xfrm flipH="true" flipV="true">
                                  <a:off x="1655445" y="2116455"/>
                                  <a:ext cx="368935" cy="8890"/>
                                </a:xfrm>
                                <a:prstGeom prst="line">
                                  <a:avLst/>
                                </a:prstGeom>
                                <a:ln w="9525" cap="flat" cmpd="sng">
                                  <a:solidFill>
                                    <a:srgbClr val="000000"/>
                                  </a:solidFill>
                                  <a:prstDash val="dash"/>
                                  <a:headEnd type="none" w="med" len="med"/>
                                  <a:tailEnd type="triangle" w="med" len="med"/>
                                </a:ln>
                              </wps:spPr>
                              <wps:bodyPr/>
                            </wps:wsp>
                            <wps:wsp>
                              <wps:cNvPr id="50" name="文本框 685"/>
                              <wps:cNvSpPr txBox="true"/>
                              <wps:spPr>
                                <a:xfrm>
                                  <a:off x="1084580" y="322580"/>
                                  <a:ext cx="489585" cy="271145"/>
                                </a:xfrm>
                                <a:prstGeom prst="rect">
                                  <a:avLst/>
                                </a:prstGeom>
                                <a:noFill/>
                                <a:ln w="9525" cap="flat" cmpd="sng">
                                  <a:noFill/>
                                  <a:prstDash val="dash"/>
                                  <a:miter/>
                                  <a:headEnd type="none" w="med" len="med"/>
                                  <a:tailEnd type="none" w="med" len="med"/>
                                </a:ln>
                              </wps:spPr>
                              <wps:txb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wps:txbx>
                              <wps:bodyPr upright="true"/>
                            </wps:wsp>
                            <wps:wsp>
                              <wps:cNvPr id="686" name="文本框 686"/>
                              <wps:cNvSpPr txBox="true"/>
                              <wps:spPr>
                                <a:xfrm>
                                  <a:off x="1675130" y="303530"/>
                                  <a:ext cx="489585" cy="271145"/>
                                </a:xfrm>
                                <a:prstGeom prst="rect">
                                  <a:avLst/>
                                </a:prstGeom>
                                <a:noFill/>
                                <a:ln w="9525" cap="flat" cmpd="sng">
                                  <a:noFill/>
                                  <a:prstDash val="dash"/>
                                  <a:miter/>
                                  <a:headEnd type="none" w="med" len="med"/>
                                  <a:tailEnd type="none" w="med" len="med"/>
                                </a:ln>
                              </wps:spPr>
                              <wps:txb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wps:txbx>
                              <wps:bodyPr upright="true"/>
                            </wps:wsp>
                            <wps:wsp>
                              <wps:cNvPr id="51" name="矩形 2"/>
                              <wps:cNvSpPr/>
                              <wps:spPr>
                                <a:xfrm>
                                  <a:off x="3313430" y="1179830"/>
                                  <a:ext cx="428625" cy="207010"/>
                                </a:xfrm>
                                <a:prstGeom prst="rect">
                                  <a:avLst/>
                                </a:prstGeom>
                                <a:noFill/>
                                <a:ln w="9525" cap="flat" cmpd="sng">
                                  <a:solidFill>
                                    <a:srgbClr val="000000"/>
                                  </a:solidFill>
                                  <a:prstDash val="solid"/>
                                  <a:miter/>
                                  <a:headEnd type="none" w="med" len="med"/>
                                  <a:tailEnd type="none" w="med" len="med"/>
                                </a:ln>
                              </wps:spPr>
                              <wps:txbx>
                                <w:txbxContent>
                                  <w:p>
                                    <w:r>
                                      <w:rPr>
                                        <w:rFonts w:hint="eastAsia" w:ascii="Times New Roman" w:hAnsi="Times New Roman" w:cs="Times New Roman"/>
                                        <w:sz w:val="21"/>
                                        <w:szCs w:val="21"/>
                                        <w:lang w:val="en-US"/>
                                      </w:rPr>
                                      <w:t>称料斗</w:t>
                                    </w:r>
                                  </w:p>
                                </w:txbxContent>
                              </wps:txbx>
                              <wps:bodyPr lIns="0" tIns="18000" rIns="0" bIns="18000" upright="true"/>
                            </wps:wsp>
                            <wps:wsp>
                              <wps:cNvPr id="52" name="文本框 70"/>
                              <wps:cNvSpPr txBox="true"/>
                              <wps:spPr>
                                <a:xfrm>
                                  <a:off x="340360" y="885190"/>
                                  <a:ext cx="547370" cy="241935"/>
                                </a:xfrm>
                                <a:prstGeom prst="rect">
                                  <a:avLst/>
                                </a:prstGeom>
                                <a:noFill/>
                                <a:ln w="9525" cap="flat" cmpd="sng">
                                  <a:noFill/>
                                  <a:prstDash val="dash"/>
                                  <a:miter/>
                                  <a:headEnd type="none" w="med" len="med"/>
                                  <a:tailEnd type="none" w="med" len="med"/>
                                </a:ln>
                              </wps:spPr>
                              <wps:txb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wps:txbx>
                              <wps:bodyPr upright="true"/>
                            </wps:wsp>
                            <wps:wsp>
                              <wps:cNvPr id="53" name="文本框 71"/>
                              <wps:cNvSpPr txBox="true"/>
                              <wps:spPr>
                                <a:xfrm>
                                  <a:off x="989330" y="884555"/>
                                  <a:ext cx="547370" cy="241935"/>
                                </a:xfrm>
                                <a:prstGeom prst="rect">
                                  <a:avLst/>
                                </a:prstGeom>
                                <a:noFill/>
                                <a:ln w="9525" cap="flat" cmpd="sng">
                                  <a:noFill/>
                                  <a:prstDash val="dash"/>
                                  <a:miter/>
                                  <a:headEnd type="none" w="med" len="med"/>
                                  <a:tailEnd type="none" w="med" len="med"/>
                                </a:ln>
                              </wps:spPr>
                              <wps:txb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wps:txbx>
                              <wps:bodyPr upright="true"/>
                            </wps:wsp>
                            <wps:wsp>
                              <wps:cNvPr id="274" name="文本框 76"/>
                              <wps:cNvSpPr txBox="true"/>
                              <wps:spPr>
                                <a:xfrm>
                                  <a:off x="1751330" y="903605"/>
                                  <a:ext cx="547370" cy="241935"/>
                                </a:xfrm>
                                <a:prstGeom prst="rect">
                                  <a:avLst/>
                                </a:prstGeom>
                                <a:noFill/>
                                <a:ln w="9525" cap="flat" cmpd="sng">
                                  <a:noFill/>
                                  <a:prstDash val="dash"/>
                                  <a:miter/>
                                  <a:headEnd type="none" w="med" len="med"/>
                                  <a:tailEnd type="none" w="med" len="med"/>
                                </a:ln>
                              </wps:spPr>
                              <wps:txb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wps:txbx>
                              <wps:bodyPr upright="true"/>
                            </wps:wsp>
                            <wps:wsp>
                              <wps:cNvPr id="54" name="文本框 79"/>
                              <wps:cNvSpPr txBox="true"/>
                              <wps:spPr>
                                <a:xfrm>
                                  <a:off x="4427855" y="913130"/>
                                  <a:ext cx="327660" cy="252095"/>
                                </a:xfrm>
                                <a:prstGeom prst="rect">
                                  <a:avLst/>
                                </a:prstGeom>
                                <a:noFill/>
                                <a:ln w="9525" cap="flat" cmpd="sng">
                                  <a:noFill/>
                                  <a:prstDash val="dash"/>
                                  <a:miter/>
                                  <a:headEnd type="none" w="med" len="med"/>
                                  <a:tailEnd type="none" w="med" len="med"/>
                                </a:ln>
                              </wps:spPr>
                              <wps:txbx>
                                <w:txbxContent>
                                  <w:p>
                                    <w:pPr>
                                      <w:jc w:val="center"/>
                                      <w:rPr>
                                        <w:rFonts w:ascii="Times New Roman" w:hAnsi="Times New Roman" w:cs="Times New Roman"/>
                                        <w:sz w:val="21"/>
                                        <w:szCs w:val="21"/>
                                      </w:rPr>
                                    </w:pPr>
                                    <w:r>
                                      <w:rPr>
                                        <w:rFonts w:ascii="Times New Roman" w:hAnsi="Times New Roman" w:cs="Times New Roman"/>
                                        <w:sz w:val="21"/>
                                        <w:szCs w:val="20"/>
                                      </w:rPr>
                                      <w:t>N</w:t>
                                    </w:r>
                                  </w:p>
                                </w:txbxContent>
                              </wps:txbx>
                              <wps:bodyPr upright="true"/>
                            </wps:wsp>
                            <wps:wsp>
                              <wps:cNvPr id="55" name="文本框 81"/>
                              <wps:cNvSpPr txBox="true"/>
                              <wps:spPr>
                                <a:xfrm>
                                  <a:off x="2903855" y="913130"/>
                                  <a:ext cx="547370" cy="241935"/>
                                </a:xfrm>
                                <a:prstGeom prst="rect">
                                  <a:avLst/>
                                </a:prstGeom>
                                <a:noFill/>
                                <a:ln w="9525" cap="flat" cmpd="sng">
                                  <a:noFill/>
                                  <a:prstDash val="dash"/>
                                  <a:miter/>
                                  <a:headEnd type="none" w="med" len="med"/>
                                  <a:tailEnd type="none" w="med" len="med"/>
                                </a:ln>
                              </wps:spPr>
                              <wps:txb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2</w:t>
                                    </w:r>
                                  </w:p>
                                  <w:p>
                                    <w:pPr>
                                      <w:autoSpaceDE/>
                                      <w:autoSpaceDN/>
                                      <w:snapToGrid w:val="0"/>
                                      <w:ind w:left="-110" w:leftChars="-50" w:right="-110" w:rightChars="-50"/>
                                      <w:rPr>
                                        <w:rFonts w:ascii="Times New Roman" w:hAnsi="Times New Roman" w:cs="Times New Roman"/>
                                        <w:sz w:val="21"/>
                                        <w:szCs w:val="20"/>
                                      </w:rPr>
                                    </w:pPr>
                                  </w:p>
                                </w:txbxContent>
                              </wps:txbx>
                              <wps:bodyPr upright="true"/>
                            </wps:wsp>
                          </wpc:wpc>
                        </a:graphicData>
                      </a:graphic>
                    </wp:anchor>
                  </w:drawing>
                </mc:Choice>
                <mc:Fallback>
                  <w:pict>
                    <v:group id="_x0000_s1026" o:spid="_x0000_s1026" o:spt="203" style="position:absolute;left:0pt;margin-left:44pt;margin-top:6.7pt;height:219.55pt;width:373pt;mso-wrap-distance-bottom:0pt;mso-wrap-distance-top:0pt;z-index:251668480;mso-width-relative:page;mso-height-relative:page;" coordsize="4737100,2788285" editas="canvas" o:gfxdata="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">
                      <o:lock v:ext="edit" aspectratio="f"/>
                      <v:shape id="_x0000_s1026" o:spid="_x0000_s1026" style="position:absolute;left:0;top:0;height:2788285;width:4737100;" filled="f" stroked="f" coordsize="21600,21600" o:gfxdata="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">
                        <v:fill on="f" focussize="0,0"/>
                        <v:stroke on="f"/>
                        <v:imagedata o:title=""/>
                        <o:lock v:ext="edit" aspectratio="f"/>
                      </v:shape>
                      <v:rect id="矩形 4" o:spid="_x0000_s1026" o:spt="1" style="position:absolute;left:2951480;top:21590;height:356235;width:1100455;" filled="f" stroked="t" coordsize="21600,21600" o:gfxdata="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SV3/R1QAAAAkBAAAPAAAA&#10;AAAAAAEAIAAAADgAAABkcnMvZG93bnJldi54bWxQSwECFAAUAAAACACHTuJAbjSLuwICAADqAwAA&#10;DgAAAAAAAAABACAAAAA6AQAAZHJzL2Uyb0RvYy54bWxQSwUGAAAAAAYABgBZAQAArgUAAAAA&#10;">
                        <v:fill on="f" focussize="0,0"/>
                        <v:stroke color="#000000 [3213]" joinstyle="miter" dashstyle="dash"/>
                        <v:imagedata o:title=""/>
                        <o:lock v:ext="edit" aspectratio="f"/>
                        <v:textbox inset="0mm,0.5mm,0mm,0.5mm">
                          <w:txbxContent>
                            <w:p>
                              <w:pPr>
                                <w:jc w:val="center"/>
                                <w:rPr>
                                  <w:sz w:val="21"/>
                                  <w:szCs w:val="21"/>
                                </w:rPr>
                              </w:pPr>
                            </w:p>
                            <w:p>
                              <w:pPr>
                                <w:jc w:val="both"/>
                                <w:rPr>
                                  <w:sz w:val="18"/>
                                  <w:szCs w:val="18"/>
                                </w:rPr>
                              </w:pPr>
                              <w:r>
                                <w:rPr>
                                  <w:rFonts w:hint="eastAsia"/>
                                  <w:sz w:val="16"/>
                                  <w:szCs w:val="16"/>
                                </w:rPr>
                                <w:t>封闭式厂房</w:t>
                              </w:r>
                            </w:p>
                          </w:txbxContent>
                        </v:textbox>
                      </v:rect>
                      <v:rect id="矩形 513" o:spid="_x0000_s1026" o:spt="1" style="position:absolute;left:3291205;top:41275;height:197485;width:473710;"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xdn3/YAAAACQEAAA8AAAAAAAAAAQAgAAAAOAAAAGRycy9kb3ducmV2LnhtbFBL&#10;AQIUABQAAAAIAIdO4kBL0gMCpwEAAC0DAAAOAAAAAAAAAAEAIAAAAD0BAABkcnMvZTJvRG9jLnht&#10;bFBLBQYAAAAABgAGAFkBAABWBQAAAAA=&#10;">
                        <v:fill on="f" focussize="0,0"/>
                        <v:stroke on="f"/>
                        <v:imagedata o:title=""/>
                        <o:lock v:ext="edit" aspectratio="f"/>
                        <v:textbox inset="0mm,0.5mm,0mm,0.5mm">
                          <w:txbxContent>
                            <w:p>
                              <w:pPr>
                                <w:jc w:val="center"/>
                              </w:pPr>
                              <w:r>
                                <w:rPr>
                                  <w:rFonts w:hint="eastAsia"/>
                                </w:rPr>
                                <w:t>细骨料</w:t>
                              </w:r>
                            </w:p>
                          </w:txbxContent>
                        </v:textbox>
                      </v:rect>
                      <v:rect id="矩形 515" o:spid="_x0000_s1026" o:spt="1" style="position:absolute;left:1930400;top:41275;height:248285;width:1020445;"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xdn3/YAAAACQEAAA8AAAAAAAAAAQAgAAAAOAAAAGRycy9kb3ducmV2LnhtbFBL&#10;AQIUABQAAAAIAIdO4kBHOOB0pwEAAC4DAAAOAAAAAAAAAAEAIAAAAD0BAABkcnMvZTJvRG9jLnht&#10;bFBLBQYAAAAABgAGAFkBAABWBQAAAAA=&#10;">
                        <v:fill on="f" focussize="0,0"/>
                        <v:stroke on="f"/>
                        <v:imagedata o:title=""/>
                        <o:lock v:ext="edit" aspectratio="f"/>
                        <v:textbox inset="0mm,0.5mm,0mm,0.5mm">
                          <w:txbxContent>
                            <w:p>
                              <w:pPr>
                                <w:jc w:val="center"/>
                              </w:pPr>
                              <w:r>
                                <w:rPr>
                                  <w:rFonts w:hint="eastAsia"/>
                                </w:rPr>
                                <w:t>外加剂</w:t>
                              </w:r>
                            </w:p>
                          </w:txbxContent>
                        </v:textbox>
                      </v:rect>
                      <v:rect id="_x0000_s1026" o:spid="_x0000_s1026" o:spt="1" style="position:absolute;left:1562735;top:69850;height:207010;width:321310;"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xdn3/YAAAACQEAAA8AAAAAAAAAAQAgAAAAOAAAAGRycy9kb3ducmV2LnhtbFBL&#10;AQIUABQAAAAIAIdO4kDqf4popwEAAC8DAAAOAAAAAAAAAAEAIAAAAD0BAABkcnMvZTJvRG9jLnht&#10;bFBLBQYAAAAABgAGAFkBAABWBQAAAAA=&#10;">
                        <v:fill on="f" focussize="0,0"/>
                        <v:stroke on="f"/>
                        <v:imagedata o:title=""/>
                        <o:lock v:ext="edit" aspectratio="f"/>
                        <v:textbox inset="0mm,0.5mm,0mm,0.5mm">
                          <w:txbxContent>
                            <w:p>
                              <w:pPr>
                                <w:jc w:val="center"/>
                              </w:pPr>
                              <w:r>
                                <w:rPr>
                                  <w:rFonts w:hint="eastAsia"/>
                                </w:rPr>
                                <w:t>矿粉</w:t>
                              </w:r>
                            </w:p>
                          </w:txbxContent>
                        </v:textbox>
                      </v:rect>
                      <v:rect id="矩形 517" o:spid="_x0000_s1026" o:spt="1" style="position:absolute;left:829945;top:41275;height:207010;width:428625;"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8XZ9/2AAAAAkBAAAPAAAAAAAAAAEAIAAAADgAAABkcnMvZG93bnJldi54bWxQSwEC&#10;FAAUAAAACACHTuJAjVeK56UBAAAsAwAADgAAAAAAAAABACAAAAA9AQAAZHJzL2Uyb0RvYy54bWxQ&#10;SwUGAAAAAAYABgBZAQAAVAUAAAAA&#10;">
                        <v:fill on="f" focussize="0,0"/>
                        <v:stroke on="f"/>
                        <v:imagedata o:title=""/>
                        <o:lock v:ext="edit" aspectratio="f"/>
                        <v:textbox inset="0mm,0.5mm,0mm,0.5mm">
                          <w:txbxContent>
                            <w:p>
                              <w:pPr>
                                <w:jc w:val="center"/>
                              </w:pPr>
                              <w:r>
                                <w:rPr>
                                  <w:rFonts w:hint="eastAsia"/>
                                </w:rPr>
                                <w:t>粉煤灰</w:t>
                              </w:r>
                            </w:p>
                          </w:txbxContent>
                        </v:textbox>
                      </v:rect>
                      <v:rect id="矩形 518" o:spid="_x0000_s1026" o:spt="1" style="position:absolute;left:88900;top:41275;height:207010;width:631190;"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Pxdn3/YAAAACQEAAA8AAAAAAAAAAQAgAAAAOAAAAGRycy9kb3ducmV2LnhtbFBLAQIU&#10;ABQAAAAIAIdO4kCxV4d/pAEAACsDAAAOAAAAAAAAAAEAIAAAAD0BAABkcnMvZTJvRG9jLnhtbFBL&#10;BQYAAAAABgAGAFkBAABTBQAAAAA=&#10;">
                        <v:fill on="f" focussize="0,0"/>
                        <v:stroke on="f"/>
                        <v:imagedata o:title=""/>
                        <o:lock v:ext="edit" aspectratio="f"/>
                        <v:textbox inset="0mm,0.5mm,0mm,0.5mm">
                          <w:txbxContent>
                            <w:p>
                              <w:pPr>
                                <w:jc w:val="center"/>
                              </w:pPr>
                              <w:r>
                                <w:rPr>
                                  <w:rFonts w:hint="eastAsia"/>
                                </w:rPr>
                                <w:t>水泥</w:t>
                              </w:r>
                            </w:p>
                          </w:txbxContent>
                        </v:textbox>
                      </v:rect>
                      <v:rect id="矩形 519" o:spid="_x0000_s1026" o:spt="1" style="position:absolute;left:4261485;top:82550;height:179070;width:321310;"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xdn3/YAAAACQEAAA8AAAAAAAAAAQAgAAAAOAAAAGRycy9kb3ducmV2LnhtbFBL&#10;AQIUABQAAAAIAIdO4kBg7x4spwEAAC0DAAAOAAAAAAAAAAEAIAAAAD0BAABkcnMvZTJvRG9jLnht&#10;bFBLBQYAAAAABgAGAFkBAABWBQAAAAA=&#10;">
                        <v:fill on="f" focussize="0,0"/>
                        <v:stroke on="f"/>
                        <v:imagedata o:title=""/>
                        <o:lock v:ext="edit" aspectratio="f"/>
                        <v:textbox inset="0mm,0.5mm,0mm,0.5mm">
                          <w:txbxContent>
                            <w:p>
                              <w:pPr>
                                <w:jc w:val="center"/>
                              </w:pPr>
                              <w:r>
                                <w:rPr>
                                  <w:rFonts w:hint="eastAsia"/>
                                </w:rPr>
                                <w:t>水</w:t>
                              </w:r>
                            </w:p>
                            <w:p>
                              <w:pPr>
                                <w:jc w:val="center"/>
                              </w:pPr>
                            </w:p>
                          </w:txbxContent>
                        </v:textbox>
                      </v:rect>
                      <v:shape id="文本框 520" o:spid="_x0000_s1026" o:spt="202" type="#_x0000_t202" style="position:absolute;left:4147820;top:333375;height:252095;width:32639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gkCmPNUAAAAJAQAADwAAAAAAAAABACAAAAA4AAAAZHJzL2Rvd25yZXYueG1s&#10;UEsBAhQAFAAAAAgAh07iQC9+bCHlAQAAqAMAAA4AAAAAAAAAAQAgAAAAOgEAAGRycy9lMm9Eb2Mu&#10;eG1sUEsFBgAAAAAGAAYAWQEAAJEFAAAAAA==&#10;">
                        <v:fill on="f" focussize="0,0"/>
                        <v:stroke on="f" joinstyle="miter" dashstyle="dash"/>
                        <v:imagedata o:title=""/>
                        <o:lock v:ext="edit" aspectratio="f"/>
                        <v:textbox>
                          <w:txbxContent>
                            <w:p>
                              <w:pPr>
                                <w:jc w:val="center"/>
                                <w:rPr>
                                  <w:rFonts w:ascii="Times New Roman" w:hAnsi="Times New Roman" w:cs="Times New Roman"/>
                                  <w:sz w:val="21"/>
                                  <w:szCs w:val="20"/>
                                </w:rPr>
                              </w:pPr>
                              <w:r>
                                <w:rPr>
                                  <w:rFonts w:ascii="Times New Roman" w:hAnsi="Times New Roman" w:cs="Times New Roman"/>
                                  <w:sz w:val="21"/>
                                  <w:szCs w:val="20"/>
                                </w:rPr>
                                <w:t>N</w:t>
                              </w:r>
                            </w:p>
                            <w:p>
                              <w:pPr>
                                <w:rPr>
                                  <w:rFonts w:ascii="Times New Roman" w:hAnsi="Times New Roman" w:cs="Times New Roman"/>
                                  <w:sz w:val="21"/>
                                  <w:szCs w:val="21"/>
                                </w:rPr>
                              </w:pPr>
                            </w:p>
                          </w:txbxContent>
                        </v:textbox>
                      </v:shape>
                      <v:shape id="文本框 521" o:spid="_x0000_s1026" o:spt="202" type="#_x0000_t202" style="position:absolute;left:2389505;top:901065;height:252095;width:32766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QKY81QAAAAkBAAAPAAAAAAAAAAEAIAAAADgAAABkcnMvZG93bnJldi54&#10;bWxQSwECFAAUAAAACACHTuJADQrAIecBAACoAwAADgAAAAAAAAABACAAAAA6AQAAZHJzL2Uyb0Rv&#10;Yy54bWxQSwUGAAAAAAYABgBZAQAAkwUAAAAA&#10;">
                        <v:fill on="f" focussize="0,0"/>
                        <v:stroke on="f" joinstyle="miter" dashstyle="dash"/>
                        <v:imagedata o:title=""/>
                        <o:lock v:ext="edit" aspectratio="f"/>
                        <v:textbox>
                          <w:txbxContent>
                            <w:p>
                              <w:pPr>
                                <w:jc w:val="center"/>
                                <w:rPr>
                                  <w:rFonts w:ascii="Times New Roman" w:hAnsi="Times New Roman" w:cs="Times New Roman"/>
                                  <w:sz w:val="21"/>
                                  <w:szCs w:val="21"/>
                                </w:rPr>
                              </w:pPr>
                              <w:r>
                                <w:rPr>
                                  <w:rFonts w:ascii="Times New Roman" w:hAnsi="Times New Roman" w:cs="Times New Roman"/>
                                  <w:sz w:val="21"/>
                                  <w:szCs w:val="20"/>
                                </w:rPr>
                                <w:t>N</w:t>
                              </w:r>
                            </w:p>
                          </w:txbxContent>
                        </v:textbox>
                      </v:shape>
                      <v:shape id="文本框 522" o:spid="_x0000_s1026" o:spt="202" type="#_x0000_t202" style="position:absolute;left:411480;top:321310;height:271145;width:489585;"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JApjzVAAAACQEAAA8AAAAAAAAAAQAgAAAAOAAAAGRycy9kb3ducmV2LnhtbFBL&#10;AQIUABQAAAAIAIdO4kDuM7bx4wEAAKcDAAAOAAAAAAAAAAEAIAAAADoBAABkcnMvZTJvRG9jLnht&#10;bFBLBQYAAAAABgAGAFkBAACPBQAAAAA=&#10;">
                        <v:fill on="f" focussize="0,0"/>
                        <v:stroke on="f" joinstyle="miter" dashstyle="dash"/>
                        <v:imagedata o:title=""/>
                        <o:lock v:ext="edit" aspectratio="f"/>
                        <v:textbo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v:textbox>
                      </v:shape>
                      <v:shape id="文本框 524" o:spid="_x0000_s1026" o:spt="202" type="#_x0000_t202" style="position:absolute;left:2992755;top:6985;height:252095;width:44069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JApjzVAAAACQEAAA8AAAAAAAAAAQAgAAAAOAAAAGRycy9kb3ducmV2Lnht&#10;bFBLAQIUABQAAAAIAIdO4kAEfQGd5gEAAKYDAAAOAAAAAAAAAAEAIAAAADoBAABkcnMvZTJvRG9j&#10;LnhtbFBLBQYAAAAABgAGAFkBAACSBQAAAAA=&#10;">
                        <v:fill on="f" focussize="0,0"/>
                        <v:stroke on="f" joinstyle="miter" dashstyle="dash"/>
                        <v:imagedata o:title=""/>
                        <o:lock v:ext="edit" aspectratio="f"/>
                        <v:textbox>
                          <w:txbxContent>
                            <w:p>
                              <w:pPr>
                                <w:autoSpaceDE/>
                                <w:autoSpaceDN/>
                                <w:adjustRightInd w:val="0"/>
                                <w:snapToGrid w:val="0"/>
                                <w:ind w:left="-110" w:leftChars="-50" w:right="-110" w:rightChars="-50"/>
                                <w:rPr>
                                  <w:rFonts w:ascii="Times New Roman" w:hAnsi="Times New Roman" w:cs="Times New Roman"/>
                                  <w:sz w:val="21"/>
                                  <w:szCs w:val="20"/>
                                </w:rPr>
                              </w:pPr>
                              <w:r>
                                <w:rPr>
                                  <w:rFonts w:ascii="Times New Roman" w:hAnsi="Times New Roman" w:cs="Times New Roman"/>
                                  <w:sz w:val="21"/>
                                  <w:szCs w:val="20"/>
                                </w:rPr>
                                <w:t>G</w:t>
                              </w:r>
                              <w:r>
                                <w:rPr>
                                  <w:rFonts w:ascii="Times New Roman" w:hAnsi="Times New Roman" w:cs="Times New Roman"/>
                                  <w:sz w:val="21"/>
                                  <w:szCs w:val="20"/>
                                  <w:vertAlign w:val="subscript"/>
                                  <w:lang w:val="en-US"/>
                                </w:rPr>
                                <w:t>0</w:t>
                              </w:r>
                            </w:p>
                            <w:p>
                              <w:pPr>
                                <w:autoSpaceDE/>
                                <w:autoSpaceDN/>
                                <w:adjustRightInd w:val="0"/>
                                <w:snapToGrid w:val="0"/>
                                <w:ind w:left="-110" w:leftChars="-50" w:right="-110" w:rightChars="-50"/>
                                <w:rPr>
                                  <w:rFonts w:ascii="Times New Roman" w:hAnsi="Times New Roman" w:cs="Times New Roman"/>
                                  <w:color w:val="FF0000"/>
                                  <w:sz w:val="21"/>
                                  <w:szCs w:val="21"/>
                                  <w14:textOutline w14:w="9525" w14:cap="flat" w14:cmpd="sng" w14:algn="ctr">
                                    <w14:solidFill>
                                      <w14:srgbClr w14:val="000000"/>
                                    </w14:solidFill>
                                    <w14:prstDash w14:val="solid"/>
                                    <w14:round/>
                                  </w14:textOutline>
                                </w:rPr>
                              </w:pPr>
                            </w:p>
                          </w:txbxContent>
                        </v:textbox>
                      </v:shape>
                      <v:line id="直接连接符 525" o:spid="_x0000_s1026" o:spt="20" style="position:absolute;left:4431030;top:30988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eOwh32QAAAAkBAAAPAAAAAAAAAAEAIAAAADgAAABkcnMvZG93bnJl&#10;di54bWxQSwECFAAUAAAACACHTuJAy4hiBuYBAACbAwAADgAAAAAAAAABACAAAAA+AQAAZHJzL2Uy&#10;b0RvYy54bWxQSwUGAAAAAAYABgBZAQAAlgUAAAAA&#10;">
                        <v:fill on="f" focussize="0,0"/>
                        <v:stroke color="#000000" joinstyle="round" endarrow="block"/>
                        <v:imagedata o:title=""/>
                        <o:lock v:ext="edit" aspectratio="f"/>
                      </v:line>
                      <v:line id="直接连接符 526" o:spid="_x0000_s1026" o:spt="20" style="position:absolute;left:3528060;top:238760;height:377190;width:8255;"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47CHfZAAAACQEAAA8AAAAAAAAAAQAgAAAAOAAAAGRycy9kb3du&#10;cmV2LnhtbFBLAQIUABQAAAAIAIdO4kDrzS196AEAAJ4DAAAOAAAAAAAAAAEAIAAAAD4BAABkcnMv&#10;ZTJvRG9jLnhtbFBLBQYAAAAABgAGAFkBAACYBQAAAAA=&#10;">
                        <v:fill on="f" focussize="0,0"/>
                        <v:stroke color="#000000" joinstyle="round" endarrow="block"/>
                        <v:imagedata o:title=""/>
                        <o:lock v:ext="edit" aspectratio="f"/>
                      </v:line>
                      <v:line id="直接连接符 527" o:spid="_x0000_s1026" o:spt="20" style="position:absolute;left:2446655;top:30988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jsId9kAAAAJAQAADwAAAAAAAAABACAAAAA4AAAAZHJzL2Rvd25y&#10;ZXYueG1sUEsBAhQAFAAAAAgAh07iQN+5tcTnAQAAmwMAAA4AAAAAAAAAAQAgAAAAPgEAAGRycy9l&#10;Mm9Eb2MueG1sUEsFBgAAAAAGAAYAWQEAAJcFAAAAAA==&#10;">
                        <v:fill on="f" focussize="0,0"/>
                        <v:stroke color="#000000" joinstyle="round" endarrow="block"/>
                        <v:imagedata o:title=""/>
                        <o:lock v:ext="edit" aspectratio="f"/>
                      </v:line>
                      <v:line id="_x0000_s1026" o:spid="_x0000_s1026" o:spt="20" style="position:absolute;left:1709420;top:30988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jsId9kAAAAJAQAADwAAAAAAAAABACAAAAA4AAAAZHJzL2Rvd25yZXYu&#10;eG1sUEsBAhQAFAAAAAgAh07iQEKaeOnkAQAAnAMAAA4AAAAAAAAAAQAgAAAAPgEAAGRycy9lMm9E&#10;b2MueG1sUEsFBgAAAAAGAAYAWQEAAJQFAAAAAA==&#10;">
                        <v:fill on="f" focussize="0,0"/>
                        <v:stroke color="#000000" joinstyle="round" endarrow="block"/>
                        <v:imagedata o:title=""/>
                        <o:lock v:ext="edit" aspectratio="f"/>
                      </v:line>
                      <v:line id="直接连接符 529" o:spid="_x0000_s1026" o:spt="20" style="position:absolute;left:1052195;top:30988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jsId9kAAAAJAQAADwAAAAAAAAABACAAAAA4AAAAZHJzL2Rvd25yZXYu&#10;eG1sUEsBAhQAFAAAAAgAh07iQIpacLvkAQAAmwMAAA4AAAAAAAAAAQAgAAAAPgEAAGRycy9lMm9E&#10;b2MueG1sUEsFBgAAAAAGAAYAWQEAAJQFAAAAAA==&#10;">
                        <v:fill on="f" focussize="0,0"/>
                        <v:stroke color="#000000" joinstyle="round" endarrow="block"/>
                        <v:imagedata o:title=""/>
                        <o:lock v:ext="edit" aspectratio="f"/>
                      </v:line>
                      <v:line id="直接连接符 530" o:spid="_x0000_s1026" o:spt="20" style="position:absolute;left:363855;top:309880;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eOwh32QAAAAkBAAAPAAAAAAAAAAEAIAAAADgAAABkcnMvZG93bnJldi54&#10;bWxQSwECFAAUAAAACACHTuJA1WH1JuMBAACaAwAADgAAAAAAAAABACAAAAA+AQAAZHJzL2Uyb0Rv&#10;Yy54bWxQSwUGAAAAAAYABgBZAQAAkwUAAAAA&#10;">
                        <v:fill on="f" focussize="0,0"/>
                        <v:stroke color="#000000" joinstyle="round" endarrow="block"/>
                        <v:imagedata o:title=""/>
                        <o:lock v:ext="edit" aspectratio="f"/>
                      </v:line>
                      <v:rect id="矩形 531" o:spid="_x0000_s1026" o:spt="1" style="position:absolute;left:4222750;top:612140;height:245110;width:467360;"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9N9nHYAAAACQEA&#10;AA8AAAAAAAAAAQAgAAAAOAAAAGRycy9kb3ducmV2LnhtbFBLAQIUABQAAAAIAIdO4kANGRmNBAIA&#10;AO4DAAAOAAAAAAAAAAEAIAAAAD0BAABkcnMvZTJvRG9jLnhtbFBLBQYAAAAABgAGAFkBAACzBQAA&#10;AAA=&#10;">
                        <v:fill on="f" focussize="0,0"/>
                        <v:stroke color="#000000" joinstyle="miter"/>
                        <v:imagedata o:title=""/>
                        <o:lock v:ext="edit" aspectratio="f"/>
                        <v:textbox inset="0mm,0.5mm,0mm,0.5mm">
                          <w:txbxContent>
                            <w:p>
                              <w:pPr>
                                <w:jc w:val="center"/>
                              </w:pPr>
                              <w:r>
                                <w:rPr>
                                  <w:rFonts w:hint="eastAsia"/>
                                </w:rPr>
                                <w:t>水槽</w:t>
                              </w:r>
                            </w:p>
                          </w:txbxContent>
                        </v:textbox>
                      </v:rect>
                      <v:rect id="矩形 532" o:spid="_x0000_s1026" o:spt="1" style="position:absolute;left:2917190;top:612140;height:254635;width:111061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fTfZx2AAAAAkB&#10;AAAPAAAAAAAAAAEAIAAAADgAAABkcnMvZG93bnJldi54bWxQSwECFAAUAAAACACHTuJAmA/YcwUC&#10;AADvAwAADgAAAAAAAAABACAAAAA9AQAAZHJzL2Uyb0RvYy54bWxQSwUGAAAAAAYABgBZAQAAtAUA&#10;AAAA&#10;">
                        <v:fill on="f" focussize="0,0"/>
                        <v:stroke color="#000000" joinstyle="miter"/>
                        <v:imagedata o:title=""/>
                        <o:lock v:ext="edit" aspectratio="f"/>
                        <v:textbox inset="0mm,0.5mm,0mm,0.5mm">
                          <w:txbxContent>
                            <w:p>
                              <w:pPr>
                                <w:jc w:val="center"/>
                              </w:pPr>
                              <w:r>
                                <w:rPr>
                                  <w:rFonts w:hint="eastAsia"/>
                                  <w:sz w:val="21"/>
                                  <w:szCs w:val="21"/>
                                </w:rPr>
                                <w:t>骨料配料仓</w:t>
                              </w:r>
                            </w:p>
                          </w:txbxContent>
                        </v:textbox>
                      </v:rect>
                      <v:rect id="_x0000_s1026" o:spid="_x0000_s1026" o:spt="1" style="position:absolute;left:1543050;top:612140;height:2451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9N9nHYAAAACQEA&#10;AA8AAAAAAAAAAQAgAAAAOAAAAGRycy9kb3ducmV2LnhtbFBLAQIUABQAAAAIAIdO4kC0IIvnBAIA&#10;AO8DAAAOAAAAAAAAAAEAIAAAAD0BAABkcnMvZTJvRG9jLnhtbFBLBQYAAAAABgAGAFkBAACzBQAA&#10;AAA=&#10;">
                        <v:fill on="f" focussize="0,0"/>
                        <v:stroke color="#000000" joinstyle="miter"/>
                        <v:imagedata o:title=""/>
                        <o:lock v:ext="edit" aspectratio="f"/>
                        <v:textbox inset="0mm,0.5mm,0mm,0.5mm">
                          <w:txbxContent>
                            <w:p>
                              <w:pPr>
                                <w:jc w:val="center"/>
                              </w:pPr>
                              <w:r>
                                <w:rPr>
                                  <w:rFonts w:hint="eastAsia"/>
                                </w:rPr>
                                <w:t>矿粉仓</w:t>
                              </w:r>
                            </w:p>
                          </w:txbxContent>
                        </v:textbox>
                      </v:rect>
                      <v:rect id="矩形 534" o:spid="_x0000_s1026" o:spt="1" style="position:absolute;left:792480;top:612140;height:254635;width:535940;"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9N9nHYAAAACQEA&#10;AA8AAAAAAAAAAQAgAAAAOAAAAGRycy9kb3ducmV2LnhtbFBLAQIUABQAAAAIAIdO4kChBFqIBAIA&#10;AO0DAAAOAAAAAAAAAAEAIAAAAD0BAABkcnMvZTJvRG9jLnhtbFBLBQYAAAAABgAGAFkBAACzBQAA&#10;AAA=&#10;">
                        <v:fill on="f" focussize="0,0"/>
                        <v:stroke color="#000000" joinstyle="miter"/>
                        <v:imagedata o:title=""/>
                        <o:lock v:ext="edit" aspectratio="f"/>
                        <v:textbox inset="0mm,0.5mm,0mm,0.5mm">
                          <w:txbxContent>
                            <w:p>
                              <w:pPr>
                                <w:jc w:val="center"/>
                              </w:pPr>
                              <w:r>
                                <w:rPr>
                                  <w:rFonts w:hint="eastAsia"/>
                                </w:rPr>
                                <w:t>煤灰仓</w:t>
                              </w:r>
                            </w:p>
                          </w:txbxContent>
                        </v:textbox>
                      </v:rect>
                      <v:rect id="矩形 535" o:spid="_x0000_s1026" o:spt="1" style="position:absolute;left:149225;top:612140;height:2451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H032cdgAAAAJAQAADwAA&#10;AAAAAAABACAAAAA4AAAAZHJzL2Rvd25yZXYueG1sUEsBAhQAFAAAAAgAh07iQGKS3zUAAgAA7QMA&#10;AA4AAAAAAAAAAQAgAAAAPQEAAGRycy9lMm9Eb2MueG1sUEsFBgAAAAAGAAYAWQEAAK8FAAAAAA==&#10;">
                        <v:fill on="f" focussize="0,0"/>
                        <v:stroke color="#000000" joinstyle="miter"/>
                        <v:imagedata o:title=""/>
                        <o:lock v:ext="edit" aspectratio="f"/>
                        <v:textbox inset="0mm,0.5mm,0mm,0.5mm">
                          <w:txbxContent>
                            <w:p>
                              <w:pPr>
                                <w:jc w:val="center"/>
                              </w:pPr>
                              <w:r>
                                <w:rPr>
                                  <w:rFonts w:hint="eastAsia"/>
                                </w:rPr>
                                <w:t>水泥仓</w:t>
                              </w:r>
                            </w:p>
                          </w:txbxContent>
                        </v:textbox>
                      </v:rect>
                      <v:rect id="矩形 536" o:spid="_x0000_s1026" o:spt="1" style="position:absolute;left:2099310;top:612140;height:234950;width:68897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9N9nHYAAAACQEA&#10;AA8AAAAAAAAAAQAgAAAAOAAAAGRycy9kb3ducmV2LnhtbFBLAQIUABQAAAAIAIdO4kBsUE7PBAIA&#10;AO4DAAAOAAAAAAAAAAEAIAAAAD0BAABkcnMvZTJvRG9jLnhtbFBLBQYAAAAABgAGAFkBAACzBQAA&#10;AAA=&#10;">
                        <v:fill on="f" focussize="0,0"/>
                        <v:stroke color="#000000" joinstyle="miter"/>
                        <v:imagedata o:title=""/>
                        <o:lock v:ext="edit" aspectratio="f"/>
                        <v:textbox inset="0mm,0.5mm,0mm,0.5mm">
                          <w:txbxContent>
                            <w:p>
                              <w:pPr>
                                <w:jc w:val="center"/>
                              </w:pPr>
                              <w:r>
                                <w:rPr>
                                  <w:rFonts w:hint="eastAsia"/>
                                </w:rPr>
                                <w:t>储罐</w:t>
                              </w:r>
                            </w:p>
                          </w:txbxContent>
                        </v:textbox>
                      </v:rect>
                      <v:shape id="文本框 537" o:spid="_x0000_s1026" o:spt="202" type="#_x0000_t202" style="position:absolute;left:2914015;top:371475;height:252095;width:46990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JApjzVAAAACQEAAA8AAAAAAAAAAQAgAAAAOAAAAGRycy9kb3ducmV2&#10;LnhtbFBLAQIUABQAAAAIAIdO4kBMolVR6QEAAKgDAAAOAAAAAAAAAAEAIAAAADoBAABkcnMvZTJv&#10;RG9jLnhtbFBLBQYAAAAABgAGAFkBAACVBQAAAAA=&#10;">
                        <v:fill on="f" focussize="0,0"/>
                        <v:stroke on="f" joinstyle="miter" dashstyle="dash"/>
                        <v:imagedata o:title=""/>
                        <o:lock v:ext="edit" aspectratio="f"/>
                        <v:textbox>
                          <w:txbxContent>
                            <w:p>
                              <w:pPr>
                                <w:autoSpaceDE/>
                                <w:autoSpaceDN/>
                                <w:adjustRightInd w:val="0"/>
                                <w:snapToGrid w:val="0"/>
                                <w:ind w:left="-110" w:leftChars="-50" w:right="-110" w:rightChars="-50"/>
                                <w:jc w:val="center"/>
                                <w:rPr>
                                  <w:rFonts w:ascii="Times New Roman" w:hAnsi="Times New Roman" w:cs="Times New Roman"/>
                                  <w:sz w:val="21"/>
                                  <w:szCs w:val="21"/>
                                  <w:lang w:val="en-US"/>
                                </w:rPr>
                              </w:pPr>
                              <w:r>
                                <w:rPr>
                                  <w:rFonts w:ascii="Times New Roman" w:hAnsi="Times New Roman" w:cs="Times New Roman"/>
                                  <w:sz w:val="21"/>
                                  <w:szCs w:val="20"/>
                                </w:rPr>
                                <w:t>G</w:t>
                              </w:r>
                              <w:r>
                                <w:rPr>
                                  <w:rFonts w:ascii="Times New Roman" w:hAnsi="Times New Roman" w:cs="Times New Roman"/>
                                  <w:sz w:val="21"/>
                                  <w:szCs w:val="20"/>
                                  <w:vertAlign w:val="subscript"/>
                                  <w:lang w:val="en-US"/>
                                </w:rPr>
                                <w:t>2</w:t>
                              </w:r>
                              <w:r>
                                <w:rPr>
                                  <w:rFonts w:ascii="Times New Roman" w:hAnsi="Times New Roman" w:cs="Times New Roman"/>
                                  <w:sz w:val="21"/>
                                  <w:szCs w:val="20"/>
                                </w:rPr>
                                <w:t>、</w:t>
                              </w:r>
                              <w:r>
                                <w:rPr>
                                  <w:rFonts w:ascii="Times New Roman" w:hAnsi="Times New Roman" w:cs="Times New Roman"/>
                                  <w:sz w:val="21"/>
                                  <w:szCs w:val="20"/>
                                  <w:lang w:val="en-US"/>
                                </w:rPr>
                                <w:t>N</w:t>
                              </w:r>
                            </w:p>
                          </w:txbxContent>
                        </v:textbox>
                      </v:shape>
                      <v:line id="直接连接符 538" o:spid="_x0000_s1026" o:spt="20" style="position:absolute;left:4436745;top:866140;height:297180;width:635;"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jsId9kAAAAJAQAADwAAAAAAAAABACAAAAA4AAAAZHJzL2Rv&#10;d25yZXYueG1sUEsBAhQAFAAAAAgAh07iQLLVxFbqAQAAnQMAAA4AAAAAAAAAAQAgAAAAPgEAAGRy&#10;cy9lMm9Eb2MueG1sUEsFBgAAAAAGAAYAWQEAAJoFAAAAAA==&#10;">
                        <v:fill on="f" focussize="0,0"/>
                        <v:stroke color="#000000" joinstyle="round" endarrow="block"/>
                        <v:imagedata o:title=""/>
                        <o:lock v:ext="edit" aspectratio="f"/>
                      </v:line>
                      <v:line id="直接连接符 539" o:spid="_x0000_s1026" o:spt="20" style="position:absolute;left:3526790;top:873125;height:306705;width:127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eOwh32QAAAAkBAAAPAAAAAAAAAAEA&#10;IAAAADgAAABkcnMvZG93bnJldi54bWxQSwECFAAUAAAACACHTuJA6jkqXvgBAADFAwAADgAAAAAA&#10;AAABACAAAAA+AQAAZHJzL2Uyb0RvYy54bWxQSwUGAAAAAAYABgBZAQAAqAUAAAAA&#10;">
                        <v:fill on="f" focussize="0,0"/>
                        <v:stroke color="#000000" joinstyle="round" endarrow="block"/>
                        <v:imagedata o:title=""/>
                        <o:lock v:ext="edit" aspectratio="f"/>
                      </v:line>
                      <v:line id="直接连接符 541" o:spid="_x0000_s1026" o:spt="20" style="position:absolute;left:2446655;top:883285;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47CHfZAAAACQEAAA8AAAAAAAAAAQAgAAAAOAAAAGRycy9kb3du&#10;cmV2LnhtbFBLAQIUABQAAAAIAIdO4kCj1vmL6AEAAJsDAAAOAAAAAAAAAAEAIAAAAD4BAABkcnMv&#10;ZTJvRG9jLnhtbFBLBQYAAAAABgAGAFkBAACYBQAAAAA=&#10;">
                        <v:fill on="f" focussize="0,0"/>
                        <v:stroke color="#000000" joinstyle="round" endarrow="block"/>
                        <v:imagedata o:title=""/>
                        <o:lock v:ext="edit" aspectratio="f"/>
                      </v:line>
                      <v:line id="_x0000_s1026" o:spid="_x0000_s1026" o:spt="20" style="position:absolute;left:1750695;top:883285;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47CHfZAAAACQEAAA8AAAAAAAAAAQAgAAAAOAAAAGRycy9kb3du&#10;cmV2LnhtbFBLAQIUABQAAAAIAIdO4kAMAzR76AEAAJwDAAAOAAAAAAAAAAEAIAAAAD4BAABkcnMv&#10;ZTJvRG9jLnhtbFBLBQYAAAAABgAGAFkBAACYBQAAAAA=&#10;">
                        <v:fill on="f" focussize="0,0"/>
                        <v:stroke color="#000000" joinstyle="round" endarrow="block"/>
                        <v:imagedata o:title=""/>
                        <o:lock v:ext="edit" aspectratio="f"/>
                      </v:line>
                      <v:line id="直接连接符 543" o:spid="_x0000_s1026" o:spt="20" style="position:absolute;left:1007110;top:878205;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jsId9kAAAAJAQAADwAAAAAAAAABACAAAAA4AAAAZHJzL2Rvd25y&#10;ZXYueG1sUEsBAhQAFAAAAAgAh07iQCV74AvnAQAAmwMAAA4AAAAAAAAAAQAgAAAAPgEAAGRycy9l&#10;Mm9Eb2MueG1sUEsFBgAAAAAGAAYAWQEAAJcFAAAAAA==&#10;">
                        <v:fill on="f" focussize="0,0"/>
                        <v:stroke color="#000000" joinstyle="round" endarrow="block"/>
                        <v:imagedata o:title=""/>
                        <o:lock v:ext="edit" aspectratio="f"/>
                      </v:line>
                      <v:line id="直接连接符 544" o:spid="_x0000_s1026" o:spt="20" style="position:absolute;left:363855;top:878205;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jsId9kAAAAJAQAADwAAAAAAAAABACAAAAA4AAAAZHJzL2Rvd25y&#10;ZXYueG1sUEsBAhQAFAAAAAgAh07iQKy9vUvnAQAAmgMAAA4AAAAAAAAAAQAgAAAAPgEAAGRycy9l&#10;Mm9Eb2MueG1sUEsFBgAAAAAGAAYAWQEAAJcFAAAAAA==&#10;">
                        <v:fill on="f" focussize="0,0"/>
                        <v:stroke color="#000000" joinstyle="round" endarrow="block"/>
                        <v:imagedata o:title=""/>
                        <o:lock v:ext="edit" aspectratio="f"/>
                      </v:line>
                      <v:rect id="矩形 545" o:spid="_x0000_s1026" o:spt="1" style="position:absolute;left:4213860;top:1190625;height:2070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H032cdgAAAAJAQAA&#10;DwAAAAAAAAABACAAAAA4AAAAZHJzL2Rvd25yZXYueG1sUEsBAhQAFAAAAAgAh07iQINBxBcDAgAA&#10;7wMAAA4AAAAAAAAAAQAgAAAAPQEAAGRycy9lMm9Eb2MueG1sUEsFBgAAAAAGAAYAWQEAALIFAAAA&#10;AA==&#10;">
                        <v:fill on="f" focussize="0,0"/>
                        <v:stroke color="#000000" joinstyle="miter"/>
                        <v:imagedata o:title=""/>
                        <o:lock v:ext="edit" aspectratio="f"/>
                        <v:textbox inset="0mm,0.5mm,0mm,0.5mm">
                          <w:txbxContent>
                            <w:p>
                              <w:pPr>
                                <w:jc w:val="center"/>
                              </w:pPr>
                              <w:r>
                                <w:rPr>
                                  <w:rFonts w:hint="eastAsia"/>
                                </w:rPr>
                                <w:t>计量斗</w:t>
                              </w:r>
                            </w:p>
                          </w:txbxContent>
                        </v:textbox>
                      </v:rect>
                      <v:rect id="_x0000_s1026" o:spid="_x0000_s1026" o:spt="1" style="position:absolute;left:1527175;top:1190625;height:2070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H032cdgAAAAJAQAADwAA&#10;AAAAAAABACAAAAA4AAAAZHJzL2Rvd25yZXYueG1sUEsBAhQAFAAAAAgAh07iQMnDcE4AAgAA8AMA&#10;AA4AAAAAAAAAAQAgAAAAPQEAAGRycy9lMm9Eb2MueG1sUEsFBgAAAAAGAAYAWQEAAK8FAAAAAA==&#10;">
                        <v:fill on="f" focussize="0,0"/>
                        <v:stroke color="#000000" joinstyle="miter"/>
                        <v:imagedata o:title=""/>
                        <o:lock v:ext="edit" aspectratio="f"/>
                        <v:textbox inset="0mm,0.5mm,0mm,0.5mm">
                          <w:txbxContent>
                            <w:p>
                              <w:pPr>
                                <w:jc w:val="center"/>
                              </w:pPr>
                              <w:r>
                                <w:rPr>
                                  <w:rFonts w:hint="eastAsia"/>
                                </w:rPr>
                                <w:t>计量斗</w:t>
                              </w:r>
                            </w:p>
                            <w:p/>
                          </w:txbxContent>
                        </v:textbox>
                      </v:rect>
                      <v:rect id="矩形 549" o:spid="_x0000_s1026" o:spt="1" style="position:absolute;left:792480;top:1181100;height:216535;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fTfZx2AAAAAkB&#10;AAAPAAAAAAAAAAEAIAAAADgAAABkcnMvZG93bnJldi54bWxQSwECFAAUAAAACACHTuJAiuUqbgUC&#10;AADuAwAADgAAAAAAAAABACAAAAA9AQAAZHJzL2Uyb0RvYy54bWxQSwUGAAAAAAYABgBZAQAAtAUA&#10;AAAA&#10;">
                        <v:fill on="f" focussize="0,0"/>
                        <v:stroke color="#000000" joinstyle="miter"/>
                        <v:imagedata o:title=""/>
                        <o:lock v:ext="edit" aspectratio="f"/>
                        <v:textbox inset="0mm,0.5mm,0mm,0.5mm">
                          <w:txbxContent>
                            <w:p>
                              <w:pPr>
                                <w:jc w:val="center"/>
                              </w:pPr>
                              <w:r>
                                <w:rPr>
                                  <w:rFonts w:hint="eastAsia"/>
                                </w:rPr>
                                <w:t>计量斗</w:t>
                              </w:r>
                            </w:p>
                            <w:p>
                              <w:pPr>
                                <w:jc w:val="center"/>
                              </w:pPr>
                            </w:p>
                          </w:txbxContent>
                        </v:textbox>
                      </v:rect>
                      <v:rect id="矩形 550" o:spid="_x0000_s1026" o:spt="1" style="position:absolute;left:149225;top:1143000;height:254635;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fTfZx2AAAAAkBAAAPAAAA&#10;AAAAAAEAIAAAADgAAABkcnMvZG93bnJldi54bWxQSwECFAAUAAAACACHTuJArFc9Tf8BAADuAwAA&#10;DgAAAAAAAAABACAAAAA9AQAAZHJzL2Uyb0RvYy54bWxQSwUGAAAAAAYABgBZAQAArgUAAAAA&#10;">
                        <v:fill on="f" focussize="0,0"/>
                        <v:stroke color="#000000" joinstyle="miter"/>
                        <v:imagedata o:title=""/>
                        <o:lock v:ext="edit" aspectratio="f"/>
                        <v:textbox inset="0mm,0.5mm,0mm,0.5mm">
                          <w:txbxContent>
                            <w:p>
                              <w:pPr>
                                <w:jc w:val="center"/>
                              </w:pPr>
                              <w:r>
                                <w:rPr>
                                  <w:rFonts w:hint="eastAsia"/>
                                </w:rPr>
                                <w:t>计量斗</w:t>
                              </w:r>
                            </w:p>
                            <w:p/>
                          </w:txbxContent>
                        </v:textbox>
                      </v:rect>
                      <v:rect id="矩形 551" o:spid="_x0000_s1026" o:spt="1" style="position:absolute;left:2234565;top:1190625;height:2070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fTfZx2AAAAAkBAAAP&#10;AAAAAAAAAAEAIAAAADgAAABkcnMvZG93bnJldi54bWxQSwECFAAUAAAACACHTuJAVEIt/gICAADv&#10;AwAADgAAAAAAAAABACAAAAA9AQAAZHJzL2Uyb0RvYy54bWxQSwUGAAAAAAYABgBZAQAAsQUAAAAA&#10;">
                        <v:fill on="f" focussize="0,0"/>
                        <v:stroke color="#000000" joinstyle="miter"/>
                        <v:imagedata o:title=""/>
                        <o:lock v:ext="edit" aspectratio="f"/>
                        <v:textbox inset="0mm,0.5mm,0mm,0.5mm">
                          <w:txbxContent>
                            <w:p>
                              <w:pPr>
                                <w:jc w:val="center"/>
                              </w:pPr>
                              <w:r>
                                <w:rPr>
                                  <w:rFonts w:hint="eastAsia"/>
                                </w:rPr>
                                <w:t>计量斗</w:t>
                              </w:r>
                            </w:p>
                            <w:p/>
                          </w:txbxContent>
                        </v:textbox>
                      </v:rect>
                      <v:line id="直接连接符 552" o:spid="_x0000_s1026" o:spt="20" style="position:absolute;left:3528060;top:1386840;height:334010;width:8255;" filled="f" stroked="t" coordsize="21600,21600" o:gfxdata="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vIvYO1wAAAAkBAAAPAAAAAAAAAAEAIAAAADgAAABk&#10;cnMvZG93bnJldi54bWxQSwECFAAUAAAACACHTuJAvDxjPPEBAADBAwAADgAAAAAAAAABACAAAAA8&#10;AQAAZHJzL2Uyb0RvYy54bWxQSwUGAAAAAAYABgBZAQAAnwUAAAAA&#10;">
                        <v:fill on="f" focussize="0,0"/>
                        <v:stroke color="#000000" joinstyle="round"/>
                        <v:imagedata o:title=""/>
                        <o:lock v:ext="edit" aspectratio="f"/>
                      </v:line>
                      <v:line id="直接连接符 553" o:spid="_x0000_s1026" o:spt="20" style="position:absolute;left:4436745;top:1430655;height:306705;width:635;" filled="f" stroked="t" coordsize="21600,21600" o:gfxdata="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yL2DtcAAAAJAQAADwAAAAAAAAABACAAAAA4AAAAZHJzL2Rvd25yZXYueG1s&#10;UEsBAhQAFAAAAAgAh07iQEoA2VzjAQAAmgMAAA4AAAAAAAAAAQAgAAAAPAEAAGRycy9lMm9Eb2Mu&#10;eG1sUEsFBgAAAAAGAAYAWQEAAJEFAAAAAA==&#10;">
                        <v:fill on="f" focussize="0,0"/>
                        <v:stroke color="#000000" joinstyle="round"/>
                        <v:imagedata o:title=""/>
                        <o:lock v:ext="edit" aspectratio="f"/>
                      </v:line>
                      <v:line id="直接连接符 555" o:spid="_x0000_s1026" o:spt="20" style="position:absolute;left:2449195;top:1397635;height:323215;width:1270;" filled="f" stroked="t" coordsize="21600,21600" o:gfxdata="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8i9g7XAAAACQEAAA8AAAAAAAAAAQAgAAAAOAAAAGRycy9kb3ducmV2&#10;LnhtbFBLAQIUABQAAAAIAIdO4kBxvdcr5wEAAJsDAAAOAAAAAAAAAAEAIAAAADwBAABkcnMvZTJv&#10;RG9jLnhtbFBLBQYAAAAABgAGAFkBAACVBQAAAAA=&#10;">
                        <v:fill on="f" focussize="0,0"/>
                        <v:stroke color="#000000" joinstyle="round"/>
                        <v:imagedata o:title=""/>
                        <o:lock v:ext="edit" aspectratio="f"/>
                      </v:line>
                      <v:line id="_x0000_s1026" o:spid="_x0000_s1026" o:spt="20" style="position:absolute;left:1736090;top:1397635;flip:x;height:332740;width:5715;" filled="f" stroked="t" coordsize="21600,21600" o:gfxdata="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lZYw0tcAAAAJAQAADwAAAAAA&#10;AAABACAAAAA4AAAAZHJzL2Rvd25yZXYueG1sUEsBAhQAFAAAAAgAh07iQARgscX+AQAA0QMAAA4A&#10;AAAAAAAAAQAgAAAAPAEAAGRycy9lMm9Eb2MueG1sUEsFBgAAAAAGAAYAWQEAAKwFAAAAAA==&#10;">
                        <v:fill on="f" focussize="0,0"/>
                        <v:stroke color="#000000" joinstyle="round"/>
                        <v:imagedata o:title=""/>
                        <o:lock v:ext="edit" aspectratio="f"/>
                      </v:line>
                      <v:line id="直接连接符 557" o:spid="_x0000_s1026" o:spt="20" style="position:absolute;left:1002665;top:1397635;flip:x;height:332740;width:4445;" filled="f" stroked="t" coordsize="21600,21600" o:gfxdata="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VljDS1wAAAAkBAAAPAAAAAAAAAAEAIAAAADgAAABkcnMvZG93&#10;bnJldi54bWxQSwECFAAUAAAACACHTuJAHxyoIusBAACoAwAADgAAAAAAAAABACAAAAA8AQAAZHJz&#10;L2Uyb0RvYy54bWxQSwUGAAAAAAYABgBZAQAAmQUAAAAA&#10;">
                        <v:fill on="f" focussize="0,0"/>
                        <v:stroke color="#000000" joinstyle="round"/>
                        <v:imagedata o:title=""/>
                        <o:lock v:ext="edit" aspectratio="f"/>
                      </v:line>
                      <v:line id="直接连接符 558" o:spid="_x0000_s1026" o:spt="20" style="position:absolute;left:354965;top:1402080;flip:x;height:334645;width:8890;" filled="f" stroked="t" coordsize="21600,21600" o:gfxdata="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lZYw0tcAAAAJAQAADwAAAAAAAAABACAAAAA4AAAAZHJzL2Rv&#10;d25yZXYueG1sUEsBAhQAFAAAAAgAh07iQA4VUYPsAQAApwMAAA4AAAAAAAAAAQAgAAAAPAEAAGRy&#10;cy9lMm9Eb2MueG1sUEsFBgAAAAAGAAYAWQEAAJoFAAAAAA==&#10;">
                        <v:fill on="f" focussize="0,0"/>
                        <v:stroke color="#000000" joinstyle="round"/>
                        <v:imagedata o:title=""/>
                        <o:lock v:ext="edit" aspectratio="f"/>
                      </v:line>
                      <v:line id="直接连接符 559" o:spid="_x0000_s1026" o:spt="20" style="position:absolute;left:2447925;top:1732916;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47CHfZAAAACQEAAA8AAAAAAAAAAQAgAAAAOAAAAGRycy9kb3du&#10;cmV2LnhtbFBLAQIUABQAAAAIAIdO4kBG+g8r6AEAAJwDAAAOAAAAAAAAAAEAIAAAAD4BAABkcnMv&#10;ZTJvRG9jLnhtbFBLBQYAAAAABgAGAFkBAACYBQAAAAA=&#10;">
                        <v:fill on="f" focussize="0,0"/>
                        <v:stroke color="#000000" joinstyle="round" endarrow="block"/>
                        <v:imagedata o:title=""/>
                        <o:lock v:ext="edit" aspectratio="f"/>
                      </v:line>
                      <v:shape id="文本框 560" o:spid="_x0000_s1026" o:spt="202" type="#_x0000_t202" style="position:absolute;left:708660;top:1990090;height:252095;width:946785;" filled="f" stroked="t" coordsize="21600,21600" o:gfxdata="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cvzI72QAAAAkBAAAPAAAAAAAAAAEA&#10;IAAAADgAAABkcnMvZG93bnJldi54bWxQSwECFAAUAAAACACHTuJAvPf4tvgBAADRAwAADgAAAAAA&#10;AAABACAAAAA+AQAAZHJzL2Uyb0RvYy54bWxQSwUGAAAAAAYABgBZAQAAqAUAAAAA&#10;">
                        <v:fill on="f" focussize="0,0"/>
                        <v:stroke color="#000000" joinstyle="miter" dashstyle="dash"/>
                        <v:imagedata o:title=""/>
                        <o:lock v:ext="edit" aspectratio="f"/>
                        <v:textbo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w:t>
                              </w:r>
                              <w:r>
                                <w:rPr>
                                  <w:rFonts w:ascii="Times New Roman" w:hAnsi="Times New Roman" w:cs="Times New Roman"/>
                                  <w:sz w:val="21"/>
                                  <w:szCs w:val="20"/>
                                  <w:lang w:val="en-US"/>
                                </w:rPr>
                                <w:t>W</w:t>
                              </w:r>
                              <w:r>
                                <w:rPr>
                                  <w:rFonts w:ascii="Times New Roman" w:hAnsi="Times New Roman" w:cs="Times New Roman"/>
                                  <w:sz w:val="21"/>
                                  <w:szCs w:val="20"/>
                                  <w:vertAlign w:val="subscript"/>
                                  <w:lang w:val="en-US"/>
                                </w:rPr>
                                <w:t>1</w:t>
                              </w:r>
                              <w:r>
                                <w:rPr>
                                  <w:rFonts w:ascii="Times New Roman" w:hAnsi="Times New Roman" w:cs="Times New Roman"/>
                                  <w:sz w:val="21"/>
                                  <w:szCs w:val="20"/>
                                  <w:lang w:val="en-US"/>
                                </w:rPr>
                                <w:t>、</w:t>
                              </w:r>
                              <w:r>
                                <w:rPr>
                                  <w:rFonts w:ascii="Times New Roman" w:hAnsi="Times New Roman" w:cs="Times New Roman"/>
                                  <w:sz w:val="21"/>
                                  <w:szCs w:val="20"/>
                                </w:rPr>
                                <w:t>G</w:t>
                              </w:r>
                              <w:r>
                                <w:rPr>
                                  <w:rFonts w:hint="eastAsia" w:ascii="Times New Roman" w:hAnsi="Times New Roman" w:cs="Times New Roman"/>
                                  <w:sz w:val="21"/>
                                  <w:szCs w:val="20"/>
                                  <w:vertAlign w:val="subscript"/>
                                  <w:lang w:val="en-US"/>
                                </w:rPr>
                                <w:t>4</w:t>
                              </w:r>
                            </w:p>
                            <w:p>
                              <w:pPr>
                                <w:autoSpaceDE/>
                                <w:autoSpaceDN/>
                                <w:snapToGrid w:val="0"/>
                                <w:ind w:left="-110" w:leftChars="-50" w:right="-110" w:rightChars="-50"/>
                                <w:rPr>
                                  <w:rFonts w:ascii="Times New Roman" w:hAnsi="Times New Roman" w:cs="Times New Roman"/>
                                  <w:sz w:val="21"/>
                                  <w:szCs w:val="20"/>
                                </w:rPr>
                              </w:pPr>
                            </w:p>
                          </w:txbxContent>
                        </v:textbox>
                      </v:shape>
                      <v:line id="直接连接符 561" o:spid="_x0000_s1026" o:spt="20" style="position:absolute;left:363855;top:1732915;height:0;width:4070985;" filled="f" stroked="t" coordsize="21600,21600" o:gfxdata="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yL2DtcAAAAJAQAADwAAAAAAAAABACAAAAA4AAAAZHJzL2Rvd25yZXYueG1s&#10;UEsBAhQAFAAAAAgAh07iQAgL11/jAQAAmAMAAA4AAAAAAAAAAQAgAAAAPAEAAGRycy9lMm9Eb2Mu&#10;eG1sUEsFBgAAAAAGAAYAWQEAAJEFAAAAAA==&#10;">
                        <v:fill on="f" focussize="0,0"/>
                        <v:stroke color="#000000" joinstyle="round"/>
                        <v:imagedata o:title=""/>
                        <o:lock v:ext="edit" aspectratio="f"/>
                      </v:line>
                      <v:line id="直接连接符 562" o:spid="_x0000_s1026" o:spt="20" style="position:absolute;left:2446655;top:2237106;height:268605;width:0;" filled="f" stroked="t" coordsize="21600,21600" o:gfxdata="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eOwh32QAAAAkBAAAPAAAAAAAAAAEAIAAAADgAAABkcnMvZG93bnJl&#10;di54bWxQSwECFAAUAAAACACHTuJAmLFgVuYBAACcAwAADgAAAAAAAAABACAAAAA+AQAAZHJzL2Uy&#10;b0RvYy54bWxQSwUGAAAAAAYABgBZAQAAlgUAAAAA&#10;">
                        <v:fill on="f" focussize="0,0"/>
                        <v:stroke color="#000000" joinstyle="round" endarrow="block"/>
                        <v:imagedata o:title=""/>
                        <o:lock v:ext="edit" aspectratio="f"/>
                      </v:line>
                      <v:rect id="矩形 563" o:spid="_x0000_s1026" o:spt="1" style="position:absolute;left:2024380;top:2007871;height:234950;width:857250;"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fTfZx2AAAAAkBAAAP&#10;AAAAAAAAAAEAIAAAADgAAABkcnMvZG93bnJldi54bWxQSwECFAAUAAAACACHTuJAaNITOgICAADv&#10;AwAADgAAAAAAAAABACAAAAA9AQAAZHJzL2Uyb0RvYy54bWxQSwUGAAAAAAYABgBZAQAAsQUAAAAA&#10;">
                        <v:fill on="f" focussize="0,0"/>
                        <v:stroke color="#000000" joinstyle="miter"/>
                        <v:imagedata o:title=""/>
                        <o:lock v:ext="edit" aspectratio="f"/>
                        <v:textbox inset="0mm,0.5mm,0mm,0.5mm">
                          <w:txbxContent>
                            <w:p>
                              <w:pPr>
                                <w:jc w:val="center"/>
                              </w:pPr>
                              <w:r>
                                <w:rPr>
                                  <w:rFonts w:hint="eastAsia"/>
                                </w:rPr>
                                <w:t>搅拌机</w:t>
                              </w:r>
                            </w:p>
                          </w:txbxContent>
                        </v:textbox>
                      </v:rect>
                      <v:rect id="矩形 565" o:spid="_x0000_s1026" o:spt="1" style="position:absolute;left:1857375;top:2520950;height:226060;width:1307465;" filled="f" stroked="f" coordsize="21600,21600" o:gfxdata="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Pxdn3/YAAAACQEAAA8AAAAAAAAAAQAgAAAAOAAA&#10;AGRycy9kb3ducmV2LnhtbFBLAQIUABQAAAAIAIdO4kAIvII78gEAAMcDAAAOAAAAAAAAAAEAIAAA&#10;AD0BAABkcnMvZTJvRG9jLnhtbFBLBQYAAAAABgAGAFkBAAChBQAAAAA=&#10;">
                        <v:fill on="f" focussize="0,0"/>
                        <v:stroke on="f" joinstyle="miter"/>
                        <v:imagedata o:title=""/>
                        <o:lock v:ext="edit" aspectratio="f"/>
                        <v:textbox inset="0mm,0.5mm,0mm,0.5mm">
                          <w:txbxContent>
                            <w:p>
                              <w:pPr>
                                <w:jc w:val="center"/>
                              </w:pPr>
                              <w:r>
                                <w:rPr>
                                  <w:rFonts w:hint="eastAsia"/>
                                </w:rPr>
                                <w:t>湿拌砂浆（外运）</w:t>
                              </w:r>
                            </w:p>
                          </w:txbxContent>
                        </v:textbox>
                      </v:rect>
                      <v:shape id="图片 57" o:spid="_x0000_s1026" o:spt="75" type="#_x0000_t75" style="position:absolute;left:3339465;top:1791970;height:673100;width:1333500;" filled="f" o:preferrelative="t" stroked="f" coordsize="21600,21600" o:gfxdata="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">
                        <v:fill on="f" focussize="0,0"/>
                        <v:stroke on="f"/>
                        <v:imagedata r:id="rId12" o:title=""/>
                        <o:lock v:ext="edit" aspectratio="t"/>
                      </v:shape>
                      <v:line id="直接连接符 571" o:spid="_x0000_s1026" o:spt="20" style="position:absolute;left:1655445;top:2116455;flip:x y;height:8890;width:368935;" filled="f" stroked="t" coordsize="21600,21600" o:gfxdata="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NuANNzXAAAACQEAAA8AAAAAAAAA&#10;AQAgAAAAOAAAAGRycy9kb3ducmV2LnhtbFBLAQIUABQAAAAIAIdO4kCqMLtr/AEAALgDAAAOAAAA&#10;AAAAAAEAIAAAADwBAABkcnMvZTJvRG9jLnhtbFBLBQYAAAAABgAGAFkBAACqBQAAAAA=&#10;">
                        <v:fill on="f" focussize="0,0"/>
                        <v:stroke color="#000000" joinstyle="round" dashstyle="dash" endarrow="block"/>
                        <v:imagedata o:title=""/>
                        <o:lock v:ext="edit" aspectratio="f"/>
                      </v:line>
                      <v:shape id="文本框 685" o:spid="_x0000_s1026" o:spt="202" type="#_x0000_t202" style="position:absolute;left:1084580;top:322580;height:271145;width:489585;"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gkCmPNUAAAAJAQAADwAAAAAAAAABACAAAAA4AAAAZHJzL2Rvd25yZXYueG1s&#10;UEsBAhQAFAAAAAgAh07iQBPeNhHlAQAAqAMAAA4AAAAAAAAAAQAgAAAAOgEAAGRycy9lMm9Eb2Mu&#10;eG1sUEsFBgAAAAAGAAYAWQEAAJEFAAAAAA==&#10;">
                        <v:fill on="f" focussize="0,0"/>
                        <v:stroke on="f" joinstyle="miter" dashstyle="dash"/>
                        <v:imagedata o:title=""/>
                        <o:lock v:ext="edit" aspectratio="f"/>
                        <v:textbo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v:textbox>
                      </v:shape>
                      <v:shape id="_x0000_s1026" o:spid="_x0000_s1026" o:spt="202" type="#_x0000_t202" style="position:absolute;left:1675130;top:303530;height:271145;width:489585;"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QKY81QAAAAkBAAAPAAAAAAAAAAEAIAAAADgAAABkcnMvZG93bnJldi54&#10;bWxQSwECFAAUAAAACACHTuJAdygNWOcBAACpAwAADgAAAAAAAAABACAAAAA6AQAAZHJzL2Uyb0Rv&#10;Yy54bWxQSwUGAAAAAAYABgBZAQAAkwUAAAAA&#10;">
                        <v:fill on="f" focussize="0,0"/>
                        <v:stroke on="f" joinstyle="miter" dashstyle="dash"/>
                        <v:imagedata o:title=""/>
                        <o:lock v:ext="edit" aspectratio="f"/>
                        <v:textbox>
                          <w:txbxContent>
                            <w:p>
                              <w:pPr>
                                <w:autoSpaceDE/>
                                <w:autoSpaceDN/>
                                <w:adjustRightInd w:val="0"/>
                                <w:ind w:left="-110" w:leftChars="-50" w:right="-110" w:rightChars="-50"/>
                                <w:jc w:val="center"/>
                                <w:rPr>
                                  <w:rFonts w:ascii="Times New Roman" w:hAnsi="Times New Roman" w:cs="Times New Roman"/>
                                  <w:sz w:val="21"/>
                                  <w:szCs w:val="21"/>
                                </w:rPr>
                              </w:pPr>
                              <w:r>
                                <w:rPr>
                                  <w:rFonts w:ascii="Times New Roman" w:hAnsi="Times New Roman" w:cs="Times New Roman"/>
                                  <w:sz w:val="21"/>
                                  <w:szCs w:val="20"/>
                                </w:rPr>
                                <w:t>G</w:t>
                              </w:r>
                              <w:r>
                                <w:rPr>
                                  <w:rFonts w:ascii="Times New Roman" w:hAnsi="Times New Roman" w:cs="Times New Roman"/>
                                  <w:sz w:val="21"/>
                                  <w:szCs w:val="20"/>
                                  <w:vertAlign w:val="subscript"/>
                                  <w:lang w:val="en-US"/>
                                </w:rPr>
                                <w:t>1</w:t>
                              </w:r>
                              <w:r>
                                <w:rPr>
                                  <w:rFonts w:ascii="Times New Roman" w:hAnsi="Times New Roman" w:cs="Times New Roman"/>
                                  <w:sz w:val="21"/>
                                  <w:szCs w:val="20"/>
                                </w:rPr>
                                <w:t>、</w:t>
                              </w:r>
                              <w:r>
                                <w:rPr>
                                  <w:rFonts w:ascii="Times New Roman" w:hAnsi="Times New Roman" w:cs="Times New Roman"/>
                                  <w:sz w:val="21"/>
                                  <w:szCs w:val="20"/>
                                  <w:lang w:val="en-US"/>
                                </w:rPr>
                                <w:t>N</w:t>
                              </w:r>
                            </w:p>
                          </w:txbxContent>
                        </v:textbox>
                      </v:shape>
                      <v:rect id="矩形 2" o:spid="_x0000_s1026" o:spt="1" style="position:absolute;left:3313430;top:1179830;height:207010;width:428625;" filled="f" stroked="t" coordsize="21600,21600" o:gfxdata="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9N9nHYAAAACQEAAA8A&#10;AAAAAAAAAQAgAAAAOAAAAGRycy9kb3ducmV2LnhtbFBLAQIUABQAAAAIAIdO4kD5baPPAQIAAO0D&#10;AAAOAAAAAAAAAAEAIAAAAD0BAABkcnMvZTJvRG9jLnhtbFBLBQYAAAAABgAGAFkBAACwBQAAAAA=&#10;">
                        <v:fill on="f" focussize="0,0"/>
                        <v:stroke color="#000000" joinstyle="miter"/>
                        <v:imagedata o:title=""/>
                        <o:lock v:ext="edit" aspectratio="f"/>
                        <v:textbox inset="0mm,0.5mm,0mm,0.5mm">
                          <w:txbxContent>
                            <w:p>
                              <w:r>
                                <w:rPr>
                                  <w:rFonts w:hint="eastAsia" w:ascii="Times New Roman" w:hAnsi="Times New Roman" w:cs="Times New Roman"/>
                                  <w:sz w:val="21"/>
                                  <w:szCs w:val="21"/>
                                  <w:lang w:val="en-US"/>
                                </w:rPr>
                                <w:t>称料斗</w:t>
                              </w:r>
                            </w:p>
                          </w:txbxContent>
                        </v:textbox>
                      </v:rect>
                      <v:shape id="文本框 70" o:spid="_x0000_s1026" o:spt="202" type="#_x0000_t202" style="position:absolute;left:340360;top:885190;height:241935;width:54737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CQKY81QAAAAkBAAAPAAAAAAAAAAEAIAAAADgAAABkcnMvZG93bnJldi54bWxQ&#10;SwECFAAUAAAACACHTuJAt/OXcOQBAACmAwAADgAAAAAAAAABACAAAAA6AQAAZHJzL2Uyb0RvYy54&#10;bWxQSwUGAAAAAAYABgBZAQAAkAUAAAAA&#10;">
                        <v:fill on="f" focussize="0,0"/>
                        <v:stroke on="f" joinstyle="miter" dashstyle="dash"/>
                        <v:imagedata o:title=""/>
                        <o:lock v:ext="edit" aspectratio="f"/>
                        <v:textbo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v:textbox>
                      </v:shape>
                      <v:shape id="文本框 71" o:spid="_x0000_s1026" o:spt="202" type="#_x0000_t202" style="position:absolute;left:989330;top:884555;height:241935;width:54737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JApjzVAAAACQEAAA8AAAAAAAAAAQAgAAAAOAAAAGRycy9kb3ducmV2Lnht&#10;bFBLAQIUABQAAAAIAIdO4kDQ6efv5gEAAKYDAAAOAAAAAAAAAAEAIAAAADoBAABkcnMvZTJvRG9j&#10;LnhtbFBLBQYAAAAABgAGAFkBAACSBQAAAAA=&#10;">
                        <v:fill on="f" focussize="0,0"/>
                        <v:stroke on="f" joinstyle="miter" dashstyle="dash"/>
                        <v:imagedata o:title=""/>
                        <o:lock v:ext="edit" aspectratio="f"/>
                        <v:textbo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v:textbox>
                      </v:shape>
                      <v:shape id="文本框 76" o:spid="_x0000_s1026" o:spt="202" type="#_x0000_t202" style="position:absolute;left:1751330;top:903605;height:241935;width:54737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gkCmPNUAAAAJAQAADwAAAAAAAAABACAAAAA4AAAAZHJzL2Rvd25yZXYu&#10;eG1sUEsBAhQAFAAAAAgAh07iQJcQGfHoAQAAqAMAAA4AAAAAAAAAAQAgAAAAOgEAAGRycy9lMm9E&#10;b2MueG1sUEsFBgAAAAAGAAYAWQEAAJQFAAAAAA==&#10;">
                        <v:fill on="f" focussize="0,0"/>
                        <v:stroke on="f" joinstyle="miter" dashstyle="dash"/>
                        <v:imagedata o:title=""/>
                        <o:lock v:ext="edit" aspectratio="f"/>
                        <v:textbo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3</w:t>
                              </w:r>
                            </w:p>
                            <w:p>
                              <w:pPr>
                                <w:autoSpaceDE/>
                                <w:autoSpaceDN/>
                                <w:snapToGrid w:val="0"/>
                                <w:ind w:left="-110" w:leftChars="-50" w:right="-110" w:rightChars="-50"/>
                                <w:rPr>
                                  <w:rFonts w:ascii="Times New Roman" w:hAnsi="Times New Roman" w:cs="Times New Roman"/>
                                  <w:sz w:val="21"/>
                                  <w:szCs w:val="20"/>
                                </w:rPr>
                              </w:pPr>
                            </w:p>
                          </w:txbxContent>
                        </v:textbox>
                      </v:shape>
                      <v:shape id="文本框 79" o:spid="_x0000_s1026" o:spt="202" type="#_x0000_t202" style="position:absolute;left:4427855;top:913130;height:252095;width:32766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QKY81QAAAAkBAAAPAAAAAAAAAAEAIAAAADgAAABkcnMvZG93bnJldi54&#10;bWxQSwECFAAUAAAACACHTuJALaXVDucBAACnAwAADgAAAAAAAAABACAAAAA6AQAAZHJzL2Uyb0Rv&#10;Yy54bWxQSwUGAAAAAAYABgBZAQAAkwUAAAAA&#10;">
                        <v:fill on="f" focussize="0,0"/>
                        <v:stroke on="f" joinstyle="miter" dashstyle="dash"/>
                        <v:imagedata o:title=""/>
                        <o:lock v:ext="edit" aspectratio="f"/>
                        <v:textbox>
                          <w:txbxContent>
                            <w:p>
                              <w:pPr>
                                <w:jc w:val="center"/>
                                <w:rPr>
                                  <w:rFonts w:ascii="Times New Roman" w:hAnsi="Times New Roman" w:cs="Times New Roman"/>
                                  <w:sz w:val="21"/>
                                  <w:szCs w:val="21"/>
                                </w:rPr>
                              </w:pPr>
                              <w:r>
                                <w:rPr>
                                  <w:rFonts w:ascii="Times New Roman" w:hAnsi="Times New Roman" w:cs="Times New Roman"/>
                                  <w:sz w:val="21"/>
                                  <w:szCs w:val="20"/>
                                </w:rPr>
                                <w:t>N</w:t>
                              </w:r>
                            </w:p>
                          </w:txbxContent>
                        </v:textbox>
                      </v:shape>
                      <v:shape id="文本框 81" o:spid="_x0000_s1026" o:spt="202" type="#_x0000_t202" style="position:absolute;left:2903855;top:913130;height:241935;width:547370;" filled="f" stroked="f" coordsize="21600,21600" o:gfxdata="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gkCmPNUAAAAJAQAADwAAAAAAAAABACAAAAA4AAAAZHJzL2Rvd25yZXYueG1s&#10;UEsBAhQAFAAAAAgAh07iQA6fvqjlAQAApwMAAA4AAAAAAAAAAQAgAAAAOgEAAGRycy9lMm9Eb2Mu&#10;eG1sUEsFBgAAAAAGAAYAWQEAAJEFAAAAAA==&#10;">
                        <v:fill on="f" focussize="0,0"/>
                        <v:stroke on="f" joinstyle="miter" dashstyle="dash"/>
                        <v:imagedata o:title=""/>
                        <o:lock v:ext="edit" aspectratio="f"/>
                        <v:textbox>
                          <w:txbxContent>
                            <w:p>
                              <w:pPr>
                                <w:autoSpaceDE/>
                                <w:autoSpaceDN/>
                                <w:snapToGrid w:val="0"/>
                                <w:ind w:left="-110" w:leftChars="-50" w:right="-110" w:rightChars="-50"/>
                                <w:jc w:val="center"/>
                                <w:rPr>
                                  <w:rFonts w:ascii="Times New Roman" w:hAnsi="Times New Roman" w:cs="Times New Roman"/>
                                  <w:sz w:val="21"/>
                                  <w:szCs w:val="20"/>
                                </w:rPr>
                              </w:pPr>
                              <w:r>
                                <w:rPr>
                                  <w:rFonts w:ascii="Times New Roman" w:hAnsi="Times New Roman" w:cs="Times New Roman"/>
                                  <w:sz w:val="21"/>
                                  <w:szCs w:val="20"/>
                                </w:rPr>
                                <w:t>N、G</w:t>
                              </w:r>
                              <w:r>
                                <w:rPr>
                                  <w:rFonts w:hint="eastAsia" w:ascii="Times New Roman" w:hAnsi="Times New Roman" w:cs="Times New Roman"/>
                                  <w:sz w:val="21"/>
                                  <w:szCs w:val="20"/>
                                  <w:vertAlign w:val="subscript"/>
                                  <w:lang w:val="en-US"/>
                                </w:rPr>
                                <w:t>2</w:t>
                              </w:r>
                            </w:p>
                            <w:p>
                              <w:pPr>
                                <w:autoSpaceDE/>
                                <w:autoSpaceDN/>
                                <w:snapToGrid w:val="0"/>
                                <w:ind w:left="-110" w:leftChars="-50" w:right="-110" w:rightChars="-50"/>
                                <w:rPr>
                                  <w:rFonts w:ascii="Times New Roman" w:hAnsi="Times New Roman" w:cs="Times New Roman"/>
                                  <w:sz w:val="21"/>
                                  <w:szCs w:val="20"/>
                                </w:rPr>
                              </w:pPr>
                            </w:p>
                          </w:txbxContent>
                        </v:textbox>
                      </v:shape>
                      <w10:wrap type="topAndBottom"/>
                    </v:group>
                  </w:pict>
                </mc:Fallback>
              </mc:AlternateContent>
            </w:r>
            <w:r>
              <w:rPr>
                <w:rFonts w:ascii="Times New Roman" w:hAnsi="Times New Roman" w:cs="Times New Roman"/>
                <w:b/>
                <w:bCs/>
                <w:color w:val="auto"/>
                <w:kern w:val="2"/>
                <w:sz w:val="21"/>
                <w:szCs w:val="21"/>
                <w:lang w:bidi="ar-SA"/>
              </w:rPr>
              <w:t>图</w:t>
            </w:r>
            <w:r>
              <w:rPr>
                <w:rFonts w:hint="eastAsia" w:ascii="Times New Roman" w:hAnsi="Times New Roman" w:cs="Times New Roman"/>
                <w:b/>
                <w:bCs/>
                <w:color w:val="auto"/>
                <w:kern w:val="2"/>
                <w:sz w:val="21"/>
                <w:szCs w:val="21"/>
                <w:lang w:val="en-US" w:bidi="ar-SA"/>
              </w:rPr>
              <w:t>2.</w:t>
            </w:r>
            <w:r>
              <w:rPr>
                <w:rFonts w:hint="eastAsia" w:ascii="Times New Roman" w:hAnsi="Times New Roman" w:cs="Times New Roman"/>
                <w:b/>
                <w:bCs/>
                <w:color w:val="auto"/>
                <w:kern w:val="2"/>
                <w:sz w:val="21"/>
                <w:szCs w:val="21"/>
                <w:lang w:val="en-US" w:eastAsia="zh-CN" w:bidi="ar-SA"/>
              </w:rPr>
              <w:t>3</w:t>
            </w:r>
            <w:r>
              <w:rPr>
                <w:rFonts w:ascii="Times New Roman" w:hAnsi="Times New Roman" w:cs="Times New Roman"/>
                <w:b/>
                <w:bCs/>
                <w:color w:val="auto"/>
                <w:kern w:val="2"/>
                <w:sz w:val="21"/>
                <w:szCs w:val="21"/>
                <w:lang w:val="en-US" w:bidi="ar-SA"/>
              </w:rPr>
              <w:t xml:space="preserve">   </w:t>
            </w:r>
            <w:r>
              <w:rPr>
                <w:rFonts w:ascii="Times New Roman" w:hAnsi="Times New Roman" w:cs="Times New Roman"/>
                <w:b/>
                <w:bCs/>
                <w:color w:val="auto"/>
                <w:kern w:val="2"/>
                <w:sz w:val="21"/>
                <w:szCs w:val="21"/>
                <w:lang w:bidi="ar-SA"/>
              </w:rPr>
              <w:t>生产工艺流程图</w:t>
            </w:r>
          </w:p>
          <w:p>
            <w:pPr>
              <w:autoSpaceDE/>
              <w:autoSpaceDN/>
              <w:spacing w:line="400" w:lineRule="exact"/>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①</w:t>
            </w:r>
            <w:r>
              <w:rPr>
                <w:rFonts w:ascii="Times New Roman" w:hAnsi="Times New Roman" w:cs="Times New Roman"/>
                <w:b/>
                <w:bCs/>
                <w:color w:val="auto"/>
                <w:sz w:val="21"/>
                <w:szCs w:val="21"/>
                <w:lang w:val="en-US"/>
              </w:rPr>
              <w:t>原料储运：</w:t>
            </w:r>
            <w:r>
              <w:rPr>
                <w:rFonts w:ascii="Times New Roman" w:hAnsi="Times New Roman" w:cs="Times New Roman"/>
                <w:color w:val="auto"/>
                <w:sz w:val="21"/>
                <w:szCs w:val="21"/>
                <w:lang w:val="en-US"/>
              </w:rPr>
              <w:t>本项目外购</w:t>
            </w:r>
            <w:r>
              <w:rPr>
                <w:rFonts w:hint="eastAsia" w:ascii="Times New Roman" w:hAnsi="Times New Roman" w:cs="Times New Roman"/>
                <w:color w:val="auto"/>
                <w:sz w:val="21"/>
                <w:szCs w:val="21"/>
                <w:lang w:val="en-US"/>
              </w:rPr>
              <w:t>水泥、矿粉、粉煤灰由专用罐车</w:t>
            </w:r>
            <w:r>
              <w:rPr>
                <w:rFonts w:ascii="Times New Roman" w:hAnsi="Times New Roman" w:cs="Times New Roman"/>
                <w:color w:val="auto"/>
                <w:sz w:val="21"/>
                <w:szCs w:val="21"/>
                <w:lang w:val="en-US"/>
              </w:rPr>
              <w:t>直接泵入料仓储存</w:t>
            </w:r>
            <w:r>
              <w:rPr>
                <w:rFonts w:hint="eastAsia" w:ascii="Times New Roman" w:hAnsi="Times New Roman" w:cs="Times New Roman"/>
                <w:color w:val="auto"/>
                <w:sz w:val="21"/>
                <w:szCs w:val="21"/>
                <w:lang w:val="en-US"/>
              </w:rPr>
              <w:t>，向料仓泵送粉料时会产生粉尘，粉尘主要集中在顶部呼吸口位置，本项目粉料仓顶配套建有仓顶布袋除尘器，过滤的除尘灰直接落至料仓中；细骨料</w:t>
            </w:r>
            <w:r>
              <w:rPr>
                <w:rFonts w:ascii="Times New Roman" w:hAnsi="Times New Roman" w:cs="Times New Roman"/>
                <w:color w:val="auto"/>
                <w:sz w:val="21"/>
                <w:szCs w:val="21"/>
                <w:lang w:val="en-US"/>
              </w:rPr>
              <w:t>由</w:t>
            </w:r>
            <w:r>
              <w:rPr>
                <w:rFonts w:hint="eastAsia" w:ascii="Times New Roman" w:hAnsi="Times New Roman" w:cs="Times New Roman"/>
                <w:color w:val="auto"/>
                <w:sz w:val="21"/>
                <w:szCs w:val="21"/>
                <w:lang w:val="en-US"/>
              </w:rPr>
              <w:t>自卸汽车</w:t>
            </w:r>
            <w:r>
              <w:rPr>
                <w:rFonts w:ascii="Times New Roman" w:hAnsi="Times New Roman" w:cs="Times New Roman"/>
                <w:color w:val="auto"/>
                <w:sz w:val="21"/>
                <w:szCs w:val="21"/>
                <w:lang w:val="en-US"/>
              </w:rPr>
              <w:t>运输到厂区封闭料场储存</w:t>
            </w: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rPr>
              <w:t>料场上方设喷雾降尘装置，可有效降低风蚀扬尘、动力扬尘的产生</w:t>
            </w:r>
            <w:r>
              <w:rPr>
                <w:rFonts w:hint="eastAsia" w:ascii="Times New Roman" w:hAnsi="Times New Roman" w:cs="Times New Roman"/>
                <w:color w:val="auto"/>
                <w:sz w:val="21"/>
                <w:szCs w:val="21"/>
                <w:lang w:val="en-US"/>
              </w:rPr>
              <w:t>；外加剂储存于储液罐中</w:t>
            </w:r>
            <w:r>
              <w:rPr>
                <w:rFonts w:ascii="Times New Roman" w:hAnsi="Times New Roman" w:cs="Times New Roman"/>
                <w:color w:val="auto"/>
                <w:sz w:val="21"/>
                <w:szCs w:val="21"/>
                <w:lang w:val="en-US"/>
              </w:rPr>
              <w:t>。</w:t>
            </w:r>
          </w:p>
          <w:p>
            <w:pPr>
              <w:pStyle w:val="43"/>
              <w:autoSpaceDE/>
              <w:autoSpaceDN/>
              <w:adjustRightInd/>
              <w:snapToGrid/>
              <w:spacing w:line="400" w:lineRule="exact"/>
              <w:ind w:left="110" w:leftChars="50" w:right="110" w:rightChars="50" w:firstLine="422"/>
              <w:rPr>
                <w:rFonts w:ascii="Times New Roman" w:hAnsi="Times New Roman" w:cs="Times New Roman"/>
                <w:b/>
                <w:bCs/>
                <w:color w:val="auto"/>
                <w:sz w:val="21"/>
                <w:szCs w:val="21"/>
              </w:rPr>
            </w:pPr>
            <w:r>
              <w:rPr>
                <w:rFonts w:ascii="Times New Roman" w:hAnsi="Times New Roman" w:cs="Times New Roman"/>
                <w:b/>
                <w:bCs/>
                <w:color w:val="auto"/>
                <w:sz w:val="21"/>
                <w:szCs w:val="21"/>
              </w:rPr>
              <w:t>该工序产生的污染物主要为：</w:t>
            </w:r>
            <w:r>
              <w:rPr>
                <w:rFonts w:hint="eastAsia" w:ascii="Times New Roman" w:hAnsi="Times New Roman" w:cs="Times New Roman"/>
                <w:b/>
                <w:bCs/>
                <w:color w:val="auto"/>
                <w:sz w:val="21"/>
                <w:szCs w:val="21"/>
              </w:rPr>
              <w:t>料场</w:t>
            </w:r>
            <w:r>
              <w:rPr>
                <w:rFonts w:ascii="Times New Roman" w:hAnsi="Times New Roman" w:cs="Times New Roman"/>
                <w:b/>
                <w:bCs/>
                <w:color w:val="auto"/>
                <w:sz w:val="21"/>
                <w:szCs w:val="21"/>
              </w:rPr>
              <w:t>粉尘（G</w:t>
            </w:r>
            <w:r>
              <w:rPr>
                <w:rFonts w:ascii="Times New Roman" w:hAnsi="Times New Roman" w:cs="Times New Roman"/>
                <w:b/>
                <w:bCs/>
                <w:color w:val="auto"/>
                <w:sz w:val="21"/>
                <w:szCs w:val="21"/>
                <w:vertAlign w:val="subscript"/>
              </w:rPr>
              <w:t>0</w:t>
            </w:r>
            <w:r>
              <w:rPr>
                <w:rFonts w:ascii="Times New Roman" w:hAnsi="Times New Roman" w:cs="Times New Roman"/>
                <w:b/>
                <w:bCs/>
                <w:color w:val="auto"/>
                <w:sz w:val="21"/>
                <w:szCs w:val="21"/>
              </w:rPr>
              <w:t>）、水泥仓粉尘（</w:t>
            </w:r>
            <w:r>
              <w:rPr>
                <w:rFonts w:hint="eastAsia" w:ascii="Times New Roman" w:hAnsi="Times New Roman" w:cs="Times New Roman"/>
                <w:b/>
                <w:bCs/>
                <w:color w:val="auto"/>
                <w:sz w:val="21"/>
                <w:szCs w:val="21"/>
              </w:rPr>
              <w:t>G</w:t>
            </w:r>
            <w:r>
              <w:rPr>
                <w:rFonts w:ascii="Times New Roman" w:hAnsi="Times New Roman" w:cs="Times New Roman"/>
                <w:b/>
                <w:bCs/>
                <w:color w:val="auto"/>
                <w:sz w:val="21"/>
                <w:szCs w:val="21"/>
                <w:vertAlign w:val="subscript"/>
              </w:rPr>
              <w:t>1</w:t>
            </w:r>
            <w:r>
              <w:rPr>
                <w:rFonts w:ascii="Times New Roman" w:hAnsi="Times New Roman" w:cs="Times New Roman"/>
                <w:b/>
                <w:bCs/>
                <w:color w:val="auto"/>
                <w:sz w:val="21"/>
                <w:szCs w:val="21"/>
              </w:rPr>
              <w:t>）和设备噪声（N）。</w:t>
            </w:r>
          </w:p>
          <w:p>
            <w:pPr>
              <w:pStyle w:val="43"/>
              <w:autoSpaceDE/>
              <w:autoSpaceDN/>
              <w:adjustRightInd/>
              <w:snapToGrid/>
              <w:spacing w:line="400" w:lineRule="exact"/>
              <w:ind w:left="110" w:leftChars="50" w:right="110" w:rightChars="50" w:firstLine="422"/>
              <w:rPr>
                <w:rFonts w:ascii="Times New Roman" w:hAnsi="Times New Roman" w:cs="Times New Roman"/>
                <w:color w:val="auto"/>
                <w:sz w:val="21"/>
                <w:szCs w:val="21"/>
              </w:rPr>
            </w:pPr>
            <w:r>
              <w:rPr>
                <w:rFonts w:hint="eastAsia" w:ascii="Times New Roman" w:hAnsi="Times New Roman" w:cs="Times New Roman"/>
                <w:b/>
                <w:bCs/>
                <w:color w:val="auto"/>
                <w:sz w:val="21"/>
                <w:szCs w:val="21"/>
              </w:rPr>
              <w:t>②</w:t>
            </w:r>
            <w:r>
              <w:rPr>
                <w:rFonts w:ascii="Times New Roman" w:hAnsi="Times New Roman" w:cs="Times New Roman"/>
                <w:b/>
                <w:bCs/>
                <w:color w:val="auto"/>
                <w:sz w:val="21"/>
                <w:szCs w:val="21"/>
              </w:rPr>
              <w:t>配料：</w:t>
            </w:r>
            <w:r>
              <w:rPr>
                <w:rFonts w:ascii="Times New Roman" w:hAnsi="Times New Roman" w:cs="Times New Roman"/>
                <w:color w:val="auto"/>
                <w:sz w:val="21"/>
                <w:szCs w:val="21"/>
              </w:rPr>
              <w:t>项目</w:t>
            </w:r>
            <w:r>
              <w:rPr>
                <w:rFonts w:hint="eastAsia" w:ascii="Times New Roman" w:hAnsi="Times New Roman" w:cs="Times New Roman"/>
                <w:color w:val="auto"/>
                <w:sz w:val="21"/>
                <w:szCs w:val="21"/>
              </w:rPr>
              <w:t>设湿拌</w:t>
            </w:r>
            <w:r>
              <w:rPr>
                <w:rFonts w:ascii="Times New Roman" w:hAnsi="Times New Roman" w:cs="Times New Roman"/>
                <w:color w:val="auto"/>
                <w:sz w:val="21"/>
                <w:szCs w:val="21"/>
              </w:rPr>
              <w:t>砂浆生产线</w:t>
            </w:r>
            <w:r>
              <w:rPr>
                <w:rFonts w:hint="eastAsia" w:ascii="Times New Roman" w:hAnsi="Times New Roman" w:cs="Times New Roman"/>
                <w:color w:val="auto"/>
                <w:sz w:val="21"/>
                <w:szCs w:val="21"/>
              </w:rPr>
              <w:t>1条</w:t>
            </w:r>
            <w:r>
              <w:rPr>
                <w:rFonts w:ascii="Times New Roman" w:hAnsi="Times New Roman" w:cs="Times New Roman"/>
                <w:color w:val="auto"/>
                <w:sz w:val="21"/>
                <w:szCs w:val="21"/>
              </w:rPr>
              <w:t>，</w:t>
            </w:r>
            <w:r>
              <w:rPr>
                <w:rFonts w:hint="eastAsia" w:ascii="Times New Roman" w:hAnsi="Times New Roman" w:cs="Times New Roman"/>
                <w:color w:val="auto"/>
                <w:sz w:val="21"/>
                <w:szCs w:val="21"/>
              </w:rPr>
              <w:t>共设4个</w:t>
            </w:r>
            <w:r>
              <w:rPr>
                <w:rFonts w:ascii="Times New Roman" w:hAnsi="Times New Roman" w:cs="Times New Roman"/>
                <w:color w:val="auto"/>
                <w:sz w:val="21"/>
                <w:szCs w:val="21"/>
              </w:rPr>
              <w:t>骨料配料</w:t>
            </w:r>
            <w:r>
              <w:rPr>
                <w:rFonts w:hint="eastAsia" w:ascii="Times New Roman" w:hAnsi="Times New Roman" w:cs="Times New Roman"/>
                <w:color w:val="auto"/>
                <w:sz w:val="21"/>
                <w:szCs w:val="21"/>
              </w:rPr>
              <w:t>仓，配料仓下端设称料斗对细骨料进行称量，骨料每条生产线骨料配料仓</w:t>
            </w:r>
            <w:r>
              <w:rPr>
                <w:rFonts w:hint="eastAsia" w:ascii="Times New Roman" w:hAnsi="Times New Roman" w:cs="Times New Roman"/>
                <w:color w:val="auto"/>
                <w:kern w:val="21"/>
                <w:sz w:val="21"/>
                <w:szCs w:val="21"/>
              </w:rPr>
              <w:t>成一字并排设置</w:t>
            </w:r>
            <w:r>
              <w:rPr>
                <w:rFonts w:hint="eastAsia" w:ascii="Times New Roman" w:hAnsi="Times New Roman" w:cs="Times New Roman"/>
                <w:color w:val="auto"/>
                <w:sz w:val="21"/>
                <w:szCs w:val="21"/>
              </w:rPr>
              <w:t>，细骨料</w:t>
            </w:r>
            <w:r>
              <w:rPr>
                <w:rFonts w:ascii="Times New Roman" w:hAnsi="Times New Roman" w:cs="Times New Roman"/>
                <w:color w:val="auto"/>
                <w:sz w:val="21"/>
                <w:szCs w:val="21"/>
              </w:rPr>
              <w:t>经装载机运至骨料配料仓</w:t>
            </w:r>
            <w:r>
              <w:rPr>
                <w:rFonts w:hint="eastAsia" w:ascii="Times New Roman" w:hAnsi="Times New Roman" w:cs="Times New Roman"/>
                <w:color w:val="auto"/>
                <w:sz w:val="21"/>
                <w:szCs w:val="21"/>
              </w:rPr>
              <w:t>，</w:t>
            </w:r>
            <w:r>
              <w:rPr>
                <w:rFonts w:ascii="Times New Roman" w:hAnsi="Times New Roman" w:cs="Times New Roman"/>
                <w:color w:val="auto"/>
                <w:sz w:val="21"/>
                <w:szCs w:val="21"/>
              </w:rPr>
              <w:t>采用装载机向骨料配料仓中上料，该工序由于物料落差会产生粉尘。</w:t>
            </w:r>
          </w:p>
          <w:p>
            <w:pPr>
              <w:pStyle w:val="43"/>
              <w:autoSpaceDE/>
              <w:autoSpaceDN/>
              <w:adjustRightInd/>
              <w:snapToGrid/>
              <w:spacing w:line="400" w:lineRule="exact"/>
              <w:ind w:left="110" w:leftChars="50" w:right="110" w:rightChars="50" w:firstLine="422"/>
              <w:rPr>
                <w:rFonts w:ascii="Times New Roman" w:hAnsi="Times New Roman" w:cs="Times New Roman"/>
                <w:b/>
                <w:bCs/>
                <w:color w:val="auto"/>
                <w:sz w:val="21"/>
                <w:szCs w:val="21"/>
              </w:rPr>
            </w:pPr>
            <w:r>
              <w:rPr>
                <w:rFonts w:ascii="Times New Roman" w:hAnsi="Times New Roman" w:cs="Times New Roman"/>
                <w:b/>
                <w:bCs/>
                <w:color w:val="auto"/>
                <w:sz w:val="21"/>
                <w:szCs w:val="21"/>
              </w:rPr>
              <w:t>该工序产生的污染物主要为：骨料配料粉尘（</w:t>
            </w:r>
            <w:r>
              <w:rPr>
                <w:rFonts w:hint="eastAsia" w:ascii="Times New Roman" w:hAnsi="Times New Roman" w:cs="Times New Roman"/>
                <w:b/>
                <w:bCs/>
                <w:color w:val="auto"/>
                <w:sz w:val="21"/>
                <w:szCs w:val="21"/>
              </w:rPr>
              <w:t>G</w:t>
            </w:r>
            <w:r>
              <w:rPr>
                <w:rFonts w:ascii="Times New Roman" w:hAnsi="Times New Roman" w:cs="Times New Roman"/>
                <w:b/>
                <w:bCs/>
                <w:color w:val="auto"/>
                <w:sz w:val="21"/>
                <w:szCs w:val="21"/>
                <w:vertAlign w:val="subscript"/>
              </w:rPr>
              <w:t>2</w:t>
            </w:r>
            <w:r>
              <w:rPr>
                <w:rFonts w:ascii="Times New Roman" w:hAnsi="Times New Roman" w:cs="Times New Roman"/>
                <w:b/>
                <w:bCs/>
                <w:color w:val="auto"/>
                <w:sz w:val="21"/>
                <w:szCs w:val="21"/>
              </w:rPr>
              <w:t>）和设备噪声（N）。</w:t>
            </w:r>
          </w:p>
          <w:p>
            <w:pPr>
              <w:autoSpaceDE/>
              <w:autoSpaceDN/>
              <w:spacing w:line="400" w:lineRule="exact"/>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③计量、</w:t>
            </w:r>
            <w:r>
              <w:rPr>
                <w:rFonts w:ascii="Times New Roman" w:hAnsi="Times New Roman" w:cs="Times New Roman"/>
                <w:b/>
                <w:bCs/>
                <w:color w:val="auto"/>
                <w:sz w:val="21"/>
                <w:szCs w:val="21"/>
                <w:lang w:val="en-US"/>
              </w:rPr>
              <w:t>搅拌：</w:t>
            </w:r>
            <w:r>
              <w:rPr>
                <w:rFonts w:hint="eastAsia" w:ascii="Times New Roman" w:hAnsi="Times New Roman" w:cs="Times New Roman"/>
                <w:color w:val="auto"/>
                <w:sz w:val="21"/>
                <w:szCs w:val="21"/>
                <w:lang w:val="en-US"/>
              </w:rPr>
              <w:t>细骨料通过粒料</w:t>
            </w:r>
            <w:r>
              <w:rPr>
                <w:rFonts w:ascii="Times New Roman" w:hAnsi="Times New Roman" w:cs="Times New Roman"/>
                <w:color w:val="auto"/>
                <w:sz w:val="21"/>
                <w:szCs w:val="21"/>
                <w:lang w:val="en-US"/>
              </w:rPr>
              <w:t>计量设备计量后，</w:t>
            </w:r>
            <w:r>
              <w:rPr>
                <w:rFonts w:hint="eastAsia" w:ascii="Times New Roman" w:hAnsi="Times New Roman" w:cs="Times New Roman"/>
                <w:color w:val="auto"/>
                <w:sz w:val="21"/>
                <w:szCs w:val="21"/>
                <w:lang w:val="en-US"/>
              </w:rPr>
              <w:t>通过皮带机输送</w:t>
            </w:r>
            <w:r>
              <w:rPr>
                <w:rFonts w:ascii="Times New Roman" w:hAnsi="Times New Roman" w:cs="Times New Roman"/>
                <w:color w:val="auto"/>
                <w:sz w:val="21"/>
                <w:szCs w:val="21"/>
                <w:lang w:val="en-US"/>
              </w:rPr>
              <w:t>进入搅拌机</w:t>
            </w:r>
            <w:r>
              <w:rPr>
                <w:rFonts w:hint="eastAsia" w:ascii="Times New Roman" w:hAnsi="Times New Roman" w:cs="Times New Roman"/>
                <w:color w:val="auto"/>
                <w:sz w:val="21"/>
                <w:szCs w:val="21"/>
                <w:lang w:val="en-US"/>
              </w:rPr>
              <w:t>，输送皮带为采用密闭输送带</w:t>
            </w:r>
            <w:r>
              <w:rPr>
                <w:rFonts w:ascii="Times New Roman" w:hAnsi="Times New Roman" w:cs="Times New Roman"/>
                <w:color w:val="auto"/>
                <w:sz w:val="21"/>
                <w:szCs w:val="21"/>
                <w:lang w:val="en-US"/>
              </w:rPr>
              <w:t>；水泥</w:t>
            </w:r>
            <w:r>
              <w:rPr>
                <w:rFonts w:hint="eastAsia" w:ascii="Times New Roman" w:hAnsi="Times New Roman" w:cs="Times New Roman"/>
                <w:color w:val="auto"/>
                <w:sz w:val="21"/>
                <w:szCs w:val="21"/>
                <w:lang w:val="en-US"/>
              </w:rPr>
              <w:t>、粉煤灰、矿粉存放于粉料仓</w:t>
            </w:r>
            <w:r>
              <w:rPr>
                <w:rFonts w:ascii="Times New Roman" w:hAnsi="Times New Roman" w:cs="Times New Roman"/>
                <w:color w:val="auto"/>
                <w:sz w:val="21"/>
                <w:szCs w:val="21"/>
                <w:lang w:val="en-US"/>
              </w:rPr>
              <w:t>通过密闭螺旋输送设备输送到粉料</w:t>
            </w:r>
            <w:r>
              <w:rPr>
                <w:rFonts w:hint="eastAsia" w:ascii="Times New Roman" w:hAnsi="Times New Roman" w:cs="Times New Roman"/>
                <w:color w:val="auto"/>
                <w:sz w:val="21"/>
                <w:szCs w:val="21"/>
                <w:lang w:val="en-US"/>
              </w:rPr>
              <w:t>计量斗</w:t>
            </w:r>
            <w:r>
              <w:rPr>
                <w:rFonts w:ascii="Times New Roman" w:hAnsi="Times New Roman" w:cs="Times New Roman"/>
                <w:color w:val="auto"/>
                <w:sz w:val="21"/>
                <w:szCs w:val="21"/>
                <w:lang w:val="en-US"/>
              </w:rPr>
              <w:t>进行计量</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通过粉料</w:t>
            </w:r>
            <w:r>
              <w:rPr>
                <w:rFonts w:hint="eastAsia" w:ascii="Times New Roman" w:hAnsi="Times New Roman" w:cs="Times New Roman"/>
                <w:color w:val="auto"/>
                <w:sz w:val="21"/>
                <w:szCs w:val="21"/>
                <w:lang w:val="en-US"/>
              </w:rPr>
              <w:t>计量斗</w:t>
            </w:r>
            <w:r>
              <w:rPr>
                <w:rFonts w:ascii="Times New Roman" w:hAnsi="Times New Roman" w:cs="Times New Roman"/>
                <w:color w:val="auto"/>
                <w:sz w:val="21"/>
                <w:szCs w:val="21"/>
                <w:lang w:val="en-US"/>
              </w:rPr>
              <w:t>进行计量后，利用重力从秤斗底部进入搅拌机；添加水通过潜水泵送至计量设备计量后，按照所需配合比往搅拌机内添加水；</w:t>
            </w:r>
            <w:r>
              <w:rPr>
                <w:rFonts w:hint="eastAsia" w:ascii="Times New Roman" w:hAnsi="Times New Roman" w:cs="Times New Roman"/>
                <w:color w:val="auto"/>
                <w:sz w:val="21"/>
                <w:szCs w:val="21"/>
                <w:lang w:val="en-US"/>
              </w:rPr>
              <w:t>外加剂</w:t>
            </w:r>
            <w:r>
              <w:rPr>
                <w:rFonts w:ascii="Times New Roman" w:hAnsi="Times New Roman" w:cs="Times New Roman"/>
                <w:color w:val="auto"/>
                <w:sz w:val="21"/>
                <w:szCs w:val="21"/>
                <w:lang w:val="en-US"/>
              </w:rPr>
              <w:t>通过水泵送至计量设备计量后，按照所需配合比往搅拌机内添加</w:t>
            </w:r>
            <w:r>
              <w:rPr>
                <w:rFonts w:hint="eastAsia" w:ascii="Times New Roman" w:hAnsi="Times New Roman" w:cs="Times New Roman"/>
                <w:color w:val="auto"/>
                <w:sz w:val="21"/>
                <w:szCs w:val="21"/>
                <w:lang w:val="en-US"/>
              </w:rPr>
              <w:t>外加剂。</w:t>
            </w:r>
            <w:r>
              <w:rPr>
                <w:rFonts w:ascii="Times New Roman" w:hAnsi="Times New Roman" w:cs="Times New Roman"/>
                <w:color w:val="auto"/>
                <w:sz w:val="21"/>
                <w:szCs w:val="21"/>
                <w:lang w:val="en-US"/>
              </w:rPr>
              <w:t>进入搅拌机的料不断地进行相互翻转搅拌，各种物料搅拌均匀后即成成品。</w:t>
            </w:r>
            <w:r>
              <w:rPr>
                <w:rFonts w:hint="eastAsia" w:ascii="Times New Roman" w:hAnsi="Times New Roman" w:cs="Times New Roman"/>
                <w:color w:val="auto"/>
                <w:sz w:val="21"/>
                <w:szCs w:val="21"/>
                <w:lang w:val="en-US"/>
              </w:rPr>
              <w:t>搅拌过程中</w:t>
            </w:r>
            <w:r>
              <w:rPr>
                <w:rFonts w:ascii="Times New Roman" w:hAnsi="Times New Roman" w:cs="Times New Roman"/>
                <w:color w:val="auto"/>
                <w:sz w:val="21"/>
                <w:szCs w:val="21"/>
                <w:lang w:val="en-US"/>
              </w:rPr>
              <w:t>所需水通过水泵输送至加水器，均匀地喷洒在搅拌装置内，</w:t>
            </w:r>
            <w:r>
              <w:rPr>
                <w:rFonts w:hint="eastAsia" w:ascii="Times New Roman" w:hAnsi="Times New Roman" w:cs="Times New Roman"/>
                <w:color w:val="auto"/>
                <w:sz w:val="21"/>
                <w:szCs w:val="21"/>
                <w:lang w:val="en-US"/>
              </w:rPr>
              <w:t>可有效减少粉尘的产生。</w:t>
            </w:r>
            <w:r>
              <w:rPr>
                <w:rFonts w:ascii="Times New Roman" w:hAnsi="Times New Roman" w:cs="Times New Roman"/>
                <w:color w:val="auto"/>
                <w:sz w:val="21"/>
                <w:szCs w:val="21"/>
                <w:lang w:val="en-US"/>
              </w:rPr>
              <w:t>为防止</w:t>
            </w:r>
            <w:r>
              <w:rPr>
                <w:rFonts w:hint="eastAsia" w:ascii="Times New Roman" w:hAnsi="Times New Roman" w:cs="Times New Roman"/>
                <w:color w:val="auto"/>
                <w:sz w:val="21"/>
                <w:szCs w:val="21"/>
                <w:lang w:val="en-US"/>
              </w:rPr>
              <w:t>搅拌</w:t>
            </w:r>
            <w:r>
              <w:rPr>
                <w:rFonts w:ascii="Times New Roman" w:hAnsi="Times New Roman" w:cs="Times New Roman"/>
                <w:color w:val="auto"/>
                <w:sz w:val="21"/>
                <w:szCs w:val="21"/>
                <w:lang w:val="en-US"/>
              </w:rPr>
              <w:t>设备内部存在残存物料而影响产品配合比，需定期对设备进行冲洗，</w:t>
            </w:r>
            <w:r>
              <w:rPr>
                <w:rFonts w:hint="eastAsia" w:ascii="Times New Roman" w:hAnsi="Times New Roman" w:cs="Times New Roman"/>
                <w:color w:val="auto"/>
                <w:sz w:val="21"/>
                <w:szCs w:val="21"/>
                <w:lang w:val="en-US" w:eastAsia="zh-CN"/>
              </w:rPr>
              <w:t>设备清洗</w:t>
            </w:r>
            <w:r>
              <w:rPr>
                <w:rFonts w:ascii="Times New Roman" w:hAnsi="Times New Roman" w:cs="Times New Roman"/>
                <w:color w:val="auto"/>
                <w:sz w:val="21"/>
                <w:szCs w:val="21"/>
                <w:lang w:val="en-US"/>
              </w:rPr>
              <w:t>水</w:t>
            </w:r>
            <w:r>
              <w:rPr>
                <w:rFonts w:hint="eastAsia" w:ascii="Times New Roman" w:hAnsi="Times New Roman" w:cs="Times New Roman"/>
                <w:color w:val="auto"/>
                <w:sz w:val="21"/>
                <w:szCs w:val="21"/>
                <w:lang w:val="en-US"/>
              </w:rPr>
              <w:t>循环使用</w:t>
            </w:r>
            <w:r>
              <w:rPr>
                <w:rFonts w:ascii="Times New Roman" w:hAnsi="Times New Roman" w:cs="Times New Roman"/>
                <w:color w:val="auto"/>
                <w:sz w:val="21"/>
                <w:szCs w:val="21"/>
                <w:lang w:val="en-US"/>
              </w:rPr>
              <w:t>。粉料计量设备</w:t>
            </w:r>
            <w:r>
              <w:rPr>
                <w:rFonts w:hint="eastAsia" w:ascii="Times New Roman" w:hAnsi="Times New Roman" w:cs="Times New Roman"/>
                <w:color w:val="auto"/>
                <w:sz w:val="21"/>
                <w:szCs w:val="21"/>
                <w:lang w:val="en-US"/>
              </w:rPr>
              <w:t>、搅拌设备</w:t>
            </w:r>
            <w:r>
              <w:rPr>
                <w:rFonts w:ascii="Times New Roman" w:hAnsi="Times New Roman" w:cs="Times New Roman"/>
                <w:color w:val="auto"/>
                <w:sz w:val="21"/>
                <w:szCs w:val="21"/>
                <w:lang w:val="en-US"/>
              </w:rPr>
              <w:t>为</w:t>
            </w:r>
            <w:r>
              <w:rPr>
                <w:rFonts w:hint="eastAsia" w:ascii="Times New Roman" w:hAnsi="Times New Roman" w:cs="Times New Roman"/>
                <w:color w:val="auto"/>
                <w:sz w:val="21"/>
                <w:szCs w:val="21"/>
                <w:lang w:val="en-US"/>
              </w:rPr>
              <w:t>一体式</w:t>
            </w:r>
            <w:r>
              <w:rPr>
                <w:rFonts w:ascii="Times New Roman" w:hAnsi="Times New Roman" w:cs="Times New Roman"/>
                <w:color w:val="auto"/>
                <w:sz w:val="21"/>
                <w:szCs w:val="21"/>
                <w:lang w:val="en-US"/>
              </w:rPr>
              <w:t>封闭式设备，粉尘主要产生于搅拌机投料阶段设备呼吸孔位置。</w:t>
            </w:r>
          </w:p>
          <w:p>
            <w:pPr>
              <w:autoSpaceDE/>
              <w:autoSpaceDN/>
              <w:spacing w:line="440" w:lineRule="exact"/>
              <w:ind w:left="110" w:leftChars="50" w:right="110" w:rightChars="50" w:firstLine="421" w:firstLineChars="20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该工序产生的污染物主要为：计量粉尘（G</w:t>
            </w:r>
            <w:r>
              <w:rPr>
                <w:rFonts w:ascii="Times New Roman" w:hAnsi="Times New Roman" w:cs="Times New Roman"/>
                <w:b/>
                <w:bCs/>
                <w:color w:val="auto"/>
                <w:sz w:val="21"/>
                <w:szCs w:val="21"/>
                <w:vertAlign w:val="subscript"/>
                <w:lang w:val="en-US"/>
              </w:rPr>
              <w:t>3</w:t>
            </w: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w:t>
            </w:r>
            <w:r>
              <w:rPr>
                <w:rFonts w:ascii="Times New Roman" w:hAnsi="Times New Roman" w:cs="Times New Roman"/>
                <w:b/>
                <w:bCs/>
                <w:color w:val="auto"/>
                <w:sz w:val="21"/>
                <w:szCs w:val="21"/>
                <w:lang w:val="en-US"/>
              </w:rPr>
              <w:t>搅拌粉尘（</w:t>
            </w:r>
            <w:r>
              <w:rPr>
                <w:rFonts w:hint="eastAsia" w:ascii="Times New Roman" w:hAnsi="Times New Roman" w:cs="Times New Roman"/>
                <w:b/>
                <w:bCs/>
                <w:color w:val="auto"/>
                <w:sz w:val="21"/>
                <w:szCs w:val="21"/>
                <w:lang w:val="en-US"/>
              </w:rPr>
              <w:t>G</w:t>
            </w:r>
            <w:r>
              <w:rPr>
                <w:rFonts w:hint="eastAsia" w:ascii="Times New Roman" w:hAnsi="Times New Roman" w:cs="Times New Roman"/>
                <w:b/>
                <w:bCs/>
                <w:color w:val="auto"/>
                <w:sz w:val="21"/>
                <w:szCs w:val="21"/>
                <w:vertAlign w:val="subscript"/>
                <w:lang w:val="en-US"/>
              </w:rPr>
              <w:t>4</w:t>
            </w:r>
            <w:r>
              <w:rPr>
                <w:rFonts w:ascii="Times New Roman" w:hAnsi="Times New Roman" w:cs="Times New Roman"/>
                <w:b/>
                <w:bCs/>
                <w:color w:val="auto"/>
                <w:sz w:val="21"/>
                <w:szCs w:val="21"/>
                <w:lang w:val="en-US"/>
              </w:rPr>
              <w:t>）、设备噪声（N）。</w:t>
            </w:r>
          </w:p>
          <w:p>
            <w:pPr>
              <w:spacing w:line="440" w:lineRule="exact"/>
              <w:ind w:left="110" w:leftChars="50" w:right="110" w:rightChars="50" w:firstLine="421" w:firstLineChars="200"/>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④</w:t>
            </w:r>
            <w:r>
              <w:rPr>
                <w:rFonts w:ascii="Times New Roman" w:hAnsi="Times New Roman" w:cs="Times New Roman"/>
                <w:b/>
                <w:bCs/>
                <w:color w:val="auto"/>
                <w:sz w:val="21"/>
                <w:szCs w:val="21"/>
                <w:lang w:val="en-US"/>
              </w:rPr>
              <w:t>外运：</w:t>
            </w:r>
            <w:r>
              <w:rPr>
                <w:rFonts w:ascii="Times New Roman" w:hAnsi="Times New Roman" w:cs="Times New Roman"/>
                <w:color w:val="auto"/>
                <w:sz w:val="21"/>
                <w:szCs w:val="21"/>
                <w:lang w:val="en-US"/>
              </w:rPr>
              <w:t>成品</w:t>
            </w:r>
            <w:r>
              <w:rPr>
                <w:rFonts w:hint="eastAsia" w:ascii="Times New Roman" w:hAnsi="Times New Roman" w:cs="Times New Roman"/>
                <w:color w:val="auto"/>
                <w:sz w:val="21"/>
                <w:szCs w:val="21"/>
                <w:lang w:val="en-US"/>
              </w:rPr>
              <w:t>湿拌砂浆</w:t>
            </w:r>
            <w:r>
              <w:rPr>
                <w:rFonts w:ascii="Times New Roman" w:hAnsi="Times New Roman" w:cs="Times New Roman"/>
                <w:color w:val="auto"/>
                <w:sz w:val="21"/>
                <w:szCs w:val="21"/>
                <w:lang w:val="en-US"/>
              </w:rPr>
              <w:t>从卸料斗卸料到专用</w:t>
            </w:r>
            <w:r>
              <w:rPr>
                <w:rFonts w:hint="eastAsia" w:ascii="Times New Roman" w:hAnsi="Times New Roman" w:cs="Times New Roman"/>
                <w:color w:val="auto"/>
                <w:sz w:val="21"/>
                <w:szCs w:val="21"/>
                <w:lang w:val="en-US"/>
              </w:rPr>
              <w:t>罐车</w:t>
            </w:r>
            <w:r>
              <w:rPr>
                <w:rFonts w:ascii="Times New Roman" w:hAnsi="Times New Roman" w:cs="Times New Roman"/>
                <w:color w:val="auto"/>
                <w:sz w:val="21"/>
                <w:szCs w:val="21"/>
                <w:lang w:val="en-US"/>
              </w:rPr>
              <w:t>中，</w:t>
            </w:r>
            <w:r>
              <w:rPr>
                <w:rFonts w:hint="eastAsia" w:ascii="Times New Roman" w:hAnsi="Times New Roman" w:cs="Times New Roman"/>
                <w:color w:val="auto"/>
                <w:sz w:val="21"/>
                <w:szCs w:val="21"/>
                <w:lang w:val="en-US"/>
              </w:rPr>
              <w:t>运输出厂</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湿拌砂浆</w:t>
            </w:r>
            <w:r>
              <w:rPr>
                <w:rFonts w:ascii="Times New Roman" w:hAnsi="Times New Roman" w:cs="Times New Roman"/>
                <w:color w:val="auto"/>
                <w:sz w:val="21"/>
                <w:szCs w:val="21"/>
                <w:lang w:val="en-US"/>
              </w:rPr>
              <w:t>为湿料，卸料过程不会产生粉尘。</w:t>
            </w:r>
          </w:p>
          <w:p>
            <w:pPr>
              <w:autoSpaceDE/>
              <w:autoSpaceDN/>
              <w:spacing w:line="400" w:lineRule="exact"/>
              <w:ind w:left="110" w:leftChars="50" w:right="110" w:rightChars="50"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主要污染工序</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①</w:t>
            </w:r>
            <w:r>
              <w:rPr>
                <w:rFonts w:ascii="Times New Roman" w:hAnsi="Times New Roman" w:cs="Times New Roman"/>
                <w:b/>
                <w:bCs/>
                <w:color w:val="auto"/>
                <w:sz w:val="21"/>
                <w:szCs w:val="21"/>
              </w:rPr>
              <w:t>废气：</w:t>
            </w:r>
            <w:r>
              <w:rPr>
                <w:rFonts w:ascii="Times New Roman" w:hAnsi="Times New Roman" w:cs="Times New Roman"/>
                <w:color w:val="auto"/>
                <w:sz w:val="21"/>
                <w:szCs w:val="21"/>
              </w:rPr>
              <w:t>主要为</w:t>
            </w:r>
            <w:r>
              <w:rPr>
                <w:rFonts w:hint="eastAsia" w:ascii="Times New Roman" w:hAnsi="Times New Roman" w:cs="Times New Roman"/>
                <w:color w:val="auto"/>
                <w:sz w:val="21"/>
                <w:lang w:val="en-US"/>
              </w:rPr>
              <w:t>料场</w:t>
            </w:r>
            <w:r>
              <w:rPr>
                <w:rFonts w:ascii="Times New Roman" w:hAnsi="Times New Roman" w:cs="Times New Roman"/>
                <w:color w:val="auto"/>
                <w:sz w:val="21"/>
                <w:lang w:val="en-US"/>
              </w:rPr>
              <w:t>粉尘（G</w:t>
            </w:r>
            <w:r>
              <w:rPr>
                <w:rFonts w:ascii="Times New Roman" w:hAnsi="Times New Roman" w:cs="Times New Roman"/>
                <w:color w:val="auto"/>
                <w:sz w:val="21"/>
                <w:vertAlign w:val="subscript"/>
                <w:lang w:val="en-US"/>
              </w:rPr>
              <w:t>0</w:t>
            </w:r>
            <w:r>
              <w:rPr>
                <w:rFonts w:ascii="Times New Roman" w:hAnsi="Times New Roman" w:cs="Times New Roman"/>
                <w:color w:val="auto"/>
                <w:sz w:val="21"/>
                <w:lang w:val="en-US"/>
              </w:rPr>
              <w:t>）、</w:t>
            </w:r>
            <w:r>
              <w:rPr>
                <w:rFonts w:ascii="Times New Roman" w:hAnsi="Times New Roman" w:cs="Times New Roman"/>
                <w:color w:val="auto"/>
                <w:sz w:val="21"/>
                <w:szCs w:val="21"/>
                <w:lang w:val="en-US"/>
              </w:rPr>
              <w:t>粉料仓粉尘（G</w:t>
            </w:r>
            <w:r>
              <w:rPr>
                <w:rFonts w:ascii="Times New Roman" w:hAnsi="Times New Roman" w:cs="Times New Roman"/>
                <w:color w:val="auto"/>
                <w:sz w:val="21"/>
                <w:szCs w:val="21"/>
                <w:vertAlign w:val="subscript"/>
                <w:lang w:val="en-US"/>
              </w:rPr>
              <w:t>1</w:t>
            </w:r>
            <w:r>
              <w:rPr>
                <w:rFonts w:ascii="Times New Roman" w:hAnsi="Times New Roman" w:cs="Times New Roman"/>
                <w:color w:val="auto"/>
                <w:sz w:val="21"/>
                <w:szCs w:val="21"/>
                <w:lang w:val="en-US"/>
              </w:rPr>
              <w:t>）、骨料配料粉尘（G</w:t>
            </w:r>
            <w:r>
              <w:rPr>
                <w:rFonts w:ascii="Times New Roman" w:hAnsi="Times New Roman" w:cs="Times New Roman"/>
                <w:color w:val="auto"/>
                <w:sz w:val="21"/>
                <w:szCs w:val="21"/>
                <w:vertAlign w:val="subscript"/>
                <w:lang w:val="en-US"/>
              </w:rPr>
              <w:t>2</w:t>
            </w:r>
            <w:r>
              <w:rPr>
                <w:rFonts w:ascii="Times New Roman" w:hAnsi="Times New Roman" w:cs="Times New Roman"/>
                <w:color w:val="auto"/>
                <w:sz w:val="21"/>
                <w:szCs w:val="21"/>
                <w:lang w:val="en-US"/>
              </w:rPr>
              <w:t>）、计量粉尘（G</w:t>
            </w:r>
            <w:r>
              <w:rPr>
                <w:rFonts w:ascii="Times New Roman" w:hAnsi="Times New Roman" w:cs="Times New Roman"/>
                <w:color w:val="auto"/>
                <w:sz w:val="21"/>
                <w:szCs w:val="21"/>
                <w:vertAlign w:val="subscript"/>
                <w:lang w:val="en-US"/>
              </w:rPr>
              <w:t>3</w:t>
            </w:r>
            <w:r>
              <w:rPr>
                <w:rFonts w:ascii="Times New Roman" w:hAnsi="Times New Roman" w:cs="Times New Roman"/>
                <w:color w:val="auto"/>
                <w:sz w:val="21"/>
                <w:szCs w:val="21"/>
                <w:lang w:val="en-US"/>
              </w:rPr>
              <w:t>）、搅拌粉尘（G</w:t>
            </w:r>
            <w:r>
              <w:rPr>
                <w:rFonts w:ascii="Times New Roman" w:hAnsi="Times New Roman" w:cs="Times New Roman"/>
                <w:color w:val="auto"/>
                <w:sz w:val="21"/>
                <w:szCs w:val="21"/>
                <w:vertAlign w:val="subscript"/>
                <w:lang w:val="en-US"/>
              </w:rPr>
              <w:t>4</w:t>
            </w:r>
            <w:r>
              <w:rPr>
                <w:rFonts w:ascii="Times New Roman" w:hAnsi="Times New Roman" w:cs="Times New Roman"/>
                <w:color w:val="auto"/>
                <w:sz w:val="21"/>
                <w:szCs w:val="21"/>
                <w:lang w:val="en-US"/>
              </w:rPr>
              <w:t>）</w:t>
            </w:r>
            <w:r>
              <w:rPr>
                <w:rFonts w:ascii="Times New Roman" w:hAnsi="Times New Roman" w:cs="Times New Roman"/>
                <w:color w:val="auto"/>
                <w:sz w:val="21"/>
                <w:szCs w:val="21"/>
              </w:rPr>
              <w:t>；</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②</w:t>
            </w:r>
            <w:r>
              <w:rPr>
                <w:rFonts w:ascii="Times New Roman" w:hAnsi="Times New Roman" w:cs="Times New Roman"/>
                <w:b/>
                <w:bCs/>
                <w:color w:val="auto"/>
                <w:sz w:val="21"/>
                <w:szCs w:val="21"/>
              </w:rPr>
              <w:t>废水：</w:t>
            </w:r>
            <w:r>
              <w:rPr>
                <w:rFonts w:ascii="Times New Roman" w:hAnsi="Times New Roman" w:cs="Times New Roman"/>
                <w:color w:val="auto"/>
                <w:sz w:val="21"/>
                <w:szCs w:val="21"/>
              </w:rPr>
              <w:t>主要为</w:t>
            </w:r>
            <w:r>
              <w:rPr>
                <w:rFonts w:ascii="Times New Roman" w:hAnsi="Times New Roman" w:cs="Times New Roman"/>
                <w:color w:val="auto"/>
                <w:sz w:val="21"/>
                <w:szCs w:val="21"/>
                <w:lang w:val="en-US"/>
              </w:rPr>
              <w:t>车辆冲洗废水（W</w:t>
            </w:r>
            <w:r>
              <w:rPr>
                <w:rFonts w:hint="eastAsia" w:ascii="Times New Roman" w:hAnsi="Times New Roman" w:cs="Times New Roman"/>
                <w:color w:val="auto"/>
                <w:sz w:val="21"/>
                <w:szCs w:val="21"/>
                <w:vertAlign w:val="subscript"/>
                <w:lang w:val="en-US"/>
              </w:rPr>
              <w:t>1</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eastAsia="zh-CN"/>
              </w:rPr>
              <w:t>、设备清洗</w:t>
            </w:r>
            <w:r>
              <w:rPr>
                <w:rFonts w:ascii="Times New Roman" w:hAnsi="Times New Roman" w:cs="Times New Roman"/>
                <w:color w:val="auto"/>
                <w:sz w:val="21"/>
                <w:szCs w:val="21"/>
                <w:lang w:val="en-US"/>
              </w:rPr>
              <w:t>废水（W</w:t>
            </w:r>
            <w:r>
              <w:rPr>
                <w:rFonts w:hint="eastAsia" w:ascii="Times New Roman" w:hAnsi="Times New Roman" w:cs="Times New Roman"/>
                <w:color w:val="auto"/>
                <w:sz w:val="21"/>
                <w:szCs w:val="21"/>
                <w:vertAlign w:val="subscript"/>
                <w:lang w:val="en-US" w:eastAsia="zh-CN"/>
              </w:rPr>
              <w:t>2</w:t>
            </w:r>
            <w:r>
              <w:rPr>
                <w:rFonts w:ascii="Times New Roman" w:hAnsi="Times New Roman" w:cs="Times New Roman"/>
                <w:color w:val="auto"/>
                <w:sz w:val="21"/>
                <w:szCs w:val="21"/>
                <w:lang w:val="en-US"/>
              </w:rPr>
              <w:t>）</w:t>
            </w:r>
            <w:r>
              <w:rPr>
                <w:rFonts w:ascii="Times New Roman" w:hAnsi="Times New Roman" w:cs="Times New Roman"/>
                <w:color w:val="auto"/>
                <w:sz w:val="21"/>
                <w:szCs w:val="21"/>
              </w:rPr>
              <w:t>；</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③</w:t>
            </w:r>
            <w:r>
              <w:rPr>
                <w:rFonts w:ascii="Times New Roman" w:hAnsi="Times New Roman" w:cs="Times New Roman"/>
                <w:b/>
                <w:bCs/>
                <w:color w:val="auto"/>
                <w:sz w:val="21"/>
                <w:szCs w:val="21"/>
              </w:rPr>
              <w:t>噪音：</w:t>
            </w:r>
            <w:r>
              <w:rPr>
                <w:rFonts w:ascii="Times New Roman" w:hAnsi="Times New Roman" w:cs="Times New Roman"/>
                <w:color w:val="auto"/>
                <w:sz w:val="21"/>
                <w:szCs w:val="21"/>
              </w:rPr>
              <w:t>噪音主要是生产设备及配套设备运行时产生的噪音，声级值在</w:t>
            </w:r>
            <w:r>
              <w:rPr>
                <w:rFonts w:ascii="Times New Roman" w:hAnsi="Times New Roman" w:cs="Times New Roman"/>
                <w:color w:val="auto"/>
                <w:sz w:val="21"/>
                <w:szCs w:val="21"/>
                <w:lang w:val="en-US"/>
              </w:rPr>
              <w:t>5</w:t>
            </w:r>
            <w:r>
              <w:rPr>
                <w:rFonts w:ascii="Times New Roman" w:hAnsi="Times New Roman" w:cs="Times New Roman"/>
                <w:color w:val="auto"/>
                <w:sz w:val="21"/>
                <w:szCs w:val="21"/>
              </w:rPr>
              <w:t>5~</w:t>
            </w:r>
            <w:r>
              <w:rPr>
                <w:rFonts w:ascii="Times New Roman" w:hAnsi="Times New Roman" w:cs="Times New Roman"/>
                <w:color w:val="auto"/>
                <w:sz w:val="21"/>
                <w:szCs w:val="21"/>
                <w:lang w:val="en-US"/>
              </w:rPr>
              <w:t>8</w:t>
            </w:r>
            <w:r>
              <w:rPr>
                <w:rFonts w:ascii="Times New Roman" w:hAnsi="Times New Roman" w:cs="Times New Roman"/>
                <w:color w:val="auto"/>
                <w:sz w:val="21"/>
                <w:szCs w:val="21"/>
              </w:rPr>
              <w:t>5dB(A)之间；</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④</w:t>
            </w:r>
            <w:r>
              <w:rPr>
                <w:rFonts w:ascii="Times New Roman" w:hAnsi="Times New Roman" w:cs="Times New Roman"/>
                <w:b/>
                <w:bCs/>
                <w:color w:val="auto"/>
                <w:sz w:val="21"/>
                <w:szCs w:val="21"/>
              </w:rPr>
              <w:t>固废：</w:t>
            </w:r>
            <w:r>
              <w:rPr>
                <w:rFonts w:ascii="Times New Roman" w:hAnsi="Times New Roman" w:cs="Times New Roman"/>
                <w:color w:val="auto"/>
                <w:sz w:val="21"/>
                <w:szCs w:val="21"/>
              </w:rPr>
              <w:t>主要为</w:t>
            </w:r>
            <w:r>
              <w:rPr>
                <w:rFonts w:ascii="Times New Roman" w:hAnsi="Times New Roman" w:cs="Times New Roman"/>
                <w:color w:val="auto"/>
                <w:sz w:val="21"/>
                <w:szCs w:val="21"/>
                <w:lang w:val="en-US"/>
              </w:rPr>
              <w:t>除尘灰</w:t>
            </w:r>
            <w:r>
              <w:rPr>
                <w:rFonts w:hint="eastAsia"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1</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rPr>
              <w:t>、</w:t>
            </w:r>
            <w:r>
              <w:rPr>
                <w:rFonts w:hint="eastAsia" w:ascii="Times New Roman" w:hAnsi="Times New Roman" w:cs="Times New Roman"/>
                <w:color w:val="auto"/>
                <w:sz w:val="21"/>
                <w:szCs w:val="21"/>
              </w:rPr>
              <w:t>废机油</w:t>
            </w: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2</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rPr>
              <w:t>检修过程中产生的</w:t>
            </w:r>
            <w:r>
              <w:rPr>
                <w:rFonts w:hint="eastAsia" w:ascii="Times New Roman" w:hAnsi="Times New Roman" w:cs="Times New Roman"/>
                <w:color w:val="auto"/>
                <w:sz w:val="21"/>
                <w:szCs w:val="21"/>
              </w:rPr>
              <w:t>废油桶</w:t>
            </w:r>
            <w:r>
              <w:rPr>
                <w:rFonts w:ascii="Times New Roman" w:hAnsi="Times New Roman" w:cs="Times New Roman"/>
                <w:color w:val="auto"/>
                <w:sz w:val="21"/>
                <w:szCs w:val="21"/>
              </w:rPr>
              <w:t>（</w:t>
            </w: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3</w:t>
            </w:r>
            <w:r>
              <w:rPr>
                <w:rFonts w:ascii="Times New Roman" w:hAnsi="Times New Roman" w:cs="Times New Roman"/>
                <w:color w:val="auto"/>
                <w:sz w:val="21"/>
                <w:szCs w:val="21"/>
              </w:rPr>
              <w:t>）。</w:t>
            </w:r>
          </w:p>
          <w:p>
            <w:pPr>
              <w:pStyle w:val="18"/>
              <w:autoSpaceDE/>
              <w:autoSpaceDN/>
              <w:spacing w:line="440" w:lineRule="exact"/>
              <w:ind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本项目运营期污染源及污染物产生情况见下表。</w:t>
            </w:r>
          </w:p>
          <w:p>
            <w:pPr>
              <w:pStyle w:val="18"/>
              <w:autoSpaceDE/>
              <w:autoSpaceDN/>
              <w:spacing w:line="440" w:lineRule="exact"/>
              <w:ind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w:t>
            </w:r>
            <w:r>
              <w:rPr>
                <w:rFonts w:hint="eastAsia"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eastAsia="zh-CN"/>
              </w:rPr>
              <w:t>10</w:t>
            </w:r>
            <w:r>
              <w:rPr>
                <w:rFonts w:ascii="Times New Roman" w:hAnsi="Times New Roman" w:cs="Times New Roman"/>
                <w:b/>
                <w:bCs/>
                <w:color w:val="auto"/>
                <w:sz w:val="21"/>
                <w:szCs w:val="21"/>
                <w:lang w:val="en-US"/>
              </w:rPr>
              <w:t xml:space="preserve">  本项目污染源及污染物产生情况</w:t>
            </w:r>
          </w:p>
          <w:tbl>
            <w:tblPr>
              <w:tblStyle w:val="33"/>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812"/>
              <w:gridCol w:w="753"/>
              <w:gridCol w:w="1605"/>
              <w:gridCol w:w="279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类别</w:t>
                  </w: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污染源</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序号</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主要污染物</w:t>
                  </w:r>
                </w:p>
              </w:tc>
              <w:tc>
                <w:tcPr>
                  <w:tcW w:w="2799"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治理方法</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废气</w:t>
                  </w: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料场</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G0</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颗粒物</w:t>
                  </w:r>
                </w:p>
              </w:tc>
              <w:tc>
                <w:tcPr>
                  <w:tcW w:w="2799"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color w:val="auto"/>
                      <w:kern w:val="21"/>
                      <w:sz w:val="21"/>
                      <w:szCs w:val="21"/>
                      <w:lang w:val="en-US"/>
                    </w:rPr>
                    <w:t>车间密闭；设喷雾设备、车辆冲洗装置；选用密闭输送装置进行输送；地面硬化，加强绿化</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pStyle w:val="18"/>
                    <w:autoSpaceDE/>
                    <w:autoSpaceDN/>
                    <w:spacing w:line="240" w:lineRule="auto"/>
                    <w:ind w:left="-110" w:leftChars="-50" w:right="-110" w:rightChars="-50" w:firstLine="0"/>
                    <w:jc w:val="center"/>
                    <w:rPr>
                      <w:rFonts w:ascii="Times New Roman" w:hAnsi="Times New Roman" w:cs="Times New Roman"/>
                      <w:color w:val="auto"/>
                    </w:rPr>
                  </w:pP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粉料仓废气</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G</w:t>
                  </w:r>
                  <w:r>
                    <w:rPr>
                      <w:rFonts w:hint="eastAsia" w:ascii="Times New Roman" w:hAnsi="Times New Roman" w:cs="Times New Roman"/>
                      <w:color w:val="auto"/>
                      <w:sz w:val="21"/>
                      <w:szCs w:val="21"/>
                      <w:lang w:val="en-US"/>
                    </w:rPr>
                    <w:t>1</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颗粒物</w:t>
                  </w:r>
                </w:p>
              </w:tc>
              <w:tc>
                <w:tcPr>
                  <w:tcW w:w="2799" w:type="dxa"/>
                  <w:vAlign w:val="center"/>
                </w:tcPr>
                <w:p>
                  <w:pPr>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kern w:val="21"/>
                      <w:sz w:val="21"/>
                      <w:szCs w:val="21"/>
                      <w:lang w:val="en-US"/>
                    </w:rPr>
                    <w:t>仓顶布袋除尘器+1根28m排气筒</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pStyle w:val="18"/>
                    <w:autoSpaceDE/>
                    <w:autoSpaceDN/>
                    <w:spacing w:line="240" w:lineRule="auto"/>
                    <w:ind w:left="-110" w:leftChars="-50" w:right="-110" w:rightChars="-50" w:firstLine="0"/>
                    <w:jc w:val="center"/>
                    <w:rPr>
                      <w:color w:val="auto"/>
                    </w:rPr>
                  </w:pP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骨料配料废气</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G2</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颗粒物</w:t>
                  </w:r>
                </w:p>
              </w:tc>
              <w:tc>
                <w:tcPr>
                  <w:tcW w:w="2799"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kern w:val="21"/>
                      <w:sz w:val="21"/>
                      <w:szCs w:val="21"/>
                      <w:lang w:val="en-US"/>
                    </w:rPr>
                    <w:t>集气罩+布袋除尘器+15m高排气筒</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pStyle w:val="18"/>
                    <w:autoSpaceDE/>
                    <w:autoSpaceDN/>
                    <w:spacing w:line="240" w:lineRule="auto"/>
                    <w:ind w:left="-110" w:leftChars="-50" w:right="-110" w:rightChars="-50" w:firstLine="0"/>
                    <w:jc w:val="center"/>
                    <w:rPr>
                      <w:color w:val="auto"/>
                    </w:rPr>
                  </w:pP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计量废气</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G3</w:t>
                  </w:r>
                </w:p>
              </w:tc>
              <w:tc>
                <w:tcPr>
                  <w:tcW w:w="1605"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颗粒物</w:t>
                  </w:r>
                </w:p>
              </w:tc>
              <w:tc>
                <w:tcPr>
                  <w:tcW w:w="2799"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kern w:val="21"/>
                      <w:sz w:val="21"/>
                      <w:szCs w:val="21"/>
                      <w:lang w:val="en-US"/>
                    </w:rPr>
                    <w:t>集气罩/密闭风管+布袋除尘器+18m高排气筒</w:t>
                  </w:r>
                </w:p>
              </w:tc>
              <w:tc>
                <w:tcPr>
                  <w:tcW w:w="911"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pStyle w:val="18"/>
                    <w:autoSpaceDE/>
                    <w:autoSpaceDN/>
                    <w:spacing w:line="240" w:lineRule="auto"/>
                    <w:ind w:left="-110" w:leftChars="-50" w:right="-110" w:rightChars="-50" w:firstLine="0"/>
                    <w:jc w:val="center"/>
                    <w:rPr>
                      <w:color w:val="auto"/>
                    </w:rPr>
                  </w:pP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搅拌废气</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G4</w:t>
                  </w:r>
                </w:p>
              </w:tc>
              <w:tc>
                <w:tcPr>
                  <w:tcW w:w="1605" w:type="dxa"/>
                  <w:vMerge w:val="continue"/>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p>
              </w:tc>
              <w:tc>
                <w:tcPr>
                  <w:tcW w:w="2799" w:type="dxa"/>
                  <w:vMerge w:val="continue"/>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p>
              </w:tc>
              <w:tc>
                <w:tcPr>
                  <w:tcW w:w="911" w:type="dxa"/>
                  <w:vMerge w:val="continue"/>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废水</w:t>
                  </w: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SA"/>
                    </w:rPr>
                    <w:t>车辆冲洗废水</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w:t>
                  </w:r>
                  <w:r>
                    <w:rPr>
                      <w:rFonts w:hint="eastAsia" w:ascii="Times New Roman" w:hAnsi="Times New Roman" w:cs="Times New Roman"/>
                      <w:color w:val="auto"/>
                      <w:sz w:val="21"/>
                      <w:szCs w:val="21"/>
                      <w:lang w:val="en-US"/>
                    </w:rPr>
                    <w:t>1</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SS</w:t>
                  </w:r>
                </w:p>
              </w:tc>
              <w:tc>
                <w:tcPr>
                  <w:tcW w:w="2799" w:type="dxa"/>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经沉淀池沉淀后回用于车辆冲洗</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p>
              </w:tc>
              <w:tc>
                <w:tcPr>
                  <w:tcW w:w="1812" w:type="dxa"/>
                  <w:vAlign w:val="center"/>
                </w:tcPr>
                <w:p>
                  <w:pPr>
                    <w:pStyle w:val="18"/>
                    <w:autoSpaceDE/>
                    <w:autoSpaceDN/>
                    <w:spacing w:line="240" w:lineRule="auto"/>
                    <w:ind w:left="-110" w:leftChars="-50" w:right="-110" w:rightChars="-50" w:firstLine="0"/>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设备清洗废水</w:t>
                  </w:r>
                </w:p>
              </w:tc>
              <w:tc>
                <w:tcPr>
                  <w:tcW w:w="753" w:type="dxa"/>
                  <w:vAlign w:val="center"/>
                </w:tcPr>
                <w:p>
                  <w:pPr>
                    <w:pStyle w:val="18"/>
                    <w:autoSpaceDE/>
                    <w:autoSpaceDN/>
                    <w:spacing w:line="240" w:lineRule="auto"/>
                    <w:ind w:left="-110" w:leftChars="-50" w:right="-110" w:rightChars="-50" w:firstLine="0" w:firstLineChars="0"/>
                    <w:jc w:val="center"/>
                    <w:rPr>
                      <w:rFonts w:hint="eastAsia" w:ascii="Times New Roman" w:hAnsi="Times New Roman" w:eastAsia="宋体" w:cs="Times New Roman"/>
                      <w:color w:val="auto"/>
                      <w:sz w:val="21"/>
                      <w:szCs w:val="21"/>
                      <w:lang w:val="en-US" w:eastAsia="zh-CN"/>
                    </w:rPr>
                  </w:pPr>
                  <w:r>
                    <w:rPr>
                      <w:rFonts w:ascii="Times New Roman" w:hAnsi="Times New Roman" w:cs="Times New Roman"/>
                      <w:color w:val="auto"/>
                      <w:sz w:val="21"/>
                      <w:szCs w:val="21"/>
                      <w:lang w:val="en-US"/>
                    </w:rPr>
                    <w:t>W</w:t>
                  </w:r>
                  <w:r>
                    <w:rPr>
                      <w:rFonts w:hint="eastAsia" w:ascii="Times New Roman" w:hAnsi="Times New Roman" w:cs="Times New Roman"/>
                      <w:color w:val="auto"/>
                      <w:sz w:val="21"/>
                      <w:szCs w:val="21"/>
                      <w:lang w:val="en-US" w:eastAsia="zh-CN"/>
                    </w:rPr>
                    <w:t>2</w:t>
                  </w:r>
                </w:p>
              </w:tc>
              <w:tc>
                <w:tcPr>
                  <w:tcW w:w="1605" w:type="dxa"/>
                  <w:vAlign w:val="center"/>
                </w:tcPr>
                <w:p>
                  <w:pPr>
                    <w:pStyle w:val="18"/>
                    <w:autoSpaceDE/>
                    <w:autoSpaceDN/>
                    <w:spacing w:line="240" w:lineRule="auto"/>
                    <w:ind w:left="-110" w:leftChars="-50" w:right="-110" w:rightChars="-50" w:firstLine="0" w:firstLineChars="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SS</w:t>
                  </w:r>
                </w:p>
              </w:tc>
              <w:tc>
                <w:tcPr>
                  <w:tcW w:w="2799" w:type="dxa"/>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经沉淀池沉淀后回用于</w:t>
                  </w:r>
                  <w:r>
                    <w:rPr>
                      <w:rFonts w:hint="eastAsia" w:ascii="Times New Roman" w:hAnsi="Times New Roman" w:cs="Times New Roman"/>
                      <w:color w:val="auto"/>
                      <w:sz w:val="21"/>
                      <w:szCs w:val="21"/>
                      <w:lang w:val="en-US" w:eastAsia="zh-CN"/>
                    </w:rPr>
                    <w:t>设备清洗</w:t>
                  </w:r>
                </w:p>
              </w:tc>
              <w:tc>
                <w:tcPr>
                  <w:tcW w:w="911" w:type="dxa"/>
                  <w:vAlign w:val="center"/>
                </w:tcPr>
                <w:p>
                  <w:pPr>
                    <w:pStyle w:val="18"/>
                    <w:autoSpaceDE/>
                    <w:autoSpaceDN/>
                    <w:spacing w:line="240" w:lineRule="auto"/>
                    <w:ind w:left="-110" w:leftChars="-50" w:right="-110" w:rightChars="-50" w:firstLine="0" w:firstLineChars="0"/>
                    <w:jc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噪声</w:t>
                  </w:r>
                </w:p>
              </w:tc>
              <w:tc>
                <w:tcPr>
                  <w:tcW w:w="1812"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设备运行</w:t>
                  </w:r>
                </w:p>
              </w:tc>
              <w:tc>
                <w:tcPr>
                  <w:tcW w:w="753"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N</w:t>
                  </w:r>
                </w:p>
              </w:tc>
              <w:tc>
                <w:tcPr>
                  <w:tcW w:w="1605"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Leq</w:t>
                  </w:r>
                  <w:r>
                    <w:rPr>
                      <w:rFonts w:ascii="Times New Roman" w:hAnsi="Times New Roman" w:cs="Times New Roman"/>
                      <w:color w:val="auto"/>
                      <w:sz w:val="21"/>
                      <w:szCs w:val="21"/>
                      <w:vertAlign w:val="subscript"/>
                      <w:lang w:val="en-US"/>
                    </w:rPr>
                    <w:t>(A)</w:t>
                  </w:r>
                </w:p>
              </w:tc>
              <w:tc>
                <w:tcPr>
                  <w:tcW w:w="2799"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选用低噪声设备、减振、隔声</w:t>
                  </w:r>
                </w:p>
              </w:tc>
              <w:tc>
                <w:tcPr>
                  <w:tcW w:w="911" w:type="dxa"/>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固废</w:t>
                  </w:r>
                </w:p>
              </w:tc>
              <w:tc>
                <w:tcPr>
                  <w:tcW w:w="1812"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布袋除尘器</w:t>
                  </w:r>
                </w:p>
              </w:tc>
              <w:tc>
                <w:tcPr>
                  <w:tcW w:w="753" w:type="dxa"/>
                  <w:vAlign w:val="center"/>
                </w:tcPr>
                <w:p>
                  <w:pPr>
                    <w:spacing w:line="0" w:lineRule="atLeas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1</w:t>
                  </w:r>
                </w:p>
              </w:tc>
              <w:tc>
                <w:tcPr>
                  <w:tcW w:w="160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除尘灰</w:t>
                  </w:r>
                </w:p>
              </w:tc>
              <w:tc>
                <w:tcPr>
                  <w:tcW w:w="2799"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集中收集后外售</w:t>
                  </w:r>
                </w:p>
              </w:tc>
              <w:tc>
                <w:tcPr>
                  <w:tcW w:w="911" w:type="dxa"/>
                  <w:vMerge w:val="restart"/>
                  <w:vAlign w:val="center"/>
                </w:tcPr>
                <w:p>
                  <w:pPr>
                    <w:pStyle w:val="18"/>
                    <w:autoSpaceDE/>
                    <w:autoSpaceDN/>
                    <w:spacing w:line="240" w:lineRule="auto"/>
                    <w:ind w:left="-110" w:leftChars="-50" w:right="-110" w:rightChars="-50" w:firstLine="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812"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物料包装</w:t>
                  </w:r>
                </w:p>
              </w:tc>
              <w:tc>
                <w:tcPr>
                  <w:tcW w:w="753" w:type="dxa"/>
                  <w:vAlign w:val="center"/>
                </w:tcPr>
                <w:p>
                  <w:pPr>
                    <w:spacing w:line="0" w:lineRule="atLeas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3</w:t>
                  </w:r>
                </w:p>
              </w:tc>
              <w:tc>
                <w:tcPr>
                  <w:tcW w:w="160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废油桶</w:t>
                  </w:r>
                </w:p>
              </w:tc>
              <w:tc>
                <w:tcPr>
                  <w:tcW w:w="2799" w:type="dxa"/>
                  <w:vMerge w:val="restar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rPr>
                    <w:t>暂存危废间，定期由资质单位处置</w:t>
                  </w:r>
                </w:p>
              </w:tc>
              <w:tc>
                <w:tcPr>
                  <w:tcW w:w="911"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8"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1812"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检维修</w:t>
                  </w:r>
                </w:p>
              </w:tc>
              <w:tc>
                <w:tcPr>
                  <w:tcW w:w="753"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2</w:t>
                  </w:r>
                </w:p>
              </w:tc>
              <w:tc>
                <w:tcPr>
                  <w:tcW w:w="160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废机油</w:t>
                  </w:r>
                </w:p>
              </w:tc>
              <w:tc>
                <w:tcPr>
                  <w:tcW w:w="2799"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c>
                <w:tcPr>
                  <w:tcW w:w="911" w:type="dxa"/>
                  <w:vMerge w:val="continue"/>
                  <w:vAlign w:val="center"/>
                </w:tcPr>
                <w:p>
                  <w:pPr>
                    <w:autoSpaceDE/>
                    <w:autoSpaceDN/>
                    <w:ind w:left="-110" w:leftChars="-50" w:right="-110" w:rightChars="-50"/>
                    <w:jc w:val="center"/>
                    <w:rPr>
                      <w:rFonts w:ascii="Times New Roman" w:hAnsi="Times New Roman" w:cs="Times New Roman"/>
                      <w:color w:val="auto"/>
                      <w:sz w:val="21"/>
                      <w:szCs w:val="21"/>
                      <w:lang w:val="en-US"/>
                    </w:rPr>
                  </w:pPr>
                </w:p>
              </w:tc>
            </w:tr>
          </w:tbl>
          <w:p>
            <w:pPr>
              <w:pStyle w:val="19"/>
              <w:rPr>
                <w:color w:val="auto"/>
                <w:lang w:val="en-US"/>
              </w:rPr>
            </w:pPr>
          </w:p>
          <w:p>
            <w:pPr>
              <w:pStyle w:val="20"/>
              <w:rPr>
                <w:color w:val="auto"/>
                <w:lang w:val="en-US"/>
              </w:rPr>
            </w:pPr>
          </w:p>
          <w:p>
            <w:pPr>
              <w:rPr>
                <w:color w:val="auto"/>
                <w:lang w:val="en-US"/>
              </w:rPr>
            </w:pPr>
          </w:p>
          <w:p>
            <w:pPr>
              <w:pStyle w:val="52"/>
              <w:spacing w:line="400" w:lineRule="exact"/>
              <w:ind w:left="110" w:leftChars="50" w:firstLine="481" w:firstLineChars="200"/>
              <w:rPr>
                <w:rFonts w:ascii="Times New Roman" w:hAnsi="Times New Roman" w:cs="Times New Roman"/>
                <w:b/>
                <w:bCs/>
                <w:color w:val="auto"/>
                <w:sz w:val="24"/>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43" w:hRule="atLeast"/>
          <w:jc w:val="center"/>
        </w:trPr>
        <w:tc>
          <w:tcPr>
            <w:tcW w:w="446" w:type="dxa"/>
            <w:tcBorders>
              <w:top w:val="single" w:color="000000" w:sz="4" w:space="0"/>
              <w:right w:val="single" w:color="000000" w:sz="4" w:space="0"/>
            </w:tcBorders>
            <w:vAlign w:val="center"/>
          </w:tcPr>
          <w:p>
            <w:pPr>
              <w:pStyle w:val="52"/>
              <w:spacing w:line="243" w:lineRule="auto"/>
              <w:ind w:left="110" w:leftChars="50" w:right="110" w:rightChars="50"/>
              <w:jc w:val="center"/>
              <w:rPr>
                <w:rFonts w:ascii="Times New Roman" w:hAnsi="Times New Roman" w:cs="Times New Roman"/>
                <w:color w:val="auto"/>
                <w:sz w:val="21"/>
              </w:rPr>
            </w:pPr>
            <w:r>
              <w:rPr>
                <w:rFonts w:ascii="Times New Roman" w:hAnsi="Times New Roman" w:cs="Times New Roman"/>
                <w:b/>
                <w:bCs/>
                <w:color w:val="auto"/>
                <w:sz w:val="21"/>
              </w:rPr>
              <w:t>与项目有关的原有环境污染问题</w:t>
            </w:r>
          </w:p>
        </w:tc>
        <w:tc>
          <w:tcPr>
            <w:tcW w:w="9105" w:type="dxa"/>
            <w:tcBorders>
              <w:top w:val="single" w:color="000000" w:sz="4" w:space="0"/>
              <w:left w:val="single" w:color="000000" w:sz="4" w:space="0"/>
            </w:tcBorders>
            <w:vAlign w:val="center"/>
          </w:tcPr>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hint="eastAsia" w:ascii="Times New Roman" w:hAnsi="Times New Roman" w:cs="Times New Roman"/>
                <w:b/>
                <w:color w:val="auto"/>
                <w:sz w:val="21"/>
                <w:szCs w:val="21"/>
                <w:lang w:val="en-US"/>
              </w:rPr>
              <w:t>一、相关环评文件执行情况</w:t>
            </w:r>
          </w:p>
          <w:p>
            <w:pPr>
              <w:autoSpaceDE/>
              <w:autoSpaceDN/>
              <w:adjustRightInd w:val="0"/>
              <w:snapToGrid w:val="0"/>
              <w:spacing w:line="400" w:lineRule="exact"/>
              <w:ind w:firstLine="420" w:firstLineChars="200"/>
              <w:jc w:val="both"/>
              <w:rPr>
                <w:rFonts w:ascii="Times New Roman" w:hAnsi="Times New Roman" w:cs="Times New Roman"/>
                <w:bCs/>
                <w:color w:val="auto"/>
                <w:szCs w:val="21"/>
                <w:lang w:val="en-US"/>
              </w:rPr>
            </w:pP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顺驰商砼加工有限公司</w:t>
            </w:r>
            <w:r>
              <w:rPr>
                <w:rFonts w:hint="eastAsia" w:ascii="Times New Roman" w:hAnsi="Times New Roman" w:cs="Times New Roman"/>
                <w:color w:val="auto"/>
                <w:sz w:val="21"/>
                <w:szCs w:val="21"/>
                <w:lang w:val="en-US"/>
              </w:rPr>
              <w:t>于2011年7月13日成立，</w:t>
            </w:r>
            <w:r>
              <w:rPr>
                <w:rFonts w:ascii="Times New Roman" w:hAnsi="Times New Roman" w:cs="Times New Roman"/>
                <w:color w:val="auto"/>
                <w:sz w:val="21"/>
                <w:szCs w:val="21"/>
                <w:lang w:val="en-US"/>
              </w:rPr>
              <w:t>位于河北省邯郸市魏县德政镇王庄村北</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该公司</w:t>
            </w:r>
            <w:r>
              <w:rPr>
                <w:rFonts w:hint="eastAsia" w:ascii="Times New Roman" w:hAnsi="Times New Roman" w:cs="Times New Roman"/>
                <w:color w:val="auto"/>
                <w:sz w:val="21"/>
                <w:szCs w:val="21"/>
                <w:lang w:val="en-US"/>
              </w:rPr>
              <w:t>现有环评批复、排污许可证及验收情况见下表。</w:t>
            </w:r>
          </w:p>
          <w:p>
            <w:pPr>
              <w:autoSpaceDE/>
              <w:autoSpaceDN/>
              <w:spacing w:line="400" w:lineRule="exact"/>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2.</w:t>
            </w:r>
            <w:r>
              <w:rPr>
                <w:rFonts w:hint="eastAsia" w:ascii="Times New Roman" w:hAnsi="Times New Roman" w:cs="Times New Roman"/>
                <w:b/>
                <w:color w:val="auto"/>
                <w:sz w:val="21"/>
                <w:szCs w:val="21"/>
                <w:lang w:val="en-US" w:eastAsia="zh-CN"/>
              </w:rPr>
              <w:t>11</w:t>
            </w:r>
            <w:r>
              <w:rPr>
                <w:rFonts w:ascii="Times New Roman" w:hAnsi="Times New Roman" w:cs="Times New Roman"/>
                <w:b/>
                <w:color w:val="auto"/>
                <w:sz w:val="21"/>
                <w:szCs w:val="21"/>
              </w:rPr>
              <w:t xml:space="preserve">  环评批复及验收情况表</w:t>
            </w:r>
          </w:p>
          <w:tbl>
            <w:tblPr>
              <w:tblStyle w:val="32"/>
              <w:tblW w:w="483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1860"/>
              <w:gridCol w:w="1729"/>
              <w:gridCol w:w="1729"/>
              <w:gridCol w:w="20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782" w:type="pct"/>
                  <w:vAlign w:val="center"/>
                </w:tcPr>
                <w:p>
                  <w:pPr>
                    <w:ind w:left="-110" w:leftChars="-50" w:right="-110" w:rightChars="-50"/>
                    <w:jc w:val="center"/>
                    <w:rPr>
                      <w:rFonts w:ascii="Times New Roman" w:hAnsi="Times New Roman" w:cs="Times New Roman"/>
                      <w:b/>
                      <w:bCs/>
                      <w:color w:val="auto"/>
                      <w:sz w:val="21"/>
                      <w:szCs w:val="21"/>
                    </w:rPr>
                  </w:pPr>
                  <w:bookmarkStart w:id="3" w:name="OLE_LINK1"/>
                  <w:r>
                    <w:rPr>
                      <w:rFonts w:ascii="Times New Roman" w:hAnsi="Times New Roman" w:cs="Times New Roman"/>
                      <w:b/>
                      <w:bCs/>
                      <w:color w:val="auto"/>
                      <w:sz w:val="21"/>
                      <w:szCs w:val="21"/>
                    </w:rPr>
                    <w:t>工程名称</w:t>
                  </w:r>
                </w:p>
              </w:tc>
              <w:tc>
                <w:tcPr>
                  <w:tcW w:w="1057" w:type="pct"/>
                  <w:vAlign w:val="center"/>
                </w:tcPr>
                <w:p>
                  <w:pPr>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环评批复</w:t>
                  </w:r>
                </w:p>
              </w:tc>
              <w:tc>
                <w:tcPr>
                  <w:tcW w:w="983" w:type="pct"/>
                  <w:vAlign w:val="center"/>
                </w:tcPr>
                <w:p>
                  <w:pPr>
                    <w:ind w:left="-110" w:leftChars="-50" w:right="-110" w:rightChars="-5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排污许可证</w:t>
                  </w:r>
                </w:p>
              </w:tc>
              <w:tc>
                <w:tcPr>
                  <w:tcW w:w="983" w:type="pct"/>
                  <w:vAlign w:val="center"/>
                </w:tcPr>
                <w:p>
                  <w:pPr>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竣工环保验收</w:t>
                  </w:r>
                </w:p>
              </w:tc>
              <w:tc>
                <w:tcPr>
                  <w:tcW w:w="1192" w:type="pct"/>
                  <w:vAlign w:val="center"/>
                </w:tcPr>
                <w:p>
                  <w:pPr>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782" w:type="pc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商砼加工项目</w:t>
                  </w:r>
                </w:p>
              </w:tc>
              <w:tc>
                <w:tcPr>
                  <w:tcW w:w="1057" w:type="pct"/>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魏县环保局，</w:t>
                  </w:r>
                  <w:r>
                    <w:rPr>
                      <w:rFonts w:ascii="Times New Roman" w:hAnsi="Times New Roman" w:cs="Times New Roman"/>
                      <w:color w:val="auto"/>
                      <w:sz w:val="21"/>
                      <w:szCs w:val="21"/>
                      <w:lang w:val="en-US"/>
                    </w:rPr>
                    <w:t>2011年7月13日取得了审批意见</w:t>
                  </w:r>
                </w:p>
              </w:tc>
              <w:tc>
                <w:tcPr>
                  <w:tcW w:w="983" w:type="pct"/>
                  <w:vMerge w:val="restar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固定污染源排污登记</w:t>
                  </w:r>
                  <w:r>
                    <w:rPr>
                      <w:rFonts w:hint="eastAsia" w:ascii="Times New Roman" w:hAnsi="Times New Roman" w:cs="Times New Roman"/>
                      <w:color w:val="auto"/>
                      <w:sz w:val="21"/>
                      <w:szCs w:val="21"/>
                      <w:lang w:val="en-US"/>
                    </w:rPr>
                    <w:t>编号为：9113043457823839XN001Y</w:t>
                  </w:r>
                </w:p>
              </w:tc>
              <w:tc>
                <w:tcPr>
                  <w:tcW w:w="983" w:type="pc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2014年4月3日通过魏县环境保护局验收</w:t>
                  </w:r>
                  <w:r>
                    <w:rPr>
                      <w:rFonts w:hint="eastAsia" w:ascii="Times New Roman" w:hAnsi="Times New Roman" w:cs="Times New Roman"/>
                      <w:color w:val="auto"/>
                      <w:sz w:val="21"/>
                      <w:szCs w:val="21"/>
                      <w:lang w:val="en-US"/>
                    </w:rPr>
                    <w:t>并取得了验收意见</w:t>
                  </w:r>
                  <w:r>
                    <w:rPr>
                      <w:rFonts w:ascii="Times New Roman" w:hAnsi="Times New Roman" w:cs="Times New Roman"/>
                      <w:color w:val="auto"/>
                      <w:sz w:val="21"/>
                      <w:szCs w:val="21"/>
                      <w:lang w:val="en-US"/>
                    </w:rPr>
                    <w:t>，验收文号“魏环验[2014]2号”</w:t>
                  </w:r>
                </w:p>
              </w:tc>
              <w:tc>
                <w:tcPr>
                  <w:tcW w:w="1192" w:type="pct"/>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782" w:type="pct"/>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商砼升级改造及干混砂浆生产线建设项目</w:t>
                  </w:r>
                </w:p>
              </w:tc>
              <w:tc>
                <w:tcPr>
                  <w:tcW w:w="1057" w:type="pct"/>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邯郸市生态环境局魏县分局</w:t>
                  </w:r>
                  <w:r>
                    <w:rPr>
                      <w:rFonts w:ascii="Times New Roman" w:hAnsi="Times New Roman" w:cs="Times New Roman"/>
                      <w:color w:val="auto"/>
                      <w:sz w:val="21"/>
                      <w:szCs w:val="21"/>
                    </w:rPr>
                    <w:t>，</w:t>
                  </w:r>
                  <w:r>
                    <w:rPr>
                      <w:rFonts w:ascii="Times New Roman" w:hAnsi="Times New Roman" w:cs="Times New Roman"/>
                      <w:color w:val="auto"/>
                      <w:sz w:val="21"/>
                      <w:szCs w:val="21"/>
                      <w:lang w:val="en-US"/>
                    </w:rPr>
                    <w:t>2019年4月19日</w:t>
                  </w:r>
                  <w:r>
                    <w:rPr>
                      <w:rFonts w:ascii="Times New Roman" w:hAnsi="Times New Roman" w:cs="Times New Roman"/>
                      <w:color w:val="auto"/>
                      <w:sz w:val="21"/>
                      <w:szCs w:val="21"/>
                    </w:rPr>
                    <w:t>，</w:t>
                  </w:r>
                  <w:r>
                    <w:rPr>
                      <w:rFonts w:ascii="Times New Roman" w:hAnsi="Times New Roman" w:cs="Times New Roman"/>
                      <w:color w:val="auto"/>
                      <w:sz w:val="21"/>
                      <w:szCs w:val="21"/>
                      <w:lang w:val="en-US"/>
                    </w:rPr>
                    <w:t>魏环审[2019]027号</w:t>
                  </w:r>
                </w:p>
              </w:tc>
              <w:tc>
                <w:tcPr>
                  <w:tcW w:w="983" w:type="pct"/>
                  <w:vMerge w:val="continue"/>
                  <w:vAlign w:val="center"/>
                </w:tcPr>
                <w:p>
                  <w:pPr>
                    <w:ind w:left="-110" w:leftChars="-50" w:right="-110" w:rightChars="-50"/>
                    <w:jc w:val="center"/>
                    <w:rPr>
                      <w:rFonts w:ascii="Times New Roman" w:hAnsi="Times New Roman" w:cs="Times New Roman"/>
                      <w:color w:val="auto"/>
                      <w:sz w:val="21"/>
                      <w:szCs w:val="21"/>
                    </w:rPr>
                  </w:pPr>
                </w:p>
              </w:tc>
              <w:tc>
                <w:tcPr>
                  <w:tcW w:w="983" w:type="pc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2019年</w:t>
                  </w: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lang w:val="en-US"/>
                    </w:rPr>
                    <w:t>月</w:t>
                  </w:r>
                  <w:r>
                    <w:rPr>
                      <w:rFonts w:hint="eastAsia" w:ascii="Times New Roman" w:hAnsi="Times New Roman" w:cs="Times New Roman"/>
                      <w:color w:val="auto"/>
                      <w:sz w:val="21"/>
                      <w:szCs w:val="21"/>
                      <w:lang w:val="en-US"/>
                    </w:rPr>
                    <w:t>28</w:t>
                  </w:r>
                  <w:r>
                    <w:rPr>
                      <w:rFonts w:ascii="Times New Roman" w:hAnsi="Times New Roman" w:cs="Times New Roman"/>
                      <w:color w:val="auto"/>
                      <w:sz w:val="21"/>
                      <w:szCs w:val="21"/>
                      <w:lang w:val="en-US"/>
                    </w:rPr>
                    <w:t>日</w:t>
                  </w:r>
                  <w:r>
                    <w:rPr>
                      <w:rFonts w:hint="eastAsia" w:ascii="Times New Roman" w:hAnsi="Times New Roman" w:cs="Times New Roman"/>
                      <w:color w:val="auto"/>
                      <w:sz w:val="21"/>
                      <w:szCs w:val="21"/>
                      <w:lang w:val="en-US"/>
                    </w:rPr>
                    <w:t>自主验收</w:t>
                  </w:r>
                </w:p>
              </w:tc>
              <w:tc>
                <w:tcPr>
                  <w:tcW w:w="1192" w:type="pct"/>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2023年11月1日</w:t>
                  </w:r>
                  <w:r>
                    <w:rPr>
                      <w:rFonts w:hint="eastAsia" w:ascii="Times New Roman" w:hAnsi="Times New Roman" w:cs="Times New Roman"/>
                      <w:color w:val="auto"/>
                      <w:sz w:val="21"/>
                      <w:szCs w:val="21"/>
                    </w:rPr>
                    <w:t>魏县</w:t>
                  </w:r>
                  <w:r>
                    <w:rPr>
                      <w:rFonts w:ascii="Times New Roman" w:hAnsi="Times New Roman" w:cs="Times New Roman"/>
                      <w:color w:val="auto"/>
                      <w:sz w:val="21"/>
                      <w:szCs w:val="21"/>
                    </w:rPr>
                    <w:t>顺驰商砼加工有限公</w:t>
                  </w:r>
                  <w:r>
                    <w:rPr>
                      <w:rFonts w:hint="eastAsia" w:ascii="Times New Roman" w:hAnsi="Times New Roman" w:cs="Times New Roman"/>
                      <w:color w:val="auto"/>
                      <w:sz w:val="21"/>
                      <w:szCs w:val="21"/>
                    </w:rPr>
                    <w:t>司</w:t>
                  </w:r>
                  <w:r>
                    <w:rPr>
                      <w:rFonts w:hint="eastAsia" w:ascii="Times New Roman" w:hAnsi="Times New Roman" w:cs="Times New Roman"/>
                      <w:color w:val="auto"/>
                      <w:sz w:val="21"/>
                      <w:szCs w:val="21"/>
                      <w:lang w:val="en-US"/>
                    </w:rPr>
                    <w:t>将</w:t>
                  </w:r>
                  <w:r>
                    <w:rPr>
                      <w:rFonts w:ascii="Times New Roman" w:hAnsi="Times New Roman" w:cs="Times New Roman"/>
                      <w:color w:val="auto"/>
                      <w:sz w:val="21"/>
                      <w:szCs w:val="21"/>
                      <w:lang w:val="en-US"/>
                    </w:rPr>
                    <w:t>商砼升级改造及干混砂浆生产线建设项目</w:t>
                  </w:r>
                  <w:r>
                    <w:rPr>
                      <w:rFonts w:hint="eastAsia" w:ascii="Times New Roman" w:hAnsi="Times New Roman" w:cs="Times New Roman"/>
                      <w:color w:val="auto"/>
                      <w:sz w:val="21"/>
                      <w:szCs w:val="21"/>
                      <w:lang w:val="en-US"/>
                    </w:rPr>
                    <w:t>中的年产干混砂浆30万吨生产线转让给</w:t>
                  </w:r>
                  <w:r>
                    <w:rPr>
                      <w:rFonts w:ascii="Times New Roman" w:hAnsi="Times New Roman" w:cs="Times New Roman"/>
                      <w:color w:val="auto"/>
                      <w:sz w:val="21"/>
                      <w:szCs w:val="21"/>
                    </w:rPr>
                    <w:t>魏县顺驰商砼加工有限公司鑫磊分公司</w:t>
                  </w:r>
                  <w:r>
                    <w:rPr>
                      <w:rFonts w:hint="eastAsia" w:ascii="Times New Roman" w:hAnsi="Times New Roman" w:cs="Times New Roman"/>
                      <w:color w:val="auto"/>
                      <w:sz w:val="21"/>
                      <w:szCs w:val="21"/>
                      <w:lang w:val="en-US"/>
                    </w:rPr>
                    <w:t>（转让协议见附件）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782" w:type="pct"/>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年产5万立方米混凝土预制构件项目</w:t>
                  </w:r>
                </w:p>
              </w:tc>
              <w:tc>
                <w:tcPr>
                  <w:tcW w:w="1057" w:type="pc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魏县行政审批局，</w:t>
                  </w:r>
                  <w:r>
                    <w:rPr>
                      <w:rFonts w:ascii="Times New Roman" w:hAnsi="Times New Roman" w:cs="Times New Roman"/>
                      <w:color w:val="auto"/>
                      <w:sz w:val="21"/>
                      <w:szCs w:val="21"/>
                      <w:lang w:val="en-US"/>
                    </w:rPr>
                    <w:t>20</w:t>
                  </w:r>
                  <w:r>
                    <w:rPr>
                      <w:rFonts w:hint="eastAsia" w:ascii="Times New Roman" w:hAnsi="Times New Roman" w:cs="Times New Roman"/>
                      <w:color w:val="auto"/>
                      <w:sz w:val="21"/>
                      <w:szCs w:val="21"/>
                      <w:lang w:val="en-US"/>
                    </w:rPr>
                    <w:t>21</w:t>
                  </w:r>
                  <w:r>
                    <w:rPr>
                      <w:rFonts w:ascii="Times New Roman" w:hAnsi="Times New Roman" w:cs="Times New Roman"/>
                      <w:color w:val="auto"/>
                      <w:sz w:val="21"/>
                      <w:szCs w:val="21"/>
                      <w:lang w:val="en-US"/>
                    </w:rPr>
                    <w:t>年</w:t>
                  </w: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月</w:t>
                  </w:r>
                  <w:r>
                    <w:rPr>
                      <w:rFonts w:hint="eastAsia" w:ascii="Times New Roman" w:hAnsi="Times New Roman" w:cs="Times New Roman"/>
                      <w:color w:val="auto"/>
                      <w:sz w:val="21"/>
                      <w:szCs w:val="21"/>
                      <w:lang w:val="en-US"/>
                    </w:rPr>
                    <w:t>11</w:t>
                  </w:r>
                  <w:r>
                    <w:rPr>
                      <w:rFonts w:ascii="Times New Roman" w:hAnsi="Times New Roman" w:cs="Times New Roman"/>
                      <w:color w:val="auto"/>
                      <w:sz w:val="21"/>
                      <w:szCs w:val="21"/>
                      <w:lang w:val="en-US"/>
                    </w:rPr>
                    <w:t>日</w:t>
                  </w:r>
                  <w:r>
                    <w:rPr>
                      <w:rFonts w:ascii="Times New Roman" w:hAnsi="Times New Roman" w:cs="Times New Roman"/>
                      <w:color w:val="auto"/>
                      <w:sz w:val="21"/>
                      <w:szCs w:val="21"/>
                    </w:rPr>
                    <w:t>，</w:t>
                  </w:r>
                  <w:r>
                    <w:rPr>
                      <w:rFonts w:ascii="Times New Roman" w:hAnsi="Times New Roman" w:cs="Times New Roman"/>
                      <w:color w:val="auto"/>
                      <w:sz w:val="21"/>
                      <w:szCs w:val="21"/>
                      <w:lang w:val="en-US"/>
                    </w:rPr>
                    <w:t>魏</w:t>
                  </w:r>
                  <w:r>
                    <w:rPr>
                      <w:rFonts w:hint="eastAsia" w:ascii="Times New Roman" w:hAnsi="Times New Roman" w:cs="Times New Roman"/>
                      <w:color w:val="auto"/>
                      <w:sz w:val="21"/>
                      <w:szCs w:val="21"/>
                      <w:lang w:val="en-US"/>
                    </w:rPr>
                    <w:t>审批</w:t>
                  </w:r>
                  <w:r>
                    <w:rPr>
                      <w:rFonts w:ascii="Times New Roman" w:hAnsi="Times New Roman" w:cs="Times New Roman"/>
                      <w:color w:val="auto"/>
                      <w:sz w:val="21"/>
                      <w:szCs w:val="21"/>
                      <w:lang w:val="en-US"/>
                    </w:rPr>
                    <w:t>环</w:t>
                  </w:r>
                  <w:r>
                    <w:rPr>
                      <w:rFonts w:hint="eastAsia" w:ascii="Times New Roman" w:hAnsi="Times New Roman" w:cs="Times New Roman"/>
                      <w:color w:val="auto"/>
                      <w:sz w:val="21"/>
                      <w:szCs w:val="21"/>
                      <w:lang w:val="en-US"/>
                    </w:rPr>
                    <w:t>表</w:t>
                  </w:r>
                  <w:r>
                    <w:rPr>
                      <w:rFonts w:ascii="Times New Roman" w:hAnsi="Times New Roman" w:cs="Times New Roman"/>
                      <w:color w:val="auto"/>
                      <w:sz w:val="21"/>
                      <w:szCs w:val="21"/>
                      <w:lang w:val="en-US"/>
                    </w:rPr>
                    <w:t>[20</w:t>
                  </w:r>
                  <w:r>
                    <w:rPr>
                      <w:rFonts w:hint="eastAsia" w:ascii="Times New Roman" w:hAnsi="Times New Roman" w:cs="Times New Roman"/>
                      <w:color w:val="auto"/>
                      <w:sz w:val="21"/>
                      <w:szCs w:val="21"/>
                      <w:lang w:val="en-US"/>
                    </w:rPr>
                    <w:t>21</w:t>
                  </w:r>
                  <w:r>
                    <w:rPr>
                      <w:rFonts w:ascii="Times New Roman" w:hAnsi="Times New Roman" w:cs="Times New Roman"/>
                      <w:color w:val="auto"/>
                      <w:sz w:val="21"/>
                      <w:szCs w:val="21"/>
                      <w:lang w:val="en-US"/>
                    </w:rPr>
                    <w:t>]02号</w:t>
                  </w:r>
                </w:p>
              </w:tc>
              <w:tc>
                <w:tcPr>
                  <w:tcW w:w="983" w:type="pct"/>
                  <w:vMerge w:val="continue"/>
                  <w:vAlign w:val="center"/>
                </w:tcPr>
                <w:p>
                  <w:pPr>
                    <w:ind w:left="-110" w:leftChars="-50" w:right="-110" w:rightChars="-50"/>
                    <w:jc w:val="center"/>
                    <w:rPr>
                      <w:rFonts w:ascii="Times New Roman" w:hAnsi="Times New Roman" w:cs="Times New Roman"/>
                      <w:color w:val="auto"/>
                      <w:sz w:val="21"/>
                      <w:szCs w:val="21"/>
                    </w:rPr>
                  </w:pPr>
                </w:p>
              </w:tc>
              <w:tc>
                <w:tcPr>
                  <w:tcW w:w="983" w:type="pc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20</w:t>
                  </w:r>
                  <w:r>
                    <w:rPr>
                      <w:rFonts w:hint="eastAsia" w:ascii="Times New Roman" w:hAnsi="Times New Roman" w:cs="Times New Roman"/>
                      <w:color w:val="auto"/>
                      <w:sz w:val="21"/>
                      <w:szCs w:val="21"/>
                      <w:lang w:val="en-US"/>
                    </w:rPr>
                    <w:t>22</w:t>
                  </w:r>
                  <w:r>
                    <w:rPr>
                      <w:rFonts w:ascii="Times New Roman" w:hAnsi="Times New Roman" w:cs="Times New Roman"/>
                      <w:color w:val="auto"/>
                      <w:sz w:val="21"/>
                      <w:szCs w:val="21"/>
                      <w:lang w:val="en-US"/>
                    </w:rPr>
                    <w:t>年</w:t>
                  </w: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月</w:t>
                  </w:r>
                  <w:r>
                    <w:rPr>
                      <w:rFonts w:hint="eastAsia" w:ascii="Times New Roman" w:hAnsi="Times New Roman" w:cs="Times New Roman"/>
                      <w:color w:val="auto"/>
                      <w:sz w:val="21"/>
                      <w:szCs w:val="21"/>
                      <w:lang w:val="en-US"/>
                    </w:rPr>
                    <w:t>14</w:t>
                  </w:r>
                  <w:r>
                    <w:rPr>
                      <w:rFonts w:ascii="Times New Roman" w:hAnsi="Times New Roman" w:cs="Times New Roman"/>
                      <w:color w:val="auto"/>
                      <w:sz w:val="21"/>
                      <w:szCs w:val="21"/>
                      <w:lang w:val="en-US"/>
                    </w:rPr>
                    <w:t>日</w:t>
                  </w:r>
                  <w:r>
                    <w:rPr>
                      <w:rFonts w:ascii="Times New Roman" w:hAnsi="Times New Roman" w:cs="Times New Roman"/>
                      <w:color w:val="auto"/>
                      <w:sz w:val="21"/>
                      <w:szCs w:val="21"/>
                    </w:rPr>
                    <w:t>自主验收</w:t>
                  </w:r>
                </w:p>
              </w:tc>
              <w:tc>
                <w:tcPr>
                  <w:tcW w:w="1192" w:type="pct"/>
                  <w:vAlign w:val="center"/>
                </w:tcPr>
                <w:p>
                  <w:pPr>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r>
            <w:bookmarkEnd w:id="3"/>
          </w:tbl>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二、与本项目有关的现有污染情况</w:t>
            </w:r>
          </w:p>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1、现有工程污染及治理情况</w:t>
            </w:r>
          </w:p>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（1）废气</w:t>
            </w:r>
            <w:r>
              <w:rPr>
                <w:rFonts w:hint="eastAsia" w:ascii="Times New Roman" w:hAnsi="Times New Roman" w:cs="Times New Roman"/>
                <w:b/>
                <w:color w:val="auto"/>
                <w:sz w:val="21"/>
                <w:szCs w:val="21"/>
                <w:lang w:val="en-US"/>
              </w:rPr>
              <w:t>：</w:t>
            </w:r>
          </w:p>
          <w:p>
            <w:pPr>
              <w:pStyle w:val="43"/>
              <w:ind w:left="110" w:leftChars="50" w:firstLine="420"/>
              <w:jc w:val="both"/>
              <w:rPr>
                <w:rFonts w:ascii="Times New Roman" w:hAnsi="Times New Roman" w:cs="Times New Roman"/>
                <w:bCs/>
                <w:color w:val="auto"/>
                <w:sz w:val="21"/>
                <w:szCs w:val="21"/>
              </w:rPr>
            </w:pPr>
            <w:r>
              <w:rPr>
                <w:rFonts w:hint="eastAsia" w:ascii="Times New Roman" w:hAnsi="Times New Roman" w:cs="Times New Roman"/>
                <w:bCs/>
                <w:color w:val="auto"/>
                <w:sz w:val="21"/>
                <w:szCs w:val="21"/>
              </w:rPr>
              <w:t>根据企业提供资料，由于企业项目较多，排污节点较多，现场管道布置杂乱，废气处理效率不理想，于是根据现场生产线布置情况，规范管道布置，将两条生产线中计量搅拌废气通过集气罩收集后经布袋除尘器处理后合并为1根排气筒（DA002）排放，将两条生产线中骨料配料废气通过集气罩收集后经布袋除尘器处理后合并至1根排气筒（DA004）排放。</w:t>
            </w:r>
            <w:r>
              <w:rPr>
                <w:rFonts w:hint="eastAsia" w:ascii="Times New Roman" w:hAnsi="Times New Roman" w:cs="Times New Roman"/>
                <w:color w:val="auto"/>
                <w:sz w:val="21"/>
                <w:szCs w:val="21"/>
              </w:rPr>
              <w:t>1号生产线</w:t>
            </w:r>
            <w:r>
              <w:rPr>
                <w:rFonts w:hint="eastAsia" w:ascii="Times New Roman" w:hAnsi="Times New Roman" w:cs="Times New Roman"/>
                <w:bCs/>
                <w:color w:val="auto"/>
                <w:sz w:val="21"/>
                <w:szCs w:val="21"/>
              </w:rPr>
              <w:t>粉料仓废气经仓顶布袋除尘器处理后通过排气筒（DA001）排放，</w:t>
            </w:r>
            <w:r>
              <w:rPr>
                <w:rFonts w:hint="eastAsia" w:ascii="Times New Roman" w:hAnsi="Times New Roman" w:cs="Times New Roman"/>
                <w:color w:val="auto"/>
                <w:sz w:val="21"/>
                <w:szCs w:val="21"/>
              </w:rPr>
              <w:t>2号生产线</w:t>
            </w:r>
            <w:r>
              <w:rPr>
                <w:rFonts w:hint="eastAsia" w:ascii="Times New Roman" w:hAnsi="Times New Roman" w:cs="Times New Roman"/>
                <w:bCs/>
                <w:color w:val="auto"/>
                <w:sz w:val="21"/>
                <w:szCs w:val="21"/>
              </w:rPr>
              <w:t>粉料仓废气经仓顶布袋除尘器处理后通过排气筒（DA003）排放。</w:t>
            </w:r>
          </w:p>
          <w:p>
            <w:pPr>
              <w:pStyle w:val="43"/>
              <w:ind w:left="110" w:leftChars="50" w:firstLine="420"/>
              <w:jc w:val="both"/>
              <w:rPr>
                <w:rFonts w:ascii="Times New Roman" w:hAnsi="Times New Roman" w:cs="Times New Roman"/>
                <w:bCs/>
                <w:color w:val="auto"/>
                <w:sz w:val="21"/>
                <w:szCs w:val="21"/>
              </w:rPr>
            </w:pPr>
            <w:r>
              <w:rPr>
                <w:rFonts w:hint="eastAsia" w:ascii="Times New Roman" w:hAnsi="Times New Roman" w:cs="Times New Roman"/>
                <w:bCs/>
                <w:color w:val="auto"/>
                <w:sz w:val="21"/>
                <w:szCs w:val="21"/>
              </w:rPr>
              <w:t>企业委托邢台新环环境监测服务有限公司2024年3月23~26日进行自行监测，根据其出具的监测报告（XH202403055）中数据可得，</w:t>
            </w:r>
            <w:r>
              <w:rPr>
                <w:rFonts w:hint="eastAsia" w:ascii="Times New Roman" w:hAnsi="Times New Roman" w:cs="Times New Roman"/>
                <w:color w:val="auto"/>
                <w:sz w:val="21"/>
                <w:szCs w:val="21"/>
              </w:rPr>
              <w:t>1号生产线粉料仓工序废气治理设施出口（DA001）</w:t>
            </w:r>
            <w:r>
              <w:rPr>
                <w:rFonts w:hint="eastAsia" w:ascii="Times New Roman" w:hAnsi="Times New Roman" w:cs="Times New Roman"/>
                <w:bCs/>
                <w:color w:val="auto"/>
                <w:sz w:val="21"/>
                <w:szCs w:val="21"/>
              </w:rPr>
              <w:t>颗粒物最高排放浓度为1.8mg/m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w:t>
            </w:r>
            <w:r>
              <w:rPr>
                <w:rFonts w:hint="eastAsia" w:ascii="Times New Roman" w:hAnsi="Times New Roman" w:cs="Times New Roman"/>
                <w:color w:val="auto"/>
                <w:sz w:val="21"/>
                <w:szCs w:val="21"/>
              </w:rPr>
              <w:t>1号生产线搅拌-2号生产线搅拌工序废气治理设施出口（DA002）</w:t>
            </w:r>
            <w:r>
              <w:rPr>
                <w:rFonts w:hint="eastAsia" w:ascii="Times New Roman" w:hAnsi="Times New Roman" w:cs="Times New Roman"/>
                <w:bCs/>
                <w:color w:val="auto"/>
                <w:sz w:val="21"/>
                <w:szCs w:val="21"/>
              </w:rPr>
              <w:t>颗粒物最高排放浓度为6.5mg/m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w:t>
            </w:r>
            <w:r>
              <w:rPr>
                <w:rFonts w:hint="eastAsia" w:ascii="Times New Roman" w:hAnsi="Times New Roman" w:cs="Times New Roman"/>
                <w:color w:val="auto"/>
                <w:sz w:val="21"/>
                <w:szCs w:val="21"/>
              </w:rPr>
              <w:t>2号生产线粉料仓工序废气治理设施出口（DA003）</w:t>
            </w:r>
            <w:r>
              <w:rPr>
                <w:rFonts w:hint="eastAsia" w:ascii="Times New Roman" w:hAnsi="Times New Roman" w:cs="Times New Roman"/>
                <w:bCs/>
                <w:color w:val="auto"/>
                <w:sz w:val="21"/>
                <w:szCs w:val="21"/>
              </w:rPr>
              <w:t>颗粒物最高排放浓度为2.9mg/m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w:t>
            </w:r>
            <w:r>
              <w:rPr>
                <w:rFonts w:hint="eastAsia" w:ascii="Times New Roman" w:hAnsi="Times New Roman" w:cs="Times New Roman"/>
                <w:color w:val="auto"/>
                <w:sz w:val="21"/>
                <w:szCs w:val="21"/>
              </w:rPr>
              <w:t>1号-2号生产线</w:t>
            </w:r>
            <w:r>
              <w:rPr>
                <w:rFonts w:hint="eastAsia" w:ascii="Times New Roman" w:hAnsi="Times New Roman" w:cs="Times New Roman"/>
                <w:color w:val="auto"/>
                <w:sz w:val="21"/>
                <w:szCs w:val="21"/>
                <w:lang w:eastAsia="zh-CN"/>
              </w:rPr>
              <w:t>骨料</w:t>
            </w:r>
            <w:r>
              <w:rPr>
                <w:rFonts w:hint="eastAsia" w:ascii="Times New Roman" w:hAnsi="Times New Roman" w:cs="Times New Roman"/>
                <w:color w:val="auto"/>
                <w:sz w:val="21"/>
                <w:szCs w:val="21"/>
              </w:rPr>
              <w:t>仓工序废气治理设施出口（DA004）</w:t>
            </w:r>
            <w:r>
              <w:rPr>
                <w:rFonts w:hint="eastAsia" w:ascii="Times New Roman" w:hAnsi="Times New Roman" w:cs="Times New Roman"/>
                <w:bCs/>
                <w:color w:val="auto"/>
                <w:sz w:val="21"/>
                <w:szCs w:val="21"/>
              </w:rPr>
              <w:t>颗粒物最高排放浓度为2.7mg/m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，均满足河北省《水泥工业大气污染物超低排放标准》（DB13/2167-2020）表1中水泥制造标准要求。厂界无组织颗粒物下风向最大值与上风向差值最大值为0.126mg/m</w:t>
            </w:r>
            <w:r>
              <w:rPr>
                <w:rFonts w:hint="eastAsia" w:ascii="Times New Roman" w:hAnsi="Times New Roman" w:cs="Times New Roman"/>
                <w:bCs/>
                <w:color w:val="auto"/>
                <w:sz w:val="21"/>
                <w:szCs w:val="21"/>
                <w:vertAlign w:val="superscript"/>
              </w:rPr>
              <w:t>2</w:t>
            </w:r>
            <w:r>
              <w:rPr>
                <w:rFonts w:hint="eastAsia" w:ascii="Times New Roman" w:hAnsi="Times New Roman" w:cs="Times New Roman"/>
                <w:bCs/>
                <w:color w:val="auto"/>
                <w:sz w:val="21"/>
                <w:szCs w:val="21"/>
              </w:rPr>
              <w:t>，满足河北省《水泥工业大气污染物超低排放标准》（DB13/2167-2020）表2标准要求，即颗粒物最大值与上风向差值≤0.5mg/m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。该项目共有4个废气排放口，年排废气量为4874.76万m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，年排放颗粒物0.5296t</w:t>
            </w:r>
            <w:r>
              <w:rPr>
                <w:rFonts w:ascii="Times New Roman" w:hAnsi="Times New Roman" w:cs="Times New Roman"/>
                <w:bCs/>
                <w:color w:val="auto"/>
                <w:sz w:val="21"/>
                <w:szCs w:val="21"/>
              </w:rPr>
              <w:t>。</w:t>
            </w:r>
          </w:p>
          <w:p>
            <w:pPr>
              <w:pStyle w:val="43"/>
              <w:ind w:left="110" w:leftChars="50" w:firstLine="422"/>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（2）</w:t>
            </w:r>
            <w:r>
              <w:rPr>
                <w:rFonts w:ascii="Times New Roman" w:hAnsi="Times New Roman" w:cs="Times New Roman"/>
                <w:b/>
                <w:color w:val="auto"/>
                <w:sz w:val="21"/>
                <w:szCs w:val="21"/>
              </w:rPr>
              <w:t>废水</w:t>
            </w:r>
            <w:r>
              <w:rPr>
                <w:rFonts w:hint="eastAsia" w:ascii="Times New Roman" w:hAnsi="Times New Roman" w:cs="Times New Roman"/>
                <w:b/>
                <w:color w:val="auto"/>
                <w:sz w:val="21"/>
                <w:szCs w:val="21"/>
              </w:rPr>
              <w:t>：</w:t>
            </w:r>
          </w:p>
          <w:p>
            <w:pPr>
              <w:pStyle w:val="43"/>
              <w:ind w:left="110" w:leftChars="50" w:firstLine="420"/>
              <w:jc w:val="both"/>
              <w:rPr>
                <w:rFonts w:ascii="Times New Roman" w:hAnsi="Times New Roman" w:cs="Times New Roman"/>
                <w:bCs/>
                <w:color w:val="auto"/>
                <w:sz w:val="21"/>
                <w:szCs w:val="21"/>
              </w:rPr>
            </w:pPr>
            <w:r>
              <w:rPr>
                <w:rFonts w:ascii="Times New Roman" w:hAnsi="Times New Roman" w:cs="Times New Roman"/>
                <w:bCs/>
                <w:color w:val="auto"/>
                <w:sz w:val="21"/>
                <w:szCs w:val="21"/>
              </w:rPr>
              <w:t>项目</w:t>
            </w:r>
            <w:r>
              <w:rPr>
                <w:rFonts w:hint="eastAsia" w:ascii="Times New Roman" w:hAnsi="Times New Roman" w:cs="Times New Roman"/>
                <w:bCs/>
                <w:color w:val="auto"/>
                <w:sz w:val="21"/>
                <w:szCs w:val="21"/>
              </w:rPr>
              <w:t>无</w:t>
            </w:r>
            <w:r>
              <w:rPr>
                <w:rFonts w:ascii="Times New Roman" w:hAnsi="Times New Roman" w:cs="Times New Roman"/>
                <w:bCs/>
                <w:color w:val="auto"/>
                <w:sz w:val="21"/>
                <w:szCs w:val="21"/>
              </w:rPr>
              <w:t>外排废水。</w:t>
            </w:r>
          </w:p>
          <w:p>
            <w:pPr>
              <w:pStyle w:val="43"/>
              <w:ind w:left="110" w:leftChars="50" w:firstLine="422"/>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（3）</w:t>
            </w:r>
            <w:r>
              <w:rPr>
                <w:rFonts w:ascii="Times New Roman" w:hAnsi="Times New Roman" w:cs="Times New Roman"/>
                <w:b/>
                <w:color w:val="auto"/>
                <w:sz w:val="21"/>
                <w:szCs w:val="21"/>
              </w:rPr>
              <w:t>噪声</w:t>
            </w:r>
            <w:r>
              <w:rPr>
                <w:rFonts w:hint="eastAsia" w:ascii="Times New Roman" w:hAnsi="Times New Roman" w:cs="Times New Roman"/>
                <w:b/>
                <w:color w:val="auto"/>
                <w:sz w:val="21"/>
                <w:szCs w:val="21"/>
              </w:rPr>
              <w:t>：</w:t>
            </w:r>
          </w:p>
          <w:p>
            <w:pPr>
              <w:pStyle w:val="43"/>
              <w:ind w:left="110" w:leftChars="50" w:firstLine="420"/>
              <w:jc w:val="both"/>
              <w:rPr>
                <w:rFonts w:ascii="Times New Roman" w:hAnsi="Times New Roman" w:cs="Times New Roman"/>
                <w:bCs/>
                <w:color w:val="auto"/>
                <w:sz w:val="21"/>
                <w:szCs w:val="21"/>
              </w:rPr>
            </w:pPr>
            <w:r>
              <w:rPr>
                <w:rFonts w:ascii="Times New Roman" w:hAnsi="Times New Roman" w:cs="Times New Roman"/>
                <w:bCs/>
                <w:color w:val="auto"/>
                <w:sz w:val="21"/>
                <w:szCs w:val="21"/>
              </w:rPr>
              <w:t>监测期间该企业厂界昼间噪声最高值为5</w:t>
            </w:r>
            <w:r>
              <w:rPr>
                <w:rFonts w:hint="eastAsia" w:ascii="Times New Roman" w:hAnsi="Times New Roman" w:cs="Times New Roman"/>
                <w:bCs/>
                <w:color w:val="auto"/>
                <w:sz w:val="21"/>
                <w:szCs w:val="21"/>
              </w:rPr>
              <w:t>7.7</w:t>
            </w:r>
            <w:r>
              <w:rPr>
                <w:rFonts w:ascii="Times New Roman" w:hAnsi="Times New Roman" w:cs="Times New Roman"/>
                <w:bCs/>
                <w:color w:val="auto"/>
                <w:sz w:val="21"/>
                <w:szCs w:val="21"/>
              </w:rPr>
              <w:t>dB</w:t>
            </w:r>
            <w:r>
              <w:rPr>
                <w:rFonts w:hint="eastAsia" w:ascii="Times New Roman" w:hAnsi="Times New Roman" w:cs="Times New Roman"/>
                <w:bCs/>
                <w:color w:val="auto"/>
                <w:sz w:val="21"/>
                <w:szCs w:val="21"/>
              </w:rPr>
              <w:t>（A）</w:t>
            </w:r>
            <w:r>
              <w:rPr>
                <w:rFonts w:ascii="Times New Roman" w:hAnsi="Times New Roman" w:cs="Times New Roman"/>
                <w:bCs/>
                <w:color w:val="auto"/>
                <w:sz w:val="21"/>
                <w:szCs w:val="21"/>
              </w:rPr>
              <w:t>，符合《工业企业厂界环境噪声排放标准》</w:t>
            </w:r>
            <w:r>
              <w:rPr>
                <w:rFonts w:hint="eastAsia" w:ascii="Times New Roman" w:hAnsi="Times New Roman" w:cs="Times New Roman"/>
                <w:bCs/>
                <w:color w:val="auto"/>
                <w:sz w:val="21"/>
                <w:szCs w:val="21"/>
              </w:rPr>
              <w:t>（</w:t>
            </w:r>
            <w:r>
              <w:rPr>
                <w:rFonts w:ascii="Times New Roman" w:hAnsi="Times New Roman" w:cs="Times New Roman"/>
                <w:bCs/>
                <w:color w:val="auto"/>
                <w:sz w:val="21"/>
                <w:szCs w:val="21"/>
              </w:rPr>
              <w:t>GB12348-2008</w:t>
            </w:r>
            <w:r>
              <w:rPr>
                <w:rFonts w:hint="eastAsia" w:ascii="Times New Roman" w:hAnsi="Times New Roman" w:cs="Times New Roman"/>
                <w:bCs/>
                <w:color w:val="auto"/>
                <w:sz w:val="21"/>
                <w:szCs w:val="21"/>
              </w:rPr>
              <w:t>）</w:t>
            </w:r>
            <w:r>
              <w:rPr>
                <w:rFonts w:ascii="Times New Roman" w:hAnsi="Times New Roman" w:cs="Times New Roman"/>
                <w:bCs/>
                <w:color w:val="auto"/>
                <w:sz w:val="21"/>
                <w:szCs w:val="21"/>
              </w:rPr>
              <w:t>表1中2类标准昼间≤60dB</w:t>
            </w:r>
            <w:r>
              <w:rPr>
                <w:rFonts w:hint="eastAsia" w:ascii="Times New Roman" w:hAnsi="Times New Roman" w:cs="Times New Roman"/>
                <w:bCs/>
                <w:color w:val="auto"/>
                <w:sz w:val="21"/>
                <w:szCs w:val="21"/>
              </w:rPr>
              <w:t>（A）</w:t>
            </w:r>
            <w:r>
              <w:rPr>
                <w:rFonts w:ascii="Times New Roman" w:hAnsi="Times New Roman" w:cs="Times New Roman"/>
                <w:bCs/>
                <w:color w:val="auto"/>
                <w:sz w:val="21"/>
                <w:szCs w:val="21"/>
              </w:rPr>
              <w:t>的要求。</w:t>
            </w:r>
          </w:p>
          <w:p>
            <w:pPr>
              <w:pStyle w:val="43"/>
              <w:ind w:left="110" w:leftChars="50" w:firstLine="422"/>
              <w:jc w:val="both"/>
              <w:rPr>
                <w:rFonts w:ascii="Times New Roman" w:hAnsi="Times New Roman" w:cs="Times New Roman"/>
                <w:b/>
                <w:color w:val="auto"/>
                <w:sz w:val="21"/>
                <w:szCs w:val="21"/>
              </w:rPr>
            </w:pPr>
            <w:r>
              <w:rPr>
                <w:rFonts w:hint="eastAsia" w:ascii="Times New Roman" w:hAnsi="Times New Roman" w:cs="Times New Roman"/>
                <w:b/>
                <w:color w:val="auto"/>
                <w:sz w:val="21"/>
                <w:szCs w:val="21"/>
              </w:rPr>
              <w:t>（4）</w:t>
            </w:r>
            <w:r>
              <w:rPr>
                <w:rFonts w:ascii="Times New Roman" w:hAnsi="Times New Roman" w:cs="Times New Roman"/>
                <w:b/>
                <w:color w:val="auto"/>
                <w:sz w:val="21"/>
                <w:szCs w:val="21"/>
              </w:rPr>
              <w:t>固体废弃物</w:t>
            </w:r>
            <w:r>
              <w:rPr>
                <w:rFonts w:hint="eastAsia" w:ascii="Times New Roman" w:hAnsi="Times New Roman" w:cs="Times New Roman"/>
                <w:b/>
                <w:color w:val="auto"/>
                <w:sz w:val="21"/>
                <w:szCs w:val="21"/>
              </w:rPr>
              <w:t>：</w:t>
            </w:r>
          </w:p>
          <w:p>
            <w:pPr>
              <w:pStyle w:val="43"/>
              <w:ind w:left="110" w:leftChars="50" w:firstLine="420"/>
              <w:jc w:val="both"/>
              <w:rPr>
                <w:rFonts w:ascii="Times New Roman" w:hAnsi="Times New Roman" w:cs="Times New Roman"/>
                <w:bCs/>
                <w:color w:val="auto"/>
                <w:sz w:val="21"/>
                <w:szCs w:val="21"/>
              </w:rPr>
            </w:pPr>
            <w:r>
              <w:rPr>
                <w:rFonts w:ascii="Times New Roman" w:hAnsi="Times New Roman" w:cs="Times New Roman"/>
                <w:bCs/>
                <w:color w:val="auto"/>
                <w:sz w:val="21"/>
                <w:szCs w:val="21"/>
              </w:rPr>
              <w:t>本项目产生的固体废物主要有布袋除尘器收集的除尘灰以及职工办公产生的生活垃圾</w:t>
            </w:r>
            <w:r>
              <w:rPr>
                <w:rFonts w:hint="eastAsia" w:ascii="Times New Roman" w:hAnsi="Times New Roman" w:cs="Times New Roman"/>
                <w:bCs/>
                <w:color w:val="auto"/>
                <w:sz w:val="21"/>
                <w:szCs w:val="21"/>
              </w:rPr>
              <w:t>，</w:t>
            </w:r>
            <w:r>
              <w:rPr>
                <w:rFonts w:ascii="Times New Roman" w:hAnsi="Times New Roman" w:cs="Times New Roman"/>
                <w:bCs/>
                <w:color w:val="auto"/>
                <w:sz w:val="21"/>
                <w:szCs w:val="21"/>
              </w:rPr>
              <w:t>交由环卫部门处理。</w:t>
            </w:r>
          </w:p>
          <w:p>
            <w:p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2、污染物排放量</w:t>
            </w:r>
          </w:p>
          <w:p>
            <w:pPr>
              <w:autoSpaceDE/>
              <w:autoSpaceDN/>
              <w:adjustRightInd w:val="0"/>
              <w:snapToGrid w:val="0"/>
              <w:spacing w:line="400" w:lineRule="exact"/>
              <w:ind w:firstLine="420" w:firstLineChars="200"/>
              <w:jc w:val="both"/>
              <w:rPr>
                <w:rFonts w:ascii="Times New Roman" w:hAnsi="Times New Roman" w:cs="Times New Roman"/>
                <w:bCs/>
                <w:color w:val="auto"/>
                <w:sz w:val="21"/>
                <w:szCs w:val="21"/>
                <w:lang w:val="en-US"/>
              </w:rPr>
            </w:pPr>
            <w:r>
              <w:rPr>
                <w:rFonts w:hint="eastAsia"/>
                <w:color w:val="auto"/>
                <w:sz w:val="21"/>
                <w:szCs w:val="21"/>
              </w:rPr>
              <w:t>根据现有环评核算可得在建工程排放量，</w:t>
            </w:r>
            <w:r>
              <w:rPr>
                <w:rFonts w:ascii="Times New Roman" w:hAnsi="Times New Roman" w:cs="Times New Roman"/>
                <w:bCs/>
                <w:color w:val="auto"/>
                <w:sz w:val="21"/>
                <w:szCs w:val="21"/>
                <w:lang w:val="en-US"/>
              </w:rPr>
              <w:t>污染物排放量情况一览表如下。</w:t>
            </w:r>
          </w:p>
          <w:p>
            <w:pPr>
              <w:autoSpaceDE/>
              <w:autoSpaceDN/>
              <w:adjustRightInd w:val="0"/>
              <w:snapToGrid w:val="0"/>
              <w:spacing w:line="400" w:lineRule="exact"/>
              <w:jc w:val="center"/>
              <w:rPr>
                <w:rFonts w:ascii="Times New Roman" w:hAnsi="Times New Roman" w:cs="Times New Roman"/>
                <w:b/>
                <w:color w:val="auto"/>
                <w:sz w:val="21"/>
                <w:szCs w:val="21"/>
                <w:lang w:val="en-US"/>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2.</w:t>
            </w:r>
            <w:r>
              <w:rPr>
                <w:rFonts w:hint="eastAsia" w:ascii="Times New Roman" w:hAnsi="Times New Roman" w:cs="Times New Roman"/>
                <w:b/>
                <w:color w:val="auto"/>
                <w:sz w:val="21"/>
                <w:szCs w:val="21"/>
                <w:lang w:val="en-US"/>
              </w:rPr>
              <w:t>1</w:t>
            </w:r>
            <w:r>
              <w:rPr>
                <w:rFonts w:hint="eastAsia" w:ascii="Times New Roman" w:hAnsi="Times New Roman" w:cs="Times New Roman"/>
                <w:b/>
                <w:color w:val="auto"/>
                <w:sz w:val="21"/>
                <w:szCs w:val="21"/>
                <w:lang w:val="en-US" w:eastAsia="zh-CN"/>
              </w:rPr>
              <w:t>2</w:t>
            </w:r>
            <w:r>
              <w:rPr>
                <w:rFonts w:ascii="Times New Roman" w:hAnsi="Times New Roman" w:cs="Times New Roman"/>
                <w:b/>
                <w:color w:val="auto"/>
                <w:sz w:val="21"/>
                <w:szCs w:val="21"/>
              </w:rPr>
              <w:t xml:space="preserve">  </w:t>
            </w:r>
            <w:r>
              <w:rPr>
                <w:rFonts w:ascii="Times New Roman" w:hAnsi="Times New Roman" w:cs="Times New Roman"/>
                <w:b/>
                <w:color w:val="auto"/>
                <w:sz w:val="21"/>
                <w:szCs w:val="21"/>
                <w:lang w:val="en-US"/>
              </w:rPr>
              <w:t>污染物排放情况一览表   单位：t/a</w:t>
            </w:r>
          </w:p>
          <w:tbl>
            <w:tblPr>
              <w:tblStyle w:val="32"/>
              <w:tblW w:w="49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89"/>
              <w:gridCol w:w="1481"/>
              <w:gridCol w:w="1451"/>
              <w:gridCol w:w="928"/>
              <w:gridCol w:w="928"/>
              <w:gridCol w:w="1065"/>
              <w:gridCol w:w="1148"/>
              <w:gridCol w:w="11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689" w:type="dxa"/>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污染源</w:t>
                  </w:r>
                </w:p>
              </w:tc>
              <w:tc>
                <w:tcPr>
                  <w:tcW w:w="1481" w:type="dxa"/>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w:t>
                  </w:r>
                </w:p>
              </w:tc>
              <w:tc>
                <w:tcPr>
                  <w:tcW w:w="1451" w:type="dxa"/>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原有工程</w:t>
                  </w:r>
                </w:p>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排放量</w:t>
                  </w:r>
                </w:p>
              </w:tc>
              <w:tc>
                <w:tcPr>
                  <w:tcW w:w="928" w:type="dxa"/>
                  <w:vAlign w:val="center"/>
                </w:tcPr>
                <w:p>
                  <w:pPr>
                    <w:pStyle w:val="52"/>
                    <w:jc w:val="center"/>
                    <w:rPr>
                      <w:rFonts w:ascii="Times New Roman" w:hAnsi="Times New Roman" w:cs="Times New Roman"/>
                      <w:b/>
                      <w:bCs/>
                      <w:color w:val="auto"/>
                      <w:sz w:val="21"/>
                      <w:szCs w:val="21"/>
                    </w:rPr>
                  </w:pPr>
                  <w:r>
                    <w:rPr>
                      <w:rFonts w:hint="eastAsia"/>
                      <w:b/>
                      <w:bCs/>
                      <w:color w:val="auto"/>
                      <w:sz w:val="21"/>
                    </w:rPr>
                    <w:t>现有工程许可排放量</w:t>
                  </w:r>
                </w:p>
              </w:tc>
              <w:tc>
                <w:tcPr>
                  <w:tcW w:w="928" w:type="dxa"/>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本工程</w:t>
                  </w:r>
                  <w:r>
                    <w:rPr>
                      <w:rFonts w:hint="eastAsia" w:cs="Times New Roman"/>
                      <w:b/>
                      <w:bCs/>
                      <w:color w:val="auto"/>
                      <w:sz w:val="21"/>
                      <w:szCs w:val="21"/>
                    </w:rPr>
                    <w:t>排放</w:t>
                  </w:r>
                  <w:r>
                    <w:rPr>
                      <w:rFonts w:hint="eastAsia" w:ascii="Times New Roman" w:hAnsi="Times New Roman" w:cs="Times New Roman"/>
                      <w:b/>
                      <w:bCs/>
                      <w:color w:val="auto"/>
                      <w:sz w:val="21"/>
                      <w:szCs w:val="21"/>
                    </w:rPr>
                    <w:t>量</w:t>
                  </w:r>
                </w:p>
              </w:tc>
              <w:tc>
                <w:tcPr>
                  <w:tcW w:w="1065" w:type="dxa"/>
                  <w:vAlign w:val="center"/>
                </w:tcPr>
                <w:p>
                  <w:pPr>
                    <w:widowControl/>
                    <w:spacing w:line="240" w:lineRule="exact"/>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全厂排放量</w:t>
                  </w:r>
                </w:p>
              </w:tc>
              <w:tc>
                <w:tcPr>
                  <w:tcW w:w="1148" w:type="dxa"/>
                  <w:tcMar>
                    <w:top w:w="0" w:type="dxa"/>
                    <w:left w:w="108" w:type="dxa"/>
                    <w:bottom w:w="0" w:type="dxa"/>
                    <w:right w:w="108" w:type="dxa"/>
                  </w:tcMar>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以新带老</w:t>
                  </w:r>
                </w:p>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削减量</w:t>
                  </w:r>
                </w:p>
              </w:tc>
              <w:tc>
                <w:tcPr>
                  <w:tcW w:w="1199" w:type="dxa"/>
                  <w:tcMar>
                    <w:top w:w="0" w:type="dxa"/>
                    <w:left w:w="108" w:type="dxa"/>
                    <w:bottom w:w="0" w:type="dxa"/>
                    <w:right w:w="108" w:type="dxa"/>
                  </w:tcMar>
                  <w:vAlign w:val="center"/>
                </w:tcPr>
                <w:p>
                  <w:pPr>
                    <w:widowControl/>
                    <w:spacing w:line="2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排放增减量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689" w:type="dxa"/>
                  <w:vAlign w:val="center"/>
                </w:tcPr>
                <w:p>
                  <w:pPr>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废气</w:t>
                  </w:r>
                </w:p>
              </w:tc>
              <w:tc>
                <w:tcPr>
                  <w:tcW w:w="1481"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颗粒物</w:t>
                  </w:r>
                </w:p>
              </w:tc>
              <w:tc>
                <w:tcPr>
                  <w:tcW w:w="1451"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bCs/>
                      <w:color w:val="auto"/>
                      <w:sz w:val="21"/>
                      <w:szCs w:val="21"/>
                    </w:rPr>
                    <w:t>0.</w:t>
                  </w:r>
                  <w:r>
                    <w:rPr>
                      <w:rFonts w:hint="eastAsia" w:ascii="Times New Roman" w:hAnsi="Times New Roman" w:cs="Times New Roman"/>
                      <w:bCs/>
                      <w:color w:val="auto"/>
                      <w:sz w:val="21"/>
                      <w:szCs w:val="21"/>
                      <w:lang w:val="en-US"/>
                    </w:rPr>
                    <w:t>5296</w:t>
                  </w:r>
                </w:p>
              </w:tc>
              <w:tc>
                <w:tcPr>
                  <w:tcW w:w="92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2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0.6474</w:t>
                  </w:r>
                </w:p>
              </w:tc>
              <w:tc>
                <w:tcPr>
                  <w:tcW w:w="1065"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0.8474</w:t>
                  </w:r>
                </w:p>
              </w:tc>
              <w:tc>
                <w:tcPr>
                  <w:tcW w:w="114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0.3296</w:t>
                  </w:r>
                </w:p>
              </w:tc>
              <w:tc>
                <w:tcPr>
                  <w:tcW w:w="1199"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+0.3178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689" w:type="dxa"/>
                  <w:vMerge w:val="restart"/>
                  <w:vAlign w:val="center"/>
                </w:tcPr>
                <w:p>
                  <w:pPr>
                    <w:widowControl/>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废水</w:t>
                  </w:r>
                </w:p>
              </w:tc>
              <w:tc>
                <w:tcPr>
                  <w:tcW w:w="1481" w:type="dxa"/>
                  <w:tcMar>
                    <w:top w:w="0" w:type="dxa"/>
                    <w:left w:w="108" w:type="dxa"/>
                    <w:bottom w:w="0" w:type="dxa"/>
                    <w:right w:w="108" w:type="dxa"/>
                  </w:tcMar>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
                    </w:rPr>
                    <w:t>COD</w:t>
                  </w:r>
                </w:p>
              </w:tc>
              <w:tc>
                <w:tcPr>
                  <w:tcW w:w="1451"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92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2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065"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c>
                <w:tcPr>
                  <w:tcW w:w="114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199"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689" w:type="dxa"/>
                  <w:vMerge w:val="continue"/>
                  <w:vAlign w:val="center"/>
                </w:tcPr>
                <w:p>
                  <w:pPr>
                    <w:widowControl/>
                    <w:spacing w:line="240" w:lineRule="exact"/>
                    <w:jc w:val="center"/>
                    <w:rPr>
                      <w:rFonts w:ascii="Times New Roman" w:hAnsi="Times New Roman" w:cs="Times New Roman"/>
                      <w:color w:val="auto"/>
                      <w:sz w:val="21"/>
                      <w:szCs w:val="21"/>
                    </w:rPr>
                  </w:pPr>
                </w:p>
              </w:tc>
              <w:tc>
                <w:tcPr>
                  <w:tcW w:w="1481" w:type="dxa"/>
                  <w:tcMar>
                    <w:top w:w="0" w:type="dxa"/>
                    <w:left w:w="108" w:type="dxa"/>
                    <w:bottom w:w="0" w:type="dxa"/>
                    <w:right w:w="108" w:type="dxa"/>
                  </w:tcMar>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
                    </w:rPr>
                    <w:t>氨氮</w:t>
                  </w:r>
                </w:p>
              </w:tc>
              <w:tc>
                <w:tcPr>
                  <w:tcW w:w="1451"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0</w:t>
                  </w:r>
                </w:p>
              </w:tc>
              <w:tc>
                <w:tcPr>
                  <w:tcW w:w="92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c>
                <w:tcPr>
                  <w:tcW w:w="92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065"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14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199" w:type="dxa"/>
                  <w:tcMar>
                    <w:top w:w="0" w:type="dxa"/>
                    <w:left w:w="108" w:type="dxa"/>
                    <w:bottom w:w="0" w:type="dxa"/>
                    <w:right w:w="108" w:type="dxa"/>
                  </w:tcMar>
                  <w:vAlign w:val="center"/>
                </w:tcPr>
                <w:p>
                  <w:pPr>
                    <w:widowControl/>
                    <w:spacing w:line="240" w:lineRule="exact"/>
                    <w:ind w:left="-264" w:leftChars="-120" w:firstLine="252" w:firstLineChars="12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689" w:type="dxa"/>
                  <w:vMerge w:val="continue"/>
                  <w:vAlign w:val="center"/>
                </w:tcPr>
                <w:p>
                  <w:pPr>
                    <w:widowControl/>
                    <w:spacing w:line="240" w:lineRule="exact"/>
                    <w:jc w:val="center"/>
                    <w:rPr>
                      <w:rFonts w:ascii="Times New Roman" w:hAnsi="Times New Roman" w:cs="Times New Roman"/>
                      <w:color w:val="auto"/>
                      <w:sz w:val="21"/>
                      <w:szCs w:val="21"/>
                    </w:rPr>
                  </w:pPr>
                </w:p>
              </w:tc>
              <w:tc>
                <w:tcPr>
                  <w:tcW w:w="1481" w:type="dxa"/>
                  <w:tcMar>
                    <w:top w:w="0" w:type="dxa"/>
                    <w:left w:w="108" w:type="dxa"/>
                    <w:bottom w:w="0" w:type="dxa"/>
                    <w:right w:w="108" w:type="dxa"/>
                  </w:tcMar>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
                    </w:rPr>
                    <w:t>BOD</w:t>
                  </w:r>
                  <w:r>
                    <w:rPr>
                      <w:rFonts w:ascii="Times New Roman" w:hAnsi="Times New Roman" w:cs="Times New Roman"/>
                      <w:color w:val="auto"/>
                      <w:kern w:val="2"/>
                      <w:sz w:val="21"/>
                      <w:szCs w:val="21"/>
                      <w:vertAlign w:val="subscript"/>
                      <w:lang w:val="en-US" w:bidi="ar"/>
                    </w:rPr>
                    <w:t>5</w:t>
                  </w:r>
                </w:p>
              </w:tc>
              <w:tc>
                <w:tcPr>
                  <w:tcW w:w="1451"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0</w:t>
                  </w:r>
                </w:p>
              </w:tc>
              <w:tc>
                <w:tcPr>
                  <w:tcW w:w="92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c>
                <w:tcPr>
                  <w:tcW w:w="92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065"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14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w:t>
                  </w:r>
                </w:p>
              </w:tc>
              <w:tc>
                <w:tcPr>
                  <w:tcW w:w="1199"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 w:hRule="atLeast"/>
                <w:jc w:val="center"/>
              </w:trPr>
              <w:tc>
                <w:tcPr>
                  <w:tcW w:w="689" w:type="dxa"/>
                  <w:vMerge w:val="continue"/>
                  <w:vAlign w:val="center"/>
                </w:tcPr>
                <w:p>
                  <w:pPr>
                    <w:widowControl/>
                    <w:spacing w:line="240" w:lineRule="exact"/>
                    <w:jc w:val="center"/>
                    <w:rPr>
                      <w:rFonts w:ascii="Times New Roman" w:hAnsi="Times New Roman" w:cs="Times New Roman"/>
                      <w:color w:val="auto"/>
                      <w:sz w:val="21"/>
                      <w:szCs w:val="21"/>
                    </w:rPr>
                  </w:pPr>
                </w:p>
              </w:tc>
              <w:tc>
                <w:tcPr>
                  <w:tcW w:w="1481" w:type="dxa"/>
                  <w:tcMar>
                    <w:top w:w="0" w:type="dxa"/>
                    <w:left w:w="108" w:type="dxa"/>
                    <w:bottom w:w="0" w:type="dxa"/>
                    <w:right w:w="108" w:type="dxa"/>
                  </w:tcMar>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
                    </w:rPr>
                    <w:t>SS</w:t>
                  </w:r>
                </w:p>
              </w:tc>
              <w:tc>
                <w:tcPr>
                  <w:tcW w:w="1451"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92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92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065"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c>
                <w:tcPr>
                  <w:tcW w:w="1148"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199" w:type="dxa"/>
                  <w:tcMar>
                    <w:top w:w="0" w:type="dxa"/>
                    <w:left w:w="108" w:type="dxa"/>
                    <w:bottom w:w="0" w:type="dxa"/>
                    <w:right w:w="108" w:type="dxa"/>
                  </w:tcMar>
                  <w:vAlign w:val="center"/>
                </w:tcPr>
                <w:p>
                  <w:pPr>
                    <w:widowControl/>
                    <w:spacing w:line="2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0</w:t>
                  </w:r>
                </w:p>
              </w:tc>
            </w:tr>
          </w:tbl>
          <w:p>
            <w:pPr>
              <w:numPr>
                <w:ilvl w:val="0"/>
                <w:numId w:val="4"/>
              </w:num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以新带老工程</w:t>
            </w:r>
          </w:p>
          <w:p>
            <w:pPr>
              <w:autoSpaceDE/>
              <w:autoSpaceDN/>
              <w:adjustRightInd w:val="0"/>
              <w:snapToGrid w:val="0"/>
              <w:spacing w:line="400" w:lineRule="exact"/>
              <w:ind w:left="110" w:leftChars="50" w:firstLine="420" w:firstLineChars="200"/>
              <w:jc w:val="both"/>
              <w:rPr>
                <w:rFonts w:ascii="Times New Roman" w:hAnsi="Times New Roman" w:cs="Times New Roman"/>
                <w:bCs/>
                <w:color w:val="auto"/>
                <w:sz w:val="21"/>
                <w:szCs w:val="21"/>
                <w:lang w:val="en-US"/>
              </w:rPr>
            </w:pPr>
            <w:r>
              <w:rPr>
                <w:rFonts w:ascii="Times New Roman" w:hAnsi="Times New Roman" w:cs="Times New Roman"/>
                <w:bCs/>
                <w:color w:val="auto"/>
                <w:sz w:val="21"/>
                <w:szCs w:val="21"/>
                <w:lang w:val="en-US"/>
              </w:rPr>
              <w:t>本</w:t>
            </w:r>
            <w:r>
              <w:rPr>
                <w:rFonts w:hint="eastAsia" w:ascii="Times New Roman" w:hAnsi="Times New Roman" w:cs="Times New Roman"/>
                <w:bCs/>
                <w:color w:val="auto"/>
                <w:sz w:val="21"/>
                <w:szCs w:val="21"/>
                <w:lang w:val="en-US"/>
              </w:rPr>
              <w:t>扩建工程由原预制构件生产线改建而成，建成后，不再生产预制构件，相关污染物不再排放。完善排污手续相关执行情况，规范企业管理规章制度，整改现场环境，加强设备密闭性，无组织粉尘产生减少。</w:t>
            </w:r>
          </w:p>
          <w:p>
            <w:pPr>
              <w:numPr>
                <w:ilvl w:val="0"/>
                <w:numId w:val="4"/>
              </w:numPr>
              <w:autoSpaceDE/>
              <w:autoSpaceDN/>
              <w:adjustRightInd w:val="0"/>
              <w:snapToGrid w:val="0"/>
              <w:spacing w:line="400" w:lineRule="exact"/>
              <w:ind w:firstLine="421" w:firstLineChars="200"/>
              <w:jc w:val="both"/>
              <w:rPr>
                <w:rFonts w:ascii="Times New Roman" w:hAnsi="Times New Roman" w:cs="Times New Roman"/>
                <w:b/>
                <w:color w:val="auto"/>
                <w:sz w:val="21"/>
                <w:szCs w:val="21"/>
                <w:lang w:val="en-US"/>
              </w:rPr>
            </w:pPr>
            <w:r>
              <w:rPr>
                <w:rFonts w:ascii="Times New Roman" w:hAnsi="Times New Roman" w:cs="Times New Roman"/>
                <w:b/>
                <w:color w:val="auto"/>
                <w:sz w:val="21"/>
                <w:szCs w:val="21"/>
                <w:lang w:val="en-US"/>
              </w:rPr>
              <w:t>现有工程主要环境问题及整改方案</w:t>
            </w:r>
          </w:p>
          <w:p>
            <w:pPr>
              <w:autoSpaceDE/>
              <w:autoSpaceDN/>
              <w:adjustRightInd w:val="0"/>
              <w:snapToGrid w:val="0"/>
              <w:spacing w:line="400" w:lineRule="exact"/>
              <w:ind w:left="110" w:leftChars="50" w:firstLine="420" w:firstLineChars="200"/>
              <w:jc w:val="both"/>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bidi="ar-SA"/>
              </w:rPr>
              <w:t>（1）存在问题：现场环境脏乱；</w:t>
            </w:r>
          </w:p>
          <w:p>
            <w:pPr>
              <w:pStyle w:val="43"/>
              <w:spacing w:line="400" w:lineRule="exact"/>
              <w:ind w:left="110" w:leftChars="50" w:firstLine="420"/>
              <w:jc w:val="both"/>
              <w:rPr>
                <w:rFonts w:ascii="Times New Roman" w:hAnsi="Times New Roman" w:cs="Times New Roman"/>
                <w:color w:val="auto"/>
                <w:sz w:val="21"/>
                <w:szCs w:val="21"/>
                <w:lang w:bidi="ar-SA"/>
              </w:rPr>
            </w:pPr>
            <w:r>
              <w:rPr>
                <w:rFonts w:hint="eastAsia" w:ascii="Times New Roman" w:hAnsi="Times New Roman" w:cs="Times New Roman"/>
                <w:color w:val="auto"/>
                <w:sz w:val="21"/>
                <w:szCs w:val="21"/>
                <w:lang w:bidi="ar-SA"/>
              </w:rPr>
              <w:t>整改措施：对现场进行整改，保持环境整洁。</w:t>
            </w:r>
          </w:p>
          <w:p>
            <w:pPr>
              <w:pStyle w:val="4"/>
              <w:autoSpaceDE/>
              <w:autoSpaceDN/>
              <w:spacing w:beforeAutospacing="0" w:afterAutospacing="0" w:line="400" w:lineRule="exact"/>
              <w:ind w:left="110" w:leftChars="50" w:firstLine="420" w:firstLineChars="200"/>
              <w:rPr>
                <w:rFonts w:hint="default" w:ascii="Times New Roman" w:hAnsi="Times New Roman"/>
                <w:b w:val="0"/>
                <w:bCs w:val="0"/>
                <w:color w:val="auto"/>
                <w:sz w:val="21"/>
              </w:rPr>
            </w:pPr>
            <w:r>
              <w:rPr>
                <w:rFonts w:ascii="Times New Roman" w:hAnsi="Times New Roman"/>
                <w:b w:val="0"/>
                <w:bCs w:val="0"/>
                <w:color w:val="auto"/>
                <w:sz w:val="21"/>
                <w:szCs w:val="21"/>
              </w:rPr>
              <w:t>（2）存在问题：</w:t>
            </w:r>
            <w:r>
              <w:rPr>
                <w:rFonts w:ascii="Times New Roman" w:hAnsi="Times New Roman"/>
                <w:b w:val="0"/>
                <w:bCs w:val="0"/>
                <w:color w:val="auto"/>
                <w:sz w:val="21"/>
              </w:rPr>
              <w:t>原有环评未识别废机油、废油桶等危险废物，未建设危废间，未完善环境管理台账信息；</w:t>
            </w:r>
          </w:p>
          <w:p>
            <w:pPr>
              <w:pStyle w:val="43"/>
              <w:spacing w:line="400" w:lineRule="exact"/>
              <w:ind w:left="110" w:leftChars="50" w:firstLine="420"/>
              <w:jc w:val="both"/>
              <w:rPr>
                <w:rFonts w:ascii="Times New Roman" w:hAnsi="Times New Roman" w:cs="Times New Roman"/>
                <w:bCs/>
                <w:color w:val="auto"/>
                <w:sz w:val="21"/>
                <w:szCs w:val="21"/>
              </w:rPr>
            </w:pPr>
            <w:r>
              <w:rPr>
                <w:rFonts w:hint="eastAsia" w:ascii="Times New Roman" w:hAnsi="Times New Roman" w:cs="Times New Roman"/>
                <w:bCs/>
                <w:color w:val="auto"/>
                <w:sz w:val="21"/>
                <w:szCs w:val="21"/>
              </w:rPr>
              <w:t>整改措施：识别原有项目废机油、废油桶，与本项目共计产生0.05t/a废油桶、0.2t/a废机油，在新建危废间中存放，完善台账、标识等相关内容。</w:t>
            </w:r>
          </w:p>
          <w:p>
            <w:pPr>
              <w:pStyle w:val="4"/>
              <w:autoSpaceDE/>
              <w:autoSpaceDN/>
              <w:spacing w:beforeAutospacing="0" w:afterAutospacing="0" w:line="400" w:lineRule="exact"/>
              <w:ind w:left="110" w:leftChars="50" w:firstLine="420" w:firstLineChars="200"/>
              <w:rPr>
                <w:rFonts w:hint="default" w:ascii="Times New Roman" w:hAnsi="Times New Roman"/>
                <w:b w:val="0"/>
                <w:bCs w:val="0"/>
                <w:color w:val="auto"/>
                <w:sz w:val="21"/>
              </w:rPr>
            </w:pPr>
            <w:r>
              <w:rPr>
                <w:rFonts w:hint="default" w:ascii="Times New Roman" w:hAnsi="Times New Roman"/>
                <w:b w:val="0"/>
                <w:bCs w:val="0"/>
                <w:color w:val="auto"/>
                <w:sz w:val="21"/>
              </w:rPr>
              <w:t>建立健全环境保护管理规章制度。加强生产设备运行维护，确保环保设施稳定运行和污染物达标稳定排放。</w:t>
            </w:r>
          </w:p>
          <w:p>
            <w:pPr>
              <w:pStyle w:val="43"/>
              <w:spacing w:line="400" w:lineRule="exact"/>
              <w:ind w:left="110" w:leftChars="50" w:firstLine="420"/>
              <w:jc w:val="both"/>
              <w:rPr>
                <w:rFonts w:ascii="Times New Roman" w:hAnsi="Times New Roman" w:cs="Times New Roman"/>
                <w:color w:val="auto"/>
                <w:sz w:val="21"/>
              </w:rPr>
            </w:pPr>
          </w:p>
          <w:p>
            <w:pPr>
              <w:pStyle w:val="43"/>
              <w:ind w:firstLine="420"/>
              <w:jc w:val="both"/>
              <w:rPr>
                <w:rFonts w:ascii="Times New Roman" w:hAnsi="Times New Roman" w:cs="Times New Roman"/>
                <w:color w:val="auto"/>
                <w:sz w:val="21"/>
              </w:rPr>
            </w:pPr>
          </w:p>
        </w:tc>
      </w:tr>
    </w:tbl>
    <w:p>
      <w:pPr>
        <w:rPr>
          <w:rFonts w:ascii="Times New Roman" w:hAnsi="Times New Roman" w:cs="Times New Roman"/>
          <w:color w:val="auto"/>
          <w:sz w:val="21"/>
        </w:rPr>
        <w:sectPr>
          <w:pgSz w:w="11910" w:h="16840"/>
          <w:pgMar w:top="1580" w:right="1320" w:bottom="1565" w:left="1340" w:header="0" w:footer="1043" w:gutter="0"/>
          <w:cols w:space="720" w:num="1"/>
        </w:sectPr>
      </w:pPr>
    </w:p>
    <w:p>
      <w:pPr>
        <w:pStyle w:val="2"/>
        <w:ind w:left="0" w:right="0"/>
        <w:rPr>
          <w:rFonts w:ascii="黑体" w:hAnsi="黑体" w:eastAsia="黑体" w:cs="黑体"/>
          <w:color w:val="auto"/>
          <w:sz w:val="30"/>
          <w:szCs w:val="30"/>
        </w:rPr>
      </w:pPr>
      <w:r>
        <w:rPr>
          <w:rFonts w:ascii="黑体" w:hAnsi="黑体" w:eastAsia="黑体" w:cs="黑体"/>
          <w:color w:val="auto"/>
          <w:sz w:val="30"/>
          <w:szCs w:val="30"/>
        </w:rPr>
        <w:t>三、区域环境质量现状、环境保护目标及评价标准</w:t>
      </w:r>
    </w:p>
    <w:tbl>
      <w:tblPr>
        <w:tblStyle w:val="32"/>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390" w:type="dxa"/>
            <w:tcBorders>
              <w:bottom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区</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域</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质</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量</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现</w:t>
            </w:r>
          </w:p>
          <w:p>
            <w:pPr>
              <w:pStyle w:val="52"/>
              <w:jc w:val="center"/>
              <w:rPr>
                <w:rFonts w:ascii="Times New Roman" w:hAnsi="Times New Roman" w:cs="Times New Roman"/>
                <w:color w:val="auto"/>
                <w:sz w:val="21"/>
              </w:rPr>
            </w:pPr>
            <w:r>
              <w:rPr>
                <w:rFonts w:ascii="Times New Roman" w:hAnsi="Times New Roman" w:cs="Times New Roman"/>
                <w:b/>
                <w:bCs/>
                <w:color w:val="auto"/>
                <w:sz w:val="21"/>
              </w:rPr>
              <w:t>状</w:t>
            </w:r>
          </w:p>
        </w:tc>
        <w:tc>
          <w:tcPr>
            <w:tcW w:w="9150" w:type="dxa"/>
            <w:tcBorders>
              <w:left w:val="single" w:color="000000" w:sz="4" w:space="0"/>
              <w:bottom w:val="single" w:color="000000" w:sz="4" w:space="0"/>
            </w:tcBorders>
          </w:tcPr>
          <w:p>
            <w:pPr>
              <w:pStyle w:val="52"/>
              <w:spacing w:line="400" w:lineRule="exact"/>
              <w:ind w:left="22" w:leftChars="1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1、大气环境</w:t>
            </w:r>
          </w:p>
          <w:p>
            <w:pPr>
              <w:autoSpaceDE/>
              <w:autoSpaceDN/>
              <w:spacing w:line="400" w:lineRule="exact"/>
              <w:ind w:left="110" w:leftChars="50" w:firstLine="421" w:firstLineChars="200"/>
              <w:jc w:val="both"/>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（1）常规污染物</w:t>
            </w:r>
          </w:p>
          <w:p>
            <w:pPr>
              <w:autoSpaceDE/>
              <w:autoSpaceDN/>
              <w:spacing w:line="400" w:lineRule="exact"/>
              <w:ind w:left="110" w:leftChars="50" w:firstLine="420" w:firstLineChars="200"/>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w:t>
            </w:r>
            <w:r>
              <w:rPr>
                <w:rFonts w:hint="eastAsia" w:ascii="Times New Roman" w:hAnsi="Times New Roman" w:cs="Times New Roman"/>
                <w:color w:val="auto"/>
                <w:sz w:val="21"/>
                <w:szCs w:val="21"/>
                <w:lang w:val="en-US" w:bidi="ar-SA"/>
              </w:rPr>
              <w:t>《建设项目环境影响报告表编制指南（污染环境类）》（试行）中的</w:t>
            </w:r>
            <w:r>
              <w:rPr>
                <w:rFonts w:ascii="Times New Roman" w:hAnsi="Times New Roman" w:cs="Times New Roman"/>
                <w:color w:val="auto"/>
                <w:sz w:val="21"/>
                <w:szCs w:val="21"/>
                <w:lang w:val="en-US" w:bidi="ar-SA"/>
              </w:rPr>
              <w:t>相关规定，本</w:t>
            </w:r>
            <w:r>
              <w:rPr>
                <w:rFonts w:hint="eastAsia" w:ascii="Times New Roman" w:hAnsi="Times New Roman" w:cs="Times New Roman"/>
                <w:color w:val="auto"/>
                <w:sz w:val="21"/>
                <w:szCs w:val="21"/>
                <w:lang w:val="en-US" w:bidi="ar-SA"/>
              </w:rPr>
              <w:t>次</w:t>
            </w:r>
            <w:r>
              <w:rPr>
                <w:rFonts w:ascii="Times New Roman" w:hAnsi="Times New Roman" w:cs="Times New Roman"/>
                <w:color w:val="auto"/>
                <w:sz w:val="21"/>
                <w:szCs w:val="21"/>
                <w:lang w:val="en-US" w:bidi="ar-SA"/>
              </w:rPr>
              <w:t>评价</w:t>
            </w:r>
            <w:r>
              <w:rPr>
                <w:rFonts w:hint="eastAsia" w:ascii="Times New Roman" w:hAnsi="Times New Roman" w:cs="Times New Roman"/>
                <w:color w:val="auto"/>
                <w:sz w:val="21"/>
                <w:szCs w:val="21"/>
                <w:lang w:val="en-US" w:bidi="ar-SA"/>
              </w:rPr>
              <w:t>大气常规污染物环境质量现状引用</w:t>
            </w:r>
            <w:r>
              <w:rPr>
                <w:rFonts w:ascii="Times New Roman" w:hAnsi="Times New Roman" w:cs="Times New Roman"/>
                <w:color w:val="auto"/>
                <w:sz w:val="21"/>
                <w:szCs w:val="21"/>
                <w:lang w:val="en-US" w:bidi="ar-SA"/>
              </w:rPr>
              <w:t>邯郸市生态环境局</w:t>
            </w:r>
            <w:r>
              <w:rPr>
                <w:rFonts w:hint="eastAsia" w:ascii="Times New Roman" w:hAnsi="Times New Roman" w:cs="Times New Roman"/>
                <w:color w:val="auto"/>
                <w:sz w:val="21"/>
                <w:szCs w:val="21"/>
                <w:lang w:val="en-US" w:bidi="ar-SA"/>
              </w:rPr>
              <w:t>于2024年9月6日公布的《2023年度邯郸市环境质量公报》中相关数据作为基本污染物环境空气质量现状数据</w:t>
            </w:r>
            <w:r>
              <w:rPr>
                <w:rFonts w:ascii="Times New Roman" w:hAnsi="Times New Roman" w:cs="Times New Roman"/>
                <w:color w:val="auto"/>
                <w:sz w:val="21"/>
                <w:szCs w:val="21"/>
                <w:lang w:val="en-US" w:bidi="ar-SA"/>
              </w:rPr>
              <w:t>，并对各</w:t>
            </w:r>
            <w:r>
              <w:rPr>
                <w:rFonts w:hint="eastAsia" w:ascii="Times New Roman" w:hAnsi="Times New Roman" w:cs="Times New Roman"/>
                <w:color w:val="auto"/>
                <w:sz w:val="21"/>
                <w:szCs w:val="21"/>
                <w:lang w:val="en-US" w:bidi="ar-SA"/>
              </w:rPr>
              <w:t>常规</w:t>
            </w:r>
            <w:r>
              <w:rPr>
                <w:rFonts w:ascii="Times New Roman" w:hAnsi="Times New Roman" w:cs="Times New Roman"/>
                <w:color w:val="auto"/>
                <w:sz w:val="21"/>
                <w:szCs w:val="21"/>
                <w:lang w:val="en-US" w:bidi="ar-SA"/>
              </w:rPr>
              <w:t>污染物的年评价指标进行环境质量现状评价。</w:t>
            </w:r>
            <w:r>
              <w:rPr>
                <w:rFonts w:hint="eastAsia" w:ascii="Times New Roman" w:hAnsi="Times New Roman" w:cs="Times New Roman"/>
                <w:color w:val="auto"/>
                <w:sz w:val="21"/>
                <w:szCs w:val="21"/>
                <w:lang w:val="en-US" w:bidi="ar-SA"/>
              </w:rPr>
              <w:t>引用数据为3年内国家、地方生态环境主管部门公开发布的有效质量数据，引用可行。</w:t>
            </w:r>
          </w:p>
          <w:p>
            <w:pPr>
              <w:autoSpaceDE/>
              <w:autoSpaceDN/>
              <w:spacing w:line="400" w:lineRule="exact"/>
              <w:ind w:left="110" w:leftChars="50" w:firstLine="420" w:firstLineChars="200"/>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bidi="ar-SA"/>
              </w:rPr>
              <w:t>2023年均浓度值情况：二氧化硫（SO</w:t>
            </w:r>
            <w:r>
              <w:rPr>
                <w:rFonts w:hint="eastAsia" w:ascii="Times New Roman" w:hAnsi="Times New Roman" w:cs="Times New Roman"/>
                <w:color w:val="auto"/>
                <w:sz w:val="21"/>
                <w:szCs w:val="21"/>
                <w:vertAlign w:val="subscript"/>
                <w:lang w:val="en-US" w:bidi="ar-SA"/>
              </w:rPr>
              <w:t>2</w:t>
            </w:r>
            <w:r>
              <w:rPr>
                <w:rFonts w:hint="eastAsia" w:ascii="Times New Roman" w:hAnsi="Times New Roman" w:cs="Times New Roman"/>
                <w:color w:val="auto"/>
                <w:sz w:val="21"/>
                <w:szCs w:val="21"/>
                <w:lang w:val="en-US" w:bidi="ar-SA"/>
              </w:rPr>
              <w:t>）年平均浓度9微克/立方米、二氧化氮（NO</w:t>
            </w:r>
            <w:r>
              <w:rPr>
                <w:rFonts w:hint="eastAsia" w:ascii="Times New Roman" w:hAnsi="Times New Roman" w:cs="Times New Roman"/>
                <w:color w:val="auto"/>
                <w:sz w:val="21"/>
                <w:szCs w:val="21"/>
                <w:vertAlign w:val="subscript"/>
                <w:lang w:val="en-US" w:bidi="ar-SA"/>
              </w:rPr>
              <w:t>2</w:t>
            </w:r>
            <w:r>
              <w:rPr>
                <w:rFonts w:hint="eastAsia" w:ascii="Times New Roman" w:hAnsi="Times New Roman" w:cs="Times New Roman"/>
                <w:color w:val="auto"/>
                <w:sz w:val="21"/>
                <w:szCs w:val="21"/>
                <w:lang w:val="en-US" w:bidi="ar-SA"/>
              </w:rPr>
              <w:t>）年平均浓度27微克/立方米、一氧化碳（CO）24小时平均浓度第95百分位数1.4毫克/立方米，达到国家二级标准。臭氧（O</w:t>
            </w:r>
            <w:r>
              <w:rPr>
                <w:rFonts w:hint="eastAsia" w:ascii="Times New Roman" w:hAnsi="Times New Roman" w:cs="Times New Roman"/>
                <w:color w:val="auto"/>
                <w:sz w:val="21"/>
                <w:szCs w:val="21"/>
                <w:vertAlign w:val="subscript"/>
                <w:lang w:val="en-US" w:bidi="ar-SA"/>
              </w:rPr>
              <w:t>3</w:t>
            </w:r>
            <w:r>
              <w:rPr>
                <w:rFonts w:hint="eastAsia" w:ascii="Times New Roman" w:hAnsi="Times New Roman" w:cs="Times New Roman"/>
                <w:color w:val="auto"/>
                <w:sz w:val="21"/>
                <w:szCs w:val="21"/>
                <w:lang w:val="en-US" w:bidi="ar-SA"/>
              </w:rPr>
              <w:t>）日最大8小时平均浓度第90百分位数176微克/立方米、可吸入颗粒物（PM</w:t>
            </w:r>
            <w:r>
              <w:rPr>
                <w:rFonts w:hint="eastAsia" w:ascii="Times New Roman" w:hAnsi="Times New Roman" w:cs="Times New Roman"/>
                <w:color w:val="auto"/>
                <w:sz w:val="21"/>
                <w:szCs w:val="21"/>
                <w:vertAlign w:val="subscript"/>
                <w:lang w:val="en-US" w:bidi="ar-SA"/>
              </w:rPr>
              <w:t>10</w:t>
            </w:r>
            <w:r>
              <w:rPr>
                <w:rFonts w:hint="eastAsia" w:ascii="Times New Roman" w:hAnsi="Times New Roman" w:cs="Times New Roman"/>
                <w:color w:val="auto"/>
                <w:sz w:val="21"/>
                <w:szCs w:val="21"/>
                <w:lang w:val="en-US" w:bidi="ar-SA"/>
              </w:rPr>
              <w:t>）年平均浓度76微克/立方米、细颗粒物（PM</w:t>
            </w:r>
            <w:r>
              <w:rPr>
                <w:rFonts w:hint="eastAsia" w:ascii="Times New Roman" w:hAnsi="Times New Roman" w:cs="Times New Roman"/>
                <w:color w:val="auto"/>
                <w:sz w:val="21"/>
                <w:szCs w:val="21"/>
                <w:vertAlign w:val="subscript"/>
                <w:lang w:val="en-US" w:bidi="ar-SA"/>
              </w:rPr>
              <w:t>2.5</w:t>
            </w:r>
            <w:r>
              <w:rPr>
                <w:rFonts w:hint="eastAsia" w:ascii="Times New Roman" w:hAnsi="Times New Roman" w:cs="Times New Roman"/>
                <w:color w:val="auto"/>
                <w:sz w:val="21"/>
                <w:szCs w:val="21"/>
                <w:lang w:val="en-US" w:bidi="ar-SA"/>
              </w:rPr>
              <w:t>）年平均浓度47微克/立方米，分别超标0.11倍、0.09倍、0.34倍。PM</w:t>
            </w:r>
            <w:r>
              <w:rPr>
                <w:rFonts w:hint="eastAsia" w:ascii="Times New Roman" w:hAnsi="Times New Roman" w:cs="Times New Roman"/>
                <w:color w:val="auto"/>
                <w:sz w:val="21"/>
                <w:szCs w:val="21"/>
                <w:vertAlign w:val="subscript"/>
                <w:lang w:val="en-US" w:bidi="ar-SA"/>
              </w:rPr>
              <w:t>2.5</w:t>
            </w:r>
            <w:r>
              <w:rPr>
                <w:rFonts w:hint="eastAsia" w:ascii="Times New Roman" w:hAnsi="Times New Roman" w:cs="Times New Roman"/>
                <w:color w:val="auto"/>
                <w:sz w:val="21"/>
                <w:szCs w:val="21"/>
                <w:lang w:val="en-US" w:bidi="ar-SA"/>
              </w:rPr>
              <w:t>和PM</w:t>
            </w:r>
            <w:r>
              <w:rPr>
                <w:rFonts w:hint="eastAsia" w:ascii="Times New Roman" w:hAnsi="Times New Roman" w:cs="Times New Roman"/>
                <w:color w:val="auto"/>
                <w:sz w:val="21"/>
                <w:szCs w:val="21"/>
                <w:vertAlign w:val="subscript"/>
                <w:lang w:val="en-US" w:bidi="ar-SA"/>
              </w:rPr>
              <w:t>10</w:t>
            </w:r>
            <w:r>
              <w:rPr>
                <w:rFonts w:hint="eastAsia" w:ascii="Times New Roman" w:hAnsi="Times New Roman" w:cs="Times New Roman"/>
                <w:color w:val="auto"/>
                <w:sz w:val="21"/>
                <w:szCs w:val="21"/>
                <w:lang w:val="en-US" w:bidi="ar-SA"/>
              </w:rPr>
              <w:t>是主要污染物</w:t>
            </w:r>
            <w:r>
              <w:rPr>
                <w:rFonts w:ascii="Times New Roman" w:hAnsi="Times New Roman" w:cs="Times New Roman"/>
                <w:color w:val="auto"/>
                <w:sz w:val="21"/>
                <w:szCs w:val="21"/>
                <w:lang w:val="en-US" w:bidi="ar-SA"/>
              </w:rPr>
              <w:t>。</w:t>
            </w:r>
          </w:p>
          <w:p>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具体情况见下表。</w:t>
            </w:r>
          </w:p>
          <w:p>
            <w:pPr>
              <w:autoSpaceDE/>
              <w:autoSpaceDN/>
              <w:spacing w:line="400" w:lineRule="exact"/>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表3.1  区域环境空气质量现状评价表</w:t>
            </w:r>
          </w:p>
          <w:tbl>
            <w:tblPr>
              <w:tblStyle w:val="32"/>
              <w:tblW w:w="7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859"/>
              <w:gridCol w:w="873"/>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vAlign w:val="center"/>
                </w:tcPr>
                <w:p>
                  <w:pPr>
                    <w:widowControl/>
                    <w:adjustRightInd w:val="0"/>
                    <w:snapToGrid w:val="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0"/>
                    </w:rPr>
                    <w:t>污染物</w:t>
                  </w:r>
                </w:p>
              </w:tc>
              <w:tc>
                <w:tcPr>
                  <w:tcW w:w="2987" w:type="dxa"/>
                  <w:vAlign w:val="center"/>
                </w:tcPr>
                <w:p>
                  <w:pPr>
                    <w:widowControl/>
                    <w:adjustRightInd w:val="0"/>
                    <w:snapToGrid w:val="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0"/>
                    </w:rPr>
                    <w:t>年评价指标</w:t>
                  </w:r>
                </w:p>
              </w:tc>
              <w:tc>
                <w:tcPr>
                  <w:tcW w:w="1104" w:type="dxa"/>
                  <w:vAlign w:val="center"/>
                </w:tcPr>
                <w:p>
                  <w:pPr>
                    <w:widowControl/>
                    <w:adjustRightInd w:val="0"/>
                    <w:snapToGrid w:val="0"/>
                    <w:jc w:val="center"/>
                    <w:rPr>
                      <w:rFonts w:ascii="Times New Roman" w:hAnsi="Times New Roman" w:cs="Times New Roman"/>
                      <w:b/>
                      <w:bCs/>
                      <w:color w:val="auto"/>
                      <w:sz w:val="21"/>
                      <w:szCs w:val="20"/>
                    </w:rPr>
                  </w:pPr>
                  <w:r>
                    <w:rPr>
                      <w:rFonts w:ascii="Times New Roman" w:hAnsi="Times New Roman" w:cs="Times New Roman"/>
                      <w:b/>
                      <w:bCs/>
                      <w:color w:val="auto"/>
                      <w:sz w:val="21"/>
                      <w:szCs w:val="20"/>
                    </w:rPr>
                    <w:t>现状浓度</w:t>
                  </w:r>
                </w:p>
                <w:p>
                  <w:pPr>
                    <w:widowControl/>
                    <w:adjustRightInd w:val="0"/>
                    <w:snapToGrid w:val="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0"/>
                    </w:rPr>
                    <w:t>μg/m</w:t>
                  </w:r>
                  <w:r>
                    <w:rPr>
                      <w:rFonts w:ascii="Times New Roman" w:hAnsi="Times New Roman" w:cs="Times New Roman"/>
                      <w:b/>
                      <w:bCs/>
                      <w:color w:val="auto"/>
                      <w:sz w:val="21"/>
                      <w:szCs w:val="20"/>
                      <w:vertAlign w:val="superscript"/>
                    </w:rPr>
                    <w:t>3</w:t>
                  </w:r>
                </w:p>
              </w:tc>
              <w:tc>
                <w:tcPr>
                  <w:tcW w:w="859" w:type="dxa"/>
                  <w:vAlign w:val="center"/>
                </w:tcPr>
                <w:p>
                  <w:pPr>
                    <w:widowControl/>
                    <w:adjustRightInd w:val="0"/>
                    <w:snapToGrid w:val="0"/>
                    <w:jc w:val="center"/>
                    <w:rPr>
                      <w:rFonts w:ascii="Times New Roman" w:hAnsi="Times New Roman" w:cs="Times New Roman"/>
                      <w:b/>
                      <w:bCs/>
                      <w:color w:val="auto"/>
                      <w:sz w:val="21"/>
                      <w:szCs w:val="20"/>
                    </w:rPr>
                  </w:pPr>
                  <w:r>
                    <w:rPr>
                      <w:rFonts w:ascii="Times New Roman" w:hAnsi="Times New Roman" w:cs="Times New Roman"/>
                      <w:b/>
                      <w:bCs/>
                      <w:color w:val="auto"/>
                      <w:sz w:val="21"/>
                      <w:szCs w:val="20"/>
                    </w:rPr>
                    <w:t>标准值</w:t>
                  </w:r>
                </w:p>
                <w:p>
                  <w:pPr>
                    <w:widowControl/>
                    <w:adjustRightInd w:val="0"/>
                    <w:snapToGrid w:val="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0"/>
                    </w:rPr>
                    <w:t>μg/m</w:t>
                  </w:r>
                  <w:r>
                    <w:rPr>
                      <w:rFonts w:ascii="Times New Roman" w:hAnsi="Times New Roman" w:cs="Times New Roman"/>
                      <w:b/>
                      <w:bCs/>
                      <w:color w:val="auto"/>
                      <w:sz w:val="21"/>
                      <w:szCs w:val="20"/>
                      <w:vertAlign w:val="superscript"/>
                    </w:rPr>
                    <w:t>3</w:t>
                  </w:r>
                </w:p>
              </w:tc>
              <w:tc>
                <w:tcPr>
                  <w:tcW w:w="873" w:type="dxa"/>
                  <w:vAlign w:val="center"/>
                </w:tcPr>
                <w:p>
                  <w:pPr>
                    <w:widowControl/>
                    <w:adjustRightInd w:val="0"/>
                    <w:snapToGrid w:val="0"/>
                    <w:ind w:left="-110" w:leftChars="-50" w:right="-110" w:rightChars="-5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1"/>
                    </w:rPr>
                    <w:t>占标率%</w:t>
                  </w:r>
                </w:p>
              </w:tc>
              <w:tc>
                <w:tcPr>
                  <w:tcW w:w="847" w:type="dxa"/>
                  <w:vAlign w:val="center"/>
                </w:tcPr>
                <w:p>
                  <w:pPr>
                    <w:widowControl/>
                    <w:adjustRightInd w:val="0"/>
                    <w:snapToGrid w:val="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0"/>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SO</w:t>
                  </w:r>
                  <w:r>
                    <w:rPr>
                      <w:rFonts w:ascii="Times New Roman" w:hAnsi="Times New Roman" w:cs="Times New Roman"/>
                      <w:color w:val="auto"/>
                      <w:sz w:val="21"/>
                      <w:szCs w:val="21"/>
                      <w:vertAlign w:val="subscript"/>
                    </w:rPr>
                    <w:t>2</w:t>
                  </w:r>
                </w:p>
              </w:tc>
              <w:tc>
                <w:tcPr>
                  <w:tcW w:w="2987" w:type="dxa"/>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年平均质量浓度</w:t>
                  </w:r>
                </w:p>
              </w:tc>
              <w:tc>
                <w:tcPr>
                  <w:tcW w:w="1104"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9</w:t>
                  </w:r>
                </w:p>
              </w:tc>
              <w:tc>
                <w:tcPr>
                  <w:tcW w:w="859"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60</w:t>
                  </w:r>
                </w:p>
              </w:tc>
              <w:tc>
                <w:tcPr>
                  <w:tcW w:w="873"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15</w:t>
                  </w:r>
                </w:p>
              </w:tc>
              <w:tc>
                <w:tcPr>
                  <w:tcW w:w="847"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vAlign w:val="center"/>
                </w:tcPr>
                <w:p>
                  <w:pPr>
                    <w:widowControl/>
                    <w:adjustRightInd w:val="0"/>
                    <w:snapToGrid w:val="0"/>
                    <w:jc w:val="center"/>
                    <w:rPr>
                      <w:rFonts w:ascii="Times New Roman" w:hAnsi="Times New Roman" w:cs="Times New Roman"/>
                      <w:color w:val="auto"/>
                      <w:kern w:val="2"/>
                      <w:sz w:val="21"/>
                      <w:szCs w:val="21"/>
                      <w:lang w:val="en-US" w:bidi="ar-SA"/>
                    </w:rPr>
                  </w:pPr>
                </w:p>
              </w:tc>
              <w:tc>
                <w:tcPr>
                  <w:tcW w:w="2987" w:type="dxa"/>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24小时平均第98位百分位数</w:t>
                  </w:r>
                </w:p>
              </w:tc>
              <w:tc>
                <w:tcPr>
                  <w:tcW w:w="1104"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859"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150</w:t>
                  </w:r>
                </w:p>
              </w:tc>
              <w:tc>
                <w:tcPr>
                  <w:tcW w:w="873"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847"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NO</w:t>
                  </w:r>
                  <w:r>
                    <w:rPr>
                      <w:rFonts w:ascii="Times New Roman" w:hAnsi="Times New Roman" w:cs="Times New Roman"/>
                      <w:color w:val="auto"/>
                      <w:sz w:val="21"/>
                      <w:szCs w:val="21"/>
                      <w:vertAlign w:val="subscript"/>
                    </w:rPr>
                    <w:t>2</w:t>
                  </w:r>
                </w:p>
              </w:tc>
              <w:tc>
                <w:tcPr>
                  <w:tcW w:w="2987" w:type="dxa"/>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年平均质量浓度</w:t>
                  </w:r>
                </w:p>
              </w:tc>
              <w:tc>
                <w:tcPr>
                  <w:tcW w:w="1104"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27</w:t>
                  </w:r>
                </w:p>
              </w:tc>
              <w:tc>
                <w:tcPr>
                  <w:tcW w:w="859"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40</w:t>
                  </w:r>
                </w:p>
              </w:tc>
              <w:tc>
                <w:tcPr>
                  <w:tcW w:w="873"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67.5</w:t>
                  </w:r>
                </w:p>
              </w:tc>
              <w:tc>
                <w:tcPr>
                  <w:tcW w:w="847"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vAlign w:val="center"/>
                </w:tcPr>
                <w:p>
                  <w:pPr>
                    <w:widowControl/>
                    <w:adjustRightInd w:val="0"/>
                    <w:snapToGrid w:val="0"/>
                    <w:jc w:val="center"/>
                    <w:rPr>
                      <w:rFonts w:ascii="Times New Roman" w:hAnsi="Times New Roman" w:cs="Times New Roman"/>
                      <w:color w:val="auto"/>
                      <w:kern w:val="2"/>
                      <w:sz w:val="21"/>
                      <w:szCs w:val="21"/>
                      <w:lang w:val="en-US" w:bidi="ar-SA"/>
                    </w:rPr>
                  </w:pPr>
                </w:p>
              </w:tc>
              <w:tc>
                <w:tcPr>
                  <w:tcW w:w="2987" w:type="dxa"/>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24小时平均第98位百分位数</w:t>
                  </w:r>
                </w:p>
              </w:tc>
              <w:tc>
                <w:tcPr>
                  <w:tcW w:w="1104"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859"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80</w:t>
                  </w:r>
                </w:p>
              </w:tc>
              <w:tc>
                <w:tcPr>
                  <w:tcW w:w="873"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847"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10</w:t>
                  </w:r>
                </w:p>
              </w:tc>
              <w:tc>
                <w:tcPr>
                  <w:tcW w:w="2987" w:type="dxa"/>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年平均质量浓度</w:t>
                  </w:r>
                </w:p>
              </w:tc>
              <w:tc>
                <w:tcPr>
                  <w:tcW w:w="1104"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76</w:t>
                  </w:r>
                </w:p>
              </w:tc>
              <w:tc>
                <w:tcPr>
                  <w:tcW w:w="859"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70</w:t>
                  </w:r>
                </w:p>
              </w:tc>
              <w:tc>
                <w:tcPr>
                  <w:tcW w:w="873"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108.6</w:t>
                  </w:r>
                </w:p>
              </w:tc>
              <w:tc>
                <w:tcPr>
                  <w:tcW w:w="847"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vAlign w:val="center"/>
                </w:tcPr>
                <w:p>
                  <w:pPr>
                    <w:widowControl/>
                    <w:adjustRightInd w:val="0"/>
                    <w:snapToGrid w:val="0"/>
                    <w:jc w:val="center"/>
                    <w:rPr>
                      <w:rFonts w:ascii="Times New Roman" w:hAnsi="Times New Roman" w:cs="Times New Roman"/>
                      <w:color w:val="auto"/>
                      <w:kern w:val="2"/>
                      <w:sz w:val="21"/>
                      <w:szCs w:val="21"/>
                      <w:lang w:val="en-US" w:bidi="ar-SA"/>
                    </w:rPr>
                  </w:pPr>
                </w:p>
              </w:tc>
              <w:tc>
                <w:tcPr>
                  <w:tcW w:w="2987" w:type="dxa"/>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24小时平均第95位百分位数</w:t>
                  </w:r>
                </w:p>
              </w:tc>
              <w:tc>
                <w:tcPr>
                  <w:tcW w:w="1104"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859"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150</w:t>
                  </w:r>
                </w:p>
              </w:tc>
              <w:tc>
                <w:tcPr>
                  <w:tcW w:w="873"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847"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PM</w:t>
                  </w:r>
                  <w:r>
                    <w:rPr>
                      <w:rFonts w:ascii="Times New Roman" w:hAnsi="Times New Roman" w:cs="Times New Roman"/>
                      <w:color w:val="auto"/>
                      <w:sz w:val="21"/>
                      <w:szCs w:val="21"/>
                      <w:vertAlign w:val="subscript"/>
                    </w:rPr>
                    <w:t>2.5</w:t>
                  </w:r>
                </w:p>
              </w:tc>
              <w:tc>
                <w:tcPr>
                  <w:tcW w:w="2987" w:type="dxa"/>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年平均质量浓度</w:t>
                  </w:r>
                </w:p>
              </w:tc>
              <w:tc>
                <w:tcPr>
                  <w:tcW w:w="1104"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47</w:t>
                  </w:r>
                </w:p>
              </w:tc>
              <w:tc>
                <w:tcPr>
                  <w:tcW w:w="859"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35</w:t>
                  </w:r>
                </w:p>
              </w:tc>
              <w:tc>
                <w:tcPr>
                  <w:tcW w:w="873"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134.3</w:t>
                  </w:r>
                </w:p>
              </w:tc>
              <w:tc>
                <w:tcPr>
                  <w:tcW w:w="847"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vAlign w:val="center"/>
                </w:tcPr>
                <w:p>
                  <w:pPr>
                    <w:widowControl/>
                    <w:adjustRightInd w:val="0"/>
                    <w:snapToGrid w:val="0"/>
                    <w:jc w:val="center"/>
                    <w:rPr>
                      <w:rFonts w:ascii="Times New Roman" w:hAnsi="Times New Roman" w:cs="Times New Roman"/>
                      <w:color w:val="auto"/>
                      <w:kern w:val="2"/>
                      <w:sz w:val="21"/>
                      <w:szCs w:val="21"/>
                      <w:lang w:val="en-US" w:bidi="ar-SA"/>
                    </w:rPr>
                  </w:pPr>
                </w:p>
              </w:tc>
              <w:tc>
                <w:tcPr>
                  <w:tcW w:w="2987" w:type="dxa"/>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24小时平均第95位百分位数</w:t>
                  </w:r>
                </w:p>
              </w:tc>
              <w:tc>
                <w:tcPr>
                  <w:tcW w:w="1104"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859"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75</w:t>
                  </w:r>
                </w:p>
              </w:tc>
              <w:tc>
                <w:tcPr>
                  <w:tcW w:w="873"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847"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CO</w:t>
                  </w:r>
                </w:p>
              </w:tc>
              <w:tc>
                <w:tcPr>
                  <w:tcW w:w="2987" w:type="dxa"/>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24小时平均第95位百分位数</w:t>
                  </w:r>
                </w:p>
              </w:tc>
              <w:tc>
                <w:tcPr>
                  <w:tcW w:w="1104"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1400</w:t>
                  </w:r>
                </w:p>
              </w:tc>
              <w:tc>
                <w:tcPr>
                  <w:tcW w:w="859"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4000</w:t>
                  </w:r>
                </w:p>
              </w:tc>
              <w:tc>
                <w:tcPr>
                  <w:tcW w:w="873"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35</w:t>
                  </w:r>
                </w:p>
              </w:tc>
              <w:tc>
                <w:tcPr>
                  <w:tcW w:w="847"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O</w:t>
                  </w:r>
                  <w:r>
                    <w:rPr>
                      <w:rFonts w:ascii="Times New Roman" w:hAnsi="Times New Roman" w:cs="Times New Roman"/>
                      <w:color w:val="auto"/>
                      <w:sz w:val="21"/>
                      <w:szCs w:val="21"/>
                      <w:vertAlign w:val="subscript"/>
                    </w:rPr>
                    <w:t>3</w:t>
                  </w:r>
                </w:p>
              </w:tc>
              <w:tc>
                <w:tcPr>
                  <w:tcW w:w="2987" w:type="dxa"/>
                  <w:vAlign w:val="center"/>
                </w:tcPr>
                <w:p>
                  <w:pPr>
                    <w:widowControl/>
                    <w:adjustRightInd w:val="0"/>
                    <w:snapToGrid w:val="0"/>
                    <w:jc w:val="center"/>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rPr>
                    <w:t>8小时平均第90位百分位数</w:t>
                  </w:r>
                </w:p>
              </w:tc>
              <w:tc>
                <w:tcPr>
                  <w:tcW w:w="1104"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176</w:t>
                  </w:r>
                </w:p>
              </w:tc>
              <w:tc>
                <w:tcPr>
                  <w:tcW w:w="859"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160</w:t>
                  </w:r>
                </w:p>
              </w:tc>
              <w:tc>
                <w:tcPr>
                  <w:tcW w:w="873"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110</w:t>
                  </w:r>
                </w:p>
              </w:tc>
              <w:tc>
                <w:tcPr>
                  <w:tcW w:w="847" w:type="dxa"/>
                  <w:vAlign w:val="center"/>
                </w:tcPr>
                <w:p>
                  <w:pPr>
                    <w:widowControl/>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不达标</w:t>
                  </w:r>
                </w:p>
              </w:tc>
            </w:tr>
          </w:tbl>
          <w:p>
            <w:pPr>
              <w:autoSpaceDE/>
              <w:autoSpaceDN/>
              <w:spacing w:line="400" w:lineRule="exact"/>
              <w:ind w:left="110" w:leftChars="50" w:firstLine="420" w:firstLineChars="200"/>
              <w:jc w:val="both"/>
              <w:rPr>
                <w:rFonts w:ascii="Times New Roman" w:hAnsi="Times New Roman" w:cs="Times New Roman"/>
                <w:color w:val="auto"/>
                <w:sz w:val="21"/>
                <w:szCs w:val="21"/>
                <w:lang w:bidi="ar-SA"/>
              </w:rPr>
            </w:pPr>
            <w:r>
              <w:rPr>
                <w:rFonts w:ascii="Times New Roman" w:hAnsi="Times New Roman" w:cs="Times New Roman"/>
                <w:color w:val="auto"/>
                <w:sz w:val="21"/>
                <w:szCs w:val="21"/>
                <w:lang w:val="en-US" w:bidi="ar-SA"/>
              </w:rPr>
              <w:t>上述</w:t>
            </w:r>
            <w:r>
              <w:rPr>
                <w:rFonts w:ascii="Times New Roman" w:hAnsi="Times New Roman" w:cs="Times New Roman"/>
                <w:color w:val="auto"/>
                <w:sz w:val="21"/>
                <w:szCs w:val="21"/>
                <w:lang w:bidi="ar-SA"/>
              </w:rPr>
              <w:t>六项污染物全部达标即为城市环境空气质量达标。根据邯郸市生态环境局公布的生态环境状况公报结果，本区域为环境空气质量不达标区，不达标因子为PM</w:t>
            </w:r>
            <w:r>
              <w:rPr>
                <w:rFonts w:ascii="Times New Roman" w:hAnsi="Times New Roman" w:cs="Times New Roman"/>
                <w:color w:val="auto"/>
                <w:sz w:val="21"/>
                <w:szCs w:val="21"/>
                <w:vertAlign w:val="subscript"/>
                <w:lang w:bidi="ar-SA"/>
              </w:rPr>
              <w:t>10</w:t>
            </w:r>
            <w:r>
              <w:rPr>
                <w:rFonts w:ascii="Times New Roman" w:hAnsi="Times New Roman" w:cs="Times New Roman"/>
                <w:color w:val="auto"/>
                <w:sz w:val="21"/>
                <w:szCs w:val="21"/>
                <w:lang w:bidi="ar-SA"/>
              </w:rPr>
              <w:t>、PM</w:t>
            </w:r>
            <w:r>
              <w:rPr>
                <w:rFonts w:ascii="Times New Roman" w:hAnsi="Times New Roman" w:cs="Times New Roman"/>
                <w:color w:val="auto"/>
                <w:sz w:val="21"/>
                <w:szCs w:val="21"/>
                <w:vertAlign w:val="subscript"/>
                <w:lang w:bidi="ar-SA"/>
              </w:rPr>
              <w:t>2.5</w:t>
            </w:r>
            <w:r>
              <w:rPr>
                <w:rFonts w:ascii="Times New Roman" w:hAnsi="Times New Roman" w:cs="Times New Roman"/>
                <w:color w:val="auto"/>
                <w:sz w:val="21"/>
                <w:szCs w:val="21"/>
                <w:lang w:bidi="ar-SA"/>
              </w:rPr>
              <w:t>、O</w:t>
            </w:r>
            <w:r>
              <w:rPr>
                <w:rFonts w:ascii="Times New Roman" w:hAnsi="Times New Roman" w:cs="Times New Roman"/>
                <w:color w:val="auto"/>
                <w:sz w:val="21"/>
                <w:szCs w:val="21"/>
                <w:vertAlign w:val="subscript"/>
                <w:lang w:bidi="ar-SA"/>
              </w:rPr>
              <w:t>3</w:t>
            </w:r>
            <w:r>
              <w:rPr>
                <w:rFonts w:ascii="Times New Roman" w:hAnsi="Times New Roman" w:cs="Times New Roman"/>
                <w:color w:val="auto"/>
                <w:sz w:val="21"/>
                <w:szCs w:val="21"/>
                <w:lang w:bidi="ar-SA"/>
              </w:rPr>
              <w:t>。</w:t>
            </w:r>
          </w:p>
          <w:p>
            <w:pPr>
              <w:autoSpaceDE/>
              <w:autoSpaceDN/>
              <w:spacing w:line="400" w:lineRule="exact"/>
              <w:ind w:left="110" w:leftChars="50" w:firstLine="421" w:firstLineChars="200"/>
              <w:jc w:val="both"/>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（2）特征污染物</w:t>
            </w:r>
          </w:p>
          <w:p>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根据《建设项目环境影响报告表编制指南（污染环境类）》（试行）中的相关规定，本次评价大气特征</w:t>
            </w:r>
            <w:r>
              <w:rPr>
                <w:rFonts w:hint="eastAsia" w:ascii="Times New Roman" w:hAnsi="Times New Roman" w:cs="Times New Roman"/>
                <w:color w:val="auto"/>
                <w:sz w:val="21"/>
                <w:szCs w:val="21"/>
                <w:lang w:val="en-US" w:bidi="ar-SA"/>
              </w:rPr>
              <w:t>污染物</w:t>
            </w:r>
            <w:r>
              <w:rPr>
                <w:rFonts w:ascii="Times New Roman" w:hAnsi="Times New Roman" w:cs="Times New Roman"/>
                <w:color w:val="auto"/>
                <w:sz w:val="21"/>
                <w:szCs w:val="21"/>
                <w:lang w:val="en-US"/>
              </w:rPr>
              <w:t>TSP引用河北德普环境监测有限公司出具的《河北魏县经济开发区总体发展规划环境质量现状监测》（报告编号：HBDP〔2023〕第H0106号），采样日期为2023.7.31-2023.8.</w:t>
            </w: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lang w:val="en-US"/>
              </w:rPr>
              <w:t>，监测点</w:t>
            </w:r>
            <w:r>
              <w:rPr>
                <w:rFonts w:hint="eastAsia" w:ascii="Times New Roman" w:hAnsi="Times New Roman" w:cs="Times New Roman"/>
                <w:color w:val="auto"/>
                <w:sz w:val="21"/>
                <w:szCs w:val="21"/>
                <w:lang w:val="en-US"/>
              </w:rPr>
              <w:t>德二</w:t>
            </w:r>
            <w:r>
              <w:rPr>
                <w:rFonts w:ascii="Times New Roman" w:hAnsi="Times New Roman" w:cs="Times New Roman"/>
                <w:color w:val="auto"/>
                <w:sz w:val="21"/>
                <w:szCs w:val="21"/>
                <w:lang w:val="en-US"/>
              </w:rPr>
              <w:t>村，位于本项目</w:t>
            </w:r>
            <w:r>
              <w:rPr>
                <w:rFonts w:hint="eastAsia" w:ascii="Times New Roman" w:hAnsi="Times New Roman" w:cs="Times New Roman"/>
                <w:color w:val="auto"/>
                <w:sz w:val="21"/>
                <w:szCs w:val="21"/>
                <w:lang w:val="en-US"/>
              </w:rPr>
              <w:t>东</w:t>
            </w:r>
            <w:r>
              <w:rPr>
                <w:rFonts w:ascii="Times New Roman" w:hAnsi="Times New Roman" w:cs="Times New Roman"/>
                <w:color w:val="auto"/>
                <w:sz w:val="21"/>
                <w:szCs w:val="21"/>
                <w:lang w:val="en-US"/>
              </w:rPr>
              <w:t>侧</w:t>
            </w:r>
            <w:r>
              <w:rPr>
                <w:rFonts w:hint="eastAsia" w:ascii="Times New Roman" w:hAnsi="Times New Roman" w:cs="Times New Roman"/>
                <w:color w:val="auto"/>
                <w:sz w:val="21"/>
                <w:szCs w:val="21"/>
                <w:lang w:val="en-US"/>
              </w:rPr>
              <w:t>312</w:t>
            </w:r>
            <w:r>
              <w:rPr>
                <w:rFonts w:ascii="Times New Roman" w:hAnsi="Times New Roman" w:cs="Times New Roman"/>
                <w:color w:val="auto"/>
                <w:sz w:val="21"/>
                <w:szCs w:val="21"/>
                <w:lang w:val="en-US"/>
              </w:rPr>
              <w:t>0m处，数据引用有效。</w:t>
            </w:r>
            <w:r>
              <w:rPr>
                <w:rFonts w:ascii="Times New Roman" w:hAnsi="Times New Roman" w:cs="Times New Roman"/>
                <w:color w:val="auto"/>
                <w:sz w:val="21"/>
                <w:szCs w:val="21"/>
                <w:lang w:val="en-US" w:bidi="ar-SA"/>
              </w:rPr>
              <w:t>引用数据为建设项目周边5km范围内近三年内的现有有效数据，引用可行。</w:t>
            </w:r>
            <w:r>
              <w:rPr>
                <w:rFonts w:hint="eastAsia" w:ascii="Times New Roman" w:hAnsi="Times New Roman" w:cs="Times New Roman"/>
                <w:color w:val="auto"/>
                <w:sz w:val="21"/>
                <w:szCs w:val="21"/>
                <w:lang w:val="en-US" w:bidi="ar-SA"/>
              </w:rPr>
              <w:t>检测情况见下表</w:t>
            </w:r>
          </w:p>
          <w:p>
            <w:pPr>
              <w:autoSpaceDE/>
              <w:autoSpaceDN/>
              <w:spacing w:line="400" w:lineRule="exact"/>
              <w:jc w:val="center"/>
              <w:rPr>
                <w:rFonts w:ascii="Times New Roman" w:hAnsi="Times New Roman" w:cs="Times New Roman"/>
                <w:color w:val="auto"/>
                <w:sz w:val="21"/>
                <w:szCs w:val="21"/>
                <w:lang w:val="en-US" w:bidi="ar-SA"/>
              </w:rPr>
            </w:pPr>
            <w:r>
              <w:rPr>
                <w:rFonts w:ascii="Times New Roman" w:hAnsi="Times New Roman" w:cs="Times New Roman"/>
                <w:b/>
                <w:bCs/>
                <w:color w:val="auto"/>
                <w:sz w:val="21"/>
                <w:szCs w:val="21"/>
                <w:lang w:val="en-US" w:bidi="ar-SA"/>
              </w:rPr>
              <w:t>表3.</w:t>
            </w:r>
            <w:r>
              <w:rPr>
                <w:rFonts w:hint="eastAsia" w:ascii="Times New Roman" w:hAnsi="Times New Roman" w:cs="Times New Roman"/>
                <w:b/>
                <w:bCs/>
                <w:color w:val="auto"/>
                <w:sz w:val="21"/>
                <w:szCs w:val="21"/>
                <w:lang w:val="en-US" w:bidi="ar-SA"/>
              </w:rPr>
              <w:t>2</w:t>
            </w:r>
            <w:r>
              <w:rPr>
                <w:rFonts w:ascii="Times New Roman" w:hAnsi="Times New Roman" w:cs="Times New Roman"/>
                <w:b/>
                <w:bCs/>
                <w:color w:val="auto"/>
                <w:sz w:val="21"/>
                <w:szCs w:val="21"/>
                <w:lang w:val="en-US" w:bidi="ar-SA"/>
              </w:rPr>
              <w:t xml:space="preserve">  </w:t>
            </w:r>
            <w:r>
              <w:rPr>
                <w:rFonts w:hint="eastAsia" w:ascii="Times New Roman" w:hAnsi="Times New Roman" w:cs="Times New Roman"/>
                <w:b/>
                <w:bCs/>
                <w:color w:val="auto"/>
                <w:sz w:val="21"/>
                <w:szCs w:val="21"/>
                <w:lang w:val="en-US" w:bidi="ar-SA"/>
              </w:rPr>
              <w:t>环境质量现状检测结果（单位：</w:t>
            </w:r>
            <w:r>
              <w:rPr>
                <w:rFonts w:ascii="Times New Roman" w:hAnsi="Times New Roman" w:cs="Times New Roman"/>
                <w:b/>
                <w:bCs/>
                <w:color w:val="auto"/>
                <w:sz w:val="21"/>
                <w:szCs w:val="21"/>
                <w:lang w:val="en-US" w:bidi="ar-SA"/>
              </w:rPr>
              <w:t>μg/m</w:t>
            </w:r>
            <w:r>
              <w:rPr>
                <w:rFonts w:ascii="Times New Roman" w:hAnsi="Times New Roman" w:cs="Times New Roman"/>
                <w:b/>
                <w:bCs/>
                <w:color w:val="auto"/>
                <w:sz w:val="21"/>
                <w:szCs w:val="21"/>
                <w:vertAlign w:val="superscript"/>
                <w:lang w:val="en-US" w:bidi="ar-SA"/>
              </w:rPr>
              <w:t>3</w:t>
            </w:r>
            <w:r>
              <w:rPr>
                <w:rFonts w:hint="eastAsia" w:ascii="Times New Roman" w:hAnsi="Times New Roman" w:cs="Times New Roman"/>
                <w:b/>
                <w:bCs/>
                <w:color w:val="auto"/>
                <w:sz w:val="21"/>
                <w:szCs w:val="21"/>
                <w:lang w:val="en-US" w:bidi="ar-SA"/>
              </w:rPr>
              <w:t>）</w:t>
            </w:r>
          </w:p>
          <w:tbl>
            <w:tblPr>
              <w:tblStyle w:val="3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506"/>
              <w:gridCol w:w="5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74" w:type="pct"/>
                  <w:gridSpan w:val="2"/>
                  <w:noWrap/>
                  <w:vAlign w:val="center"/>
                </w:tcPr>
                <w:p>
                  <w:pPr>
                    <w:pStyle w:val="81"/>
                    <w:tabs>
                      <w:tab w:val="center" w:pos="426"/>
                    </w:tabs>
                    <w:spacing w:before="0" w:after="0"/>
                    <w:ind w:firstLine="0" w:firstLineChars="0"/>
                    <w:jc w:val="right"/>
                    <w:rPr>
                      <w:color w:val="auto"/>
                      <w:sz w:val="21"/>
                      <w:szCs w:val="21"/>
                    </w:rPr>
                  </w:pPr>
                  <w:r>
                    <w:rPr>
                      <w:color w:val="auto"/>
                      <w:sz w:val="21"/>
                      <w:szCs w:val="21"/>
                    </w:rPr>
                    <mc:AlternateContent>
                      <mc:Choice Requires="wps">
                        <w:drawing>
                          <wp:anchor distT="0" distB="0" distL="114300" distR="114300" simplePos="0" relativeHeight="251667456" behindDoc="0" locked="0" layoutInCell="1" allowOverlap="1">
                            <wp:simplePos x="0" y="0"/>
                            <wp:positionH relativeFrom="column">
                              <wp:posOffset>-51435</wp:posOffset>
                            </wp:positionH>
                            <wp:positionV relativeFrom="paragraph">
                              <wp:posOffset>10160</wp:posOffset>
                            </wp:positionV>
                            <wp:extent cx="1950720" cy="356235"/>
                            <wp:effectExtent l="635" t="4445" r="10795" b="20320"/>
                            <wp:wrapNone/>
                            <wp:docPr id="5" name="直接连接符 5"/>
                            <wp:cNvGraphicFramePr/>
                            <a:graphic xmlns:a="http://schemas.openxmlformats.org/drawingml/2006/main">
                              <a:graphicData uri="http://schemas.microsoft.com/office/word/2010/wordprocessingShape">
                                <wps:wsp>
                                  <wps:cNvCnPr/>
                                  <wps:spPr>
                                    <a:xfrm>
                                      <a:off x="0" y="0"/>
                                      <a:ext cx="1950720" cy="3562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05pt;margin-top:0.8pt;height:28.05pt;width:153.6pt;z-index:251667456;mso-width-relative:page;mso-height-relative:page;" filled="f" stroked="t" coordsize="21600,21600" o:gfxdata="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knfVI9QAAAAHAQAADwAAAAAAAAABACAAAAA4AAAAZHJzL2Rvd25yZXYueG1sUEsBAhQAFAAA&#10;AAgAh07iQMOptyjdAQAAnQMAAA4AAAAAAAAAAQAgAAAAOQEAAGRycy9lMm9Eb2MueG1sUEsFBgAA&#10;AAAGAAYAWQEAAIgFAAAAAA==&#10;">
                            <v:fill on="f" focussize="0,0"/>
                            <v:stroke color="#000000" joinstyle="round"/>
                            <v:imagedata o:title=""/>
                            <o:lock v:ext="edit" aspectratio="f"/>
                          </v:line>
                        </w:pict>
                      </mc:Fallback>
                    </mc:AlternateContent>
                  </w:r>
                  <w:r>
                    <w:rPr>
                      <w:color w:val="auto"/>
                      <w:sz w:val="21"/>
                      <w:szCs w:val="21"/>
                    </w:rPr>
                    <w:t xml:space="preserve">   采样点位及时间</w:t>
                  </w:r>
                </w:p>
                <w:p>
                  <w:pPr>
                    <w:pStyle w:val="81"/>
                    <w:tabs>
                      <w:tab w:val="center" w:pos="426"/>
                    </w:tabs>
                    <w:spacing w:before="0" w:after="0"/>
                    <w:ind w:firstLine="0" w:firstLineChars="0"/>
                    <w:rPr>
                      <w:color w:val="auto"/>
                      <w:sz w:val="21"/>
                      <w:szCs w:val="21"/>
                    </w:rPr>
                  </w:pPr>
                  <w:r>
                    <w:rPr>
                      <w:color w:val="auto"/>
                      <w:sz w:val="21"/>
                      <w:szCs w:val="21"/>
                    </w:rPr>
                    <w:t>检测项目</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德二村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restar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总悬浮颗粒物（TSP）24小时平均浓度</w:t>
                  </w:r>
                </w:p>
              </w:tc>
              <w:tc>
                <w:tcPr>
                  <w:tcW w:w="1400"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2023.07.31</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2023.08.01</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2023.08.02</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2023.08.03</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2023.08.04</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2023.08.05</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ign w:val="center"/>
                </w:tcPr>
                <w:p>
                  <w:pPr>
                    <w:pStyle w:val="81"/>
                    <w:tabs>
                      <w:tab w:val="center" w:pos="426"/>
                    </w:tabs>
                    <w:spacing w:before="0" w:after="0"/>
                    <w:ind w:firstLine="0" w:firstLineChars="0"/>
                    <w:jc w:val="center"/>
                    <w:rPr>
                      <w:color w:val="auto"/>
                      <w:sz w:val="21"/>
                      <w:szCs w:val="21"/>
                    </w:rPr>
                  </w:pPr>
                </w:p>
              </w:tc>
              <w:tc>
                <w:tcPr>
                  <w:tcW w:w="1400" w:type="pct"/>
                  <w:noWrap/>
                  <w:vAlign w:val="center"/>
                </w:tcPr>
                <w:p>
                  <w:pPr>
                    <w:jc w:val="center"/>
                    <w:rPr>
                      <w:rFonts w:ascii="Times New Roman" w:hAnsi="Times New Roman"/>
                      <w:color w:val="auto"/>
                      <w:sz w:val="21"/>
                      <w:szCs w:val="21"/>
                      <w:lang w:val="en-US"/>
                    </w:rPr>
                  </w:pPr>
                  <w:r>
                    <w:rPr>
                      <w:rFonts w:hint="eastAsia" w:ascii="Times New Roman" w:hAnsi="Times New Roman"/>
                      <w:color w:val="auto"/>
                      <w:sz w:val="21"/>
                      <w:szCs w:val="21"/>
                      <w:lang w:val="en-US"/>
                    </w:rPr>
                    <w:t>2023.08.06</w:t>
                  </w:r>
                </w:p>
              </w:tc>
              <w:tc>
                <w:tcPr>
                  <w:tcW w:w="3025" w:type="pct"/>
                  <w:noWrap/>
                  <w:vAlign w:val="center"/>
                </w:tcPr>
                <w:p>
                  <w:pPr>
                    <w:pStyle w:val="81"/>
                    <w:tabs>
                      <w:tab w:val="center" w:pos="426"/>
                    </w:tabs>
                    <w:spacing w:before="0" w:after="0"/>
                    <w:ind w:firstLine="0" w:firstLineChars="0"/>
                    <w:jc w:val="center"/>
                    <w:rPr>
                      <w:color w:val="auto"/>
                      <w:sz w:val="21"/>
                      <w:szCs w:val="21"/>
                    </w:rPr>
                  </w:pPr>
                  <w:r>
                    <w:rPr>
                      <w:rFonts w:hint="eastAsia"/>
                      <w:color w:val="auto"/>
                      <w:sz w:val="21"/>
                      <w:szCs w:val="21"/>
                    </w:rPr>
                    <w:t>31</w:t>
                  </w:r>
                </w:p>
              </w:tc>
            </w:tr>
          </w:tbl>
          <w:p>
            <w:pPr>
              <w:pStyle w:val="52"/>
              <w:spacing w:line="400" w:lineRule="exact"/>
              <w:ind w:left="110" w:leftChars="50" w:firstLine="420" w:firstLineChars="200"/>
              <w:rPr>
                <w:rFonts w:ascii="Times New Roman" w:hAnsi="Times New Roman" w:cs="Times New Roman"/>
                <w:b/>
                <w:bCs/>
                <w:color w:val="auto"/>
                <w:sz w:val="21"/>
                <w:szCs w:val="21"/>
                <w:lang w:val="en-US"/>
              </w:rPr>
            </w:pPr>
            <w:r>
              <w:rPr>
                <w:rFonts w:ascii="Times New Roman" w:hAnsi="Times New Roman" w:cs="Times New Roman"/>
                <w:color w:val="auto"/>
                <w:sz w:val="21"/>
                <w:szCs w:val="21"/>
                <w:lang w:val="en-US" w:bidi="ar-SA"/>
              </w:rPr>
              <w:t>由</w:t>
            </w:r>
            <w:r>
              <w:rPr>
                <w:rFonts w:hint="eastAsia" w:ascii="Times New Roman" w:hAnsi="Times New Roman" w:cs="Times New Roman"/>
                <w:color w:val="auto"/>
                <w:sz w:val="21"/>
                <w:szCs w:val="21"/>
                <w:lang w:val="en-US" w:bidi="ar-SA"/>
              </w:rPr>
              <w:t>检测</w:t>
            </w:r>
            <w:r>
              <w:rPr>
                <w:rFonts w:ascii="Times New Roman" w:hAnsi="Times New Roman" w:cs="Times New Roman"/>
                <w:color w:val="auto"/>
                <w:sz w:val="21"/>
                <w:szCs w:val="21"/>
                <w:lang w:val="en-US" w:bidi="ar-SA"/>
              </w:rPr>
              <w:t>结果可知，</w:t>
            </w:r>
            <w:r>
              <w:rPr>
                <w:rFonts w:hint="eastAsia" w:ascii="Times New Roman" w:hAnsi="Times New Roman" w:cs="Times New Roman"/>
                <w:color w:val="auto"/>
                <w:sz w:val="21"/>
                <w:szCs w:val="21"/>
                <w:lang w:val="en-US" w:bidi="ar-SA"/>
              </w:rPr>
              <w:t>检测期间TSP日均值最大值为0.048</w:t>
            </w:r>
            <w:r>
              <w:rPr>
                <w:rFonts w:ascii="Times New Roman" w:hAnsi="Times New Roman" w:cs="Times New Roman"/>
                <w:color w:val="auto"/>
                <w:sz w:val="21"/>
                <w:szCs w:val="21"/>
              </w:rPr>
              <w:t>mg/m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bidi="ar-SA"/>
              </w:rPr>
              <w:t>，</w:t>
            </w:r>
            <w:r>
              <w:rPr>
                <w:rFonts w:hint="eastAsia" w:ascii="Times New Roman" w:hAnsi="Times New Roman" w:cs="Times New Roman"/>
                <w:color w:val="auto"/>
                <w:sz w:val="21"/>
                <w:szCs w:val="21"/>
                <w:lang w:val="en-US"/>
              </w:rPr>
              <w:t>满足</w:t>
            </w:r>
            <w:r>
              <w:rPr>
                <w:rFonts w:ascii="Times New Roman" w:hAnsi="Times New Roman" w:cs="Times New Roman"/>
                <w:color w:val="auto"/>
                <w:sz w:val="21"/>
                <w:szCs w:val="21"/>
              </w:rPr>
              <w:t>《环境空气质量标准》（GB 3095-2012）</w:t>
            </w:r>
            <w:r>
              <w:rPr>
                <w:rFonts w:ascii="Times New Roman" w:hAnsi="Times New Roman" w:cs="Times New Roman"/>
                <w:color w:val="auto"/>
                <w:sz w:val="21"/>
                <w:szCs w:val="21"/>
                <w:lang w:val="en-US"/>
              </w:rPr>
              <w:t>及修改单</w:t>
            </w:r>
            <w:r>
              <w:rPr>
                <w:rFonts w:hint="eastAsia" w:ascii="Times New Roman" w:hAnsi="Times New Roman" w:cs="Times New Roman"/>
                <w:color w:val="auto"/>
                <w:sz w:val="21"/>
                <w:szCs w:val="21"/>
                <w:lang w:val="en-US"/>
              </w:rPr>
              <w:t>中的</w:t>
            </w:r>
            <w:r>
              <w:rPr>
                <w:rFonts w:ascii="Times New Roman" w:hAnsi="Times New Roman" w:cs="Times New Roman"/>
                <w:color w:val="auto"/>
                <w:sz w:val="21"/>
                <w:szCs w:val="21"/>
                <w:lang w:val="en-US" w:bidi="ar-SA"/>
              </w:rPr>
              <w:t>二级标准</w:t>
            </w:r>
            <w:r>
              <w:rPr>
                <w:rFonts w:hint="eastAsia" w:ascii="Times New Roman" w:hAnsi="Times New Roman" w:cs="Times New Roman"/>
                <w:color w:val="auto"/>
                <w:sz w:val="21"/>
                <w:szCs w:val="21"/>
                <w:lang w:val="en-US"/>
              </w:rPr>
              <w:t>要求。</w:t>
            </w:r>
          </w:p>
          <w:p>
            <w:pPr>
              <w:pStyle w:val="52"/>
              <w:spacing w:line="400" w:lineRule="exact"/>
              <w:ind w:left="110" w:leftChars="50" w:firstLine="421" w:firstLineChars="200"/>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2、地表水</w:t>
            </w:r>
          </w:p>
          <w:p>
            <w:pPr>
              <w:autoSpaceDE/>
              <w:autoSpaceDN/>
              <w:spacing w:line="400" w:lineRule="exact"/>
              <w:ind w:left="110" w:leftChars="50" w:firstLine="420" w:firstLineChars="200"/>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根据邯郸市生态环境局于发布的《202</w:t>
            </w:r>
            <w:r>
              <w:rPr>
                <w:rFonts w:hint="eastAsia" w:ascii="Times New Roman" w:hAnsi="Times New Roman" w:cs="Times New Roman"/>
                <w:color w:val="auto"/>
                <w:sz w:val="21"/>
                <w:szCs w:val="21"/>
                <w:lang w:val="en-US" w:bidi="ar-SA"/>
              </w:rPr>
              <w:t>3</w:t>
            </w:r>
            <w:r>
              <w:rPr>
                <w:rFonts w:ascii="Times New Roman" w:hAnsi="Times New Roman" w:cs="Times New Roman"/>
                <w:color w:val="auto"/>
                <w:sz w:val="21"/>
                <w:szCs w:val="21"/>
                <w:lang w:val="en-US" w:bidi="ar-SA"/>
              </w:rPr>
              <w:t>年度邯郸市环境质量公报》中相关数据可知，邯郸地区地表水共监测29个断面，8条河流，2个水库，全部达到规划水质类别，达标率为100%。对照《河流、流域水系水质定性评价分级表》，Ⅰ类水体1个，占3.4%；Ⅱ类水体10个，占34.5%，Ⅲ类水体18个，占62.1%；无Ⅳ类以下水体。地表水整体评价为优。参考检测报告（HBDP[2023]第H0106号）各监测点位监测数据结果表明，各污染因子均满足《地表水环境质量标准》（GB3838-2002）Ⅳ类标准要求。魏大馆渠位于魏县北部，西东流向，始成于 1954 年，为排水干渠，是魏县北部的主要排水渠道，输水每秒 56.5-157m³。魏大馆主要解决民有干渠以南，漳河以北各支、斗渠退水及灌区内的沥水，是魏县乃至邯郸市境内的一条重要排沥渠道。现状河道两侧以植草护坡为主，有 2 个排污口(魏县污水处理厂、魏县经济开发区污水处理厂)。根据《重点流域水污染防治规划（2016-2020 年）》魏大馆渠属于清凉江衡水市控制单元。根据河北省水利厅、河北省环境保护厅发布关于调整公布《河北省水功能区划》的通知（冀水资[2017]127 号），区划对老沙河邢台段划定为Ⅳ类水体，但对邢台上游邯郸广平段并未划定水质目标。因此，判定魏大馆渠水质标准为Ⅳ类</w:t>
            </w:r>
            <w:r>
              <w:rPr>
                <w:rFonts w:hint="eastAsia" w:ascii="Times New Roman" w:hAnsi="Times New Roman" w:cs="Times New Roman"/>
                <w:color w:val="auto"/>
                <w:sz w:val="21"/>
                <w:szCs w:val="21"/>
                <w:lang w:val="en-US" w:bidi="ar-SA"/>
              </w:rPr>
              <w:t>。</w:t>
            </w:r>
          </w:p>
          <w:p>
            <w:pPr>
              <w:pStyle w:val="52"/>
              <w:spacing w:line="400" w:lineRule="exact"/>
              <w:ind w:left="110" w:leftChars="50" w:firstLine="421" w:firstLineChars="20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3、声环境</w:t>
            </w:r>
          </w:p>
          <w:p>
            <w:pPr>
              <w:autoSpaceDE/>
              <w:autoSpaceDN/>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rPr>
              <w:t>厂区外50米范围内无</w:t>
            </w:r>
            <w:r>
              <w:rPr>
                <w:rFonts w:ascii="Times New Roman" w:hAnsi="Times New Roman" w:cs="Times New Roman"/>
                <w:color w:val="auto"/>
                <w:sz w:val="21"/>
                <w:szCs w:val="21"/>
                <w:lang w:val="en-US"/>
              </w:rPr>
              <w:t>声环境保护目标，</w:t>
            </w:r>
            <w:r>
              <w:rPr>
                <w:rFonts w:ascii="Times New Roman" w:hAnsi="Times New Roman" w:cs="Times New Roman"/>
                <w:color w:val="auto"/>
                <w:sz w:val="21"/>
                <w:szCs w:val="21"/>
              </w:rPr>
              <w:t>无需进行现状监测，</w:t>
            </w:r>
            <w:r>
              <w:rPr>
                <w:rFonts w:ascii="Times New Roman" w:hAnsi="Times New Roman" w:cs="Times New Roman"/>
                <w:color w:val="auto"/>
                <w:sz w:val="21"/>
                <w:szCs w:val="21"/>
                <w:lang w:val="en-US"/>
              </w:rPr>
              <w:t>声环境执行《声环境质量标准》（GB3096-2008）2类区标准</w:t>
            </w:r>
            <w:r>
              <w:rPr>
                <w:rFonts w:ascii="Times New Roman" w:hAnsi="Times New Roman" w:cs="Times New Roman"/>
                <w:color w:val="auto"/>
                <w:sz w:val="21"/>
                <w:szCs w:val="21"/>
              </w:rPr>
              <w:t>。</w:t>
            </w:r>
          </w:p>
          <w:p>
            <w:pPr>
              <w:pStyle w:val="52"/>
              <w:spacing w:line="400" w:lineRule="exact"/>
              <w:ind w:left="110" w:leftChars="50" w:firstLine="421" w:firstLineChars="200"/>
              <w:rPr>
                <w:b/>
                <w:bCs/>
                <w:color w:val="auto"/>
                <w:sz w:val="21"/>
                <w:szCs w:val="21"/>
                <w:lang w:val="en-US"/>
              </w:rPr>
            </w:pPr>
            <w:r>
              <w:rPr>
                <w:rFonts w:hint="eastAsia"/>
                <w:b/>
                <w:bCs/>
                <w:color w:val="auto"/>
                <w:sz w:val="21"/>
                <w:szCs w:val="21"/>
                <w:lang w:val="en-US"/>
              </w:rPr>
              <w:t>4、生态环境</w:t>
            </w:r>
          </w:p>
          <w:p>
            <w:pPr>
              <w:pStyle w:val="43"/>
              <w:autoSpaceDE/>
              <w:autoSpaceDN/>
              <w:spacing w:line="400" w:lineRule="exact"/>
              <w:ind w:left="110" w:leftChars="50" w:firstLine="420"/>
              <w:rPr>
                <w:rFonts w:ascii="Times New Roman" w:hAnsi="Times New Roman" w:cs="Times New Roman"/>
                <w:color w:val="auto"/>
                <w:sz w:val="21"/>
                <w:szCs w:val="21"/>
                <w:lang w:bidi="ar-SA"/>
              </w:rPr>
            </w:pPr>
            <w:r>
              <w:rPr>
                <w:rFonts w:ascii="Times New Roman" w:hAnsi="Times New Roman" w:cs="Times New Roman"/>
                <w:color w:val="auto"/>
                <w:sz w:val="21"/>
                <w:szCs w:val="21"/>
                <w:lang w:bidi="ar-SA"/>
              </w:rPr>
              <w:t>评价区域内无自然保护区、文物保护单位、集中式供水水源地和珍稀濒危野生动植物等敏感目标，不需开展生态现状调查</w:t>
            </w:r>
            <w:r>
              <w:rPr>
                <w:rFonts w:hint="eastAsia" w:ascii="Times New Roman" w:hAnsi="Times New Roman" w:cs="Times New Roman"/>
                <w:color w:val="auto"/>
                <w:sz w:val="21"/>
                <w:szCs w:val="21"/>
                <w:lang w:bidi="ar-SA"/>
              </w:rPr>
              <w:t>。</w:t>
            </w:r>
          </w:p>
          <w:p>
            <w:pPr>
              <w:pStyle w:val="43"/>
              <w:autoSpaceDE/>
              <w:autoSpaceDN/>
              <w:spacing w:line="400" w:lineRule="exact"/>
              <w:ind w:left="110" w:leftChars="50" w:firstLine="422"/>
              <w:rPr>
                <w:rFonts w:ascii="Times New Roman" w:hAnsi="Times New Roman" w:cs="Times New Roman"/>
                <w:b/>
                <w:bCs/>
                <w:color w:val="auto"/>
                <w:sz w:val="21"/>
                <w:szCs w:val="21"/>
                <w:lang w:bidi="ar-SA"/>
              </w:rPr>
            </w:pPr>
            <w:r>
              <w:rPr>
                <w:rFonts w:hint="eastAsia" w:ascii="Times New Roman" w:hAnsi="Times New Roman" w:cs="Times New Roman"/>
                <w:b/>
                <w:bCs/>
                <w:color w:val="auto"/>
                <w:sz w:val="21"/>
                <w:szCs w:val="21"/>
                <w:lang w:bidi="ar-SA"/>
              </w:rPr>
              <w:t>5、电磁辐射</w:t>
            </w:r>
          </w:p>
          <w:p>
            <w:pPr>
              <w:pStyle w:val="43"/>
              <w:autoSpaceDE/>
              <w:autoSpaceDN/>
              <w:spacing w:line="400" w:lineRule="exact"/>
              <w:ind w:left="110" w:leftChars="50" w:firstLine="420"/>
              <w:rPr>
                <w:rFonts w:ascii="Times New Roman" w:hAnsi="Times New Roman" w:cs="Times New Roman"/>
                <w:color w:val="auto"/>
                <w:sz w:val="21"/>
                <w:szCs w:val="21"/>
                <w:lang w:bidi="ar-SA"/>
              </w:rPr>
            </w:pPr>
            <w:r>
              <w:rPr>
                <w:rFonts w:hint="eastAsia" w:ascii="Times New Roman" w:hAnsi="Times New Roman" w:cs="Times New Roman"/>
                <w:color w:val="auto"/>
                <w:sz w:val="21"/>
                <w:szCs w:val="21"/>
                <w:lang w:bidi="ar-SA"/>
              </w:rPr>
              <w:t>本项目不属于新建或改建、扩建广播电台、差转台、电视塔台、卫星地球上行站、雷达等电磁辐射类项目，不涉及项目电磁辐射现状监测。</w:t>
            </w:r>
          </w:p>
          <w:p>
            <w:pPr>
              <w:pStyle w:val="43"/>
              <w:autoSpaceDE/>
              <w:autoSpaceDN/>
              <w:spacing w:line="400" w:lineRule="exact"/>
              <w:ind w:left="110" w:leftChars="50" w:firstLine="422"/>
              <w:rPr>
                <w:rFonts w:ascii="Times New Roman" w:hAnsi="Times New Roman" w:cs="Times New Roman"/>
                <w:b/>
                <w:bCs/>
                <w:color w:val="auto"/>
                <w:sz w:val="21"/>
                <w:szCs w:val="21"/>
                <w:lang w:bidi="ar-SA"/>
              </w:rPr>
            </w:pPr>
            <w:r>
              <w:rPr>
                <w:rFonts w:hint="eastAsia" w:ascii="Times New Roman" w:hAnsi="Times New Roman" w:cs="Times New Roman"/>
                <w:b/>
                <w:bCs/>
                <w:color w:val="auto"/>
                <w:sz w:val="21"/>
                <w:szCs w:val="21"/>
                <w:lang w:bidi="ar-SA"/>
              </w:rPr>
              <w:t>6、地下水、土壤环境</w:t>
            </w:r>
          </w:p>
          <w:p>
            <w:pPr>
              <w:pStyle w:val="43"/>
              <w:autoSpaceDE/>
              <w:autoSpaceDN/>
              <w:spacing w:line="400" w:lineRule="exact"/>
              <w:ind w:left="110" w:leftChars="50" w:firstLine="420"/>
              <w:rPr>
                <w:rFonts w:ascii="Times New Roman" w:hAnsi="Times New Roman" w:cs="Times New Roman"/>
                <w:b/>
                <w:bCs/>
                <w:color w:val="auto"/>
                <w:sz w:val="21"/>
                <w:szCs w:val="21"/>
              </w:rPr>
            </w:pPr>
            <w:r>
              <w:rPr>
                <w:rFonts w:hint="eastAsia" w:ascii="Times New Roman" w:hAnsi="Times New Roman" w:cs="Times New Roman"/>
                <w:color w:val="auto"/>
                <w:sz w:val="21"/>
                <w:szCs w:val="21"/>
                <w:lang w:bidi="ar-SA"/>
              </w:rPr>
              <w:t>采取环评要求防渗措施后，正常情况下不存在地下水、土壤环境污染途径，不涉及项目地下水、土壤环境现状监测。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48" w:hRule="atLeast"/>
        </w:trPr>
        <w:tc>
          <w:tcPr>
            <w:tcW w:w="390"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保</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护</w:t>
            </w:r>
          </w:p>
          <w:p>
            <w:pPr>
              <w:pStyle w:val="52"/>
              <w:jc w:val="center"/>
              <w:rPr>
                <w:rFonts w:ascii="Times New Roman" w:hAnsi="Times New Roman" w:cs="Times New Roman"/>
                <w:b/>
                <w:bCs/>
                <w:color w:val="auto"/>
                <w:sz w:val="21"/>
                <w:lang w:val="en-US"/>
              </w:rPr>
            </w:pPr>
            <w:r>
              <w:rPr>
                <w:rFonts w:ascii="Times New Roman" w:hAnsi="Times New Roman" w:cs="Times New Roman"/>
                <w:b/>
                <w:bCs/>
                <w:color w:val="auto"/>
                <w:sz w:val="21"/>
              </w:rPr>
              <w:t>目</w:t>
            </w:r>
          </w:p>
          <w:p>
            <w:pPr>
              <w:pStyle w:val="52"/>
              <w:jc w:val="center"/>
              <w:rPr>
                <w:rFonts w:ascii="Times New Roman" w:hAnsi="Times New Roman" w:cs="Times New Roman"/>
                <w:color w:val="auto"/>
                <w:sz w:val="21"/>
              </w:rPr>
            </w:pPr>
            <w:r>
              <w:rPr>
                <w:rFonts w:ascii="Times New Roman" w:hAnsi="Times New Roman" w:cs="Times New Roman"/>
                <w:b/>
                <w:bCs/>
                <w:color w:val="auto"/>
                <w:sz w:val="21"/>
              </w:rPr>
              <w:t>标</w:t>
            </w:r>
          </w:p>
        </w:tc>
        <w:tc>
          <w:tcPr>
            <w:tcW w:w="9150" w:type="dxa"/>
            <w:tcBorders>
              <w:top w:val="single" w:color="000000" w:sz="4" w:space="0"/>
              <w:left w:val="single" w:color="000000" w:sz="4" w:space="0"/>
              <w:bottom w:val="single" w:color="000000" w:sz="4" w:space="0"/>
            </w:tcBorders>
            <w:vAlign w:val="center"/>
          </w:tcPr>
          <w:p>
            <w:pPr>
              <w:autoSpaceDE/>
              <w:autoSpaceDN/>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根据该项目周围环境状况，确定该项目的主要环境保护目标为附近的</w:t>
            </w:r>
            <w:r>
              <w:rPr>
                <w:rFonts w:hint="eastAsia" w:ascii="Times New Roman" w:hAnsi="Times New Roman" w:cs="Times New Roman"/>
                <w:color w:val="auto"/>
                <w:sz w:val="21"/>
                <w:szCs w:val="21"/>
                <w:lang w:val="en-US"/>
              </w:rPr>
              <w:t>村庄、魏大馆排水渠</w:t>
            </w:r>
            <w:r>
              <w:rPr>
                <w:rFonts w:ascii="Times New Roman" w:hAnsi="Times New Roman" w:cs="Times New Roman"/>
                <w:color w:val="auto"/>
                <w:sz w:val="21"/>
                <w:szCs w:val="21"/>
                <w:lang w:val="en-US"/>
              </w:rPr>
              <w:t>，详情见下表。</w:t>
            </w:r>
          </w:p>
          <w:p>
            <w:pPr>
              <w:autoSpaceDE/>
              <w:autoSpaceDN/>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hint="eastAsia" w:ascii="Times New Roman" w:hAnsi="Times New Roman" w:cs="Times New Roman"/>
                <w:b/>
                <w:bCs/>
                <w:color w:val="auto"/>
                <w:sz w:val="21"/>
                <w:szCs w:val="21"/>
                <w:lang w:val="en-US"/>
              </w:rPr>
              <w:t xml:space="preserve">3.3 </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环境保护目标一览表</w:t>
            </w:r>
          </w:p>
          <w:tbl>
            <w:tblPr>
              <w:tblStyle w:val="3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932"/>
              <w:gridCol w:w="770"/>
              <w:gridCol w:w="975"/>
              <w:gridCol w:w="720"/>
              <w:gridCol w:w="1020"/>
              <w:gridCol w:w="705"/>
              <w:gridCol w:w="630"/>
              <w:gridCol w:w="750"/>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54"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w:t>
                  </w:r>
                </w:p>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要素</w:t>
                  </w:r>
                </w:p>
              </w:tc>
              <w:tc>
                <w:tcPr>
                  <w:tcW w:w="932"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保护对象</w:t>
                  </w:r>
                </w:p>
              </w:tc>
              <w:tc>
                <w:tcPr>
                  <w:tcW w:w="1745" w:type="dxa"/>
                  <w:gridSpan w:val="2"/>
                  <w:vAlign w:val="center"/>
                </w:tcPr>
                <w:p>
                  <w:pPr>
                    <w:autoSpaceDE/>
                    <w:autoSpaceDN/>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坐标/m</w:t>
                  </w:r>
                </w:p>
              </w:tc>
              <w:tc>
                <w:tcPr>
                  <w:tcW w:w="720"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保护</w:t>
                  </w:r>
                </w:p>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对象</w:t>
                  </w:r>
                </w:p>
              </w:tc>
              <w:tc>
                <w:tcPr>
                  <w:tcW w:w="1020"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保护内容</w:t>
                  </w:r>
                </w:p>
              </w:tc>
              <w:tc>
                <w:tcPr>
                  <w:tcW w:w="705"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w:t>
                  </w:r>
                </w:p>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功能区</w:t>
                  </w:r>
                </w:p>
              </w:tc>
              <w:tc>
                <w:tcPr>
                  <w:tcW w:w="630"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相对</w:t>
                  </w:r>
                </w:p>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方位</w:t>
                  </w:r>
                </w:p>
              </w:tc>
              <w:tc>
                <w:tcPr>
                  <w:tcW w:w="750"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距离</w:t>
                  </w:r>
                </w:p>
                <w:p>
                  <w:pPr>
                    <w:autoSpaceDE/>
                    <w:autoSpaceDN/>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(m)</w:t>
                  </w:r>
                </w:p>
              </w:tc>
              <w:tc>
                <w:tcPr>
                  <w:tcW w:w="1711" w:type="dxa"/>
                  <w:vMerge w:val="restart"/>
                  <w:vAlign w:val="center"/>
                </w:tcPr>
                <w:p>
                  <w:pPr>
                    <w:autoSpaceDE/>
                    <w:autoSpaceDN/>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554" w:type="dxa"/>
                  <w:vMerge w:val="continue"/>
                  <w:vAlign w:val="center"/>
                </w:tcPr>
                <w:p>
                  <w:pPr>
                    <w:autoSpaceDE/>
                    <w:autoSpaceDN/>
                    <w:snapToGrid w:val="0"/>
                    <w:ind w:left="-110" w:leftChars="-50" w:right="-110" w:rightChars="-50"/>
                    <w:jc w:val="center"/>
                    <w:rPr>
                      <w:rFonts w:ascii="Times New Roman" w:hAnsi="Times New Roman" w:cs="Times New Roman"/>
                      <w:color w:val="auto"/>
                    </w:rPr>
                  </w:pPr>
                </w:p>
              </w:tc>
              <w:tc>
                <w:tcPr>
                  <w:tcW w:w="932" w:type="dxa"/>
                  <w:vMerge w:val="continue"/>
                  <w:vAlign w:val="center"/>
                </w:tcPr>
                <w:p>
                  <w:pPr>
                    <w:autoSpaceDE/>
                    <w:autoSpaceDN/>
                    <w:snapToGrid w:val="0"/>
                    <w:ind w:left="-110" w:leftChars="-50" w:right="-110" w:rightChars="-50"/>
                    <w:jc w:val="center"/>
                    <w:rPr>
                      <w:rFonts w:ascii="Times New Roman" w:hAnsi="Times New Roman" w:cs="Times New Roman"/>
                      <w:color w:val="auto"/>
                    </w:rPr>
                  </w:pPr>
                </w:p>
              </w:tc>
              <w:tc>
                <w:tcPr>
                  <w:tcW w:w="770" w:type="dxa"/>
                  <w:vAlign w:val="center"/>
                </w:tcPr>
                <w:p>
                  <w:pPr>
                    <w:autoSpaceDE/>
                    <w:autoSpaceDN/>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纬度</w:t>
                  </w:r>
                </w:p>
              </w:tc>
              <w:tc>
                <w:tcPr>
                  <w:tcW w:w="975" w:type="dxa"/>
                  <w:vAlign w:val="center"/>
                </w:tcPr>
                <w:p>
                  <w:pPr>
                    <w:autoSpaceDE/>
                    <w:autoSpaceDN/>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经度</w:t>
                  </w:r>
                </w:p>
              </w:tc>
              <w:tc>
                <w:tcPr>
                  <w:tcW w:w="720"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1020"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705"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630"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750"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c>
                <w:tcPr>
                  <w:tcW w:w="1711" w:type="dxa"/>
                  <w:vMerge w:val="continue"/>
                  <w:vAlign w:val="center"/>
                </w:tcPr>
                <w:p>
                  <w:pPr>
                    <w:autoSpaceDE/>
                    <w:autoSpaceDN/>
                    <w:snapToGrid w:val="0"/>
                    <w:ind w:left="-110" w:leftChars="-50" w:right="-110" w:rightChars="-50"/>
                    <w:jc w:val="center"/>
                    <w:rPr>
                      <w:rFonts w:ascii="Times New Roman" w:hAnsi="Times New Roman" w:cs="Times New Roman"/>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54" w:type="dxa"/>
                  <w:vAlign w:val="center"/>
                </w:tcPr>
                <w:p>
                  <w:pPr>
                    <w:autoSpaceDE/>
                    <w:autoSpaceDN/>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环境</w:t>
                  </w:r>
                </w:p>
                <w:p>
                  <w:pPr>
                    <w:autoSpaceDE/>
                    <w:autoSpaceDN/>
                    <w:snapToGrid w:val="0"/>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空气</w:t>
                  </w:r>
                </w:p>
              </w:tc>
              <w:tc>
                <w:tcPr>
                  <w:tcW w:w="932" w:type="dxa"/>
                  <w:vAlign w:val="center"/>
                </w:tcPr>
                <w:p>
                  <w:pPr>
                    <w:pStyle w:val="24"/>
                    <w:rPr>
                      <w:rFonts w:ascii="Times New Roman" w:hAnsi="Times New Roman" w:cs="Times New Roman"/>
                      <w:color w:val="auto"/>
                      <w:sz w:val="21"/>
                    </w:rPr>
                  </w:pPr>
                  <w:r>
                    <w:rPr>
                      <w:rFonts w:hint="eastAsia" w:ascii="Times New Roman" w:hAnsi="Times New Roman"/>
                      <w:color w:val="auto"/>
                      <w:lang w:val="en-US"/>
                    </w:rPr>
                    <w:t>王庄</w:t>
                  </w:r>
                  <w:r>
                    <w:rPr>
                      <w:rFonts w:hint="eastAsia" w:ascii="Times New Roman" w:hAnsi="Times New Roman"/>
                      <w:color w:val="auto"/>
                    </w:rPr>
                    <w:t>村</w:t>
                  </w:r>
                </w:p>
              </w:tc>
              <w:tc>
                <w:tcPr>
                  <w:tcW w:w="770"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36°18′34.610"</w:t>
                  </w:r>
                </w:p>
              </w:tc>
              <w:tc>
                <w:tcPr>
                  <w:tcW w:w="975"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114°55′44.726″</w:t>
                  </w:r>
                </w:p>
              </w:tc>
              <w:tc>
                <w:tcPr>
                  <w:tcW w:w="720"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村民</w:t>
                  </w:r>
                </w:p>
              </w:tc>
              <w:tc>
                <w:tcPr>
                  <w:tcW w:w="1020" w:type="dxa"/>
                  <w:vAlign w:val="center"/>
                </w:tcPr>
                <w:p>
                  <w:pPr>
                    <w:autoSpaceDE/>
                    <w:autoSpaceDN/>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村庄</w:t>
                  </w:r>
                </w:p>
              </w:tc>
              <w:tc>
                <w:tcPr>
                  <w:tcW w:w="705"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二类区</w:t>
                  </w:r>
                </w:p>
              </w:tc>
              <w:tc>
                <w:tcPr>
                  <w:tcW w:w="630"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南</w:t>
                  </w:r>
                </w:p>
              </w:tc>
              <w:tc>
                <w:tcPr>
                  <w:tcW w:w="750"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233</w:t>
                  </w:r>
                </w:p>
              </w:tc>
              <w:tc>
                <w:tcPr>
                  <w:tcW w:w="1711" w:type="dxa"/>
                  <w:vAlign w:val="center"/>
                </w:tcPr>
                <w:p>
                  <w:pPr>
                    <w:wordWrap w:val="0"/>
                    <w:autoSpaceDE/>
                    <w:autoSpaceDN/>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《环境空气质量标准》(GB3095-2012)及修改单二级标准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54" w:type="dxa"/>
                  <w:vAlign w:val="center"/>
                </w:tcPr>
                <w:p>
                  <w:pPr>
                    <w:autoSpaceDE/>
                    <w:autoSpaceDN/>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地表水环境</w:t>
                  </w:r>
                </w:p>
              </w:tc>
              <w:tc>
                <w:tcPr>
                  <w:tcW w:w="932" w:type="dxa"/>
                  <w:vAlign w:val="center"/>
                </w:tcPr>
                <w:p>
                  <w:pPr>
                    <w:autoSpaceDE/>
                    <w:autoSpaceDN/>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bidi="ar-SA"/>
                    </w:rPr>
                    <w:t>魏大馆渠</w:t>
                  </w:r>
                </w:p>
              </w:tc>
              <w:tc>
                <w:tcPr>
                  <w:tcW w:w="770"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36°18′55.698″</w:t>
                  </w:r>
                </w:p>
              </w:tc>
              <w:tc>
                <w:tcPr>
                  <w:tcW w:w="975" w:type="dxa"/>
                  <w:vAlign w:val="center"/>
                </w:tcPr>
                <w:p>
                  <w:pPr>
                    <w:autoSpaceDE/>
                    <w:autoSpaceDN/>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114°55′40.516″</w:t>
                  </w:r>
                </w:p>
              </w:tc>
              <w:tc>
                <w:tcPr>
                  <w:tcW w:w="2445" w:type="dxa"/>
                  <w:gridSpan w:val="3"/>
                  <w:vAlign w:val="center"/>
                </w:tcPr>
                <w:p>
                  <w:pPr>
                    <w:autoSpaceDE/>
                    <w:autoSpaceDN/>
                    <w:snapToGrid w:val="0"/>
                    <w:jc w:val="center"/>
                    <w:rPr>
                      <w:color w:val="auto"/>
                      <w:sz w:val="21"/>
                      <w:szCs w:val="21"/>
                      <w:lang w:val="en-US"/>
                    </w:rPr>
                  </w:pPr>
                  <w:r>
                    <w:rPr>
                      <w:rFonts w:ascii="Times New Roman" w:hAnsi="Times New Roman" w:cs="Times New Roman"/>
                      <w:color w:val="auto"/>
                      <w:sz w:val="21"/>
                      <w:szCs w:val="21"/>
                      <w:lang w:val="en-US"/>
                    </w:rPr>
                    <w:t>Ⅳ类</w:t>
                  </w:r>
                </w:p>
              </w:tc>
              <w:tc>
                <w:tcPr>
                  <w:tcW w:w="630"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北</w:t>
                  </w:r>
                </w:p>
              </w:tc>
              <w:tc>
                <w:tcPr>
                  <w:tcW w:w="750"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12</w:t>
                  </w:r>
                </w:p>
              </w:tc>
              <w:tc>
                <w:tcPr>
                  <w:tcW w:w="1711" w:type="dxa"/>
                  <w:vAlign w:val="center"/>
                </w:tcPr>
                <w:p>
                  <w:pPr>
                    <w:wordWrap w:val="0"/>
                    <w:autoSpaceDE/>
                    <w:autoSpaceDN/>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color w:val="auto"/>
                    </w:rPr>
                    <w:fldChar w:fldCharType="begin"/>
                  </w:r>
                  <w:r>
                    <w:rPr>
                      <w:color w:val="auto"/>
                    </w:rPr>
                    <w:instrText xml:space="preserve"> HYPERLINK "https://www.mee.gov.cn/ywgz/fgbz/bz/bzwb/shjbh/shjzlbz/200206/W020061027509896672057.pdf" \t "https://www.mee.gov.cn/ywgz/fgbz/bz/bzwb/shjbh/shjzlbz/200206/_self" </w:instrText>
                  </w:r>
                  <w:r>
                    <w:rPr>
                      <w:color w:val="auto"/>
                    </w:rPr>
                    <w:fldChar w:fldCharType="separate"/>
                  </w:r>
                  <w:r>
                    <w:rPr>
                      <w:rFonts w:hint="eastAsia" w:ascii="Times New Roman" w:hAnsi="Times New Roman" w:cs="Times New Roman"/>
                      <w:color w:val="auto"/>
                      <w:sz w:val="21"/>
                      <w:szCs w:val="21"/>
                    </w:rPr>
                    <w:t>地表水环境质量标准</w:t>
                  </w:r>
                  <w:r>
                    <w:rPr>
                      <w:rFonts w:hint="eastAsia" w:ascii="Times New Roman" w:hAnsi="Times New Roman" w:cs="Times New Roman"/>
                      <w:color w:val="auto"/>
                      <w:sz w:val="21"/>
                      <w:szCs w:val="21"/>
                    </w:rPr>
                    <w:fldChar w:fldCharType="end"/>
                  </w:r>
                  <w:r>
                    <w:rPr>
                      <w:rFonts w:hint="eastAsia" w:ascii="Times New Roman" w:hAnsi="Times New Roman" w:cs="Times New Roman"/>
                      <w:color w:val="auto"/>
                      <w:sz w:val="21"/>
                      <w:szCs w:val="21"/>
                    </w:rPr>
                    <w:t>》（GB 3838-2002 ）</w:t>
                  </w:r>
                  <w:r>
                    <w:rPr>
                      <w:rFonts w:hint="eastAsia"/>
                      <w:color w:val="auto"/>
                      <w:sz w:val="21"/>
                      <w:szCs w:val="21"/>
                      <w:lang w:val="en-US"/>
                    </w:rPr>
                    <w:t>Ⅳ类标准</w:t>
                  </w:r>
                </w:p>
              </w:tc>
            </w:tr>
          </w:tbl>
          <w:p>
            <w:pPr>
              <w:autoSpaceDE/>
              <w:autoSpaceDN/>
              <w:spacing w:line="400" w:lineRule="exact"/>
              <w:ind w:left="110" w:leftChars="50" w:right="110" w:rightChars="50" w:firstLine="420" w:firstLineChars="200"/>
              <w:jc w:val="both"/>
              <w:rPr>
                <w:rFonts w:ascii="Times New Roman" w:hAnsi="Times New Roman" w:cs="Times New Roman"/>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6" w:hRule="atLeast"/>
        </w:trPr>
        <w:tc>
          <w:tcPr>
            <w:tcW w:w="390" w:type="dxa"/>
            <w:tcBorders>
              <w:top w:val="single" w:color="000000" w:sz="4" w:space="0"/>
              <w:bottom w:val="single" w:color="000000" w:sz="4" w:space="0"/>
              <w:right w:val="single" w:color="000000" w:sz="4" w:space="0"/>
            </w:tcBorders>
            <w:vAlign w:val="center"/>
          </w:tcPr>
          <w:p>
            <w:pPr>
              <w:pStyle w:val="52"/>
              <w:jc w:val="center"/>
              <w:rPr>
                <w:rFonts w:ascii="Times New Roman" w:hAnsi="Times New Roman" w:cs="Times New Roman"/>
                <w:b/>
                <w:bCs/>
                <w:color w:val="auto"/>
                <w:sz w:val="20"/>
              </w:rPr>
            </w:pP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污</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染</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物</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排</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放</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控</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制</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标</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准</w:t>
            </w:r>
          </w:p>
        </w:tc>
        <w:tc>
          <w:tcPr>
            <w:tcW w:w="9150" w:type="dxa"/>
            <w:tcBorders>
              <w:top w:val="single" w:color="000000" w:sz="4" w:space="0"/>
              <w:left w:val="single" w:color="000000" w:sz="4" w:space="0"/>
              <w:bottom w:val="single" w:color="000000" w:sz="4" w:space="0"/>
            </w:tcBorders>
            <w:vAlign w:val="center"/>
          </w:tcPr>
          <w:p>
            <w:pPr>
              <w:overflowPunct w:val="0"/>
              <w:adjustRightInd w:val="0"/>
              <w:spacing w:line="360" w:lineRule="auto"/>
              <w:ind w:left="110" w:leftChars="50" w:right="110" w:rightChars="5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1、</w:t>
            </w:r>
            <w:r>
              <w:rPr>
                <w:rFonts w:hint="eastAsia" w:ascii="Times New Roman" w:hAnsi="Times New Roman" w:cs="Times New Roman"/>
                <w:b/>
                <w:bCs/>
                <w:color w:val="auto"/>
                <w:sz w:val="21"/>
                <w:szCs w:val="21"/>
                <w:lang w:val="en-US"/>
              </w:rPr>
              <w:t>粉料仓废气、骨料配料废气、计量、搅拌废气</w:t>
            </w:r>
            <w:r>
              <w:rPr>
                <w:rFonts w:ascii="Times New Roman" w:hAnsi="Times New Roman" w:cs="Times New Roman"/>
                <w:color w:val="auto"/>
                <w:sz w:val="21"/>
                <w:szCs w:val="21"/>
              </w:rPr>
              <w:t>执行《水泥工业大气污染物超低排放标准》（DB13/2167-2020）表1散装水泥中转站及水泥制品生产中（水泥仓及其他通风生产设备）标准要求，即：排放浓度≤10mg/m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lang w:val="en-US"/>
              </w:rPr>
              <w:t>；</w:t>
            </w:r>
          </w:p>
          <w:p>
            <w:pPr>
              <w:overflowPunct w:val="0"/>
              <w:adjustRightInd w:val="0"/>
              <w:spacing w:line="360" w:lineRule="auto"/>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厂界无组织废气</w:t>
            </w:r>
            <w:r>
              <w:rPr>
                <w:rFonts w:hint="eastAsia" w:ascii="Times New Roman" w:hAnsi="Times New Roman" w:cs="Times New Roman"/>
                <w:color w:val="auto"/>
                <w:sz w:val="21"/>
                <w:szCs w:val="21"/>
                <w:lang w:val="en-US"/>
              </w:rPr>
              <w:t>执行《水泥工业大气污染物超低排放标准》（DB13/2167-2020）表2大气污染物无组织排放监控点与参考点总悬浮颗粒物1h浓度值的差值要求，即：颗粒物≤0.5mg/m</w:t>
            </w:r>
            <w:r>
              <w:rPr>
                <w:rFonts w:hint="eastAsia" w:ascii="Times New Roman" w:hAnsi="Times New Roman" w:cs="Times New Roman"/>
                <w:color w:val="auto"/>
                <w:sz w:val="21"/>
                <w:szCs w:val="21"/>
                <w:vertAlign w:val="superscript"/>
                <w:lang w:val="en-US"/>
              </w:rPr>
              <w:t>3</w:t>
            </w:r>
            <w:r>
              <w:rPr>
                <w:rFonts w:hint="eastAsia" w:ascii="Times New Roman" w:hAnsi="Times New Roman" w:cs="Times New Roman"/>
                <w:color w:val="auto"/>
                <w:sz w:val="21"/>
                <w:szCs w:val="21"/>
                <w:lang w:val="en-US"/>
              </w:rPr>
              <w:t>。</w:t>
            </w:r>
          </w:p>
          <w:p>
            <w:pPr>
              <w:overflowPunct w:val="0"/>
              <w:adjustRightInd w:val="0"/>
              <w:spacing w:line="360" w:lineRule="auto"/>
              <w:ind w:left="110" w:leftChars="50" w:right="110" w:rightChars="50" w:firstLine="421" w:firstLineChars="200"/>
              <w:jc w:val="both"/>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lang w:val="en-US"/>
              </w:rPr>
              <w:t>、厂界噪声</w:t>
            </w:r>
            <w:r>
              <w:rPr>
                <w:rFonts w:ascii="Times New Roman" w:hAnsi="Times New Roman" w:cs="Times New Roman"/>
                <w:color w:val="auto"/>
                <w:sz w:val="21"/>
                <w:szCs w:val="21"/>
                <w:lang w:val="en-US"/>
              </w:rPr>
              <w:t>排放执行《工业企业厂界环境噪声排放标准》（GB12348-2008）</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类标准，即昼间6</w:t>
            </w:r>
            <w:r>
              <w:rPr>
                <w:rFonts w:hint="eastAsia" w:ascii="Times New Roman" w:hAnsi="Times New Roman" w:cs="Times New Roman"/>
                <w:color w:val="auto"/>
                <w:sz w:val="21"/>
                <w:szCs w:val="21"/>
                <w:lang w:val="en-US"/>
              </w:rPr>
              <w:t>0</w:t>
            </w:r>
            <w:r>
              <w:rPr>
                <w:rFonts w:ascii="Times New Roman" w:hAnsi="Times New Roman" w:cs="Times New Roman"/>
                <w:color w:val="auto"/>
                <w:sz w:val="21"/>
                <w:szCs w:val="21"/>
                <w:lang w:val="en-US"/>
              </w:rPr>
              <w:t>dB（A）、夜间5</w:t>
            </w:r>
            <w:r>
              <w:rPr>
                <w:rFonts w:hint="eastAsia" w:ascii="Times New Roman" w:hAnsi="Times New Roman" w:cs="Times New Roman"/>
                <w:color w:val="auto"/>
                <w:sz w:val="21"/>
                <w:szCs w:val="21"/>
                <w:lang w:val="en-US"/>
              </w:rPr>
              <w:t>0</w:t>
            </w:r>
            <w:r>
              <w:rPr>
                <w:rFonts w:ascii="Times New Roman" w:hAnsi="Times New Roman" w:cs="Times New Roman"/>
                <w:color w:val="auto"/>
                <w:sz w:val="21"/>
                <w:szCs w:val="21"/>
                <w:lang w:val="en-US"/>
              </w:rPr>
              <w:t>dB（A）</w:t>
            </w:r>
            <w:r>
              <w:rPr>
                <w:rFonts w:ascii="Times New Roman" w:hAnsi="Times New Roman" w:cs="Times New Roman"/>
                <w:color w:val="auto"/>
                <w:sz w:val="21"/>
                <w:szCs w:val="21"/>
              </w:rPr>
              <w:t>；</w:t>
            </w:r>
          </w:p>
          <w:p>
            <w:pPr>
              <w:pStyle w:val="52"/>
              <w:spacing w:line="360" w:lineRule="auto"/>
              <w:ind w:left="110" w:leftChars="50" w:right="110" w:rightChars="50" w:firstLine="421" w:firstLineChars="200"/>
              <w:jc w:val="both"/>
              <w:rPr>
                <w:rFonts w:ascii="Times New Roman" w:hAnsi="Times New Roman" w:cs="Times New Roman"/>
                <w:color w:val="auto"/>
                <w:sz w:val="21"/>
                <w:szCs w:val="21"/>
                <w:lang w:val="en-US"/>
              </w:rPr>
            </w:pPr>
            <w:r>
              <w:rPr>
                <w:rFonts w:hint="eastAsia" w:ascii="Times New Roman" w:hAnsi="Times New Roman" w:cs="Times New Roman"/>
                <w:b/>
                <w:bCs/>
                <w:color w:val="auto"/>
                <w:sz w:val="21"/>
                <w:szCs w:val="21"/>
                <w:lang w:val="en-US"/>
              </w:rPr>
              <w:t>4</w:t>
            </w:r>
            <w:r>
              <w:rPr>
                <w:rFonts w:ascii="Times New Roman" w:hAnsi="Times New Roman" w:cs="Times New Roman"/>
                <w:b/>
                <w:bCs/>
                <w:color w:val="auto"/>
                <w:sz w:val="21"/>
                <w:szCs w:val="21"/>
                <w:lang w:val="en-US"/>
              </w:rPr>
              <w:t>、</w:t>
            </w:r>
            <w:r>
              <w:rPr>
                <w:rFonts w:ascii="Times New Roman" w:hAnsi="Times New Roman" w:cs="Times New Roman"/>
                <w:b/>
                <w:bCs/>
                <w:color w:val="auto"/>
                <w:sz w:val="21"/>
                <w:szCs w:val="21"/>
              </w:rPr>
              <w:t>固体废物</w:t>
            </w:r>
            <w:r>
              <w:rPr>
                <w:rFonts w:hint="eastAsia" w:ascii="Times New Roman" w:hAnsi="Times New Roman" w:cs="Times New Roman"/>
                <w:b/>
                <w:bCs/>
                <w:color w:val="auto"/>
                <w:sz w:val="21"/>
                <w:szCs w:val="21"/>
              </w:rPr>
              <w:t>：</w:t>
            </w:r>
            <w:r>
              <w:rPr>
                <w:rFonts w:ascii="Times New Roman" w:hAnsi="Times New Roman" w:cs="Times New Roman"/>
                <w:color w:val="auto"/>
                <w:kern w:val="2"/>
                <w:sz w:val="21"/>
                <w:szCs w:val="21"/>
                <w:lang w:val="en-US" w:bidi="ar-SA"/>
              </w:rPr>
              <w:t>一般工业固体废物贮存处置执行《一般工业固体废物贮存和填埋污染控制标准》(GB 18599-2020)要求。危险废物贮存处置执行</w:t>
            </w:r>
            <w:r>
              <w:rPr>
                <w:rFonts w:hint="eastAsia" w:ascii="Times New Roman" w:hAnsi="Times New Roman" w:cs="Times New Roman"/>
                <w:color w:val="auto"/>
                <w:kern w:val="2"/>
                <w:sz w:val="21"/>
                <w:szCs w:val="21"/>
                <w:lang w:val="en-US" w:bidi="ar-SA"/>
              </w:rPr>
              <w:t>《危险废物贮存污染控制标准》（GB 18597—2023）</w:t>
            </w:r>
            <w:r>
              <w:rPr>
                <w:rFonts w:ascii="Times New Roman" w:hAnsi="Times New Roman" w:cs="Times New Roman"/>
                <w:color w:val="auto"/>
                <w:kern w:val="2"/>
                <w:sz w:val="21"/>
                <w:szCs w:val="21"/>
                <w:lang w:val="en-US" w:bidi="ar-SA"/>
              </w:rPr>
              <w:t>要求</w:t>
            </w:r>
            <w:r>
              <w:rPr>
                <w:rFonts w:ascii="Times New Roman" w:hAnsi="Times New Roman" w:cs="Times New Roman"/>
                <w:color w:val="auto"/>
                <w:sz w:val="21"/>
                <w:szCs w:val="21"/>
              </w:rPr>
              <w:t>。</w:t>
            </w:r>
          </w:p>
          <w:p>
            <w:pPr>
              <w:spacing w:line="400" w:lineRule="exact"/>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3.</w:t>
            </w:r>
            <w:r>
              <w:rPr>
                <w:rFonts w:hint="eastAsia" w:ascii="Times New Roman" w:hAnsi="Times New Roman" w:cs="Times New Roman"/>
                <w:b/>
                <w:color w:val="auto"/>
                <w:sz w:val="21"/>
                <w:szCs w:val="21"/>
                <w:lang w:val="en-US"/>
              </w:rPr>
              <w:t>4</w:t>
            </w:r>
            <w:r>
              <w:rPr>
                <w:rFonts w:ascii="Times New Roman" w:hAnsi="Times New Roman" w:cs="Times New Roman"/>
                <w:b/>
                <w:color w:val="auto"/>
                <w:sz w:val="21"/>
                <w:szCs w:val="21"/>
              </w:rPr>
              <w:t xml:space="preserve">   污染源污染物排放标准及限值</w:t>
            </w:r>
          </w:p>
          <w:tbl>
            <w:tblPr>
              <w:tblStyle w:val="3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34"/>
              <w:gridCol w:w="960"/>
              <w:gridCol w:w="1282"/>
              <w:gridCol w:w="8"/>
              <w:gridCol w:w="570"/>
              <w:gridCol w:w="705"/>
              <w:gridCol w:w="30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2034" w:type="dxa"/>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污染源</w:t>
                  </w:r>
                </w:p>
              </w:tc>
              <w:tc>
                <w:tcPr>
                  <w:tcW w:w="960" w:type="dxa"/>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w:t>
                  </w:r>
                </w:p>
              </w:tc>
              <w:tc>
                <w:tcPr>
                  <w:tcW w:w="1860" w:type="dxa"/>
                  <w:gridSpan w:val="3"/>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标准值</w:t>
                  </w:r>
                </w:p>
              </w:tc>
              <w:tc>
                <w:tcPr>
                  <w:tcW w:w="705" w:type="dxa"/>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单位</w:t>
                  </w:r>
                </w:p>
              </w:tc>
              <w:tc>
                <w:tcPr>
                  <w:tcW w:w="3094" w:type="dxa"/>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2034"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1号生产线搅拌-2号生产线搅拌工序废气治理设施出口（DA002）</w:t>
                  </w:r>
                </w:p>
              </w:tc>
              <w:tc>
                <w:tcPr>
                  <w:tcW w:w="960"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颗粒物</w:t>
                  </w:r>
                </w:p>
              </w:tc>
              <w:tc>
                <w:tcPr>
                  <w:tcW w:w="1290" w:type="dxa"/>
                  <w:gridSpan w:val="2"/>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排气筒排放浓度</w:t>
                  </w:r>
                </w:p>
              </w:tc>
              <w:tc>
                <w:tcPr>
                  <w:tcW w:w="570"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10</w:t>
                  </w:r>
                </w:p>
              </w:tc>
              <w:tc>
                <w:tcPr>
                  <w:tcW w:w="705"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mg/m</w:t>
                  </w:r>
                  <w:r>
                    <w:rPr>
                      <w:rFonts w:ascii="Times New Roman" w:hAnsi="Times New Roman" w:cs="Times New Roman"/>
                      <w:color w:val="auto"/>
                      <w:sz w:val="21"/>
                      <w:szCs w:val="21"/>
                      <w:vertAlign w:val="superscript"/>
                    </w:rPr>
                    <w:t>3</w:t>
                  </w:r>
                </w:p>
              </w:tc>
              <w:tc>
                <w:tcPr>
                  <w:tcW w:w="3094" w:type="dxa"/>
                  <w:vMerge w:val="restart"/>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《水泥工业大气污染物超低排放标准》（DB13/2167-2020）表1散装水泥中转站及水泥制品生产中（水泥仓及其他通风生产设备）标准要求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2034" w:type="dxa"/>
                  <w:vAlign w:val="center"/>
                </w:tcPr>
                <w:p>
                  <w:pPr>
                    <w:widowControl/>
                    <w:jc w:val="center"/>
                    <w:textAlignment w:val="center"/>
                    <w:rPr>
                      <w:rFonts w:ascii="Times New Roman" w:hAnsi="Times New Roman" w:cs="Times New Roman"/>
                      <w:color w:val="auto"/>
                      <w:kern w:val="21"/>
                      <w:sz w:val="21"/>
                      <w:szCs w:val="21"/>
                      <w:lang w:val="en-US" w:bidi="ar-SA"/>
                    </w:rPr>
                  </w:pPr>
                  <w:r>
                    <w:rPr>
                      <w:rFonts w:ascii="Times New Roman" w:hAnsi="Times New Roman" w:cs="Times New Roman"/>
                      <w:color w:val="auto"/>
                      <w:kern w:val="2"/>
                      <w:sz w:val="21"/>
                      <w:szCs w:val="21"/>
                      <w:lang w:val="en-US" w:bidi="ar-SA"/>
                    </w:rPr>
                    <w:t>2号生产线粉料仓工序废气治理设施出口（</w:t>
                  </w:r>
                  <w:r>
                    <w:rPr>
                      <w:rFonts w:ascii="Times New Roman" w:hAnsi="Times New Roman" w:cs="Times New Roman"/>
                      <w:color w:val="auto"/>
                      <w:sz w:val="21"/>
                      <w:szCs w:val="21"/>
                      <w:lang w:val="en-US" w:bidi="ar"/>
                    </w:rPr>
                    <w:t>DA003</w:t>
                  </w:r>
                  <w:r>
                    <w:rPr>
                      <w:rFonts w:ascii="Times New Roman" w:hAnsi="Times New Roman" w:cs="Times New Roman"/>
                      <w:color w:val="auto"/>
                      <w:kern w:val="2"/>
                      <w:sz w:val="21"/>
                      <w:szCs w:val="21"/>
                      <w:lang w:val="en-US" w:bidi="ar-SA"/>
                    </w:rPr>
                    <w:t>）</w:t>
                  </w:r>
                </w:p>
              </w:tc>
              <w:tc>
                <w:tcPr>
                  <w:tcW w:w="960"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颗粒物</w:t>
                  </w:r>
                </w:p>
              </w:tc>
              <w:tc>
                <w:tcPr>
                  <w:tcW w:w="1290" w:type="dxa"/>
                  <w:gridSpan w:val="2"/>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排气筒排放浓度</w:t>
                  </w:r>
                </w:p>
              </w:tc>
              <w:tc>
                <w:tcPr>
                  <w:tcW w:w="570" w:type="dxa"/>
                  <w:vAlign w:val="center"/>
                </w:tcPr>
                <w:p>
                  <w:pPr>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10</w:t>
                  </w:r>
                </w:p>
              </w:tc>
              <w:tc>
                <w:tcPr>
                  <w:tcW w:w="705"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mg/m</w:t>
                  </w:r>
                  <w:r>
                    <w:rPr>
                      <w:rFonts w:ascii="Times New Roman" w:hAnsi="Times New Roman" w:cs="Times New Roman"/>
                      <w:color w:val="auto"/>
                      <w:sz w:val="21"/>
                      <w:szCs w:val="21"/>
                      <w:vertAlign w:val="superscript"/>
                    </w:rPr>
                    <w:t>3</w:t>
                  </w:r>
                </w:p>
              </w:tc>
              <w:tc>
                <w:tcPr>
                  <w:tcW w:w="3094" w:type="dxa"/>
                  <w:vMerge w:val="continue"/>
                  <w:vAlign w:val="center"/>
                </w:tcPr>
                <w:p>
                  <w:pPr>
                    <w:jc w:val="center"/>
                    <w:rPr>
                      <w:rFonts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2034"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1号-2号生产线</w:t>
                  </w:r>
                  <w:r>
                    <w:rPr>
                      <w:rFonts w:hint="eastAsia" w:ascii="Times New Roman" w:hAnsi="Times New Roman" w:cs="Times New Roman"/>
                      <w:color w:val="auto"/>
                      <w:sz w:val="21"/>
                      <w:szCs w:val="21"/>
                      <w:lang w:val="en-US" w:eastAsia="zh-CN" w:bidi="ar"/>
                    </w:rPr>
                    <w:t>骨料</w:t>
                  </w:r>
                  <w:r>
                    <w:rPr>
                      <w:rFonts w:ascii="Times New Roman" w:hAnsi="Times New Roman" w:cs="Times New Roman"/>
                      <w:color w:val="auto"/>
                      <w:sz w:val="21"/>
                      <w:szCs w:val="21"/>
                      <w:lang w:val="en-US" w:bidi="ar"/>
                    </w:rPr>
                    <w:t>仓工序废气治理设施出口</w:t>
                  </w:r>
                  <w:r>
                    <w:rPr>
                      <w:rFonts w:ascii="Times New Roman" w:hAnsi="Times New Roman" w:cs="Times New Roman"/>
                      <w:color w:val="auto"/>
                      <w:kern w:val="2"/>
                      <w:sz w:val="21"/>
                      <w:szCs w:val="21"/>
                      <w:lang w:val="en-US" w:bidi="ar-SA"/>
                    </w:rPr>
                    <w:t>（</w:t>
                  </w:r>
                  <w:r>
                    <w:rPr>
                      <w:rFonts w:ascii="Times New Roman" w:hAnsi="Times New Roman" w:cs="Times New Roman"/>
                      <w:color w:val="auto"/>
                      <w:sz w:val="21"/>
                      <w:szCs w:val="21"/>
                      <w:lang w:val="en-US" w:bidi="ar"/>
                    </w:rPr>
                    <w:t>DA004</w:t>
                  </w:r>
                  <w:r>
                    <w:rPr>
                      <w:rFonts w:ascii="Times New Roman" w:hAnsi="Times New Roman" w:cs="Times New Roman"/>
                      <w:color w:val="auto"/>
                      <w:kern w:val="2"/>
                      <w:sz w:val="21"/>
                      <w:szCs w:val="21"/>
                      <w:lang w:val="en-US" w:bidi="ar-SA"/>
                    </w:rPr>
                    <w:t>）</w:t>
                  </w:r>
                </w:p>
              </w:tc>
              <w:tc>
                <w:tcPr>
                  <w:tcW w:w="960"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颗粒物</w:t>
                  </w:r>
                </w:p>
              </w:tc>
              <w:tc>
                <w:tcPr>
                  <w:tcW w:w="1290" w:type="dxa"/>
                  <w:gridSpan w:val="2"/>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排气筒排放浓度</w:t>
                  </w:r>
                </w:p>
              </w:tc>
              <w:tc>
                <w:tcPr>
                  <w:tcW w:w="570" w:type="dxa"/>
                  <w:vAlign w:val="center"/>
                </w:tcPr>
                <w:p>
                  <w:pPr>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10</w:t>
                  </w:r>
                </w:p>
              </w:tc>
              <w:tc>
                <w:tcPr>
                  <w:tcW w:w="705"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mg/m</w:t>
                  </w:r>
                  <w:r>
                    <w:rPr>
                      <w:rFonts w:ascii="Times New Roman" w:hAnsi="Times New Roman" w:cs="Times New Roman"/>
                      <w:color w:val="auto"/>
                      <w:sz w:val="21"/>
                      <w:szCs w:val="21"/>
                      <w:vertAlign w:val="superscript"/>
                    </w:rPr>
                    <w:t>3</w:t>
                  </w:r>
                </w:p>
              </w:tc>
              <w:tc>
                <w:tcPr>
                  <w:tcW w:w="3094" w:type="dxa"/>
                  <w:vMerge w:val="continue"/>
                  <w:vAlign w:val="center"/>
                </w:tcPr>
                <w:p>
                  <w:pPr>
                    <w:jc w:val="center"/>
                    <w:rPr>
                      <w:rFonts w:ascii="Times New Roman" w:hAnsi="Times New Roman"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9" w:hRule="atLeast"/>
                <w:jc w:val="center"/>
              </w:trPr>
              <w:tc>
                <w:tcPr>
                  <w:tcW w:w="2034" w:type="dxa"/>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厂界无组织废气</w:t>
                  </w:r>
                </w:p>
              </w:tc>
              <w:tc>
                <w:tcPr>
                  <w:tcW w:w="960"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颗粒物</w:t>
                  </w:r>
                </w:p>
              </w:tc>
              <w:tc>
                <w:tcPr>
                  <w:tcW w:w="1290" w:type="dxa"/>
                  <w:gridSpan w:val="2"/>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厂界浓度</w:t>
                  </w:r>
                </w:p>
              </w:tc>
              <w:tc>
                <w:tcPr>
                  <w:tcW w:w="570" w:type="dxa"/>
                  <w:vAlign w:val="center"/>
                </w:tcPr>
                <w:p>
                  <w:pPr>
                    <w:jc w:val="center"/>
                    <w:rPr>
                      <w:rFonts w:ascii="Times New Roman" w:hAnsi="Times New Roman" w:cs="Times New Roman"/>
                      <w:color w:val="auto"/>
                      <w:sz w:val="21"/>
                      <w:szCs w:val="21"/>
                      <w:lang w:val="en-US"/>
                    </w:rPr>
                  </w:pPr>
                  <w:r>
                    <w:rPr>
                      <w:rFonts w:hint="eastAsia" w:ascii="Times New Roman" w:hAnsi="Times New Roman" w:cs="Times New Roman"/>
                      <w:bCs/>
                      <w:color w:val="auto"/>
                      <w:sz w:val="21"/>
                      <w:szCs w:val="21"/>
                      <w:lang w:val="en-US"/>
                    </w:rPr>
                    <w:t>0.5</w:t>
                  </w:r>
                </w:p>
              </w:tc>
              <w:tc>
                <w:tcPr>
                  <w:tcW w:w="705"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mg/m</w:t>
                  </w:r>
                  <w:r>
                    <w:rPr>
                      <w:rFonts w:ascii="Times New Roman" w:hAnsi="Times New Roman" w:cs="Times New Roman"/>
                      <w:color w:val="auto"/>
                      <w:sz w:val="21"/>
                      <w:szCs w:val="21"/>
                      <w:vertAlign w:val="superscript"/>
                    </w:rPr>
                    <w:t>3</w:t>
                  </w:r>
                </w:p>
              </w:tc>
              <w:tc>
                <w:tcPr>
                  <w:tcW w:w="3094"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《水泥工业大气污染物超低排放标准》（DB13/2167-2020）表2大气污染物无组织排放监控点与参考点总悬浮颗粒物1h浓度值的差值要求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034" w:type="dxa"/>
                  <w:vMerge w:val="restart"/>
                  <w:vAlign w:val="center"/>
                </w:tcPr>
                <w:p>
                  <w:pPr>
                    <w:autoSpaceDE/>
                    <w:autoSpaceDN/>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lang w:val="en-US" w:bidi="ar-SA"/>
                    </w:rPr>
                    <w:t>噪声</w:t>
                  </w:r>
                </w:p>
              </w:tc>
              <w:tc>
                <w:tcPr>
                  <w:tcW w:w="960" w:type="dxa"/>
                  <w:vMerge w:val="restart"/>
                  <w:vAlign w:val="center"/>
                </w:tcPr>
                <w:p>
                  <w:pPr>
                    <w:autoSpaceDE/>
                    <w:autoSpaceDN/>
                    <w:adjustRightInd w:val="0"/>
                    <w:snapToGrid w:val="0"/>
                    <w:jc w:val="center"/>
                    <w:rPr>
                      <w:rFonts w:ascii="Times New Roman" w:hAnsi="Times New Roman" w:cs="Times New Roman"/>
                      <w:color w:val="auto"/>
                      <w:kern w:val="24"/>
                      <w:sz w:val="21"/>
                      <w:szCs w:val="21"/>
                    </w:rPr>
                  </w:pPr>
                  <w:r>
                    <w:rPr>
                      <w:rFonts w:ascii="Times New Roman" w:hAnsi="Times New Roman" w:cs="Times New Roman"/>
                      <w:color w:val="auto"/>
                      <w:sz w:val="21"/>
                      <w:szCs w:val="21"/>
                    </w:rPr>
                    <w:t>等效连续声级Leq</w:t>
                  </w:r>
                </w:p>
              </w:tc>
              <w:tc>
                <w:tcPr>
                  <w:tcW w:w="1282" w:type="dxa"/>
                  <w:vMerge w:val="restart"/>
                  <w:vAlign w:val="center"/>
                </w:tcPr>
                <w:p>
                  <w:pPr>
                    <w:autoSpaceDE/>
                    <w:autoSpaceDN/>
                    <w:jc w:val="center"/>
                    <w:rPr>
                      <w:rFonts w:ascii="Times New Roman" w:hAnsi="Times New Roman" w:cs="Times New Roman"/>
                      <w:color w:val="auto"/>
                      <w:kern w:val="24"/>
                      <w:sz w:val="21"/>
                      <w:szCs w:val="21"/>
                    </w:rPr>
                  </w:pPr>
                  <w:r>
                    <w:rPr>
                      <w:rFonts w:hint="eastAsia" w:ascii="Times New Roman" w:hAnsi="Times New Roman" w:cs="Times New Roman"/>
                      <w:color w:val="auto"/>
                      <w:kern w:val="24"/>
                      <w:sz w:val="21"/>
                      <w:szCs w:val="21"/>
                      <w:lang w:val="en-US" w:bidi="ar-SA"/>
                    </w:rPr>
                    <w:t>厂界</w:t>
                  </w:r>
                </w:p>
              </w:tc>
              <w:tc>
                <w:tcPr>
                  <w:tcW w:w="1283" w:type="dxa"/>
                  <w:gridSpan w:val="3"/>
                  <w:vAlign w:val="center"/>
                </w:tcPr>
                <w:p>
                  <w:pPr>
                    <w:autoSpaceDE/>
                    <w:autoSpaceDN/>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lang w:val="en-US" w:bidi="ar-SA"/>
                    </w:rPr>
                    <w:t>昼间6</w:t>
                  </w:r>
                  <w:r>
                    <w:rPr>
                      <w:rFonts w:hint="eastAsia" w:ascii="Times New Roman" w:hAnsi="Times New Roman" w:cs="Times New Roman"/>
                      <w:color w:val="auto"/>
                      <w:kern w:val="24"/>
                      <w:sz w:val="21"/>
                      <w:szCs w:val="21"/>
                      <w:lang w:val="en-US" w:bidi="ar-SA"/>
                    </w:rPr>
                    <w:t>0</w:t>
                  </w:r>
                  <w:r>
                    <w:rPr>
                      <w:rFonts w:ascii="Times New Roman" w:hAnsi="Times New Roman" w:cs="Times New Roman"/>
                      <w:color w:val="auto"/>
                      <w:kern w:val="24"/>
                      <w:sz w:val="21"/>
                      <w:szCs w:val="21"/>
                      <w:lang w:val="en-US" w:bidi="ar-SA"/>
                    </w:rPr>
                    <w:t>dB（A）</w:t>
                  </w:r>
                </w:p>
              </w:tc>
              <w:tc>
                <w:tcPr>
                  <w:tcW w:w="3094" w:type="dxa"/>
                  <w:vMerge w:val="restart"/>
                  <w:vAlign w:val="center"/>
                </w:tcPr>
                <w:p>
                  <w:pPr>
                    <w:autoSpaceDE/>
                    <w:autoSpaceDN/>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lang w:val="en-US" w:bidi="ar-SA"/>
                    </w:rPr>
                    <w:t>《工业企业厂界环境噪声排放标准》(GB12348-2008)</w:t>
                  </w:r>
                  <w:r>
                    <w:rPr>
                      <w:rFonts w:hint="eastAsia" w:ascii="Times New Roman" w:hAnsi="Times New Roman" w:cs="Times New Roman"/>
                      <w:color w:val="auto"/>
                      <w:kern w:val="24"/>
                      <w:sz w:val="21"/>
                      <w:szCs w:val="21"/>
                      <w:lang w:val="en-US" w:bidi="ar-SA"/>
                    </w:rPr>
                    <w:t>2</w:t>
                  </w:r>
                  <w:r>
                    <w:rPr>
                      <w:rFonts w:ascii="Times New Roman" w:hAnsi="Times New Roman"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2034" w:type="dxa"/>
                  <w:vMerge w:val="continue"/>
                  <w:vAlign w:val="center"/>
                </w:tcPr>
                <w:p>
                  <w:pPr>
                    <w:autoSpaceDE/>
                    <w:autoSpaceDN/>
                    <w:jc w:val="center"/>
                    <w:rPr>
                      <w:rFonts w:ascii="Times New Roman" w:hAnsi="Times New Roman" w:cs="Times New Roman"/>
                      <w:color w:val="auto"/>
                      <w:kern w:val="24"/>
                      <w:sz w:val="21"/>
                      <w:szCs w:val="21"/>
                    </w:rPr>
                  </w:pPr>
                </w:p>
              </w:tc>
              <w:tc>
                <w:tcPr>
                  <w:tcW w:w="960" w:type="dxa"/>
                  <w:vMerge w:val="continue"/>
                  <w:vAlign w:val="center"/>
                </w:tcPr>
                <w:p>
                  <w:pPr>
                    <w:autoSpaceDE/>
                    <w:autoSpaceDN/>
                    <w:adjustRightInd w:val="0"/>
                    <w:snapToGrid w:val="0"/>
                    <w:jc w:val="center"/>
                    <w:rPr>
                      <w:rFonts w:ascii="Times New Roman" w:hAnsi="Times New Roman" w:cs="Times New Roman"/>
                      <w:color w:val="auto"/>
                      <w:kern w:val="24"/>
                      <w:sz w:val="21"/>
                      <w:szCs w:val="21"/>
                    </w:rPr>
                  </w:pPr>
                </w:p>
              </w:tc>
              <w:tc>
                <w:tcPr>
                  <w:tcW w:w="1282" w:type="dxa"/>
                  <w:vMerge w:val="continue"/>
                  <w:vAlign w:val="center"/>
                </w:tcPr>
                <w:p>
                  <w:pPr>
                    <w:autoSpaceDE/>
                    <w:autoSpaceDN/>
                    <w:adjustRightInd w:val="0"/>
                    <w:snapToGrid w:val="0"/>
                    <w:jc w:val="center"/>
                    <w:rPr>
                      <w:rFonts w:ascii="Times New Roman" w:hAnsi="Times New Roman" w:cs="Times New Roman"/>
                      <w:color w:val="auto"/>
                      <w:kern w:val="24"/>
                      <w:sz w:val="21"/>
                      <w:szCs w:val="21"/>
                    </w:rPr>
                  </w:pPr>
                </w:p>
              </w:tc>
              <w:tc>
                <w:tcPr>
                  <w:tcW w:w="1283" w:type="dxa"/>
                  <w:gridSpan w:val="3"/>
                  <w:vAlign w:val="center"/>
                </w:tcPr>
                <w:p>
                  <w:pPr>
                    <w:autoSpaceDE/>
                    <w:autoSpaceDN/>
                    <w:adjustRightInd w:val="0"/>
                    <w:snapToGrid w:val="0"/>
                    <w:jc w:val="center"/>
                    <w:rPr>
                      <w:rFonts w:ascii="Times New Roman" w:hAnsi="Times New Roman" w:cs="Times New Roman"/>
                      <w:color w:val="auto"/>
                      <w:kern w:val="24"/>
                      <w:sz w:val="21"/>
                      <w:szCs w:val="21"/>
                    </w:rPr>
                  </w:pPr>
                  <w:r>
                    <w:rPr>
                      <w:rFonts w:hint="eastAsia" w:ascii="Times New Roman" w:hAnsi="Times New Roman" w:cs="Times New Roman"/>
                      <w:color w:val="auto"/>
                      <w:sz w:val="21"/>
                      <w:szCs w:val="21"/>
                    </w:rPr>
                    <w:t>夜</w:t>
                  </w:r>
                  <w:r>
                    <w:rPr>
                      <w:rFonts w:ascii="Times New Roman" w:hAnsi="Times New Roman" w:cs="Times New Roman"/>
                      <w:color w:val="auto"/>
                      <w:sz w:val="21"/>
                      <w:szCs w:val="21"/>
                    </w:rPr>
                    <w:t>间</w:t>
                  </w:r>
                  <w:r>
                    <w:rPr>
                      <w:rFonts w:hint="eastAsia" w:ascii="Times New Roman" w:hAnsi="Times New Roman" w:cs="Times New Roman"/>
                      <w:color w:val="auto"/>
                      <w:sz w:val="21"/>
                      <w:szCs w:val="21"/>
                      <w:lang w:val="en-US"/>
                    </w:rPr>
                    <w:t>50</w:t>
                  </w:r>
                  <w:r>
                    <w:rPr>
                      <w:rFonts w:ascii="Times New Roman" w:hAnsi="Times New Roman" w:cs="Times New Roman"/>
                      <w:color w:val="auto"/>
                      <w:sz w:val="21"/>
                      <w:szCs w:val="21"/>
                    </w:rPr>
                    <w:t>dB</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A</w:t>
                  </w:r>
                  <w:r>
                    <w:rPr>
                      <w:rFonts w:hint="eastAsia" w:ascii="Times New Roman" w:hAnsi="Times New Roman" w:cs="Times New Roman"/>
                      <w:color w:val="auto"/>
                      <w:sz w:val="21"/>
                      <w:szCs w:val="21"/>
                    </w:rPr>
                    <w:t>）</w:t>
                  </w:r>
                </w:p>
              </w:tc>
              <w:tc>
                <w:tcPr>
                  <w:tcW w:w="3094" w:type="dxa"/>
                  <w:vMerge w:val="continue"/>
                  <w:vAlign w:val="center"/>
                </w:tcPr>
                <w:p>
                  <w:pPr>
                    <w:autoSpaceDE/>
                    <w:autoSpaceDN/>
                    <w:adjustRightInd w:val="0"/>
                    <w:snapToGrid w:val="0"/>
                    <w:jc w:val="center"/>
                    <w:rPr>
                      <w:rFonts w:ascii="Times New Roman" w:hAnsi="Times New Roman" w:cs="Times New Roman"/>
                      <w:color w:val="auto"/>
                      <w:kern w:val="24"/>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8" w:hRule="atLeast"/>
                <w:jc w:val="center"/>
              </w:trPr>
              <w:tc>
                <w:tcPr>
                  <w:tcW w:w="2034" w:type="dxa"/>
                  <w:vMerge w:val="restart"/>
                  <w:vAlign w:val="center"/>
                </w:tcPr>
                <w:p>
                  <w:pPr>
                    <w:jc w:val="center"/>
                    <w:rPr>
                      <w:rFonts w:ascii="Times New Roman" w:hAnsi="Times New Roman" w:cs="Times New Roman"/>
                      <w:color w:val="auto"/>
                      <w:kern w:val="24"/>
                      <w:sz w:val="21"/>
                      <w:szCs w:val="21"/>
                    </w:rPr>
                  </w:pPr>
                  <w:r>
                    <w:rPr>
                      <w:rFonts w:ascii="Times New Roman" w:hAnsi="Times New Roman" w:cs="Times New Roman"/>
                      <w:color w:val="auto"/>
                      <w:kern w:val="24"/>
                      <w:sz w:val="21"/>
                      <w:szCs w:val="21"/>
                    </w:rPr>
                    <w:t>固废</w:t>
                  </w:r>
                </w:p>
              </w:tc>
              <w:tc>
                <w:tcPr>
                  <w:tcW w:w="960" w:type="dxa"/>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一般工</w:t>
                  </w:r>
                </w:p>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业固体</w:t>
                  </w:r>
                </w:p>
                <w:p>
                  <w:pPr>
                    <w:ind w:left="-110" w:leftChars="-50" w:right="-110" w:rightChars="-50"/>
                    <w:jc w:val="center"/>
                    <w:rPr>
                      <w:rFonts w:ascii="Times New Roman" w:hAnsi="Times New Roman" w:cs="Times New Roman"/>
                      <w:color w:val="auto"/>
                      <w:kern w:val="24"/>
                      <w:sz w:val="21"/>
                      <w:szCs w:val="21"/>
                    </w:rPr>
                  </w:pPr>
                  <w:r>
                    <w:rPr>
                      <w:rFonts w:ascii="Times New Roman" w:hAnsi="Times New Roman" w:cs="Times New Roman"/>
                      <w:color w:val="auto"/>
                      <w:kern w:val="2"/>
                      <w:sz w:val="21"/>
                      <w:szCs w:val="21"/>
                      <w:lang w:val="en-US" w:bidi="ar-SA"/>
                    </w:rPr>
                    <w:t>废物</w:t>
                  </w:r>
                </w:p>
              </w:tc>
              <w:tc>
                <w:tcPr>
                  <w:tcW w:w="2565" w:type="dxa"/>
                  <w:gridSpan w:val="4"/>
                  <w:vAlign w:val="center"/>
                </w:tcPr>
                <w:p>
                  <w:pPr>
                    <w:ind w:left="-110" w:leftChars="-50" w:right="-110" w:rightChars="-50"/>
                    <w:jc w:val="center"/>
                    <w:rPr>
                      <w:rFonts w:ascii="Times New Roman" w:hAnsi="Times New Roman" w:cs="Times New Roman"/>
                      <w:color w:val="auto"/>
                      <w:kern w:val="24"/>
                      <w:sz w:val="21"/>
                      <w:szCs w:val="21"/>
                      <w:lang w:val="en-US"/>
                    </w:rPr>
                  </w:pPr>
                  <w:r>
                    <w:rPr>
                      <w:rFonts w:ascii="Times New Roman" w:hAnsi="Times New Roman" w:cs="Times New Roman"/>
                      <w:color w:val="auto"/>
                      <w:kern w:val="24"/>
                      <w:sz w:val="21"/>
                      <w:szCs w:val="21"/>
                      <w:lang w:val="en-US"/>
                    </w:rPr>
                    <w:t>/</w:t>
                  </w:r>
                </w:p>
              </w:tc>
              <w:tc>
                <w:tcPr>
                  <w:tcW w:w="3094" w:type="dxa"/>
                  <w:vAlign w:val="center"/>
                </w:tcPr>
                <w:p>
                  <w:pPr>
                    <w:ind w:left="-110" w:leftChars="-50" w:right="-110" w:rightChars="-50"/>
                    <w:jc w:val="center"/>
                    <w:rPr>
                      <w:rFonts w:ascii="Times New Roman" w:hAnsi="Times New Roman" w:cs="Times New Roman"/>
                      <w:color w:val="auto"/>
                      <w:kern w:val="24"/>
                      <w:sz w:val="21"/>
                      <w:szCs w:val="21"/>
                    </w:rPr>
                  </w:pPr>
                  <w:r>
                    <w:rPr>
                      <w:rFonts w:ascii="Times New Roman" w:hAnsi="Times New Roman" w:cs="Times New Roman"/>
                      <w:color w:val="auto"/>
                      <w:kern w:val="2"/>
                      <w:sz w:val="21"/>
                      <w:szCs w:val="21"/>
                      <w:lang w:val="en-US" w:bidi="ar-SA"/>
                    </w:rPr>
                    <w:t>《一般工业固体废物贮存和填埋污染控制标准》(GB 18599-2020)中</w:t>
                  </w:r>
                  <w:r>
                    <w:rPr>
                      <w:rFonts w:hint="eastAsia" w:ascii="Times New Roman" w:hAnsi="Times New Roman" w:cs="Times New Roman"/>
                      <w:color w:val="auto"/>
                      <w:kern w:val="2"/>
                      <w:sz w:val="21"/>
                      <w:szCs w:val="21"/>
                      <w:lang w:val="en-US" w:bidi="ar-SA"/>
                    </w:rPr>
                    <w:t>的</w:t>
                  </w:r>
                  <w:r>
                    <w:rPr>
                      <w:rFonts w:ascii="Times New Roman" w:hAnsi="Times New Roman" w:cs="Times New Roman"/>
                      <w:color w:val="auto"/>
                      <w:kern w:val="2"/>
                      <w:sz w:val="21"/>
                      <w:szCs w:val="21"/>
                      <w:lang w:val="en-US" w:bidi="ar-SA"/>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8" w:hRule="atLeast"/>
                <w:jc w:val="center"/>
              </w:trPr>
              <w:tc>
                <w:tcPr>
                  <w:tcW w:w="2034" w:type="dxa"/>
                  <w:vMerge w:val="continue"/>
                  <w:vAlign w:val="center"/>
                </w:tcPr>
                <w:p>
                  <w:pPr>
                    <w:jc w:val="center"/>
                    <w:rPr>
                      <w:color w:val="auto"/>
                    </w:rPr>
                  </w:pPr>
                </w:p>
              </w:tc>
              <w:tc>
                <w:tcPr>
                  <w:tcW w:w="960" w:type="dxa"/>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危险</w:t>
                  </w:r>
                </w:p>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废物</w:t>
                  </w:r>
                </w:p>
              </w:tc>
              <w:tc>
                <w:tcPr>
                  <w:tcW w:w="2565" w:type="dxa"/>
                  <w:gridSpan w:val="4"/>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4"/>
                      <w:sz w:val="21"/>
                      <w:szCs w:val="21"/>
                      <w:lang w:val="en-US"/>
                    </w:rPr>
                    <w:t>/</w:t>
                  </w:r>
                </w:p>
              </w:tc>
              <w:tc>
                <w:tcPr>
                  <w:tcW w:w="3094" w:type="dxa"/>
                  <w:vAlign w:val="center"/>
                </w:tcPr>
                <w:p>
                  <w:pPr>
                    <w:ind w:left="-110" w:leftChars="-50" w:right="-110" w:rightChars="-50"/>
                    <w:jc w:val="center"/>
                    <w:rPr>
                      <w:rFonts w:ascii="Times New Roman" w:hAnsi="Times New Roman" w:cs="Times New Roman"/>
                      <w:color w:val="auto"/>
                      <w:kern w:val="2"/>
                      <w:sz w:val="21"/>
                      <w:szCs w:val="21"/>
                      <w:lang w:val="en-US" w:bidi="ar-SA"/>
                    </w:rPr>
                  </w:pPr>
                  <w:r>
                    <w:rPr>
                      <w:rFonts w:hint="eastAsia" w:ascii="Times New Roman" w:hAnsi="Times New Roman" w:cs="Times New Roman"/>
                      <w:color w:val="auto"/>
                      <w:sz w:val="21"/>
                      <w:szCs w:val="21"/>
                      <w:lang w:val="en-US"/>
                    </w:rPr>
                    <w:t xml:space="preserve">《危险废物贮存污染控制标准》（GB 18597—2023） </w:t>
                  </w:r>
                </w:p>
              </w:tc>
            </w:tr>
          </w:tbl>
          <w:p>
            <w:pPr>
              <w:pStyle w:val="52"/>
              <w:spacing w:line="360" w:lineRule="auto"/>
              <w:ind w:right="110" w:rightChars="50"/>
              <w:jc w:val="both"/>
              <w:rPr>
                <w:rFonts w:ascii="Times New Roman" w:hAnsi="Times New Roman" w:cs="Times New Roman"/>
                <w:color w:val="auto"/>
                <w:sz w:val="21"/>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9" w:hRule="atLeast"/>
        </w:trPr>
        <w:tc>
          <w:tcPr>
            <w:tcW w:w="390" w:type="dxa"/>
            <w:tcBorders>
              <w:top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总</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量</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控</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制</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指</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标</w:t>
            </w:r>
          </w:p>
        </w:tc>
        <w:tc>
          <w:tcPr>
            <w:tcW w:w="9150" w:type="dxa"/>
            <w:tcBorders>
              <w:top w:val="single" w:color="000000" w:sz="4" w:space="0"/>
              <w:left w:val="single" w:color="000000" w:sz="4" w:space="0"/>
            </w:tcBorders>
            <w:vAlign w:val="center"/>
          </w:tcPr>
          <w:p>
            <w:pPr>
              <w:pStyle w:val="52"/>
              <w:tabs>
                <w:tab w:val="left" w:pos="269"/>
                <w:tab w:val="right" w:pos="4433"/>
              </w:tabs>
              <w:spacing w:line="360" w:lineRule="auto"/>
              <w:ind w:firstLine="420" w:firstLineChars="200"/>
              <w:jc w:val="both"/>
              <w:rPr>
                <w:rFonts w:ascii="Times New Roman" w:hAnsi="Times New Roman" w:cs="Times New Roman"/>
                <w:bCs/>
                <w:color w:val="auto"/>
                <w:sz w:val="21"/>
                <w:szCs w:val="21"/>
                <w:lang w:val="en-US"/>
              </w:rPr>
            </w:pPr>
            <w:r>
              <w:rPr>
                <w:rFonts w:hint="eastAsia" w:ascii="Times New Roman" w:hAnsi="Times New Roman" w:cs="Times New Roman"/>
                <w:color w:val="auto"/>
                <w:sz w:val="21"/>
                <w:szCs w:val="21"/>
              </w:rPr>
              <w:t>无</w:t>
            </w:r>
          </w:p>
        </w:tc>
      </w:tr>
    </w:tbl>
    <w:p>
      <w:pPr>
        <w:jc w:val="right"/>
        <w:rPr>
          <w:rFonts w:ascii="Times New Roman" w:hAnsi="Times New Roman" w:cs="Times New Roman"/>
          <w:color w:val="auto"/>
          <w:sz w:val="21"/>
        </w:rPr>
        <w:sectPr>
          <w:footerReference r:id="rId7" w:type="default"/>
          <w:footerReference r:id="rId8" w:type="even"/>
          <w:pgSz w:w="11910" w:h="16850"/>
          <w:pgMar w:top="1600" w:right="1320" w:bottom="1565" w:left="1340" w:header="0" w:footer="817" w:gutter="0"/>
          <w:cols w:space="720" w:num="1"/>
        </w:sectPr>
      </w:pPr>
    </w:p>
    <w:p>
      <w:pPr>
        <w:pStyle w:val="2"/>
        <w:rPr>
          <w:rFonts w:ascii="黑体" w:hAnsi="黑体" w:eastAsia="黑体" w:cs="黑体"/>
          <w:color w:val="auto"/>
          <w:sz w:val="30"/>
          <w:szCs w:val="30"/>
        </w:rPr>
      </w:pPr>
      <w:r>
        <w:rPr>
          <w:rFonts w:ascii="黑体" w:hAnsi="黑体" w:eastAsia="黑体" w:cs="黑体"/>
          <w:color w:val="auto"/>
          <w:sz w:val="30"/>
          <w:szCs w:val="30"/>
        </w:rPr>
        <w:t>四、主要环境影响和保护措施</w:t>
      </w:r>
    </w:p>
    <w:tbl>
      <w:tblPr>
        <w:tblStyle w:val="32"/>
        <w:tblW w:w="994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6"/>
        <w:gridCol w:w="94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5" w:hRule="atLeast"/>
          <w:jc w:val="center"/>
        </w:trPr>
        <w:tc>
          <w:tcPr>
            <w:tcW w:w="456" w:type="dxa"/>
            <w:tcBorders>
              <w:bottom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施</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工</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期</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保</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护</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措</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施</w:t>
            </w:r>
          </w:p>
        </w:tc>
        <w:tc>
          <w:tcPr>
            <w:tcW w:w="9485" w:type="dxa"/>
            <w:tcBorders>
              <w:left w:val="single" w:color="000000" w:sz="4" w:space="0"/>
              <w:bottom w:val="single" w:color="000000" w:sz="4" w:space="0"/>
            </w:tcBorders>
            <w:vAlign w:val="center"/>
          </w:tcPr>
          <w:p>
            <w:pPr>
              <w:spacing w:line="400" w:lineRule="exact"/>
              <w:ind w:left="110" w:leftChars="50" w:right="110" w:rightChars="50" w:firstLine="420" w:firstLineChars="200"/>
              <w:jc w:val="both"/>
              <w:outlineLvl w:val="1"/>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本项目经原有预制构件生产线改建而成，施工期主要为基建工程，设备安装调试。其主要影响为施工和运输噪声、施工人员废水、包装废品及生活垃圾等，项目建设方有责任督促施工单位遵守有关的法律、法规和规定，实施文明施工，尽量把施工影响减少到最低、最轻。</w:t>
            </w:r>
          </w:p>
          <w:p>
            <w:pPr>
              <w:spacing w:line="400" w:lineRule="exact"/>
              <w:ind w:left="110" w:leftChars="50" w:right="110" w:rightChars="50" w:firstLine="421" w:firstLineChars="200"/>
              <w:jc w:val="both"/>
              <w:outlineLvl w:val="1"/>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1、施工废水防范措施</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施工期废水主要包括施工人员的生活污水。施工生活污水主要为施工人员的温洗废水，废水产生量钱少，其污染因子主要为 </w:t>
            </w:r>
            <w:r>
              <w:rPr>
                <w:rFonts w:hint="eastAsia" w:ascii="Times New Roman" w:hAnsi="Times New Roman" w:cs="Times New Roman"/>
                <w:color w:val="auto"/>
                <w:sz w:val="21"/>
                <w:szCs w:val="21"/>
                <w:lang w:val="en-US"/>
              </w:rPr>
              <w:t>S</w:t>
            </w:r>
            <w:r>
              <w:rPr>
                <w:rFonts w:ascii="Times New Roman" w:hAnsi="Times New Roman" w:cs="Times New Roman"/>
                <w:color w:val="auto"/>
                <w:sz w:val="21"/>
                <w:szCs w:val="21"/>
                <w:lang w:val="en-US"/>
              </w:rPr>
              <w:t>S、COD，可用于场地喷洒抑生，就地蒸发。</w:t>
            </w:r>
          </w:p>
          <w:p>
            <w:pPr>
              <w:spacing w:line="400" w:lineRule="exact"/>
              <w:ind w:left="110" w:leftChars="50" w:right="110" w:rightChars="50" w:firstLine="421" w:firstLineChars="200"/>
              <w:jc w:val="both"/>
              <w:outlineLvl w:val="1"/>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2、施工噪声防范措施</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施工期噪声主要为设备的安装、调试过程和运输车辆行驶过程产生的噪声，施工声级值在70~7</w:t>
            </w: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lang w:val="en-US"/>
              </w:rPr>
              <w:t>dB(A)。合理安排车辆运输运行时间，厂界噪声能够满足《建筑期施工场界环境噪声排放标准》〔GB12523-2011）排放限值，对周围环境影响较小环境且本项目施工工期较短，噪声影响是哲时的，随着施工的结束而消除。</w:t>
            </w:r>
          </w:p>
          <w:p>
            <w:pPr>
              <w:spacing w:line="400" w:lineRule="exact"/>
              <w:ind w:left="110" w:leftChars="50" w:right="110" w:rightChars="50" w:firstLine="421" w:firstLineChars="200"/>
              <w:jc w:val="both"/>
              <w:outlineLvl w:val="1"/>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lang w:val="en-US"/>
              </w:rPr>
              <w:t>、施工期固废防治措施措</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本项目施工期产生的固体废物主要为建筑垃圾和施工人员产生的生活垃圾。根据《固体废物鉴别标准 通则》(GB34330-2017)</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《国家危险废物名录(2021年版）》、《危险废物鉴别标准 通则》（GB5085.7-2019）及《危险废物鉴别技术规范》（HJ298-2019），施工过程中产生的固体废物均属工类一般固体废物，不属</w:t>
            </w:r>
            <w:r>
              <w:rPr>
                <w:rFonts w:hint="eastAsia" w:ascii="Times New Roman" w:hAnsi="Times New Roman" w:cs="Times New Roman"/>
                <w:color w:val="auto"/>
                <w:sz w:val="21"/>
                <w:szCs w:val="21"/>
                <w:lang w:val="en-US"/>
              </w:rPr>
              <w:t>于</w:t>
            </w:r>
            <w:r>
              <w:rPr>
                <w:rFonts w:ascii="Times New Roman" w:hAnsi="Times New Roman" w:cs="Times New Roman"/>
                <w:color w:val="auto"/>
                <w:sz w:val="21"/>
                <w:szCs w:val="21"/>
                <w:lang w:val="en-US"/>
              </w:rPr>
              <w:t>危险废物，其中建筑垃圾集中收集后送当地城建部门指定地点消纳，生活垃圾送当地环卫部门指定地点处理，且在外运过程中用苫布覆盖，避免沿途遗酒，并按相应部门指定路线行驶。为避免施工期建筑垃圾对周围环境产生不利影响，本评价根据《城市建筑垃圾管理规定》（建设部令第139 号），要求建设单位采取以下防范措施：</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施工单位应指派专人负责施工区建筑垃圾的收集及转运工作，不得随意倾倒、拋撒或者堆放建筑垃圾，不得将建筑垃圾混入生活垃圾，不得擅自设立</w:t>
            </w:r>
            <w:r>
              <w:rPr>
                <w:rFonts w:hint="eastAsia" w:ascii="Times New Roman" w:hAnsi="Times New Roman" w:cs="Times New Roman"/>
                <w:color w:val="auto"/>
                <w:sz w:val="21"/>
                <w:szCs w:val="21"/>
                <w:lang w:val="en-US"/>
              </w:rPr>
              <w:t>弃置场受纳建筑垃圾。</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施工单位应及时清运工程实施过程中产生的建筑垃圾并按照当地人民政府市容环境卫生主管部门的有关规定处置，不得将建筑垃圾交给个人或者未经核准从事建筑垃圾运输的单位运输。</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各类建材的包装箱、袋等应派专人负责收集分类存放，统一运往废品收购站回收利用。</w:t>
            </w:r>
          </w:p>
          <w:p>
            <w:pPr>
              <w:spacing w:line="400" w:lineRule="exact"/>
              <w:ind w:left="110" w:leftChars="50" w:right="110" w:rightChars="50" w:firstLine="420" w:firstLineChars="200"/>
              <w:jc w:val="both"/>
              <w:outlineLvl w:val="1"/>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综上所述，施工期产生的固体废物全部得到托收处置，不会对周围环境产生明显影响。</w:t>
            </w:r>
          </w:p>
          <w:p>
            <w:pPr>
              <w:rPr>
                <w:rFonts w:ascii="Times New Roman" w:hAnsi="Times New Roman" w:cs="Times New Roman"/>
                <w:color w:val="auto"/>
                <w:sz w:val="21"/>
                <w:szCs w:val="21"/>
                <w:lang w:val="en-US"/>
              </w:rPr>
            </w:pPr>
          </w:p>
          <w:p>
            <w:pPr>
              <w:rPr>
                <w:rFonts w:ascii="Times New Roman" w:hAnsi="Times New Roman" w:cs="Times New Roman"/>
                <w:color w:val="auto"/>
                <w:sz w:val="21"/>
                <w:szCs w:val="21"/>
                <w:lang w:val="en-US"/>
              </w:rPr>
            </w:pPr>
          </w:p>
          <w:p>
            <w:pPr>
              <w:rPr>
                <w:color w:val="auto"/>
                <w:lang w:val="en-US"/>
              </w:rPr>
            </w:pPr>
          </w:p>
          <w:p>
            <w:pPr>
              <w:pStyle w:val="43"/>
              <w:ind w:firstLine="560"/>
              <w:rPr>
                <w:color w:val="auto"/>
              </w:rPr>
            </w:pPr>
          </w:p>
          <w:p>
            <w:pPr>
              <w:rPr>
                <w:color w:val="auto"/>
                <w:lang w:val="en-US"/>
              </w:rPr>
            </w:pPr>
          </w:p>
          <w:p>
            <w:pPr>
              <w:rPr>
                <w:color w:val="auto"/>
                <w:lang w:val="en-US"/>
              </w:rPr>
            </w:pPr>
          </w:p>
          <w:p>
            <w:pPr>
              <w:rPr>
                <w:color w:val="auto"/>
                <w:lang w:val="en-US"/>
              </w:rPr>
            </w:pPr>
          </w:p>
          <w:p>
            <w:pPr>
              <w:rPr>
                <w:color w:val="auto"/>
              </w:rPr>
            </w:pPr>
          </w:p>
          <w:p>
            <w:pPr>
              <w:pStyle w:val="5"/>
              <w:spacing w:before="120" w:after="120"/>
              <w:rPr>
                <w:color w:val="auto"/>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456" w:type="dxa"/>
            <w:tcBorders>
              <w:top w:val="single" w:color="000000" w:sz="4" w:space="0"/>
              <w:right w:val="single" w:color="000000" w:sz="4" w:space="0"/>
            </w:tcBorders>
            <w:vAlign w:val="center"/>
          </w:tcPr>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运</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营</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期</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环</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境</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影</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响</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和</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保</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护</w:t>
            </w:r>
          </w:p>
          <w:p>
            <w:pPr>
              <w:pStyle w:val="52"/>
              <w:jc w:val="center"/>
              <w:rPr>
                <w:rFonts w:ascii="Times New Roman" w:hAnsi="Times New Roman" w:cs="Times New Roman"/>
                <w:b/>
                <w:bCs/>
                <w:color w:val="auto"/>
                <w:sz w:val="21"/>
                <w:lang w:val="en-US"/>
              </w:rPr>
            </w:pPr>
            <w:r>
              <w:rPr>
                <w:rFonts w:ascii="Times New Roman" w:hAnsi="Times New Roman" w:cs="Times New Roman"/>
                <w:b/>
                <w:bCs/>
                <w:color w:val="auto"/>
                <w:sz w:val="21"/>
              </w:rPr>
              <w:t>措</w:t>
            </w:r>
          </w:p>
          <w:p>
            <w:pPr>
              <w:pStyle w:val="52"/>
              <w:jc w:val="center"/>
              <w:rPr>
                <w:rFonts w:ascii="Times New Roman" w:hAnsi="Times New Roman" w:cs="Times New Roman"/>
                <w:b/>
                <w:bCs/>
                <w:color w:val="auto"/>
                <w:sz w:val="21"/>
              </w:rPr>
            </w:pPr>
            <w:r>
              <w:rPr>
                <w:rFonts w:ascii="Times New Roman" w:hAnsi="Times New Roman" w:cs="Times New Roman"/>
                <w:b/>
                <w:bCs/>
                <w:color w:val="auto"/>
                <w:sz w:val="21"/>
              </w:rPr>
              <w:t>施</w:t>
            </w:r>
          </w:p>
        </w:tc>
        <w:tc>
          <w:tcPr>
            <w:tcW w:w="9485" w:type="dxa"/>
            <w:tcBorders>
              <w:top w:val="single" w:color="000000" w:sz="4" w:space="0"/>
              <w:left w:val="single" w:color="000000" w:sz="4" w:space="0"/>
            </w:tcBorders>
          </w:tcPr>
          <w:p>
            <w:pPr>
              <w:pStyle w:val="25"/>
              <w:autoSpaceDE/>
              <w:autoSpaceDN/>
              <w:spacing w:line="400" w:lineRule="exact"/>
              <w:ind w:left="550" w:leftChars="25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一、废气</w:t>
            </w:r>
          </w:p>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1、废气排放及治理</w:t>
            </w:r>
          </w:p>
          <w:p>
            <w:pPr>
              <w:pStyle w:val="61"/>
              <w:spacing w:line="400" w:lineRule="exact"/>
              <w:ind w:left="110" w:leftChars="50" w:firstLine="420"/>
              <w:rPr>
                <w:rFonts w:cs="Times New Roman"/>
                <w:color w:val="auto"/>
                <w:kern w:val="0"/>
                <w:sz w:val="21"/>
                <w:szCs w:val="21"/>
                <w:lang w:val="en-US"/>
              </w:rPr>
            </w:pPr>
            <w:r>
              <w:rPr>
                <w:rFonts w:cs="Times New Roman"/>
                <w:color w:val="auto"/>
                <w:kern w:val="0"/>
                <w:sz w:val="21"/>
                <w:szCs w:val="21"/>
                <w:lang w:val="en-US"/>
              </w:rPr>
              <w:t>本项目有组织废气污染源参数见下表。</w:t>
            </w:r>
          </w:p>
          <w:p>
            <w:pPr>
              <w:pStyle w:val="25"/>
              <w:tabs>
                <w:tab w:val="right" w:leader="dot" w:pos="8507"/>
              </w:tabs>
              <w:autoSpaceDE/>
              <w:autoSpaceDN/>
              <w:spacing w:line="48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1</w:t>
            </w:r>
            <w:r>
              <w:rPr>
                <w:rFonts w:ascii="Times New Roman" w:hAnsi="Times New Roman" w:cs="Times New Roman"/>
                <w:b/>
                <w:bCs/>
                <w:color w:val="auto"/>
                <w:kern w:val="2"/>
                <w:sz w:val="21"/>
                <w:szCs w:val="24"/>
                <w:lang w:val="en-US" w:bidi="ar-SA"/>
              </w:rPr>
              <w:t xml:space="preserve">  主要废气污染源参数一览表(点源)</w:t>
            </w:r>
          </w:p>
          <w:tbl>
            <w:tblPr>
              <w:tblStyle w:val="32"/>
              <w:tblW w:w="4910" w:type="pct"/>
              <w:jc w:val="center"/>
              <w:tblLayout w:type="fixed"/>
              <w:tblCellMar>
                <w:top w:w="0" w:type="dxa"/>
                <w:left w:w="108" w:type="dxa"/>
                <w:bottom w:w="0" w:type="dxa"/>
                <w:right w:w="108" w:type="dxa"/>
              </w:tblCellMar>
            </w:tblPr>
            <w:tblGrid>
              <w:gridCol w:w="279"/>
              <w:gridCol w:w="2397"/>
              <w:gridCol w:w="954"/>
              <w:gridCol w:w="1332"/>
              <w:gridCol w:w="1247"/>
              <w:gridCol w:w="954"/>
              <w:gridCol w:w="715"/>
              <w:gridCol w:w="707"/>
              <w:gridCol w:w="715"/>
            </w:tblGrid>
            <w:tr>
              <w:tblPrEx>
                <w:tblCellMar>
                  <w:top w:w="0" w:type="dxa"/>
                  <w:left w:w="108" w:type="dxa"/>
                  <w:bottom w:w="0" w:type="dxa"/>
                  <w:right w:w="108" w:type="dxa"/>
                </w:tblCellMar>
              </w:tblPrEx>
              <w:trPr>
                <w:trHeight w:val="151" w:hRule="atLeast"/>
                <w:jc w:val="center"/>
              </w:trPr>
              <w:tc>
                <w:tcPr>
                  <w:tcW w:w="27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23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污染源名称</w:t>
                  </w: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污染物名称</w:t>
                  </w:r>
                </w:p>
              </w:tc>
              <w:tc>
                <w:tcPr>
                  <w:tcW w:w="2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排气筒底部中心坐标</w:t>
                  </w:r>
                  <w:r>
                    <w:rPr>
                      <w:rStyle w:val="84"/>
                      <w:color w:val="auto"/>
                      <w:sz w:val="21"/>
                      <w:szCs w:val="21"/>
                      <w:lang w:val="en-US" w:bidi="ar"/>
                    </w:rPr>
                    <w:t>( °)</w:t>
                  </w: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排气筒底部海拔高度</w:t>
                  </w:r>
                  <w:r>
                    <w:rPr>
                      <w:rStyle w:val="84"/>
                      <w:color w:val="auto"/>
                      <w:sz w:val="21"/>
                      <w:szCs w:val="21"/>
                      <w:lang w:val="en-US" w:bidi="ar"/>
                    </w:rPr>
                    <w:t>(m)</w:t>
                  </w:r>
                </w:p>
              </w:tc>
              <w:tc>
                <w:tcPr>
                  <w:tcW w:w="2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lang w:val="en-US" w:bidi="ar"/>
                    </w:rPr>
                  </w:pPr>
                  <w:r>
                    <w:rPr>
                      <w:rFonts w:ascii="Times New Roman" w:hAnsi="Times New Roman" w:cs="Times New Roman"/>
                      <w:b/>
                      <w:bCs/>
                      <w:color w:val="auto"/>
                      <w:sz w:val="21"/>
                      <w:szCs w:val="21"/>
                      <w:lang w:val="en-US" w:bidi="ar"/>
                    </w:rPr>
                    <w:t>排气筒参数</w:t>
                  </w:r>
                </w:p>
              </w:tc>
            </w:tr>
            <w:tr>
              <w:tblPrEx>
                <w:tblCellMar>
                  <w:top w:w="0" w:type="dxa"/>
                  <w:left w:w="108" w:type="dxa"/>
                  <w:bottom w:w="0" w:type="dxa"/>
                  <w:right w:w="108" w:type="dxa"/>
                </w:tblCellMar>
              </w:tblPrEx>
              <w:trPr>
                <w:trHeight w:val="380" w:hRule="atLeast"/>
                <w:jc w:val="center"/>
              </w:trPr>
              <w:tc>
                <w:tcPr>
                  <w:tcW w:w="2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2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经度</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纬度</w:t>
                  </w:r>
                </w:p>
              </w:tc>
              <w:tc>
                <w:tcPr>
                  <w:tcW w:w="9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高度</w:t>
                  </w:r>
                </w:p>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(m)</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内径</w:t>
                  </w:r>
                </w:p>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(m)</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温度</w:t>
                  </w:r>
                </w:p>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w:t>
                  </w:r>
                </w:p>
              </w:tc>
            </w:tr>
            <w:tr>
              <w:tblPrEx>
                <w:tblCellMar>
                  <w:top w:w="0" w:type="dxa"/>
                  <w:left w:w="108" w:type="dxa"/>
                  <w:bottom w:w="0" w:type="dxa"/>
                  <w:right w:w="108" w:type="dxa"/>
                </w:tblCellMar>
              </w:tblPrEx>
              <w:trPr>
                <w:trHeight w:val="555" w:hRule="atLeast"/>
                <w:jc w:val="center"/>
              </w:trPr>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1号生产线搅拌-2号生产线搅拌工序废气治理设施出口（DA002）</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颗粒物</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114°55′42.771″</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36°18′53.293″</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50</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18</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0.6</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20</w:t>
                  </w:r>
                </w:p>
              </w:tc>
            </w:tr>
            <w:tr>
              <w:tblPrEx>
                <w:tblCellMar>
                  <w:top w:w="0" w:type="dxa"/>
                  <w:left w:w="108" w:type="dxa"/>
                  <w:bottom w:w="0" w:type="dxa"/>
                  <w:right w:w="108" w:type="dxa"/>
                </w:tblCellMar>
              </w:tblPrEx>
              <w:trPr>
                <w:trHeight w:val="555" w:hRule="atLeast"/>
                <w:jc w:val="center"/>
              </w:trPr>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2号生产线粉料仓工序废气治理设施出口（DA003）</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rPr>
                    <w:t>114°55′42.211″</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w:t>
                  </w:r>
                  <w:r>
                    <w:rPr>
                      <w:rFonts w:ascii="Times New Roman" w:hAnsi="Times New Roman" w:cs="Times New Roman"/>
                      <w:color w:val="auto"/>
                      <w:sz w:val="21"/>
                      <w:szCs w:val="21"/>
                      <w:lang w:val="en-US"/>
                    </w:rPr>
                    <w:t>6°18′53.293″</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50</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28</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0.4</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20</w:t>
                  </w:r>
                </w:p>
              </w:tc>
            </w:tr>
            <w:tr>
              <w:tblPrEx>
                <w:tblCellMar>
                  <w:top w:w="0" w:type="dxa"/>
                  <w:left w:w="108" w:type="dxa"/>
                  <w:bottom w:w="0" w:type="dxa"/>
                  <w:right w:w="108" w:type="dxa"/>
                </w:tblCellMar>
              </w:tblPrEx>
              <w:trPr>
                <w:trHeight w:val="555" w:hRule="atLeast"/>
                <w:jc w:val="center"/>
              </w:trPr>
              <w:tc>
                <w:tcPr>
                  <w:tcW w:w="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color w:val="auto"/>
                      <w:sz w:val="21"/>
                      <w:szCs w:val="21"/>
                      <w:lang w:val="en-US" w:bidi="ar"/>
                    </w:rPr>
                  </w:pPr>
                  <w:r>
                    <w:rPr>
                      <w:rFonts w:hint="eastAsia" w:ascii="Times New Roman" w:hAnsi="Times New Roman" w:cs="Times New Roman"/>
                      <w:color w:val="auto"/>
                      <w:sz w:val="21"/>
                      <w:szCs w:val="21"/>
                      <w:lang w:val="en-US" w:bidi="ar"/>
                    </w:rPr>
                    <w:t>1号-2号生产线</w:t>
                  </w:r>
                  <w:r>
                    <w:rPr>
                      <w:rFonts w:hint="eastAsia" w:ascii="Times New Roman" w:hAnsi="Times New Roman" w:cs="Times New Roman"/>
                      <w:color w:val="auto"/>
                      <w:sz w:val="21"/>
                      <w:szCs w:val="21"/>
                      <w:lang w:val="en-US" w:eastAsia="zh-CN" w:bidi="ar"/>
                    </w:rPr>
                    <w:t>骨料</w:t>
                  </w:r>
                  <w:r>
                    <w:rPr>
                      <w:rFonts w:hint="eastAsia" w:ascii="Times New Roman" w:hAnsi="Times New Roman" w:cs="Times New Roman"/>
                      <w:color w:val="auto"/>
                      <w:sz w:val="21"/>
                      <w:szCs w:val="21"/>
                      <w:lang w:val="en-US" w:bidi="ar"/>
                    </w:rPr>
                    <w:t>仓工序废气治理设施出口（DA004）</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颗粒物</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114°55′42.809″</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36°18′52.115″</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50</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15</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0.6</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20</w:t>
                  </w:r>
                </w:p>
              </w:tc>
            </w:tr>
          </w:tbl>
          <w:p>
            <w:pPr>
              <w:pStyle w:val="25"/>
              <w:tabs>
                <w:tab w:val="left" w:pos="402"/>
              </w:tabs>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color w:val="auto"/>
                <w:sz w:val="21"/>
                <w:szCs w:val="21"/>
              </w:rPr>
              <w:t>（</w:t>
            </w:r>
            <w:r>
              <w:rPr>
                <w:rFonts w:ascii="Times New Roman" w:hAnsi="Times New Roman" w:cs="Times New Roman"/>
                <w:b/>
                <w:color w:val="auto"/>
                <w:sz w:val="21"/>
                <w:szCs w:val="21"/>
                <w:lang w:val="en-US"/>
              </w:rPr>
              <w:t>1</w:t>
            </w:r>
            <w:r>
              <w:rPr>
                <w:rFonts w:ascii="Times New Roman" w:hAnsi="Times New Roman" w:cs="Times New Roman"/>
                <w:b/>
                <w:color w:val="auto"/>
                <w:sz w:val="21"/>
                <w:szCs w:val="21"/>
              </w:rPr>
              <w:t>）</w:t>
            </w:r>
            <w:r>
              <w:rPr>
                <w:rFonts w:ascii="Times New Roman" w:hAnsi="Times New Roman" w:cs="Times New Roman"/>
                <w:b/>
                <w:bCs/>
                <w:color w:val="auto"/>
                <w:sz w:val="21"/>
                <w:szCs w:val="21"/>
                <w:lang w:val="en-US"/>
              </w:rPr>
              <w:t>骨料配料粉尘（G</w:t>
            </w:r>
            <w:r>
              <w:rPr>
                <w:rFonts w:ascii="Times New Roman" w:hAnsi="Times New Roman" w:cs="Times New Roman"/>
                <w:b/>
                <w:bCs/>
                <w:color w:val="auto"/>
                <w:sz w:val="21"/>
                <w:szCs w:val="21"/>
                <w:vertAlign w:val="subscript"/>
                <w:lang w:val="en-US"/>
              </w:rPr>
              <w:t>2</w:t>
            </w:r>
            <w:r>
              <w:rPr>
                <w:rFonts w:ascii="Times New Roman" w:hAnsi="Times New Roman" w:cs="Times New Roman"/>
                <w:b/>
                <w:bCs/>
                <w:color w:val="auto"/>
                <w:sz w:val="21"/>
                <w:szCs w:val="21"/>
                <w:lang w:val="en-US"/>
              </w:rPr>
              <w:t>）</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项目设</w:t>
            </w: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r>
              <w:rPr>
                <w:rFonts w:hint="eastAsia" w:ascii="Times New Roman" w:hAnsi="Times New Roman" w:cs="Times New Roman"/>
                <w:color w:val="auto"/>
                <w:sz w:val="21"/>
                <w:szCs w:val="21"/>
              </w:rPr>
              <w:t>一</w:t>
            </w:r>
            <w:r>
              <w:rPr>
                <w:rFonts w:ascii="Times New Roman" w:hAnsi="Times New Roman" w:cs="Times New Roman"/>
                <w:color w:val="auto"/>
                <w:sz w:val="21"/>
                <w:szCs w:val="21"/>
              </w:rPr>
              <w:t>条</w:t>
            </w:r>
            <w:r>
              <w:rPr>
                <w:rFonts w:ascii="Times New Roman" w:hAnsi="Times New Roman" w:cs="Times New Roman"/>
                <w:color w:val="auto"/>
                <w:sz w:val="21"/>
                <w:szCs w:val="21"/>
                <w:lang w:val="en-US"/>
              </w:rPr>
              <w:t>，设4个骨料配料仓，</w:t>
            </w:r>
            <w:r>
              <w:rPr>
                <w:rFonts w:ascii="Times New Roman" w:hAnsi="Times New Roman" w:cs="Times New Roman"/>
                <w:color w:val="auto"/>
                <w:kern w:val="21"/>
                <w:sz w:val="21"/>
                <w:szCs w:val="21"/>
              </w:rPr>
              <w:t>成一字并排设置</w:t>
            </w:r>
            <w:r>
              <w:rPr>
                <w:rFonts w:ascii="Times New Roman" w:hAnsi="Times New Roman" w:cs="Times New Roman"/>
                <w:color w:val="auto"/>
                <w:sz w:val="21"/>
                <w:szCs w:val="21"/>
                <w:lang w:val="en-US"/>
              </w:rPr>
              <w:t>。采用装载机向骨料配料仓中上料，该工序由于物料落差会产生上料粉尘。根据中国环境科学出版社出版的《逸散性工业粉尘控制技术》中相关经验系数可知，卸砂和粒料至贮箱逸散尘排放因子为0.02kg/t（搬运料），本工序共使用细骨料</w:t>
            </w:r>
            <w:r>
              <w:rPr>
                <w:rFonts w:hint="eastAsia" w:ascii="Times New Roman" w:hAnsi="Times New Roman" w:cs="Times New Roman"/>
                <w:color w:val="auto"/>
                <w:sz w:val="21"/>
                <w:szCs w:val="21"/>
                <w:lang w:val="en-US"/>
              </w:rPr>
              <w:t>512500</w:t>
            </w:r>
            <w:r>
              <w:rPr>
                <w:rFonts w:ascii="Times New Roman" w:hAnsi="Times New Roman" w:cs="Times New Roman"/>
                <w:color w:val="auto"/>
                <w:sz w:val="21"/>
                <w:szCs w:val="21"/>
                <w:lang w:val="en-US"/>
              </w:rPr>
              <w:t>t/a，则骨料配料粉尘产生量约为</w:t>
            </w:r>
            <w:r>
              <w:rPr>
                <w:rFonts w:hint="eastAsia" w:ascii="Times New Roman" w:hAnsi="Times New Roman" w:cs="Times New Roman"/>
                <w:color w:val="auto"/>
                <w:sz w:val="21"/>
                <w:szCs w:val="21"/>
                <w:lang w:val="en-US"/>
              </w:rPr>
              <w:t>10.25</w:t>
            </w:r>
            <w:r>
              <w:rPr>
                <w:rFonts w:ascii="Times New Roman" w:hAnsi="Times New Roman" w:cs="Times New Roman"/>
                <w:color w:val="auto"/>
                <w:sz w:val="21"/>
                <w:szCs w:val="21"/>
                <w:lang w:val="en-US"/>
              </w:rPr>
              <w:t>t/a。</w:t>
            </w:r>
          </w:p>
          <w:p>
            <w:pPr>
              <w:pStyle w:val="25"/>
              <w:autoSpaceDE/>
              <w:autoSpaceDN/>
              <w:spacing w:line="400" w:lineRule="exact"/>
              <w:ind w:left="110" w:leftChars="5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治理措施：</w:t>
            </w:r>
            <w:r>
              <w:rPr>
                <w:rFonts w:ascii="Times New Roman" w:hAnsi="Times New Roman" w:cs="Times New Roman"/>
                <w:color w:val="auto"/>
                <w:sz w:val="21"/>
                <w:szCs w:val="21"/>
                <w:lang w:val="en-US"/>
              </w:rPr>
              <w:t>本项目拟在每座骨料配料仓</w:t>
            </w:r>
            <w:r>
              <w:rPr>
                <w:rFonts w:hint="eastAsia" w:ascii="Times New Roman" w:hAnsi="Times New Roman" w:cs="Times New Roman"/>
                <w:color w:val="auto"/>
                <w:sz w:val="21"/>
                <w:szCs w:val="21"/>
                <w:lang w:val="en-US"/>
              </w:rPr>
              <w:t>、计量设备</w:t>
            </w:r>
            <w:r>
              <w:rPr>
                <w:rFonts w:ascii="Times New Roman" w:hAnsi="Times New Roman" w:cs="Times New Roman"/>
                <w:color w:val="auto"/>
                <w:sz w:val="21"/>
                <w:szCs w:val="21"/>
                <w:lang w:val="en-US"/>
              </w:rPr>
              <w:t>上方设置集气罩，产生的废气经集气罩收集至一</w:t>
            </w:r>
            <w:r>
              <w:rPr>
                <w:rFonts w:hint="eastAsia" w:ascii="Times New Roman" w:hAnsi="Times New Roman" w:cs="Times New Roman"/>
                <w:color w:val="auto"/>
                <w:sz w:val="21"/>
                <w:szCs w:val="21"/>
                <w:lang w:val="en-US"/>
              </w:rPr>
              <w:t>套脉冲</w:t>
            </w:r>
            <w:r>
              <w:rPr>
                <w:rFonts w:ascii="Times New Roman" w:hAnsi="Times New Roman" w:cs="Times New Roman"/>
                <w:color w:val="auto"/>
                <w:sz w:val="21"/>
                <w:szCs w:val="21"/>
                <w:lang w:val="en-US"/>
              </w:rPr>
              <w:t>布袋除尘器处理后，通过1根15m高排气筒（</w:t>
            </w: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废气排放口</w:t>
            </w:r>
            <w:r>
              <w:rPr>
                <w:rFonts w:hint="eastAsia" w:ascii="Times New Roman" w:hAnsi="Times New Roman" w:cs="Times New Roman"/>
                <w:color w:val="auto"/>
                <w:kern w:val="21"/>
                <w:sz w:val="21"/>
                <w:szCs w:val="21"/>
                <w:lang w:val="en-US" w:bidi="ar-SA"/>
              </w:rPr>
              <w:t>DA004</w:t>
            </w:r>
            <w:r>
              <w:rPr>
                <w:rFonts w:ascii="Times New Roman" w:hAnsi="Times New Roman" w:cs="Times New Roman"/>
                <w:color w:val="auto"/>
                <w:sz w:val="21"/>
                <w:szCs w:val="21"/>
                <w:lang w:val="en-US"/>
              </w:rPr>
              <w:t>）排放。参照《排污许可证申请与核发技术规范 水泥工业》（HJ847-2017）中废气污染防治可行性技术，布袋除尘属于颗粒物废气治理的可行性技术。本项目采用布袋除尘器处理措施可行。</w:t>
            </w:r>
          </w:p>
          <w:p>
            <w:pPr>
              <w:pStyle w:val="25"/>
              <w:autoSpaceDE/>
              <w:autoSpaceDN/>
              <w:spacing w:line="400" w:lineRule="exact"/>
              <w:ind w:left="110" w:leftChars="50" w:right="110" w:righ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②计量废气（G</w:t>
            </w:r>
            <w:r>
              <w:rPr>
                <w:rFonts w:ascii="Times New Roman" w:hAnsi="Times New Roman" w:cs="Times New Roman"/>
                <w:b/>
                <w:bCs/>
                <w:color w:val="auto"/>
                <w:sz w:val="21"/>
                <w:szCs w:val="21"/>
                <w:vertAlign w:val="subscript"/>
                <w:lang w:val="en-US"/>
              </w:rPr>
              <w:t>3</w:t>
            </w:r>
            <w:r>
              <w:rPr>
                <w:rFonts w:ascii="Times New Roman" w:hAnsi="Times New Roman" w:cs="Times New Roman"/>
                <w:b/>
                <w:bCs/>
                <w:color w:val="auto"/>
                <w:sz w:val="21"/>
                <w:szCs w:val="21"/>
                <w:lang w:val="en-US"/>
              </w:rPr>
              <w:t>）、搅拌废气（G</w:t>
            </w:r>
            <w:r>
              <w:rPr>
                <w:rFonts w:ascii="Times New Roman" w:hAnsi="Times New Roman" w:cs="Times New Roman"/>
                <w:b/>
                <w:bCs/>
                <w:color w:val="auto"/>
                <w:sz w:val="21"/>
                <w:szCs w:val="21"/>
                <w:vertAlign w:val="subscript"/>
                <w:lang w:val="en-US"/>
              </w:rPr>
              <w:t>4</w:t>
            </w:r>
            <w:r>
              <w:rPr>
                <w:rFonts w:ascii="Times New Roman" w:hAnsi="Times New Roman" w:cs="Times New Roman"/>
                <w:b/>
                <w:bCs/>
                <w:color w:val="auto"/>
                <w:sz w:val="21"/>
                <w:szCs w:val="21"/>
                <w:lang w:val="en-US"/>
              </w:rPr>
              <w:t>）</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项目设</w:t>
            </w: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r>
              <w:rPr>
                <w:rFonts w:ascii="Times New Roman" w:hAnsi="Times New Roman" w:cs="Times New Roman"/>
                <w:color w:val="auto"/>
                <w:sz w:val="21"/>
                <w:szCs w:val="21"/>
                <w:lang w:val="en-US"/>
              </w:rPr>
              <w:t>，各粉料向计量设备投料时会产生粉尘。根据中国环境科学出版社出版的《逸散性工业粉尘控制技术》中相关经验系数可知，装粉料、砂和粒料进入计量装置逸散尘排放因子为0.01kg/t（装料），本工序水泥的年耗量为</w:t>
            </w:r>
            <w:r>
              <w:rPr>
                <w:rFonts w:hint="eastAsia" w:ascii="Times New Roman" w:hAnsi="Times New Roman" w:cs="Times New Roman"/>
                <w:color w:val="auto"/>
                <w:sz w:val="21"/>
                <w:szCs w:val="21"/>
                <w:lang w:val="en-US" w:bidi="ar"/>
              </w:rPr>
              <w:t>625</w:t>
            </w:r>
            <w:r>
              <w:rPr>
                <w:rFonts w:ascii="Times New Roman" w:hAnsi="Times New Roman" w:cs="Times New Roman"/>
                <w:color w:val="auto"/>
                <w:sz w:val="21"/>
                <w:szCs w:val="21"/>
                <w:lang w:val="en-US" w:bidi="ar"/>
              </w:rPr>
              <w:t>00t/a</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矿粉年耗量为</w:t>
            </w:r>
            <w:r>
              <w:rPr>
                <w:rFonts w:hint="eastAsia" w:ascii="Times New Roman" w:hAnsi="Times New Roman" w:cs="Times New Roman"/>
                <w:color w:val="auto"/>
                <w:sz w:val="21"/>
                <w:szCs w:val="21"/>
                <w:lang w:val="en-US" w:bidi="ar"/>
              </w:rPr>
              <w:t>28125</w:t>
            </w:r>
            <w:r>
              <w:rPr>
                <w:rFonts w:ascii="Times New Roman" w:hAnsi="Times New Roman" w:cs="Times New Roman"/>
                <w:color w:val="auto"/>
                <w:sz w:val="21"/>
                <w:szCs w:val="21"/>
                <w:lang w:val="en-US" w:bidi="ar"/>
              </w:rPr>
              <w:t>t/a</w:t>
            </w:r>
            <w:r>
              <w:rPr>
                <w:rFonts w:ascii="Times New Roman" w:hAnsi="Times New Roman" w:cs="Times New Roman"/>
                <w:color w:val="auto"/>
                <w:sz w:val="21"/>
                <w:szCs w:val="21"/>
                <w:lang w:val="en-US"/>
              </w:rPr>
              <w:t>、粉煤灰年耗量为</w:t>
            </w:r>
            <w:r>
              <w:rPr>
                <w:rFonts w:hint="eastAsia" w:ascii="Times New Roman" w:hAnsi="Times New Roman" w:cs="Times New Roman"/>
                <w:color w:val="auto"/>
                <w:sz w:val="21"/>
                <w:szCs w:val="21"/>
                <w:lang w:val="en-US" w:bidi="ar"/>
              </w:rPr>
              <w:t>28125</w:t>
            </w:r>
            <w:r>
              <w:rPr>
                <w:rFonts w:ascii="Times New Roman" w:hAnsi="Times New Roman" w:cs="Times New Roman"/>
                <w:color w:val="auto"/>
                <w:sz w:val="21"/>
                <w:szCs w:val="21"/>
                <w:lang w:val="en-US" w:bidi="ar"/>
              </w:rPr>
              <w:t>t/a</w:t>
            </w:r>
            <w:r>
              <w:rPr>
                <w:rFonts w:ascii="Times New Roman" w:hAnsi="Times New Roman" w:cs="Times New Roman"/>
                <w:color w:val="auto"/>
                <w:sz w:val="21"/>
                <w:szCs w:val="21"/>
                <w:lang w:val="en-US"/>
              </w:rPr>
              <w:t>，共计1</w:t>
            </w:r>
            <w:r>
              <w:rPr>
                <w:rFonts w:hint="eastAsia" w:ascii="Times New Roman" w:hAnsi="Times New Roman" w:cs="Times New Roman"/>
                <w:color w:val="auto"/>
                <w:sz w:val="21"/>
                <w:szCs w:val="21"/>
                <w:lang w:val="en-US"/>
              </w:rPr>
              <w:t>1875</w:t>
            </w:r>
            <w:r>
              <w:rPr>
                <w:rFonts w:ascii="Times New Roman" w:hAnsi="Times New Roman" w:cs="Times New Roman"/>
                <w:color w:val="auto"/>
                <w:sz w:val="21"/>
                <w:szCs w:val="21"/>
                <w:lang w:val="en-US"/>
              </w:rPr>
              <w:t>0t/a，则计量粉尘产生量共计1.</w:t>
            </w:r>
            <w:r>
              <w:rPr>
                <w:rFonts w:hint="eastAsia" w:ascii="Times New Roman" w:hAnsi="Times New Roman" w:cs="Times New Roman"/>
                <w:color w:val="auto"/>
                <w:sz w:val="21"/>
                <w:szCs w:val="21"/>
                <w:lang w:val="en-US"/>
              </w:rPr>
              <w:t>1875</w:t>
            </w:r>
            <w:r>
              <w:rPr>
                <w:rFonts w:ascii="Times New Roman" w:hAnsi="Times New Roman" w:cs="Times New Roman"/>
                <w:color w:val="auto"/>
                <w:sz w:val="21"/>
                <w:szCs w:val="21"/>
                <w:lang w:val="en-US"/>
              </w:rPr>
              <w:t>t/a。</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项目设</w:t>
            </w: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r>
              <w:rPr>
                <w:rFonts w:ascii="Times New Roman" w:hAnsi="Times New Roman" w:cs="Times New Roman"/>
                <w:color w:val="auto"/>
                <w:sz w:val="21"/>
                <w:szCs w:val="21"/>
                <w:lang w:val="en-US"/>
              </w:rPr>
              <w:t>，搅拌过程中，添加水通过水泵从搅拌机顶端均匀地喷洒在搅拌装置内，故搅拌过程中粉尘量较少，该工序粉尘主要为向搅拌机投料时产生的粉尘。根据中国环境科学出版社出版的《逸散性工业粉尘控制技术》中相关经验系数可知，装粉料、砂和粒料入搅拌机逸散尘排放因子为0.02kg/t（装料），本工序水泥的年耗量为</w:t>
            </w:r>
            <w:r>
              <w:rPr>
                <w:rFonts w:hint="eastAsia" w:ascii="Times New Roman" w:hAnsi="Times New Roman" w:cs="Times New Roman"/>
                <w:color w:val="auto"/>
                <w:sz w:val="21"/>
                <w:szCs w:val="21"/>
                <w:lang w:val="en-US" w:bidi="ar"/>
              </w:rPr>
              <w:t>625</w:t>
            </w:r>
            <w:r>
              <w:rPr>
                <w:rFonts w:ascii="Times New Roman" w:hAnsi="Times New Roman" w:cs="Times New Roman"/>
                <w:color w:val="auto"/>
                <w:sz w:val="21"/>
                <w:szCs w:val="21"/>
                <w:lang w:val="en-US" w:bidi="ar"/>
              </w:rPr>
              <w:t>00t/a</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矿粉年耗量为</w:t>
            </w:r>
            <w:r>
              <w:rPr>
                <w:rFonts w:hint="eastAsia" w:ascii="Times New Roman" w:hAnsi="Times New Roman" w:cs="Times New Roman"/>
                <w:color w:val="auto"/>
                <w:sz w:val="21"/>
                <w:szCs w:val="21"/>
                <w:lang w:val="en-US" w:bidi="ar"/>
              </w:rPr>
              <w:t>28125</w:t>
            </w:r>
            <w:r>
              <w:rPr>
                <w:rFonts w:ascii="Times New Roman" w:hAnsi="Times New Roman" w:cs="Times New Roman"/>
                <w:color w:val="auto"/>
                <w:sz w:val="21"/>
                <w:szCs w:val="21"/>
                <w:lang w:val="en-US" w:bidi="ar"/>
              </w:rPr>
              <w:t>t/a</w:t>
            </w:r>
            <w:r>
              <w:rPr>
                <w:rFonts w:ascii="Times New Roman" w:hAnsi="Times New Roman" w:cs="Times New Roman"/>
                <w:color w:val="auto"/>
                <w:sz w:val="21"/>
                <w:szCs w:val="21"/>
                <w:lang w:val="en-US"/>
              </w:rPr>
              <w:t>、粉煤灰年耗量为</w:t>
            </w:r>
            <w:r>
              <w:rPr>
                <w:rFonts w:hint="eastAsia" w:ascii="Times New Roman" w:hAnsi="Times New Roman" w:cs="Times New Roman"/>
                <w:color w:val="auto"/>
                <w:sz w:val="21"/>
                <w:szCs w:val="21"/>
                <w:lang w:val="en-US" w:bidi="ar"/>
              </w:rPr>
              <w:t>28125</w:t>
            </w:r>
            <w:r>
              <w:rPr>
                <w:rFonts w:ascii="Times New Roman" w:hAnsi="Times New Roman" w:cs="Times New Roman"/>
                <w:color w:val="auto"/>
                <w:sz w:val="21"/>
                <w:szCs w:val="21"/>
                <w:lang w:val="en-US" w:bidi="ar"/>
              </w:rPr>
              <w:t>t/a</w:t>
            </w:r>
            <w:r>
              <w:rPr>
                <w:rFonts w:ascii="Times New Roman" w:hAnsi="Times New Roman" w:cs="Times New Roman"/>
                <w:color w:val="auto"/>
                <w:sz w:val="21"/>
                <w:szCs w:val="21"/>
                <w:lang w:val="en-US"/>
              </w:rPr>
              <w:t>、细骨料年耗量为</w:t>
            </w:r>
            <w:r>
              <w:rPr>
                <w:rFonts w:hint="eastAsia" w:ascii="Times New Roman" w:hAnsi="Times New Roman" w:cs="Times New Roman"/>
                <w:color w:val="auto"/>
                <w:sz w:val="21"/>
                <w:szCs w:val="21"/>
                <w:lang w:val="en-US"/>
              </w:rPr>
              <w:t>512500</w:t>
            </w:r>
            <w:r>
              <w:rPr>
                <w:rFonts w:ascii="Times New Roman" w:hAnsi="Times New Roman" w:cs="Times New Roman"/>
                <w:color w:val="auto"/>
                <w:sz w:val="21"/>
                <w:szCs w:val="21"/>
                <w:lang w:val="en-US"/>
              </w:rPr>
              <w:t>t/a，共计</w:t>
            </w:r>
            <w:r>
              <w:rPr>
                <w:rFonts w:hint="eastAsia" w:ascii="Times New Roman" w:hAnsi="Times New Roman" w:cs="Times New Roman"/>
                <w:color w:val="auto"/>
                <w:sz w:val="21"/>
                <w:szCs w:val="21"/>
                <w:lang w:val="en-US"/>
              </w:rPr>
              <w:t>631250</w:t>
            </w:r>
            <w:r>
              <w:rPr>
                <w:rFonts w:ascii="Times New Roman" w:hAnsi="Times New Roman" w:cs="Times New Roman"/>
                <w:color w:val="auto"/>
                <w:sz w:val="21"/>
                <w:szCs w:val="21"/>
                <w:lang w:val="en-US"/>
              </w:rPr>
              <w:t>t/a，则搅拌粉尘产生量共计</w:t>
            </w:r>
            <w:r>
              <w:rPr>
                <w:rFonts w:hint="eastAsia" w:ascii="Times New Roman" w:hAnsi="Times New Roman" w:cs="Times New Roman"/>
                <w:color w:val="auto"/>
                <w:sz w:val="21"/>
                <w:szCs w:val="21"/>
                <w:lang w:val="en-US"/>
              </w:rPr>
              <w:t>8.243</w:t>
            </w:r>
            <w:r>
              <w:rPr>
                <w:rFonts w:ascii="Times New Roman" w:hAnsi="Times New Roman" w:cs="Times New Roman"/>
                <w:color w:val="auto"/>
                <w:sz w:val="21"/>
                <w:szCs w:val="21"/>
                <w:lang w:val="en-US"/>
              </w:rPr>
              <w:t>t/a。</w:t>
            </w:r>
          </w:p>
          <w:p>
            <w:pPr>
              <w:pStyle w:val="25"/>
              <w:autoSpaceDE/>
              <w:autoSpaceDN/>
              <w:spacing w:line="400" w:lineRule="exact"/>
              <w:ind w:left="110" w:leftChars="5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治理措施：</w:t>
            </w:r>
            <w:r>
              <w:rPr>
                <w:rFonts w:ascii="Times New Roman" w:hAnsi="Times New Roman" w:cs="Times New Roman"/>
                <w:color w:val="auto"/>
                <w:sz w:val="21"/>
                <w:szCs w:val="21"/>
                <w:lang w:val="en-US"/>
              </w:rPr>
              <w:t>粉料计量设备、搅拌设备</w:t>
            </w:r>
            <w:r>
              <w:rPr>
                <w:rFonts w:ascii="Times New Roman" w:hAnsi="Times New Roman" w:cs="Times New Roman"/>
                <w:color w:val="auto"/>
                <w:sz w:val="21"/>
                <w:szCs w:val="21"/>
              </w:rPr>
              <w:t>为一体式封闭式设备，粉尘主要产生于</w:t>
            </w:r>
            <w:r>
              <w:rPr>
                <w:rFonts w:hint="eastAsia" w:ascii="Times New Roman" w:hAnsi="Times New Roman" w:cs="Times New Roman"/>
                <w:color w:val="auto"/>
                <w:sz w:val="21"/>
                <w:szCs w:val="21"/>
              </w:rPr>
              <w:t>计量斗</w:t>
            </w:r>
            <w:r>
              <w:rPr>
                <w:rFonts w:ascii="Times New Roman" w:hAnsi="Times New Roman" w:cs="Times New Roman"/>
                <w:color w:val="auto"/>
                <w:sz w:val="21"/>
                <w:szCs w:val="21"/>
              </w:rPr>
              <w:t>投料阶段设备呼吸孔位置</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搅拌楼</w:t>
            </w:r>
            <w:r>
              <w:rPr>
                <w:rFonts w:ascii="Times New Roman" w:hAnsi="Times New Roman" w:cs="Times New Roman"/>
                <w:color w:val="auto"/>
                <w:sz w:val="21"/>
                <w:szCs w:val="21"/>
                <w:lang w:val="en-US"/>
              </w:rPr>
              <w:t>自带一套布袋除尘器</w:t>
            </w:r>
            <w:r>
              <w:rPr>
                <w:rFonts w:hint="eastAsia" w:ascii="Times New Roman" w:hAnsi="Times New Roman" w:cs="Times New Roman"/>
                <w:color w:val="auto"/>
                <w:sz w:val="21"/>
                <w:szCs w:val="21"/>
                <w:lang w:val="en-US"/>
              </w:rPr>
              <w:t>，位于计量斗</w:t>
            </w:r>
            <w:r>
              <w:rPr>
                <w:rFonts w:ascii="Times New Roman" w:hAnsi="Times New Roman" w:cs="Times New Roman"/>
                <w:color w:val="auto"/>
                <w:sz w:val="21"/>
                <w:szCs w:val="21"/>
                <w:lang w:val="en-US"/>
              </w:rPr>
              <w:t>呼吸口上方，用于收集搅拌、计量废气，通过通风管道直接连接仓体，生产线计量、搅拌产生的废气均经布袋除尘器处理后，通过</w:t>
            </w:r>
            <w:r>
              <w:rPr>
                <w:rFonts w:hint="eastAsia" w:ascii="Times New Roman" w:hAnsi="Times New Roman" w:cs="Times New Roman"/>
                <w:color w:val="auto"/>
                <w:sz w:val="21"/>
                <w:szCs w:val="21"/>
                <w:lang w:val="en-US"/>
              </w:rPr>
              <w:t>通风管道与骨料上料废气合并至</w:t>
            </w:r>
            <w:r>
              <w:rPr>
                <w:rFonts w:ascii="Times New Roman" w:hAnsi="Times New Roman" w:cs="Times New Roman"/>
                <w:color w:val="auto"/>
                <w:sz w:val="21"/>
                <w:szCs w:val="21"/>
                <w:lang w:val="en-US"/>
              </w:rPr>
              <w:t>1根15m高排气筒排放（</w:t>
            </w:r>
            <w:r>
              <w:rPr>
                <w:rFonts w:ascii="Times New Roman" w:hAnsi="Times New Roman" w:cs="Times New Roman"/>
                <w:color w:val="auto"/>
                <w:kern w:val="21"/>
                <w:sz w:val="21"/>
                <w:szCs w:val="21"/>
                <w:lang w:val="en-US" w:bidi="ar-SA"/>
              </w:rPr>
              <w:t>上料</w:t>
            </w:r>
            <w:r>
              <w:rPr>
                <w:rFonts w:hint="eastAsia" w:ascii="Times New Roman" w:hAnsi="Times New Roman" w:cs="Times New Roman"/>
                <w:color w:val="auto"/>
                <w:kern w:val="21"/>
                <w:sz w:val="21"/>
                <w:szCs w:val="21"/>
                <w:lang w:val="en-US" w:bidi="ar-SA"/>
              </w:rPr>
              <w:t>、计量搅拌</w:t>
            </w:r>
            <w:r>
              <w:rPr>
                <w:rFonts w:ascii="Times New Roman" w:hAnsi="Times New Roman" w:cs="Times New Roman"/>
                <w:color w:val="auto"/>
                <w:kern w:val="21"/>
                <w:sz w:val="21"/>
                <w:szCs w:val="21"/>
                <w:lang w:val="en-US" w:bidi="ar-SA"/>
              </w:rPr>
              <w:t>废气排放口</w:t>
            </w:r>
            <w:r>
              <w:rPr>
                <w:rFonts w:hint="eastAsia" w:ascii="Times New Roman" w:hAnsi="Times New Roman" w:cs="Times New Roman"/>
                <w:color w:val="auto"/>
                <w:kern w:val="21"/>
                <w:sz w:val="21"/>
                <w:szCs w:val="21"/>
                <w:lang w:val="en-US" w:bidi="ar-SA"/>
              </w:rPr>
              <w:t>DA004</w:t>
            </w:r>
            <w:r>
              <w:rPr>
                <w:rFonts w:ascii="Times New Roman" w:hAnsi="Times New Roman" w:cs="Times New Roman"/>
                <w:color w:val="auto"/>
                <w:sz w:val="21"/>
                <w:szCs w:val="21"/>
                <w:lang w:val="en-US"/>
              </w:rPr>
              <w:t>）排放。参照《排污许可证申请与核发技术规范  水泥工业》（HJ847-2017）中废气污染防治可行性技术，布袋除尘属于颗粒物废气治理的可行性技术。本项目采用布袋除尘器处理措施可行。</w:t>
            </w:r>
          </w:p>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③</w:t>
            </w:r>
            <w:r>
              <w:rPr>
                <w:rFonts w:ascii="Times New Roman" w:hAnsi="Times New Roman" w:cs="Times New Roman"/>
                <w:b/>
                <w:bCs/>
                <w:color w:val="auto"/>
                <w:sz w:val="21"/>
                <w:szCs w:val="21"/>
                <w:lang w:val="en-US"/>
              </w:rPr>
              <w:t>粉料仓粉尘（G</w:t>
            </w:r>
            <w:r>
              <w:rPr>
                <w:rFonts w:ascii="Times New Roman" w:hAnsi="Times New Roman" w:cs="Times New Roman"/>
                <w:b/>
                <w:bCs/>
                <w:color w:val="auto"/>
                <w:sz w:val="21"/>
                <w:szCs w:val="21"/>
                <w:vertAlign w:val="subscript"/>
                <w:lang w:val="en-US"/>
              </w:rPr>
              <w:t>1</w:t>
            </w:r>
            <w:r>
              <w:rPr>
                <w:rFonts w:ascii="Times New Roman" w:hAnsi="Times New Roman" w:cs="Times New Roman"/>
                <w:b/>
                <w:bCs/>
                <w:color w:val="auto"/>
                <w:sz w:val="21"/>
                <w:szCs w:val="21"/>
                <w:lang w:val="en-US"/>
              </w:rPr>
              <w:t>）</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项目设</w:t>
            </w:r>
            <w:r>
              <w:rPr>
                <w:rFonts w:hint="eastAsia" w:ascii="Times New Roman" w:hAnsi="Times New Roman" w:cs="Times New Roman"/>
                <w:color w:val="auto"/>
                <w:sz w:val="21"/>
                <w:szCs w:val="21"/>
              </w:rPr>
              <w:t>湿</w:t>
            </w:r>
            <w:r>
              <w:rPr>
                <w:rFonts w:ascii="Times New Roman" w:hAnsi="Times New Roman" w:cs="Times New Roman"/>
                <w:color w:val="auto"/>
                <w:sz w:val="21"/>
                <w:szCs w:val="21"/>
              </w:rPr>
              <w:t>拌砂浆生产线</w:t>
            </w:r>
            <w:r>
              <w:rPr>
                <w:rFonts w:ascii="Times New Roman" w:hAnsi="Times New Roman" w:cs="Times New Roman"/>
                <w:color w:val="auto"/>
                <w:sz w:val="21"/>
                <w:szCs w:val="21"/>
                <w:lang w:val="en-US"/>
              </w:rPr>
              <w:t>，配备4个粉料仓（2个水泥仓，1个矿粉仓，1个粉煤灰仓）。水泥、矿粉、粉煤灰储存于粉料仓中，储罐进料时，由散装罐车的输送管路与储罐的进料管路连接，通过气体压力将罐内物料输送到储罐内，气力输送过程中粉罐排气将带走大量的粉尘，其顶部呼吸孔粉尘产生量较大，必须经除尘设施除尘后，方可排放。粉料仓高度约</w:t>
            </w: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lang w:val="en-US"/>
              </w:rPr>
              <w:t>m。水泥年消耗量为</w:t>
            </w:r>
            <w:r>
              <w:rPr>
                <w:rFonts w:hint="eastAsia" w:ascii="Times New Roman" w:hAnsi="Times New Roman" w:cs="Times New Roman"/>
                <w:color w:val="auto"/>
                <w:sz w:val="21"/>
                <w:szCs w:val="21"/>
                <w:lang w:val="en-US"/>
              </w:rPr>
              <w:t>625</w:t>
            </w:r>
            <w:r>
              <w:rPr>
                <w:rFonts w:ascii="Times New Roman" w:hAnsi="Times New Roman" w:cs="Times New Roman"/>
                <w:color w:val="auto"/>
                <w:sz w:val="21"/>
                <w:szCs w:val="21"/>
                <w:lang w:val="en-US"/>
              </w:rPr>
              <w:t>00t/a，日使用量约为</w:t>
            </w:r>
            <w:r>
              <w:rPr>
                <w:rFonts w:hint="eastAsia" w:ascii="Times New Roman" w:hAnsi="Times New Roman" w:cs="Times New Roman"/>
                <w:color w:val="auto"/>
                <w:sz w:val="21"/>
                <w:szCs w:val="21"/>
                <w:lang w:val="en-US"/>
              </w:rPr>
              <w:t>208.4</w:t>
            </w:r>
            <w:r>
              <w:rPr>
                <w:rFonts w:ascii="Times New Roman" w:hAnsi="Times New Roman" w:cs="Times New Roman"/>
                <w:color w:val="auto"/>
                <w:sz w:val="21"/>
                <w:szCs w:val="21"/>
                <w:lang w:val="en-US"/>
              </w:rPr>
              <w:t>t，水泥最大储存量为</w:t>
            </w:r>
            <w:r>
              <w:rPr>
                <w:rFonts w:hint="eastAsia" w:ascii="Times New Roman" w:hAnsi="Times New Roman" w:cs="Times New Roman"/>
                <w:color w:val="auto"/>
                <w:sz w:val="21"/>
                <w:szCs w:val="21"/>
                <w:lang w:val="en-US"/>
              </w:rPr>
              <w:t>24</w:t>
            </w:r>
            <w:r>
              <w:rPr>
                <w:rFonts w:ascii="Times New Roman" w:hAnsi="Times New Roman" w:cs="Times New Roman"/>
                <w:color w:val="auto"/>
                <w:sz w:val="21"/>
                <w:szCs w:val="21"/>
                <w:lang w:val="en-US"/>
              </w:rPr>
              <w:t>0t，企业拟定每天对水泥进行一次添加，通过</w:t>
            </w: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lang w:val="en-US"/>
              </w:rPr>
              <w:t>0t的水泥罐车运输，每次需要运输</w:t>
            </w:r>
            <w:r>
              <w:rPr>
                <w:rFonts w:hint="eastAsia" w:ascii="Times New Roman" w:hAnsi="Times New Roman" w:cs="Times New Roman"/>
                <w:color w:val="auto"/>
                <w:sz w:val="21"/>
                <w:szCs w:val="21"/>
                <w:lang w:val="en-US"/>
              </w:rPr>
              <w:t>4</w:t>
            </w:r>
            <w:r>
              <w:rPr>
                <w:rFonts w:ascii="Times New Roman" w:hAnsi="Times New Roman" w:cs="Times New Roman"/>
                <w:color w:val="auto"/>
                <w:sz w:val="21"/>
                <w:szCs w:val="21"/>
                <w:lang w:val="en-US"/>
              </w:rPr>
              <w:t>辆。矿粉年耗量为</w:t>
            </w:r>
            <w:r>
              <w:rPr>
                <w:rFonts w:hint="eastAsia" w:ascii="Times New Roman" w:hAnsi="Times New Roman" w:cs="Times New Roman"/>
                <w:color w:val="auto"/>
                <w:sz w:val="21"/>
                <w:szCs w:val="21"/>
                <w:lang w:val="en-US" w:bidi="ar"/>
              </w:rPr>
              <w:t>28125</w:t>
            </w:r>
            <w:r>
              <w:rPr>
                <w:rFonts w:ascii="Times New Roman" w:hAnsi="Times New Roman" w:cs="Times New Roman"/>
                <w:color w:val="auto"/>
                <w:sz w:val="21"/>
                <w:szCs w:val="21"/>
                <w:lang w:val="en-US"/>
              </w:rPr>
              <w:t>t/a，日使用量约为</w:t>
            </w:r>
            <w:r>
              <w:rPr>
                <w:rFonts w:hint="eastAsia" w:ascii="Times New Roman" w:hAnsi="Times New Roman" w:cs="Times New Roman"/>
                <w:color w:val="auto"/>
                <w:sz w:val="21"/>
                <w:szCs w:val="21"/>
                <w:lang w:val="en-US"/>
              </w:rPr>
              <w:t>93.75</w:t>
            </w:r>
            <w:r>
              <w:rPr>
                <w:rFonts w:ascii="Times New Roman" w:hAnsi="Times New Roman" w:cs="Times New Roman"/>
                <w:color w:val="auto"/>
                <w:sz w:val="21"/>
                <w:szCs w:val="21"/>
                <w:lang w:val="en-US"/>
              </w:rPr>
              <w:t>t，矿粉最大储存量为</w:t>
            </w: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00t，企业拟定每天对矿粉进行一次添加，通过50t的专用罐车运输，每次需要运输2辆。粉煤灰年耗量为</w:t>
            </w:r>
            <w:r>
              <w:rPr>
                <w:rFonts w:hint="eastAsia" w:ascii="Times New Roman" w:hAnsi="Times New Roman" w:cs="Times New Roman"/>
                <w:color w:val="auto"/>
                <w:sz w:val="21"/>
                <w:szCs w:val="21"/>
                <w:lang w:val="en-US" w:bidi="ar"/>
              </w:rPr>
              <w:t>28125</w:t>
            </w:r>
            <w:r>
              <w:rPr>
                <w:rFonts w:ascii="Times New Roman" w:hAnsi="Times New Roman" w:cs="Times New Roman"/>
                <w:color w:val="auto"/>
                <w:sz w:val="21"/>
                <w:szCs w:val="21"/>
                <w:lang w:val="en-US"/>
              </w:rPr>
              <w:t>t/a，日使用量约为</w:t>
            </w:r>
            <w:r>
              <w:rPr>
                <w:rFonts w:hint="eastAsia" w:ascii="Times New Roman" w:hAnsi="Times New Roman" w:cs="Times New Roman"/>
                <w:color w:val="auto"/>
                <w:sz w:val="21"/>
                <w:szCs w:val="21"/>
                <w:lang w:val="en-US"/>
              </w:rPr>
              <w:t>93.75</w:t>
            </w:r>
            <w:r>
              <w:rPr>
                <w:rFonts w:ascii="Times New Roman" w:hAnsi="Times New Roman" w:cs="Times New Roman"/>
                <w:color w:val="auto"/>
                <w:sz w:val="21"/>
                <w:szCs w:val="21"/>
                <w:lang w:val="en-US"/>
              </w:rPr>
              <w:t>t，粉煤灰最大储存量为</w:t>
            </w:r>
            <w:r>
              <w:rPr>
                <w:rFonts w:hint="eastAsia" w:ascii="Times New Roman" w:hAnsi="Times New Roman" w:cs="Times New Roman"/>
                <w:color w:val="auto"/>
                <w:sz w:val="21"/>
                <w:szCs w:val="21"/>
                <w:lang w:val="en-US"/>
              </w:rPr>
              <w:t>10</w:t>
            </w:r>
            <w:r>
              <w:rPr>
                <w:rFonts w:ascii="Times New Roman" w:hAnsi="Times New Roman" w:cs="Times New Roman"/>
                <w:color w:val="auto"/>
                <w:sz w:val="21"/>
                <w:szCs w:val="21"/>
                <w:lang w:val="en-US"/>
              </w:rPr>
              <w:t>0t，企业拟定每天对粉煤灰进行一次添加，通过50t的专用罐车运输，每次需要运输</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辆。粉料输送速率为40t/h，每辆罐车向一座粉料仓加料，各罐车同时加料，每次加料时间总计约</w:t>
            </w:r>
            <w:r>
              <w:rPr>
                <w:rFonts w:hint="eastAsia" w:ascii="Times New Roman" w:hAnsi="Times New Roman" w:cs="Times New Roman"/>
                <w:color w:val="auto"/>
                <w:sz w:val="21"/>
                <w:szCs w:val="21"/>
                <w:lang w:val="en-US"/>
              </w:rPr>
              <w:t>2.6</w:t>
            </w:r>
            <w:r>
              <w:rPr>
                <w:rFonts w:ascii="Times New Roman" w:hAnsi="Times New Roman" w:cs="Times New Roman"/>
                <w:color w:val="auto"/>
                <w:sz w:val="21"/>
                <w:szCs w:val="21"/>
                <w:lang w:val="en-US"/>
              </w:rPr>
              <w:t>h，全年加料时间</w:t>
            </w:r>
            <w:r>
              <w:rPr>
                <w:rFonts w:hint="eastAsia" w:ascii="Times New Roman" w:hAnsi="Times New Roman" w:cs="Times New Roman"/>
                <w:color w:val="auto"/>
                <w:sz w:val="21"/>
                <w:szCs w:val="21"/>
                <w:lang w:val="en-US"/>
              </w:rPr>
              <w:t>781.25</w:t>
            </w:r>
            <w:r>
              <w:rPr>
                <w:rFonts w:ascii="Times New Roman" w:hAnsi="Times New Roman" w:cs="Times New Roman"/>
                <w:color w:val="auto"/>
                <w:sz w:val="21"/>
                <w:szCs w:val="21"/>
                <w:lang w:val="en-US"/>
              </w:rPr>
              <w:t>h。</w:t>
            </w:r>
          </w:p>
          <w:p>
            <w:pPr>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本项目水泥的年耗量为</w:t>
            </w:r>
            <w:r>
              <w:rPr>
                <w:rFonts w:hint="eastAsia" w:ascii="Times New Roman" w:hAnsi="Times New Roman" w:cs="Times New Roman"/>
                <w:color w:val="auto"/>
                <w:sz w:val="21"/>
                <w:szCs w:val="21"/>
                <w:lang w:val="en-US" w:bidi="ar"/>
              </w:rPr>
              <w:t>625</w:t>
            </w:r>
            <w:r>
              <w:rPr>
                <w:rFonts w:ascii="Times New Roman" w:hAnsi="Times New Roman" w:cs="Times New Roman"/>
                <w:color w:val="auto"/>
                <w:sz w:val="21"/>
                <w:szCs w:val="21"/>
                <w:lang w:val="en-US" w:bidi="ar"/>
              </w:rPr>
              <w:t>00t/a</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lang w:val="en-US"/>
              </w:rPr>
              <w:t>矿粉年耗量为</w:t>
            </w:r>
            <w:r>
              <w:rPr>
                <w:rFonts w:hint="eastAsia" w:ascii="Times New Roman" w:hAnsi="Times New Roman" w:cs="Times New Roman"/>
                <w:color w:val="auto"/>
                <w:sz w:val="21"/>
                <w:szCs w:val="21"/>
                <w:lang w:val="en-US" w:bidi="ar"/>
              </w:rPr>
              <w:t>28125</w:t>
            </w:r>
            <w:r>
              <w:rPr>
                <w:rFonts w:ascii="Times New Roman" w:hAnsi="Times New Roman" w:cs="Times New Roman"/>
                <w:color w:val="auto"/>
                <w:sz w:val="21"/>
                <w:szCs w:val="21"/>
                <w:lang w:val="en-US" w:bidi="ar"/>
              </w:rPr>
              <w:t>t/a</w:t>
            </w:r>
            <w:r>
              <w:rPr>
                <w:rFonts w:ascii="Times New Roman" w:hAnsi="Times New Roman" w:cs="Times New Roman"/>
                <w:color w:val="auto"/>
                <w:sz w:val="21"/>
                <w:szCs w:val="21"/>
                <w:lang w:val="en-US"/>
              </w:rPr>
              <w:t>、粉煤灰年耗量为</w:t>
            </w:r>
            <w:r>
              <w:rPr>
                <w:rFonts w:hint="eastAsia" w:ascii="Times New Roman" w:hAnsi="Times New Roman" w:cs="Times New Roman"/>
                <w:color w:val="auto"/>
                <w:sz w:val="21"/>
                <w:szCs w:val="21"/>
                <w:lang w:val="en-US" w:bidi="ar"/>
              </w:rPr>
              <w:t>28125</w:t>
            </w:r>
            <w:r>
              <w:rPr>
                <w:rFonts w:ascii="Times New Roman" w:hAnsi="Times New Roman" w:cs="Times New Roman"/>
                <w:color w:val="auto"/>
                <w:sz w:val="21"/>
                <w:szCs w:val="21"/>
                <w:lang w:val="en-US" w:bidi="ar"/>
              </w:rPr>
              <w:t>t/a</w:t>
            </w:r>
            <w:r>
              <w:rPr>
                <w:rFonts w:ascii="Times New Roman" w:hAnsi="Times New Roman" w:cs="Times New Roman"/>
                <w:color w:val="auto"/>
                <w:sz w:val="21"/>
                <w:szCs w:val="21"/>
                <w:lang w:val="en-US"/>
              </w:rPr>
              <w:t>，共计</w:t>
            </w:r>
            <w:r>
              <w:rPr>
                <w:rFonts w:hint="eastAsia" w:ascii="Times New Roman" w:hAnsi="Times New Roman" w:cs="Times New Roman"/>
                <w:color w:val="auto"/>
                <w:sz w:val="21"/>
                <w:szCs w:val="21"/>
                <w:lang w:val="en-US"/>
              </w:rPr>
              <w:t>118750</w:t>
            </w:r>
            <w:r>
              <w:rPr>
                <w:rFonts w:ascii="Times New Roman" w:hAnsi="Times New Roman" w:cs="Times New Roman"/>
                <w:color w:val="auto"/>
                <w:sz w:val="21"/>
                <w:szCs w:val="21"/>
                <w:lang w:val="en-US"/>
              </w:rPr>
              <w:t>t/a。经查阅</w:t>
            </w:r>
            <w:r>
              <w:rPr>
                <w:rFonts w:ascii="Times New Roman" w:hAnsi="Times New Roman" w:cs="Times New Roman"/>
                <w:color w:val="auto"/>
                <w:sz w:val="21"/>
                <w:szCs w:val="21"/>
              </w:rPr>
              <w:t>中国环境科学出版社出版的《逸散性工业粉尘控制技术》中相关经验系数</w:t>
            </w:r>
            <w:r>
              <w:rPr>
                <w:rFonts w:ascii="Times New Roman" w:hAnsi="Times New Roman" w:cs="Times New Roman"/>
                <w:color w:val="auto"/>
                <w:sz w:val="21"/>
                <w:szCs w:val="21"/>
                <w:lang w:val="en-US"/>
              </w:rPr>
              <w:t>，贮仓排气逸散尘排放因子为0.12kg/t（卸料），则本项目粉料仓粉尘产生量共计为1</w:t>
            </w:r>
            <w:r>
              <w:rPr>
                <w:rFonts w:hint="eastAsia" w:ascii="Times New Roman" w:hAnsi="Times New Roman" w:cs="Times New Roman"/>
                <w:color w:val="auto"/>
                <w:sz w:val="21"/>
                <w:szCs w:val="21"/>
                <w:lang w:val="en-US"/>
              </w:rPr>
              <w:t>4.25</w:t>
            </w:r>
            <w:r>
              <w:rPr>
                <w:rFonts w:ascii="Times New Roman" w:hAnsi="Times New Roman" w:cs="Times New Roman"/>
                <w:color w:val="auto"/>
                <w:sz w:val="21"/>
                <w:szCs w:val="21"/>
                <w:lang w:val="en-US"/>
              </w:rPr>
              <w:t>t/a。</w:t>
            </w:r>
          </w:p>
          <w:p>
            <w:pPr>
              <w:pStyle w:val="25"/>
              <w:autoSpaceDE/>
              <w:autoSpaceDN/>
              <w:spacing w:line="400" w:lineRule="exact"/>
              <w:ind w:left="110" w:leftChars="5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治理措施：</w:t>
            </w:r>
            <w:r>
              <w:rPr>
                <w:rFonts w:ascii="Times New Roman" w:hAnsi="Times New Roman" w:cs="Times New Roman"/>
                <w:color w:val="auto"/>
                <w:sz w:val="21"/>
                <w:szCs w:val="21"/>
                <w:lang w:val="en-US"/>
              </w:rPr>
              <w:t>生产线料仓顶部各排气口设布袋除尘装置，含尘废气经各仓顶除尘器除尘后，通过1根排气筒排放（</w:t>
            </w:r>
            <w:r>
              <w:rPr>
                <w:rFonts w:ascii="Times New Roman" w:hAnsi="Times New Roman" w:cs="Times New Roman"/>
                <w:color w:val="auto"/>
                <w:sz w:val="21"/>
                <w:szCs w:val="21"/>
                <w:lang w:val="en-US" w:bidi="ar"/>
              </w:rPr>
              <w:t>粉料仓废气排放口</w:t>
            </w:r>
            <w:r>
              <w:rPr>
                <w:rFonts w:hint="eastAsia" w:ascii="Times New Roman" w:hAnsi="Times New Roman" w:cs="Times New Roman"/>
                <w:color w:val="auto"/>
                <w:sz w:val="21"/>
                <w:szCs w:val="21"/>
                <w:lang w:val="en-US" w:bidi="ar"/>
              </w:rPr>
              <w:t>DA005</w:t>
            </w:r>
            <w:r>
              <w:rPr>
                <w:rFonts w:ascii="Times New Roman" w:hAnsi="Times New Roman" w:cs="Times New Roman"/>
                <w:color w:val="auto"/>
                <w:sz w:val="21"/>
                <w:szCs w:val="21"/>
                <w:lang w:val="en-US"/>
              </w:rPr>
              <w:t>），排放高度应不低于</w:t>
            </w:r>
            <w:r>
              <w:rPr>
                <w:rFonts w:hint="eastAsia" w:ascii="Times New Roman" w:hAnsi="Times New Roman" w:cs="Times New Roman"/>
                <w:color w:val="auto"/>
                <w:sz w:val="21"/>
                <w:szCs w:val="21"/>
                <w:lang w:val="en-US"/>
              </w:rPr>
              <w:t>15</w:t>
            </w:r>
            <w:r>
              <w:rPr>
                <w:rFonts w:ascii="Times New Roman" w:hAnsi="Times New Roman" w:cs="Times New Roman"/>
                <w:color w:val="auto"/>
                <w:sz w:val="21"/>
                <w:szCs w:val="21"/>
                <w:lang w:val="en-US"/>
              </w:rPr>
              <w:t>m，除尘灰过滤在仓内。参照《排污许可证申请与核发技术规范  水泥工业》（HJ847-2017）中废气污染防治可行性技术，布袋除尘属于颗粒物废气治理的可行性技术。本项目采用布袋除尘器处理措施可行。</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4"/>
                <w:lang w:val="en-US" w:bidi="ar-SA"/>
              </w:rPr>
            </w:pPr>
            <w:r>
              <w:rPr>
                <w:rFonts w:hint="eastAsia" w:ascii="Times New Roman" w:hAnsi="Times New Roman" w:cs="Times New Roman"/>
                <w:color w:val="auto"/>
                <w:kern w:val="21"/>
                <w:sz w:val="21"/>
                <w:szCs w:val="21"/>
                <w:lang w:val="en-US" w:bidi="ar-SA"/>
              </w:rPr>
              <w:t>骨料配料、计量搅拌</w:t>
            </w:r>
            <w:r>
              <w:rPr>
                <w:rFonts w:ascii="Times New Roman" w:hAnsi="Times New Roman" w:cs="Times New Roman"/>
                <w:color w:val="auto"/>
                <w:kern w:val="2"/>
                <w:sz w:val="21"/>
                <w:szCs w:val="24"/>
                <w:lang w:val="en-US" w:bidi="ar-SA"/>
              </w:rPr>
              <w:t>废气污染物核算见下表。</w:t>
            </w:r>
          </w:p>
          <w:p>
            <w:pPr>
              <w:pStyle w:val="25"/>
              <w:tabs>
                <w:tab w:val="right" w:leader="dot" w:pos="8507"/>
              </w:tabs>
              <w:autoSpaceDE/>
              <w:autoSpaceDN/>
              <w:spacing w:line="480" w:lineRule="exact"/>
              <w:ind w:left="0" w:leftChars="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2</w:t>
            </w:r>
            <w:r>
              <w:rPr>
                <w:rFonts w:ascii="Times New Roman" w:hAnsi="Times New Roman" w:cs="Times New Roman"/>
                <w:b/>
                <w:bCs/>
                <w:color w:val="auto"/>
                <w:kern w:val="2"/>
                <w:sz w:val="21"/>
                <w:szCs w:val="24"/>
                <w:lang w:val="en-US" w:bidi="ar-SA"/>
              </w:rPr>
              <w:t xml:space="preserve">  上料、计量搅拌废气污染物核算一览表</w:t>
            </w:r>
          </w:p>
          <w:tbl>
            <w:tblPr>
              <w:tblStyle w:val="32"/>
              <w:tblW w:w="9214" w:type="dxa"/>
              <w:jc w:val="center"/>
              <w:tblLayout w:type="fixed"/>
              <w:tblCellMar>
                <w:top w:w="0" w:type="dxa"/>
                <w:left w:w="108" w:type="dxa"/>
                <w:bottom w:w="0" w:type="dxa"/>
                <w:right w:w="108" w:type="dxa"/>
              </w:tblCellMar>
            </w:tblPr>
            <w:tblGrid>
              <w:gridCol w:w="269"/>
              <w:gridCol w:w="1187"/>
              <w:gridCol w:w="414"/>
              <w:gridCol w:w="447"/>
              <w:gridCol w:w="678"/>
              <w:gridCol w:w="548"/>
              <w:gridCol w:w="476"/>
              <w:gridCol w:w="519"/>
              <w:gridCol w:w="655"/>
              <w:gridCol w:w="840"/>
              <w:gridCol w:w="660"/>
              <w:gridCol w:w="480"/>
              <w:gridCol w:w="840"/>
              <w:gridCol w:w="645"/>
              <w:gridCol w:w="556"/>
            </w:tblGrid>
            <w:tr>
              <w:tblPrEx>
                <w:tblCellMar>
                  <w:top w:w="0" w:type="dxa"/>
                  <w:left w:w="108" w:type="dxa"/>
                  <w:bottom w:w="0" w:type="dxa"/>
                  <w:right w:w="108" w:type="dxa"/>
                </w:tblCellMar>
              </w:tblPrEx>
              <w:trPr>
                <w:trHeight w:val="270" w:hRule="atLeast"/>
                <w:jc w:val="center"/>
              </w:trPr>
              <w:tc>
                <w:tcPr>
                  <w:tcW w:w="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w:t>
                  </w:r>
                  <w:r>
                    <w:rPr>
                      <w:rFonts w:hint="eastAsia" w:ascii="Times New Roman" w:hAnsi="Times New Roman" w:cs="Times New Roman"/>
                      <w:b/>
                      <w:bCs/>
                      <w:color w:val="auto"/>
                      <w:sz w:val="21"/>
                      <w:szCs w:val="21"/>
                      <w:lang w:val="en-US" w:bidi="ar"/>
                    </w:rPr>
                    <w:t>源</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污染防治措施</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是否为可行性技术</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处理能力m</w:t>
                  </w:r>
                  <w:r>
                    <w:rPr>
                      <w:rFonts w:ascii="Times New Roman" w:hAnsi="Times New Roman" w:cs="Times New Roman"/>
                      <w:b/>
                      <w:bCs/>
                      <w:color w:val="auto"/>
                      <w:sz w:val="21"/>
                      <w:szCs w:val="21"/>
                      <w:vertAlign w:val="superscript"/>
                      <w:lang w:val="en-US" w:bidi="ar"/>
                    </w:rPr>
                    <w:t>3</w:t>
                  </w:r>
                  <w:r>
                    <w:rPr>
                      <w:rFonts w:ascii="Times New Roman" w:hAnsi="Times New Roman" w:cs="Times New Roman"/>
                      <w:b/>
                      <w:bCs/>
                      <w:color w:val="auto"/>
                      <w:sz w:val="21"/>
                      <w:szCs w:val="21"/>
                      <w:lang w:val="en-US" w:bidi="ar"/>
                    </w:rPr>
                    <w:t>/h</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收集效率</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运行时长h/a</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治理工艺去除率</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产生情况</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排放情况</w:t>
                  </w:r>
                </w:p>
              </w:tc>
            </w:tr>
            <w:tr>
              <w:tblPrEx>
                <w:tblCellMar>
                  <w:top w:w="0" w:type="dxa"/>
                  <w:left w:w="108" w:type="dxa"/>
                  <w:bottom w:w="0" w:type="dxa"/>
                  <w:right w:w="108" w:type="dxa"/>
                </w:tblCellMar>
              </w:tblPrEx>
              <w:trPr>
                <w:trHeight w:val="90" w:hRule="atLeast"/>
                <w:jc w:val="center"/>
              </w:trPr>
              <w:tc>
                <w:tcPr>
                  <w:tcW w:w="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产生浓度mg/m</w:t>
                  </w:r>
                  <w:r>
                    <w:rPr>
                      <w:rFonts w:ascii="Times New Roman" w:hAnsi="Times New Roman" w:cs="Times New Roman"/>
                      <w:b/>
                      <w:bCs/>
                      <w:color w:val="auto"/>
                      <w:sz w:val="21"/>
                      <w:szCs w:val="21"/>
                      <w:vertAlign w:val="superscript"/>
                      <w:lang w:val="en-US"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产生速率kg/h</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产生量t/a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排放浓度mg/m</w:t>
                  </w:r>
                  <w:r>
                    <w:rPr>
                      <w:rFonts w:ascii="Times New Roman" w:hAnsi="Times New Roman" w:cs="Times New Roman"/>
                      <w:b/>
                      <w:bCs/>
                      <w:color w:val="auto"/>
                      <w:sz w:val="21"/>
                      <w:szCs w:val="21"/>
                      <w:vertAlign w:val="superscript"/>
                      <w:lang w:val="en-US"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排放速率kg/h</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r>
            <w:tr>
              <w:tblPrEx>
                <w:tblCellMar>
                  <w:top w:w="0" w:type="dxa"/>
                  <w:left w:w="108" w:type="dxa"/>
                  <w:bottom w:w="0" w:type="dxa"/>
                  <w:right w:w="108" w:type="dxa"/>
                </w:tblCellMar>
              </w:tblPrEx>
              <w:trPr>
                <w:trHeight w:val="270" w:hRule="atLeast"/>
                <w:jc w:val="center"/>
              </w:trPr>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骨料配料废气</w:t>
                  </w:r>
                </w:p>
              </w:tc>
              <w:tc>
                <w:tcPr>
                  <w:tcW w:w="414" w:type="dxa"/>
                  <w:vMerge w:val="restart"/>
                  <w:tcBorders>
                    <w:top w:val="single" w:color="000000" w:sz="4" w:space="0"/>
                    <w:left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颗粒物</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袋式除尘</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是</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5</w:t>
                  </w:r>
                  <w:r>
                    <w:rPr>
                      <w:rFonts w:ascii="Times New Roman" w:hAnsi="Times New Roman" w:cs="Times New Roman"/>
                      <w:color w:val="auto"/>
                      <w:sz w:val="21"/>
                      <w:szCs w:val="21"/>
                      <w:lang w:val="en-US" w:bidi="ar"/>
                    </w:rPr>
                    <w:t>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95%</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72</w:t>
                  </w:r>
                  <w:r>
                    <w:rPr>
                      <w:rFonts w:ascii="Times New Roman" w:hAnsi="Times New Roman" w:cs="Times New Roman"/>
                      <w:color w:val="auto"/>
                      <w:sz w:val="21"/>
                      <w:szCs w:val="21"/>
                      <w:lang w:val="en-US" w:bidi="ar"/>
                    </w:rPr>
                    <w:t>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99.</w:t>
                  </w:r>
                  <w:r>
                    <w:rPr>
                      <w:rFonts w:hint="eastAsia" w:ascii="Times New Roman" w:hAnsi="Times New Roman" w:cs="Times New Roman"/>
                      <w:color w:val="auto"/>
                      <w:sz w:val="21"/>
                      <w:szCs w:val="21"/>
                      <w:lang w:val="en-US" w:bidi="ar"/>
                    </w:rPr>
                    <w:t>5</w:t>
                  </w:r>
                  <w:r>
                    <w:rPr>
                      <w:rFonts w:ascii="Times New Roman" w:hAnsi="Times New Roman" w:cs="Times New Roman"/>
                      <w:color w:val="auto"/>
                      <w:sz w:val="21"/>
                      <w:szCs w:val="21"/>
                      <w:lang w:val="en-US"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284.722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1.424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 xml:space="preserve">10.250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1.3524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0.0068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0.0487 </w:t>
                  </w:r>
                </w:p>
              </w:tc>
            </w:tr>
            <w:tr>
              <w:tblPrEx>
                <w:tblCellMar>
                  <w:top w:w="0" w:type="dxa"/>
                  <w:left w:w="108" w:type="dxa"/>
                  <w:bottom w:w="0" w:type="dxa"/>
                  <w:right w:w="108" w:type="dxa"/>
                </w:tblCellMar>
              </w:tblPrEx>
              <w:trPr>
                <w:trHeight w:val="529" w:hRule="atLeast"/>
                <w:jc w:val="center"/>
              </w:trPr>
              <w:tc>
                <w:tcPr>
                  <w:tcW w:w="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计量搅拌</w:t>
                  </w:r>
                  <w:r>
                    <w:rPr>
                      <w:rFonts w:ascii="Times New Roman" w:hAnsi="Times New Roman" w:cs="Times New Roman"/>
                      <w:color w:val="auto"/>
                      <w:sz w:val="21"/>
                      <w:szCs w:val="21"/>
                      <w:lang w:val="en-US" w:bidi="ar"/>
                    </w:rPr>
                    <w:t>废气</w:t>
                  </w:r>
                </w:p>
              </w:tc>
              <w:tc>
                <w:tcPr>
                  <w:tcW w:w="414" w:type="dxa"/>
                  <w:vMerge w:val="continue"/>
                  <w:tcBorders>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袋式除尘</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是</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8000</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99%</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72</w:t>
                  </w:r>
                  <w:r>
                    <w:rPr>
                      <w:rFonts w:ascii="Times New Roman" w:hAnsi="Times New Roman" w:cs="Times New Roman"/>
                      <w:color w:val="auto"/>
                      <w:sz w:val="21"/>
                      <w:szCs w:val="21"/>
                      <w:lang w:val="en-US" w:bidi="ar"/>
                    </w:rPr>
                    <w:t>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99.</w:t>
                  </w:r>
                  <w:r>
                    <w:rPr>
                      <w:rFonts w:hint="eastAsia" w:ascii="Times New Roman" w:hAnsi="Times New Roman" w:cs="Times New Roman"/>
                      <w:color w:val="auto"/>
                      <w:sz w:val="21"/>
                      <w:szCs w:val="21"/>
                      <w:lang w:val="en-US" w:bidi="ar"/>
                    </w:rPr>
                    <w:t>5</w:t>
                  </w:r>
                  <w:r>
                    <w:rPr>
                      <w:rFonts w:ascii="Times New Roman" w:hAnsi="Times New Roman" w:cs="Times New Roman"/>
                      <w:color w:val="auto"/>
                      <w:sz w:val="21"/>
                      <w:szCs w:val="21"/>
                      <w:lang w:val="en-US"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239.800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1.918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13.813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1.1870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0.0095 </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0.0684 </w:t>
                  </w:r>
                </w:p>
              </w:tc>
            </w:tr>
          </w:tbl>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粉料仓废气产生、排放情况如下表：</w:t>
            </w:r>
          </w:p>
          <w:p>
            <w:pPr>
              <w:autoSpaceDE/>
              <w:autoSpaceDN/>
              <w:spacing w:line="400" w:lineRule="exact"/>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表4.</w:t>
            </w: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lang w:val="en-US"/>
              </w:rPr>
              <w:tab/>
            </w:r>
            <w:r>
              <w:rPr>
                <w:rFonts w:ascii="Times New Roman" w:hAnsi="Times New Roman" w:cs="Times New Roman"/>
                <w:b/>
                <w:bCs/>
                <w:color w:val="auto"/>
                <w:sz w:val="21"/>
                <w:szCs w:val="21"/>
                <w:lang w:val="en-US"/>
              </w:rPr>
              <w:t>料仓粉尘产生及排放情况一览表</w:t>
            </w:r>
          </w:p>
          <w:tbl>
            <w:tblPr>
              <w:tblStyle w:val="32"/>
              <w:tblW w:w="49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809"/>
              <w:gridCol w:w="846"/>
              <w:gridCol w:w="948"/>
              <w:gridCol w:w="948"/>
              <w:gridCol w:w="462"/>
              <w:gridCol w:w="629"/>
              <w:gridCol w:w="838"/>
              <w:gridCol w:w="759"/>
              <w:gridCol w:w="932"/>
              <w:gridCol w:w="727"/>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07" w:type="dxa"/>
                  <w:gridSpan w:val="2"/>
                  <w:tcBorders>
                    <w:left w:val="single" w:color="000000" w:sz="0" w:space="0"/>
                  </w:tcBorders>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排放源</w:t>
                  </w:r>
                </w:p>
              </w:tc>
              <w:tc>
                <w:tcPr>
                  <w:tcW w:w="802"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产生量（t/a）</w:t>
                  </w:r>
                </w:p>
              </w:tc>
              <w:tc>
                <w:tcPr>
                  <w:tcW w:w="900"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入口浓度</w:t>
                  </w:r>
                </w:p>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（mg/m</w:t>
                  </w:r>
                  <w:r>
                    <w:rPr>
                      <w:rFonts w:ascii="Times New Roman" w:hAnsi="Times New Roman" w:cs="Times New Roman"/>
                      <w:b/>
                      <w:bCs/>
                      <w:color w:val="auto"/>
                      <w:sz w:val="21"/>
                      <w:szCs w:val="21"/>
                      <w:vertAlign w:val="superscript"/>
                      <w:lang w:val="en-US"/>
                    </w:rPr>
                    <w:t>3</w:t>
                  </w:r>
                  <w:r>
                    <w:rPr>
                      <w:rFonts w:ascii="Times New Roman" w:hAnsi="Times New Roman" w:cs="Times New Roman"/>
                      <w:b/>
                      <w:bCs/>
                      <w:color w:val="auto"/>
                      <w:sz w:val="21"/>
                      <w:szCs w:val="21"/>
                    </w:rPr>
                    <w:t>）</w:t>
                  </w:r>
                </w:p>
              </w:tc>
              <w:tc>
                <w:tcPr>
                  <w:tcW w:w="900"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 xml:space="preserve">产生速率 </w:t>
                  </w:r>
                </w:p>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（kg/h）</w:t>
                  </w:r>
                </w:p>
              </w:tc>
              <w:tc>
                <w:tcPr>
                  <w:tcW w:w="1035" w:type="dxa"/>
                  <w:gridSpan w:val="2"/>
                  <w:vAlign w:val="center"/>
                </w:tcPr>
                <w:p>
                  <w:pPr>
                    <w:pStyle w:val="52"/>
                    <w:autoSpaceDE/>
                    <w:autoSpaceDN/>
                    <w:ind w:left="-110" w:leftChars="-50" w:right="-110" w:rightChars="-50"/>
                    <w:jc w:val="center"/>
                    <w:rPr>
                      <w:rFonts w:ascii="Times New Roman" w:hAnsi="Times New Roman" w:cs="Times New Roman"/>
                      <w:b/>
                      <w:bCs/>
                      <w:color w:val="auto"/>
                      <w:kern w:val="2"/>
                      <w:sz w:val="21"/>
                      <w:szCs w:val="21"/>
                      <w:lang w:val="en-US" w:bidi="ar-SA"/>
                    </w:rPr>
                  </w:pPr>
                  <w:r>
                    <w:rPr>
                      <w:rFonts w:ascii="Times New Roman" w:hAnsi="Times New Roman" w:cs="Times New Roman"/>
                      <w:b/>
                      <w:bCs/>
                      <w:color w:val="auto"/>
                      <w:sz w:val="21"/>
                      <w:szCs w:val="21"/>
                      <w:lang w:val="en-US"/>
                    </w:rPr>
                    <w:t>治理措施</w:t>
                  </w:r>
                </w:p>
              </w:tc>
              <w:tc>
                <w:tcPr>
                  <w:tcW w:w="795" w:type="dxa"/>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工作时长（h/a）</w:t>
                  </w:r>
                </w:p>
              </w:tc>
              <w:tc>
                <w:tcPr>
                  <w:tcW w:w="720" w:type="dxa"/>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风量</w:t>
                  </w:r>
                </w:p>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（m</w:t>
                  </w:r>
                  <w:r>
                    <w:rPr>
                      <w:rFonts w:ascii="Times New Roman" w:hAnsi="Times New Roman" w:cs="Times New Roman"/>
                      <w:b/>
                      <w:bCs/>
                      <w:color w:val="auto"/>
                      <w:sz w:val="21"/>
                      <w:szCs w:val="21"/>
                      <w:vertAlign w:val="superscript"/>
                      <w:lang w:val="en-US"/>
                    </w:rPr>
                    <w:t>3</w:t>
                  </w:r>
                  <w:r>
                    <w:rPr>
                      <w:rFonts w:ascii="Times New Roman" w:hAnsi="Times New Roman" w:cs="Times New Roman"/>
                      <w:b/>
                      <w:bCs/>
                      <w:color w:val="auto"/>
                      <w:sz w:val="21"/>
                      <w:szCs w:val="21"/>
                      <w:lang w:val="en-US"/>
                    </w:rPr>
                    <w:t>/h）</w:t>
                  </w:r>
                </w:p>
              </w:tc>
              <w:tc>
                <w:tcPr>
                  <w:tcW w:w="885"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排放浓度</w:t>
                  </w:r>
                </w:p>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(mg/m</w:t>
                  </w:r>
                  <w:r>
                    <w:rPr>
                      <w:rFonts w:ascii="Times New Roman" w:hAnsi="Times New Roman" w:cs="Times New Roman"/>
                      <w:b/>
                      <w:bCs/>
                      <w:color w:val="auto"/>
                      <w:sz w:val="21"/>
                      <w:szCs w:val="21"/>
                      <w:vertAlign w:val="superscript"/>
                      <w:lang w:val="en-US"/>
                    </w:rPr>
                    <w:t>3</w:t>
                  </w:r>
                  <w:r>
                    <w:rPr>
                      <w:rFonts w:ascii="Times New Roman" w:hAnsi="Times New Roman" w:cs="Times New Roman"/>
                      <w:b/>
                      <w:bCs/>
                      <w:color w:val="auto"/>
                      <w:sz w:val="21"/>
                      <w:szCs w:val="21"/>
                    </w:rPr>
                    <w:t>)</w:t>
                  </w:r>
                </w:p>
              </w:tc>
              <w:tc>
                <w:tcPr>
                  <w:tcW w:w="690"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排放量（</w:t>
                  </w:r>
                  <w:r>
                    <w:rPr>
                      <w:rFonts w:ascii="Times New Roman" w:hAnsi="Times New Roman" w:cs="Times New Roman"/>
                      <w:b/>
                      <w:bCs/>
                      <w:color w:val="auto"/>
                      <w:sz w:val="21"/>
                      <w:szCs w:val="21"/>
                      <w:lang w:val="en-US"/>
                    </w:rPr>
                    <w:t>t</w:t>
                  </w:r>
                  <w:r>
                    <w:rPr>
                      <w:rFonts w:ascii="Times New Roman" w:hAnsi="Times New Roman" w:cs="Times New Roman"/>
                      <w:b/>
                      <w:bCs/>
                      <w:color w:val="auto"/>
                      <w:sz w:val="21"/>
                      <w:szCs w:val="21"/>
                    </w:rPr>
                    <w:t>/a）</w:t>
                  </w:r>
                </w:p>
              </w:tc>
              <w:tc>
                <w:tcPr>
                  <w:tcW w:w="864" w:type="dxa"/>
                  <w:vAlign w:val="center"/>
                </w:tcPr>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排放速率</w:t>
                  </w:r>
                </w:p>
                <w:p>
                  <w:pPr>
                    <w:pStyle w:val="52"/>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jc w:val="center"/>
              </w:trPr>
              <w:tc>
                <w:tcPr>
                  <w:tcW w:w="1207" w:type="dxa"/>
                  <w:gridSpan w:val="2"/>
                  <w:tcBorders>
                    <w:left w:val="single" w:color="auto" w:sz="4" w:space="0"/>
                  </w:tcBorders>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1#水泥仓</w:t>
                  </w:r>
                </w:p>
              </w:tc>
              <w:tc>
                <w:tcPr>
                  <w:tcW w:w="802"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3.75</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1920</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4.8</w:t>
                  </w:r>
                </w:p>
              </w:tc>
              <w:tc>
                <w:tcPr>
                  <w:tcW w:w="1035" w:type="dxa"/>
                  <w:gridSpan w:val="2"/>
                  <w:vAlign w:val="center"/>
                </w:tcPr>
                <w:p>
                  <w:pPr>
                    <w:widowControl/>
                    <w:jc w:val="center"/>
                    <w:textAlignment w:val="center"/>
                    <w:rPr>
                      <w:rFonts w:ascii="Times New Roman" w:hAnsi="Times New Roman" w:cs="Times New Roman"/>
                      <w:color w:val="auto"/>
                      <w:spacing w:val="-6"/>
                      <w:kern w:val="2"/>
                      <w:sz w:val="21"/>
                      <w:szCs w:val="21"/>
                      <w:lang w:val="en-US" w:bidi="ar-SA"/>
                    </w:rPr>
                  </w:pPr>
                  <w:r>
                    <w:rPr>
                      <w:rFonts w:hint="eastAsia"/>
                      <w:color w:val="auto"/>
                      <w:sz w:val="21"/>
                      <w:szCs w:val="21"/>
                      <w:lang w:val="en-US" w:bidi="ar"/>
                    </w:rPr>
                    <w:t>袋式除尘</w:t>
                  </w:r>
                </w:p>
              </w:tc>
              <w:tc>
                <w:tcPr>
                  <w:tcW w:w="79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781.25</w:t>
                  </w:r>
                </w:p>
              </w:tc>
              <w:tc>
                <w:tcPr>
                  <w:tcW w:w="72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2500 </w:t>
                  </w:r>
                </w:p>
              </w:tc>
              <w:tc>
                <w:tcPr>
                  <w:tcW w:w="885"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9.0288</w:t>
                  </w:r>
                </w:p>
              </w:tc>
              <w:tc>
                <w:tcPr>
                  <w:tcW w:w="690"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0.0705</w:t>
                  </w:r>
                </w:p>
              </w:tc>
              <w:tc>
                <w:tcPr>
                  <w:tcW w:w="864"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1207" w:type="dxa"/>
                  <w:gridSpan w:val="2"/>
                  <w:tcBorders>
                    <w:left w:val="single" w:color="auto" w:sz="4" w:space="0"/>
                  </w:tcBorders>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2#水泥仓</w:t>
                  </w:r>
                </w:p>
              </w:tc>
              <w:tc>
                <w:tcPr>
                  <w:tcW w:w="802"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3.75</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1920</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4.8</w:t>
                  </w:r>
                </w:p>
              </w:tc>
              <w:tc>
                <w:tcPr>
                  <w:tcW w:w="1035" w:type="dxa"/>
                  <w:gridSpan w:val="2"/>
                  <w:vAlign w:val="center"/>
                </w:tcPr>
                <w:p>
                  <w:pPr>
                    <w:widowControl/>
                    <w:jc w:val="center"/>
                    <w:textAlignment w:val="center"/>
                    <w:rPr>
                      <w:rFonts w:ascii="Times New Roman" w:hAnsi="Times New Roman" w:cs="Times New Roman"/>
                      <w:color w:val="auto"/>
                      <w:spacing w:val="-6"/>
                      <w:kern w:val="2"/>
                      <w:sz w:val="21"/>
                      <w:szCs w:val="21"/>
                      <w:lang w:val="en-US" w:bidi="ar-SA"/>
                    </w:rPr>
                  </w:pPr>
                  <w:r>
                    <w:rPr>
                      <w:rFonts w:hint="eastAsia"/>
                      <w:color w:val="auto"/>
                      <w:sz w:val="21"/>
                      <w:szCs w:val="21"/>
                      <w:lang w:val="en-US" w:bidi="ar"/>
                    </w:rPr>
                    <w:t>袋式除尘</w:t>
                  </w:r>
                </w:p>
              </w:tc>
              <w:tc>
                <w:tcPr>
                  <w:tcW w:w="79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781.25</w:t>
                  </w:r>
                </w:p>
              </w:tc>
              <w:tc>
                <w:tcPr>
                  <w:tcW w:w="72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2500 </w:t>
                  </w:r>
                </w:p>
              </w:tc>
              <w:tc>
                <w:tcPr>
                  <w:tcW w:w="885" w:type="dxa"/>
                  <w:vMerge w:val="continue"/>
                  <w:vAlign w:val="center"/>
                </w:tcPr>
                <w:p>
                  <w:pPr>
                    <w:widowControl/>
                    <w:jc w:val="center"/>
                    <w:textAlignment w:val="center"/>
                    <w:rPr>
                      <w:rFonts w:ascii="Times New Roman" w:hAnsi="Times New Roman" w:cs="Times New Roman"/>
                      <w:color w:val="auto"/>
                      <w:sz w:val="21"/>
                      <w:szCs w:val="21"/>
                      <w:lang w:val="en-US"/>
                    </w:rPr>
                  </w:pPr>
                </w:p>
              </w:tc>
              <w:tc>
                <w:tcPr>
                  <w:tcW w:w="690" w:type="dxa"/>
                  <w:vMerge w:val="continue"/>
                  <w:vAlign w:val="center"/>
                </w:tcPr>
                <w:p>
                  <w:pPr>
                    <w:widowControl/>
                    <w:jc w:val="center"/>
                    <w:textAlignment w:val="center"/>
                    <w:rPr>
                      <w:rFonts w:ascii="Times New Roman" w:hAnsi="Times New Roman" w:cs="Times New Roman"/>
                      <w:color w:val="auto"/>
                      <w:sz w:val="21"/>
                      <w:szCs w:val="21"/>
                      <w:lang w:val="en-US"/>
                    </w:rPr>
                  </w:pPr>
                </w:p>
              </w:tc>
              <w:tc>
                <w:tcPr>
                  <w:tcW w:w="864" w:type="dxa"/>
                  <w:vMerge w:val="continue"/>
                  <w:vAlign w:val="center"/>
                </w:tcPr>
                <w:p>
                  <w:pPr>
                    <w:widowControl/>
                    <w:jc w:val="center"/>
                    <w:textAlignment w:val="center"/>
                    <w:rPr>
                      <w:rFonts w:ascii="Times New Roman" w:hAnsi="Times New Roman" w:cs="Times New Roman"/>
                      <w:color w:val="auto"/>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1207" w:type="dxa"/>
                  <w:gridSpan w:val="2"/>
                  <w:tcBorders>
                    <w:left w:val="single" w:color="auto" w:sz="4" w:space="0"/>
                  </w:tcBorders>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粉煤灰仓</w:t>
                  </w:r>
                </w:p>
              </w:tc>
              <w:tc>
                <w:tcPr>
                  <w:tcW w:w="802"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3.375</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1920</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4.8</w:t>
                  </w:r>
                </w:p>
              </w:tc>
              <w:tc>
                <w:tcPr>
                  <w:tcW w:w="1035" w:type="dxa"/>
                  <w:gridSpan w:val="2"/>
                  <w:vAlign w:val="center"/>
                </w:tcPr>
                <w:p>
                  <w:pPr>
                    <w:widowControl/>
                    <w:jc w:val="center"/>
                    <w:textAlignment w:val="center"/>
                    <w:rPr>
                      <w:rFonts w:ascii="Times New Roman" w:hAnsi="Times New Roman" w:cs="Times New Roman"/>
                      <w:color w:val="auto"/>
                      <w:sz w:val="21"/>
                      <w:szCs w:val="21"/>
                      <w:lang w:val="en-US"/>
                    </w:rPr>
                  </w:pPr>
                  <w:r>
                    <w:rPr>
                      <w:rFonts w:hint="eastAsia"/>
                      <w:color w:val="auto"/>
                      <w:sz w:val="21"/>
                      <w:szCs w:val="21"/>
                      <w:lang w:val="en-US" w:bidi="ar"/>
                    </w:rPr>
                    <w:t>袋式除尘</w:t>
                  </w:r>
                </w:p>
              </w:tc>
              <w:tc>
                <w:tcPr>
                  <w:tcW w:w="79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703.125</w:t>
                  </w:r>
                </w:p>
              </w:tc>
              <w:tc>
                <w:tcPr>
                  <w:tcW w:w="72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 xml:space="preserve">2500 </w:t>
                  </w:r>
                </w:p>
              </w:tc>
              <w:tc>
                <w:tcPr>
                  <w:tcW w:w="885" w:type="dxa"/>
                  <w:vMerge w:val="continue"/>
                  <w:vAlign w:val="center"/>
                </w:tcPr>
                <w:p>
                  <w:pPr>
                    <w:widowControl/>
                    <w:jc w:val="center"/>
                    <w:textAlignment w:val="center"/>
                    <w:rPr>
                      <w:rFonts w:ascii="Times New Roman" w:hAnsi="Times New Roman" w:cs="Times New Roman"/>
                      <w:color w:val="auto"/>
                      <w:sz w:val="21"/>
                      <w:szCs w:val="21"/>
                      <w:lang w:val="en-US"/>
                    </w:rPr>
                  </w:pPr>
                </w:p>
              </w:tc>
              <w:tc>
                <w:tcPr>
                  <w:tcW w:w="690" w:type="dxa"/>
                  <w:vMerge w:val="continue"/>
                  <w:vAlign w:val="center"/>
                </w:tcPr>
                <w:p>
                  <w:pPr>
                    <w:widowControl/>
                    <w:jc w:val="center"/>
                    <w:textAlignment w:val="center"/>
                    <w:rPr>
                      <w:rFonts w:ascii="Times New Roman" w:hAnsi="Times New Roman" w:cs="Times New Roman"/>
                      <w:color w:val="auto"/>
                      <w:sz w:val="21"/>
                      <w:szCs w:val="21"/>
                      <w:lang w:val="en-US"/>
                    </w:rPr>
                  </w:pPr>
                </w:p>
              </w:tc>
              <w:tc>
                <w:tcPr>
                  <w:tcW w:w="864" w:type="dxa"/>
                  <w:vMerge w:val="continue"/>
                  <w:vAlign w:val="center"/>
                </w:tcPr>
                <w:p>
                  <w:pPr>
                    <w:widowControl/>
                    <w:jc w:val="center"/>
                    <w:textAlignment w:val="center"/>
                    <w:rPr>
                      <w:rFonts w:ascii="Times New Roman" w:hAnsi="Times New Roman" w:cs="Times New Roman"/>
                      <w:color w:val="auto"/>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 w:hRule="atLeast"/>
                <w:jc w:val="center"/>
              </w:trPr>
              <w:tc>
                <w:tcPr>
                  <w:tcW w:w="1207" w:type="dxa"/>
                  <w:gridSpan w:val="2"/>
                  <w:tcBorders>
                    <w:left w:val="single" w:color="auto" w:sz="4" w:space="0"/>
                  </w:tcBorders>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矿粉仓</w:t>
                  </w:r>
                </w:p>
              </w:tc>
              <w:tc>
                <w:tcPr>
                  <w:tcW w:w="802"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3.375</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1920</w:t>
                  </w:r>
                </w:p>
              </w:tc>
              <w:tc>
                <w:tcPr>
                  <w:tcW w:w="900"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4.8</w:t>
                  </w:r>
                </w:p>
              </w:tc>
              <w:tc>
                <w:tcPr>
                  <w:tcW w:w="1035" w:type="dxa"/>
                  <w:gridSpan w:val="2"/>
                  <w:vAlign w:val="center"/>
                </w:tcPr>
                <w:p>
                  <w:pPr>
                    <w:widowControl/>
                    <w:jc w:val="center"/>
                    <w:textAlignment w:val="center"/>
                    <w:rPr>
                      <w:color w:val="auto"/>
                      <w:sz w:val="21"/>
                      <w:szCs w:val="21"/>
                      <w:lang w:val="en-US" w:bidi="ar"/>
                    </w:rPr>
                  </w:pPr>
                  <w:r>
                    <w:rPr>
                      <w:rFonts w:hint="eastAsia"/>
                      <w:color w:val="auto"/>
                      <w:sz w:val="21"/>
                      <w:szCs w:val="21"/>
                      <w:lang w:val="en-US" w:bidi="ar"/>
                    </w:rPr>
                    <w:t>袋式除尘</w:t>
                  </w:r>
                </w:p>
              </w:tc>
              <w:tc>
                <w:tcPr>
                  <w:tcW w:w="79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703.125</w:t>
                  </w:r>
                </w:p>
              </w:tc>
              <w:tc>
                <w:tcPr>
                  <w:tcW w:w="72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2500</w:t>
                  </w:r>
                </w:p>
              </w:tc>
              <w:tc>
                <w:tcPr>
                  <w:tcW w:w="885" w:type="dxa"/>
                  <w:vMerge w:val="continue"/>
                  <w:vAlign w:val="center"/>
                </w:tcPr>
                <w:p>
                  <w:pPr>
                    <w:widowControl/>
                    <w:jc w:val="center"/>
                    <w:textAlignment w:val="center"/>
                    <w:rPr>
                      <w:rFonts w:ascii="Times New Roman" w:hAnsi="Times New Roman" w:cs="Times New Roman"/>
                      <w:color w:val="auto"/>
                      <w:sz w:val="21"/>
                      <w:szCs w:val="21"/>
                      <w:lang w:val="en-US"/>
                    </w:rPr>
                  </w:pPr>
                </w:p>
              </w:tc>
              <w:tc>
                <w:tcPr>
                  <w:tcW w:w="690" w:type="dxa"/>
                  <w:vMerge w:val="continue"/>
                  <w:vAlign w:val="center"/>
                </w:tcPr>
                <w:p>
                  <w:pPr>
                    <w:widowControl/>
                    <w:jc w:val="center"/>
                    <w:textAlignment w:val="center"/>
                    <w:rPr>
                      <w:rFonts w:ascii="Times New Roman" w:hAnsi="Times New Roman" w:cs="Times New Roman"/>
                      <w:color w:val="auto"/>
                      <w:sz w:val="21"/>
                      <w:szCs w:val="21"/>
                      <w:lang w:val="en-US"/>
                    </w:rPr>
                  </w:pPr>
                </w:p>
              </w:tc>
              <w:tc>
                <w:tcPr>
                  <w:tcW w:w="864" w:type="dxa"/>
                  <w:vMerge w:val="continue"/>
                  <w:vAlign w:val="center"/>
                </w:tcPr>
                <w:p>
                  <w:pPr>
                    <w:widowControl/>
                    <w:jc w:val="center"/>
                    <w:textAlignment w:val="center"/>
                    <w:rPr>
                      <w:rFonts w:ascii="Times New Roman" w:hAnsi="Times New Roman" w:cs="Times New Roman"/>
                      <w:color w:val="auto"/>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440" w:type="dxa"/>
                  <w:vMerge w:val="restart"/>
                  <w:tcBorders>
                    <w:left w:val="single" w:color="auto" w:sz="4" w:space="0"/>
                  </w:tcBorders>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合计</w:t>
                  </w:r>
                </w:p>
              </w:tc>
              <w:tc>
                <w:tcPr>
                  <w:tcW w:w="767" w:type="dxa"/>
                  <w:vMerge w:val="restart"/>
                  <w:tcBorders>
                    <w:left w:val="single" w:color="auto" w:sz="4" w:space="0"/>
                  </w:tcBorders>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粉料仓废气</w:t>
                  </w:r>
                </w:p>
              </w:tc>
              <w:tc>
                <w:tcPr>
                  <w:tcW w:w="802"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14.25</w:t>
                  </w:r>
                </w:p>
              </w:tc>
              <w:tc>
                <w:tcPr>
                  <w:tcW w:w="900"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1824</w:t>
                  </w:r>
                </w:p>
              </w:tc>
              <w:tc>
                <w:tcPr>
                  <w:tcW w:w="900"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18.24</w:t>
                  </w:r>
                </w:p>
              </w:tc>
              <w:tc>
                <w:tcPr>
                  <w:tcW w:w="438" w:type="dxa"/>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收集</w:t>
                  </w:r>
                </w:p>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效率</w:t>
                  </w:r>
                </w:p>
              </w:tc>
              <w:tc>
                <w:tcPr>
                  <w:tcW w:w="597" w:type="dxa"/>
                  <w:vAlign w:val="center"/>
                </w:tcPr>
                <w:p>
                  <w:pPr>
                    <w:pStyle w:val="52"/>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治理工艺去除率</w:t>
                  </w:r>
                </w:p>
              </w:tc>
              <w:tc>
                <w:tcPr>
                  <w:tcW w:w="795"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781.25</w:t>
                  </w:r>
                </w:p>
              </w:tc>
              <w:tc>
                <w:tcPr>
                  <w:tcW w:w="720"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 xml:space="preserve">10000 </w:t>
                  </w:r>
                </w:p>
              </w:tc>
              <w:tc>
                <w:tcPr>
                  <w:tcW w:w="885"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9.0288</w:t>
                  </w:r>
                </w:p>
              </w:tc>
              <w:tc>
                <w:tcPr>
                  <w:tcW w:w="690"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0.0705</w:t>
                  </w:r>
                </w:p>
              </w:tc>
              <w:tc>
                <w:tcPr>
                  <w:tcW w:w="864" w:type="dxa"/>
                  <w:vMerge w:val="restart"/>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440" w:type="dxa"/>
                  <w:vMerge w:val="continue"/>
                  <w:tcBorders>
                    <w:left w:val="single" w:color="auto" w:sz="4" w:space="0"/>
                  </w:tcBorders>
                  <w:vAlign w:val="center"/>
                </w:tcPr>
                <w:p>
                  <w:pPr>
                    <w:widowControl/>
                    <w:jc w:val="center"/>
                    <w:textAlignment w:val="center"/>
                    <w:rPr>
                      <w:color w:val="auto"/>
                    </w:rPr>
                  </w:pPr>
                </w:p>
              </w:tc>
              <w:tc>
                <w:tcPr>
                  <w:tcW w:w="767" w:type="dxa"/>
                  <w:vMerge w:val="continue"/>
                  <w:tcBorders>
                    <w:left w:val="single" w:color="auto" w:sz="4" w:space="0"/>
                  </w:tcBorders>
                  <w:vAlign w:val="center"/>
                </w:tcPr>
                <w:p>
                  <w:pPr>
                    <w:widowControl/>
                    <w:jc w:val="center"/>
                    <w:textAlignment w:val="center"/>
                    <w:rPr>
                      <w:color w:val="auto"/>
                    </w:rPr>
                  </w:pPr>
                </w:p>
              </w:tc>
              <w:tc>
                <w:tcPr>
                  <w:tcW w:w="802" w:type="dxa"/>
                  <w:vMerge w:val="continue"/>
                  <w:vAlign w:val="center"/>
                </w:tcPr>
                <w:p>
                  <w:pPr>
                    <w:widowControl/>
                    <w:jc w:val="center"/>
                    <w:textAlignment w:val="center"/>
                    <w:rPr>
                      <w:color w:val="auto"/>
                    </w:rPr>
                  </w:pPr>
                </w:p>
              </w:tc>
              <w:tc>
                <w:tcPr>
                  <w:tcW w:w="900" w:type="dxa"/>
                  <w:vMerge w:val="continue"/>
                  <w:vAlign w:val="center"/>
                </w:tcPr>
                <w:p>
                  <w:pPr>
                    <w:widowControl/>
                    <w:jc w:val="center"/>
                    <w:textAlignment w:val="center"/>
                    <w:rPr>
                      <w:color w:val="auto"/>
                    </w:rPr>
                  </w:pPr>
                </w:p>
              </w:tc>
              <w:tc>
                <w:tcPr>
                  <w:tcW w:w="900" w:type="dxa"/>
                  <w:vMerge w:val="continue"/>
                  <w:vAlign w:val="center"/>
                </w:tcPr>
                <w:p>
                  <w:pPr>
                    <w:widowControl/>
                    <w:jc w:val="center"/>
                    <w:textAlignment w:val="center"/>
                    <w:rPr>
                      <w:color w:val="auto"/>
                    </w:rPr>
                  </w:pPr>
                </w:p>
              </w:tc>
              <w:tc>
                <w:tcPr>
                  <w:tcW w:w="438" w:type="dxa"/>
                  <w:vAlign w:val="center"/>
                </w:tcPr>
                <w:p>
                  <w:pPr>
                    <w:widowControl/>
                    <w:ind w:left="-110" w:leftChars="-50" w:right="-110" w:rightChars="-50"/>
                    <w:jc w:val="center"/>
                    <w:textAlignment w:val="center"/>
                    <w:rPr>
                      <w:color w:val="auto"/>
                    </w:rPr>
                  </w:pPr>
                  <w:r>
                    <w:rPr>
                      <w:rFonts w:ascii="Times New Roman" w:hAnsi="Times New Roman" w:cs="Times New Roman"/>
                      <w:color w:val="auto"/>
                      <w:sz w:val="21"/>
                      <w:szCs w:val="21"/>
                      <w:lang w:val="en-US" w:bidi="ar"/>
                    </w:rPr>
                    <w:t>9</w:t>
                  </w:r>
                  <w:r>
                    <w:rPr>
                      <w:rFonts w:hint="eastAsia" w:ascii="Times New Roman" w:hAnsi="Times New Roman" w:cs="Times New Roman"/>
                      <w:color w:val="auto"/>
                      <w:sz w:val="21"/>
                      <w:szCs w:val="21"/>
                      <w:lang w:val="en-US" w:bidi="ar"/>
                    </w:rPr>
                    <w:t>9</w:t>
                  </w:r>
                  <w:r>
                    <w:rPr>
                      <w:rFonts w:ascii="Times New Roman" w:hAnsi="Times New Roman" w:cs="Times New Roman"/>
                      <w:color w:val="auto"/>
                      <w:sz w:val="21"/>
                      <w:szCs w:val="21"/>
                      <w:lang w:val="en-US" w:bidi="ar"/>
                    </w:rPr>
                    <w:t>%</w:t>
                  </w:r>
                </w:p>
              </w:tc>
              <w:tc>
                <w:tcPr>
                  <w:tcW w:w="597" w:type="dxa"/>
                  <w:vAlign w:val="center"/>
                </w:tcPr>
                <w:p>
                  <w:pPr>
                    <w:widowControl/>
                    <w:ind w:left="-110" w:leftChars="-50" w:right="-110" w:rightChars="-50"/>
                    <w:jc w:val="center"/>
                    <w:textAlignment w:val="center"/>
                    <w:rPr>
                      <w:color w:val="auto"/>
                    </w:rPr>
                  </w:pPr>
                  <w:r>
                    <w:rPr>
                      <w:rFonts w:ascii="Times New Roman" w:hAnsi="Times New Roman" w:cs="Times New Roman"/>
                      <w:color w:val="auto"/>
                      <w:sz w:val="21"/>
                      <w:szCs w:val="21"/>
                      <w:lang w:val="en-US" w:bidi="ar"/>
                    </w:rPr>
                    <w:t>99</w:t>
                  </w:r>
                  <w:r>
                    <w:rPr>
                      <w:rFonts w:hint="eastAsia" w:ascii="Times New Roman" w:hAnsi="Times New Roman" w:cs="Times New Roman"/>
                      <w:color w:val="auto"/>
                      <w:sz w:val="21"/>
                      <w:szCs w:val="21"/>
                      <w:lang w:val="en-US" w:bidi="ar"/>
                    </w:rPr>
                    <w:t>.7</w:t>
                  </w:r>
                  <w:r>
                    <w:rPr>
                      <w:rFonts w:ascii="Times New Roman" w:hAnsi="Times New Roman" w:cs="Times New Roman"/>
                      <w:color w:val="auto"/>
                      <w:sz w:val="21"/>
                      <w:szCs w:val="21"/>
                      <w:lang w:val="en-US" w:bidi="ar"/>
                    </w:rPr>
                    <w:t>%</w:t>
                  </w:r>
                </w:p>
              </w:tc>
              <w:tc>
                <w:tcPr>
                  <w:tcW w:w="795" w:type="dxa"/>
                  <w:vMerge w:val="continue"/>
                  <w:vAlign w:val="center"/>
                </w:tcPr>
                <w:p>
                  <w:pPr>
                    <w:widowControl/>
                    <w:jc w:val="center"/>
                    <w:textAlignment w:val="center"/>
                    <w:rPr>
                      <w:color w:val="auto"/>
                    </w:rPr>
                  </w:pPr>
                </w:p>
              </w:tc>
              <w:tc>
                <w:tcPr>
                  <w:tcW w:w="720" w:type="dxa"/>
                  <w:vMerge w:val="continue"/>
                  <w:vAlign w:val="center"/>
                </w:tcPr>
                <w:p>
                  <w:pPr>
                    <w:widowControl/>
                    <w:jc w:val="center"/>
                    <w:textAlignment w:val="center"/>
                    <w:rPr>
                      <w:color w:val="auto"/>
                    </w:rPr>
                  </w:pPr>
                </w:p>
              </w:tc>
              <w:tc>
                <w:tcPr>
                  <w:tcW w:w="885" w:type="dxa"/>
                  <w:vMerge w:val="continue"/>
                  <w:vAlign w:val="center"/>
                </w:tcPr>
                <w:p>
                  <w:pPr>
                    <w:widowControl/>
                    <w:jc w:val="center"/>
                    <w:textAlignment w:val="center"/>
                    <w:rPr>
                      <w:color w:val="auto"/>
                    </w:rPr>
                  </w:pPr>
                </w:p>
              </w:tc>
              <w:tc>
                <w:tcPr>
                  <w:tcW w:w="690" w:type="dxa"/>
                  <w:vMerge w:val="continue"/>
                  <w:vAlign w:val="center"/>
                </w:tcPr>
                <w:p>
                  <w:pPr>
                    <w:widowControl/>
                    <w:jc w:val="center"/>
                    <w:textAlignment w:val="center"/>
                    <w:rPr>
                      <w:color w:val="auto"/>
                    </w:rPr>
                  </w:pPr>
                </w:p>
              </w:tc>
              <w:tc>
                <w:tcPr>
                  <w:tcW w:w="864" w:type="dxa"/>
                  <w:vMerge w:val="continue"/>
                  <w:vAlign w:val="center"/>
                </w:tcPr>
                <w:p>
                  <w:pPr>
                    <w:widowControl/>
                    <w:jc w:val="center"/>
                    <w:textAlignment w:val="center"/>
                    <w:rPr>
                      <w:color w:val="auto"/>
                    </w:rPr>
                  </w:pPr>
                </w:p>
              </w:tc>
            </w:tr>
          </w:tbl>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根据企业提供的监测数据可得，现有1号生产线搅拌-2号生产线搅拌工序废气治理设施出口（DA002）排放量约为0.0493t/a，其中2/3约为混凝土生产线搅拌工序粉尘，1/3约为预制构件生产线搅拌工序粉尘。即混凝土生产线搅拌工序排放粉尘约为0.0329t/a。现有1号-2号生产线</w:t>
            </w:r>
            <w:r>
              <w:rPr>
                <w:rFonts w:hint="eastAsia" w:ascii="Times New Roman" w:hAnsi="Times New Roman" w:cs="Times New Roman"/>
                <w:color w:val="auto"/>
                <w:sz w:val="21"/>
                <w:szCs w:val="21"/>
                <w:lang w:val="en-US" w:eastAsia="zh-CN"/>
              </w:rPr>
              <w:t>骨料</w:t>
            </w:r>
            <w:r>
              <w:rPr>
                <w:rFonts w:hint="eastAsia" w:ascii="Times New Roman" w:hAnsi="Times New Roman" w:cs="Times New Roman"/>
                <w:color w:val="auto"/>
                <w:sz w:val="21"/>
                <w:szCs w:val="21"/>
                <w:lang w:val="en-US"/>
              </w:rPr>
              <w:t>仓工序废气治理设施出口（DA004）排放量约为0.1045t/a，其中2/3约为混凝土生产线搅拌工序粉尘，1/3约为预制构件生产线搅拌工序粉尘。即混凝土生产线搅拌工序排放粉尘约为0.0696t/a。综上大气污染物有组织排放量核算表如下：</w:t>
            </w:r>
          </w:p>
          <w:p>
            <w:pPr>
              <w:pStyle w:val="25"/>
              <w:tabs>
                <w:tab w:val="right" w:leader="dot" w:pos="8507"/>
              </w:tabs>
              <w:autoSpaceDE/>
              <w:autoSpaceDN/>
              <w:spacing w:line="40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4</w:t>
            </w:r>
            <w:r>
              <w:rPr>
                <w:rFonts w:ascii="Times New Roman" w:hAnsi="Times New Roman" w:cs="Times New Roman"/>
                <w:b/>
                <w:bCs/>
                <w:color w:val="auto"/>
                <w:kern w:val="2"/>
                <w:sz w:val="21"/>
                <w:szCs w:val="24"/>
                <w:lang w:val="en-US" w:bidi="ar-SA"/>
              </w:rPr>
              <w:t xml:space="preserve"> 大气污染物有组织排放量核算表（有组织）</w:t>
            </w:r>
          </w:p>
          <w:tbl>
            <w:tblPr>
              <w:tblStyle w:val="32"/>
              <w:tblW w:w="4900" w:type="pct"/>
              <w:jc w:val="center"/>
              <w:tblLayout w:type="fixed"/>
              <w:tblCellMar>
                <w:top w:w="0" w:type="dxa"/>
                <w:left w:w="108" w:type="dxa"/>
                <w:bottom w:w="0" w:type="dxa"/>
                <w:right w:w="108" w:type="dxa"/>
              </w:tblCellMar>
            </w:tblPr>
            <w:tblGrid>
              <w:gridCol w:w="446"/>
              <w:gridCol w:w="1844"/>
              <w:gridCol w:w="667"/>
              <w:gridCol w:w="624"/>
              <w:gridCol w:w="969"/>
              <w:gridCol w:w="937"/>
              <w:gridCol w:w="896"/>
              <w:gridCol w:w="1051"/>
              <w:gridCol w:w="856"/>
              <w:gridCol w:w="991"/>
            </w:tblGrid>
            <w:tr>
              <w:tblPrEx>
                <w:tblCellMar>
                  <w:top w:w="0" w:type="dxa"/>
                  <w:left w:w="108" w:type="dxa"/>
                  <w:bottom w:w="0" w:type="dxa"/>
                  <w:right w:w="108" w:type="dxa"/>
                </w:tblCellMar>
              </w:tblPrEx>
              <w:trPr>
                <w:trHeight w:val="270" w:hRule="atLeast"/>
                <w:jc w:val="center"/>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排放口</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污染防治措施</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是否为可行性技术</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运行时长h/a</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治理工艺去除率</w:t>
                  </w:r>
                </w:p>
              </w:tc>
              <w:tc>
                <w:tcPr>
                  <w:tcW w:w="2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排放情况</w:t>
                  </w:r>
                </w:p>
              </w:tc>
            </w:tr>
            <w:tr>
              <w:tblPrEx>
                <w:tblCellMar>
                  <w:top w:w="0" w:type="dxa"/>
                  <w:left w:w="108" w:type="dxa"/>
                  <w:bottom w:w="0" w:type="dxa"/>
                  <w:right w:w="108" w:type="dxa"/>
                </w:tblCellMar>
              </w:tblPrEx>
              <w:trPr>
                <w:trHeight w:val="810" w:hRule="atLeast"/>
                <w:jc w:val="center"/>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排放浓度mg/m</w:t>
                  </w:r>
                  <w:r>
                    <w:rPr>
                      <w:rFonts w:ascii="Times New Roman" w:hAnsi="Times New Roman" w:cs="Times New Roman"/>
                      <w:b/>
                      <w:bCs/>
                      <w:color w:val="auto"/>
                      <w:sz w:val="21"/>
                      <w:szCs w:val="21"/>
                      <w:vertAlign w:val="superscript"/>
                      <w:lang w:val="en-US" w:bidi="ar"/>
                    </w:rPr>
                    <w:t>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排放速率kg/h</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r>
            <w:tr>
              <w:tblPrEx>
                <w:tblCellMar>
                  <w:top w:w="0" w:type="dxa"/>
                  <w:left w:w="108" w:type="dxa"/>
                  <w:bottom w:w="0" w:type="dxa"/>
                  <w:right w:w="108" w:type="dxa"/>
                </w:tblCellMar>
              </w:tblPrEx>
              <w:trPr>
                <w:trHeight w:val="45"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1号生产线搅拌-2号生产线搅拌工序废气治理设施出口（DA002）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袋式除尘</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72</w:t>
                  </w:r>
                  <w:r>
                    <w:rPr>
                      <w:rFonts w:ascii="Times New Roman" w:hAnsi="Times New Roman" w:cs="Times New Roman"/>
                      <w:color w:val="auto"/>
                      <w:sz w:val="21"/>
                      <w:szCs w:val="21"/>
                      <w:lang w:val="en-US" w:bidi="ar"/>
                    </w:rPr>
                    <w:t>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99</w:t>
                  </w:r>
                  <w:r>
                    <w:rPr>
                      <w:rFonts w:hint="eastAsia" w:ascii="Times New Roman" w:hAnsi="Times New Roman" w:cs="Times New Roman"/>
                      <w:color w:val="auto"/>
                      <w:sz w:val="21"/>
                      <w:szCs w:val="21"/>
                      <w:lang w:val="en-US" w:bidi="ar"/>
                    </w:rPr>
                    <w:t>.5</w:t>
                  </w:r>
                  <w:r>
                    <w:rPr>
                      <w:rFonts w:ascii="Times New Roman" w:hAnsi="Times New Roman" w:cs="Times New Roman"/>
                      <w:color w:val="auto"/>
                      <w:sz w:val="21"/>
                      <w:szCs w:val="21"/>
                      <w:lang w:val="en-US"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1.7579 </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0.0141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0.1013 </w:t>
                  </w:r>
                </w:p>
              </w:tc>
            </w:tr>
            <w:tr>
              <w:tblPrEx>
                <w:tblCellMar>
                  <w:top w:w="0" w:type="dxa"/>
                  <w:left w:w="108" w:type="dxa"/>
                  <w:bottom w:w="0" w:type="dxa"/>
                  <w:right w:w="108" w:type="dxa"/>
                </w:tblCellMar>
              </w:tblPrEx>
              <w:trPr>
                <w:trHeight w:val="45"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2</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2号生产线粉料仓工序废气治理设施出口（DA003）</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颗粒物</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袋式除尘</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781.25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99</w:t>
                  </w:r>
                  <w:r>
                    <w:rPr>
                      <w:rFonts w:hint="eastAsia" w:ascii="Times New Roman" w:hAnsi="Times New Roman" w:cs="Times New Roman"/>
                      <w:color w:val="auto"/>
                      <w:sz w:val="21"/>
                      <w:szCs w:val="21"/>
                      <w:lang w:val="en-US" w:bidi="ar"/>
                    </w:rPr>
                    <w:t>.5</w:t>
                  </w:r>
                  <w:r>
                    <w:rPr>
                      <w:rFonts w:ascii="Times New Roman" w:hAnsi="Times New Roman" w:cs="Times New Roman"/>
                      <w:color w:val="auto"/>
                      <w:sz w:val="21"/>
                      <w:szCs w:val="21"/>
                      <w:lang w:val="en-US"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rPr>
                    <w:t>9.0288</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rPr>
                    <w:t>0.0705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rPr>
                    <w:t>0.0903</w:t>
                  </w:r>
                </w:p>
              </w:tc>
            </w:tr>
            <w:tr>
              <w:tblPrEx>
                <w:tblCellMar>
                  <w:top w:w="0" w:type="dxa"/>
                  <w:left w:w="108" w:type="dxa"/>
                  <w:bottom w:w="0" w:type="dxa"/>
                  <w:right w:w="108" w:type="dxa"/>
                </w:tblCellMar>
              </w:tblPrEx>
              <w:trPr>
                <w:trHeight w:val="45"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3</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1号-2号生产线</w:t>
                  </w:r>
                  <w:r>
                    <w:rPr>
                      <w:rFonts w:hint="eastAsia" w:ascii="Times New Roman" w:hAnsi="Times New Roman" w:cs="Times New Roman"/>
                      <w:color w:val="auto"/>
                      <w:sz w:val="21"/>
                      <w:szCs w:val="21"/>
                      <w:lang w:val="en-US" w:eastAsia="zh-CN" w:bidi="ar"/>
                    </w:rPr>
                    <w:t>骨料</w:t>
                  </w:r>
                  <w:r>
                    <w:rPr>
                      <w:rFonts w:hint="eastAsia" w:ascii="Times New Roman" w:hAnsi="Times New Roman" w:cs="Times New Roman"/>
                      <w:color w:val="auto"/>
                      <w:sz w:val="21"/>
                      <w:szCs w:val="21"/>
                      <w:lang w:val="en-US" w:bidi="ar"/>
                    </w:rPr>
                    <w:t>仓工序废气治理设施出口（DA004）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颗粒物</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袋式除尘</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7200</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99</w:t>
                  </w:r>
                  <w:r>
                    <w:rPr>
                      <w:rFonts w:hint="eastAsia" w:ascii="Times New Roman" w:hAnsi="Times New Roman" w:cs="Times New Roman"/>
                      <w:color w:val="auto"/>
                      <w:sz w:val="21"/>
                      <w:szCs w:val="21"/>
                      <w:lang w:val="en-US" w:bidi="ar"/>
                    </w:rPr>
                    <w:t>.5</w:t>
                  </w:r>
                  <w:r>
                    <w:rPr>
                      <w:rFonts w:ascii="Times New Roman" w:hAnsi="Times New Roman" w:cs="Times New Roman"/>
                      <w:color w:val="auto"/>
                      <w:sz w:val="21"/>
                      <w:szCs w:val="21"/>
                      <w:lang w:val="en-US"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3.2871 </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0.0164 </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0.1183 </w:t>
                  </w:r>
                </w:p>
              </w:tc>
            </w:tr>
          </w:tbl>
          <w:p>
            <w:pPr>
              <w:pStyle w:val="25"/>
              <w:autoSpaceDE/>
              <w:autoSpaceDN/>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kern w:val="2"/>
                <w:sz w:val="21"/>
                <w:szCs w:val="24"/>
                <w:lang w:val="en-US" w:bidi="ar-SA"/>
              </w:rPr>
              <w:t>根据上表可知，</w:t>
            </w:r>
            <w:r>
              <w:rPr>
                <w:rFonts w:ascii="Times New Roman" w:hAnsi="Times New Roman" w:cs="Times New Roman"/>
                <w:color w:val="auto"/>
                <w:sz w:val="21"/>
                <w:szCs w:val="21"/>
                <w:lang w:val="en-US"/>
              </w:rPr>
              <w:t>采取上述除尘措施后，颗粒物排放满足《水泥工业大气污染物超低排放标准》（DB13/2167-2020）表1散装水泥中转站及水泥制品生产中（水泥仓及其他通风生产设备）排放标准，即颗粒物排放浓度≤10mg/m</w:t>
            </w:r>
            <w:r>
              <w:rPr>
                <w:rFonts w:ascii="Times New Roman" w:hAnsi="Times New Roman" w:cs="Times New Roman"/>
                <w:color w:val="auto"/>
                <w:sz w:val="21"/>
                <w:szCs w:val="21"/>
                <w:vertAlign w:val="superscript"/>
                <w:lang w:val="en-US"/>
              </w:rPr>
              <w:t>3</w:t>
            </w:r>
            <w:r>
              <w:rPr>
                <w:rFonts w:ascii="Times New Roman" w:hAnsi="Times New Roman" w:cs="Times New Roman"/>
                <w:color w:val="auto"/>
                <w:sz w:val="21"/>
                <w:szCs w:val="21"/>
                <w:lang w:val="en-US"/>
              </w:rPr>
              <w:t>。</w:t>
            </w:r>
          </w:p>
          <w:p>
            <w:pPr>
              <w:spacing w:line="400" w:lineRule="exact"/>
              <w:ind w:left="110" w:leftChars="50" w:firstLine="421" w:firstLineChars="200"/>
              <w:rPr>
                <w:rFonts w:ascii="Times New Roman" w:hAnsi="Times New Roman" w:cs="Times New Roman"/>
                <w:b/>
                <w:color w:val="auto"/>
                <w:sz w:val="21"/>
                <w:szCs w:val="21"/>
                <w:lang w:val="en-US"/>
              </w:rPr>
            </w:pPr>
            <w:r>
              <w:rPr>
                <w:rFonts w:ascii="Times New Roman" w:hAnsi="Times New Roman" w:cs="Times New Roman"/>
                <w:b/>
                <w:color w:val="auto"/>
                <w:sz w:val="21"/>
                <w:szCs w:val="21"/>
              </w:rPr>
              <w:t>（</w:t>
            </w:r>
            <w:r>
              <w:rPr>
                <w:rFonts w:ascii="Times New Roman" w:hAnsi="Times New Roman" w:cs="Times New Roman"/>
                <w:b/>
                <w:color w:val="auto"/>
                <w:sz w:val="21"/>
                <w:szCs w:val="21"/>
                <w:lang w:val="en-US"/>
              </w:rPr>
              <w:t>4</w:t>
            </w:r>
            <w:r>
              <w:rPr>
                <w:rFonts w:ascii="Times New Roman" w:hAnsi="Times New Roman" w:cs="Times New Roman"/>
                <w:b/>
                <w:color w:val="auto"/>
                <w:sz w:val="21"/>
                <w:szCs w:val="21"/>
              </w:rPr>
              <w:t>）</w:t>
            </w:r>
            <w:r>
              <w:rPr>
                <w:rFonts w:ascii="Times New Roman" w:hAnsi="Times New Roman" w:cs="Times New Roman"/>
                <w:b/>
                <w:color w:val="auto"/>
                <w:sz w:val="21"/>
                <w:szCs w:val="21"/>
                <w:lang w:val="en-US"/>
              </w:rPr>
              <w:t>厂界无组织粉尘</w:t>
            </w:r>
          </w:p>
          <w:p>
            <w:pPr>
              <w:pStyle w:val="61"/>
              <w:spacing w:line="400" w:lineRule="exact"/>
              <w:ind w:left="110" w:leftChars="50" w:firstLine="420"/>
              <w:rPr>
                <w:rFonts w:cs="Times New Roman"/>
                <w:color w:val="auto"/>
                <w:kern w:val="0"/>
                <w:sz w:val="21"/>
                <w:szCs w:val="21"/>
                <w:lang w:val="en-US"/>
              </w:rPr>
            </w:pPr>
            <w:r>
              <w:rPr>
                <w:rFonts w:cs="Times New Roman"/>
                <w:color w:val="auto"/>
                <w:kern w:val="0"/>
                <w:sz w:val="21"/>
                <w:szCs w:val="21"/>
                <w:lang w:val="en-US"/>
              </w:rPr>
              <w:t>无组织废气排放情况及污染源参数见下表。</w:t>
            </w:r>
          </w:p>
          <w:p>
            <w:pPr>
              <w:pStyle w:val="25"/>
              <w:tabs>
                <w:tab w:val="right" w:leader="dot" w:pos="8507"/>
              </w:tabs>
              <w:autoSpaceDE/>
              <w:autoSpaceDN/>
              <w:spacing w:line="40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5</w:t>
            </w:r>
            <w:r>
              <w:rPr>
                <w:rFonts w:ascii="Times New Roman" w:hAnsi="Times New Roman" w:cs="Times New Roman"/>
                <w:b/>
                <w:bCs/>
                <w:color w:val="auto"/>
                <w:kern w:val="2"/>
                <w:sz w:val="21"/>
                <w:szCs w:val="24"/>
                <w:lang w:val="en-US" w:bidi="ar-SA"/>
              </w:rPr>
              <w:t xml:space="preserve">  大气污染物无组织排放量核算表</w:t>
            </w:r>
          </w:p>
          <w:tbl>
            <w:tblPr>
              <w:tblStyle w:val="32"/>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675"/>
              <w:gridCol w:w="1620"/>
              <w:gridCol w:w="551"/>
              <w:gridCol w:w="1414"/>
              <w:gridCol w:w="1773"/>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vAlign w:val="center"/>
                </w:tcPr>
                <w:p>
                  <w:pPr>
                    <w:jc w:val="center"/>
                    <w:rPr>
                      <w:rFonts w:ascii="Times New Roman" w:hAnsi="Times New Roman" w:cs="Times New Roman"/>
                      <w:color w:val="auto"/>
                      <w:sz w:val="21"/>
                      <w:szCs w:val="21"/>
                      <w:lang w:val="en-US" w:eastAsia="en-US" w:bidi="ar-SA"/>
                    </w:rPr>
                  </w:pPr>
                  <w:r>
                    <w:rPr>
                      <w:rFonts w:ascii="Times New Roman" w:hAnsi="Times New Roman" w:cs="Times New Roman"/>
                      <w:b/>
                      <w:bCs/>
                      <w:color w:val="auto"/>
                      <w:sz w:val="21"/>
                      <w:szCs w:val="21"/>
                      <w:lang w:val="en-US" w:eastAsia="en-US" w:bidi="ar-SA"/>
                    </w:rPr>
                    <w:t>序号</w:t>
                  </w:r>
                </w:p>
              </w:tc>
              <w:tc>
                <w:tcPr>
                  <w:tcW w:w="675" w:type="dxa"/>
                  <w:vMerge w:val="restart"/>
                  <w:vAlign w:val="center"/>
                </w:tcPr>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rPr>
                    <w:t>污染源名称</w:t>
                  </w:r>
                </w:p>
              </w:tc>
              <w:tc>
                <w:tcPr>
                  <w:tcW w:w="1620" w:type="dxa"/>
                  <w:vMerge w:val="restart"/>
                  <w:vAlign w:val="center"/>
                </w:tcPr>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产污环节</w:t>
                  </w:r>
                </w:p>
              </w:tc>
              <w:tc>
                <w:tcPr>
                  <w:tcW w:w="551" w:type="dxa"/>
                  <w:vMerge w:val="restart"/>
                  <w:vAlign w:val="center"/>
                </w:tcPr>
                <w:p>
                  <w:pPr>
                    <w:jc w:val="center"/>
                    <w:rPr>
                      <w:rFonts w:ascii="Times New Roman" w:hAnsi="Times New Roman" w:cs="Times New Roman"/>
                      <w:b/>
                      <w:bCs/>
                      <w:color w:val="auto"/>
                      <w:sz w:val="21"/>
                      <w:szCs w:val="21"/>
                      <w:lang w:val="en-US" w:eastAsia="en-US" w:bidi="ar-SA"/>
                    </w:rPr>
                  </w:pPr>
                  <w:r>
                    <w:rPr>
                      <w:rFonts w:ascii="Times New Roman" w:hAnsi="Times New Roman" w:cs="Times New Roman"/>
                      <w:b/>
                      <w:bCs/>
                      <w:color w:val="auto"/>
                      <w:sz w:val="21"/>
                      <w:szCs w:val="21"/>
                      <w:lang w:val="en-US" w:eastAsia="en-US" w:bidi="ar-SA"/>
                    </w:rPr>
                    <w:t>污染物</w:t>
                  </w:r>
                </w:p>
              </w:tc>
              <w:tc>
                <w:tcPr>
                  <w:tcW w:w="1414" w:type="dxa"/>
                  <w:vMerge w:val="restart"/>
                  <w:vAlign w:val="center"/>
                </w:tcPr>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z w:val="21"/>
                      <w:szCs w:val="21"/>
                      <w:lang w:val="en-US" w:bidi="ar-SA"/>
                    </w:rPr>
                    <w:t>主要污染防治措施</w:t>
                  </w:r>
                </w:p>
              </w:tc>
              <w:tc>
                <w:tcPr>
                  <w:tcW w:w="3707" w:type="dxa"/>
                  <w:gridSpan w:val="2"/>
                  <w:vAlign w:val="center"/>
                </w:tcPr>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pacing w:val="-3"/>
                      <w:sz w:val="21"/>
                      <w:szCs w:val="21"/>
                      <w:lang w:val="en-US" w:bidi="ar-SA"/>
                    </w:rPr>
                    <w:t>国家或地方污染物排放标准</w:t>
                  </w:r>
                </w:p>
              </w:tc>
              <w:tc>
                <w:tcPr>
                  <w:tcW w:w="698" w:type="dxa"/>
                  <w:vMerge w:val="restart"/>
                  <w:vAlign w:val="center"/>
                </w:tcPr>
                <w:p>
                  <w:pPr>
                    <w:jc w:val="center"/>
                    <w:rPr>
                      <w:rFonts w:ascii="Times New Roman" w:hAnsi="Times New Roman" w:cs="Times New Roman"/>
                      <w:b/>
                      <w:bCs/>
                      <w:color w:val="auto"/>
                      <w:spacing w:val="-5"/>
                      <w:sz w:val="21"/>
                      <w:szCs w:val="21"/>
                      <w:lang w:val="en-US" w:eastAsia="en-US" w:bidi="ar-SA"/>
                    </w:rPr>
                  </w:pPr>
                  <w:r>
                    <w:rPr>
                      <w:rFonts w:ascii="Times New Roman" w:hAnsi="Times New Roman" w:cs="Times New Roman"/>
                      <w:b/>
                      <w:bCs/>
                      <w:color w:val="auto"/>
                      <w:spacing w:val="-5"/>
                      <w:sz w:val="21"/>
                      <w:szCs w:val="21"/>
                      <w:lang w:val="en-US" w:eastAsia="en-US" w:bidi="ar-SA"/>
                    </w:rPr>
                    <w:t>年排放</w:t>
                  </w:r>
                </w:p>
                <w:p>
                  <w:pPr>
                    <w:jc w:val="center"/>
                    <w:rPr>
                      <w:rFonts w:ascii="Times New Roman" w:hAnsi="Times New Roman" w:cs="Times New Roman"/>
                      <w:b/>
                      <w:bCs/>
                      <w:color w:val="auto"/>
                      <w:sz w:val="21"/>
                      <w:szCs w:val="21"/>
                      <w:lang w:val="en-US" w:bidi="ar-SA"/>
                    </w:rPr>
                  </w:pPr>
                  <w:r>
                    <w:rPr>
                      <w:rFonts w:ascii="Times New Roman" w:hAnsi="Times New Roman" w:cs="Times New Roman"/>
                      <w:b/>
                      <w:bCs/>
                      <w:color w:val="auto"/>
                      <w:spacing w:val="-5"/>
                      <w:sz w:val="21"/>
                      <w:szCs w:val="21"/>
                      <w:lang w:val="en-US" w:eastAsia="en-US" w:bidi="ar-SA"/>
                    </w:rPr>
                    <w:t>量</w:t>
                  </w:r>
                  <w:r>
                    <w:rPr>
                      <w:rFonts w:ascii="Times New Roman" w:hAnsi="Times New Roman" w:cs="Times New Roman"/>
                      <w:b/>
                      <w:bCs/>
                      <w:color w:val="auto"/>
                      <w:spacing w:val="-5"/>
                      <w:sz w:val="21"/>
                      <w:szCs w:val="21"/>
                      <w:lang w:val="en-US" w:bidi="ar-SA"/>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continue"/>
                  <w:vAlign w:val="center"/>
                </w:tcPr>
                <w:p>
                  <w:pPr>
                    <w:jc w:val="center"/>
                    <w:rPr>
                      <w:rFonts w:ascii="Times New Roman" w:hAnsi="Times New Roman" w:cs="Times New Roman"/>
                      <w:color w:val="auto"/>
                      <w:sz w:val="21"/>
                      <w:szCs w:val="21"/>
                    </w:rPr>
                  </w:pPr>
                </w:p>
              </w:tc>
              <w:tc>
                <w:tcPr>
                  <w:tcW w:w="675" w:type="dxa"/>
                  <w:vMerge w:val="continue"/>
                  <w:vAlign w:val="center"/>
                </w:tcPr>
                <w:p>
                  <w:pPr>
                    <w:jc w:val="center"/>
                    <w:rPr>
                      <w:rFonts w:ascii="Times New Roman" w:hAnsi="Times New Roman" w:cs="Times New Roman"/>
                      <w:color w:val="auto"/>
                      <w:sz w:val="21"/>
                      <w:szCs w:val="21"/>
                    </w:rPr>
                  </w:pPr>
                </w:p>
              </w:tc>
              <w:tc>
                <w:tcPr>
                  <w:tcW w:w="1620" w:type="dxa"/>
                  <w:vMerge w:val="continue"/>
                  <w:vAlign w:val="center"/>
                </w:tcPr>
                <w:p>
                  <w:pPr>
                    <w:jc w:val="center"/>
                    <w:rPr>
                      <w:rFonts w:ascii="Times New Roman" w:hAnsi="Times New Roman" w:cs="Times New Roman"/>
                      <w:color w:val="auto"/>
                      <w:sz w:val="21"/>
                      <w:szCs w:val="21"/>
                    </w:rPr>
                  </w:pPr>
                </w:p>
              </w:tc>
              <w:tc>
                <w:tcPr>
                  <w:tcW w:w="551" w:type="dxa"/>
                  <w:vMerge w:val="continue"/>
                  <w:vAlign w:val="center"/>
                </w:tcPr>
                <w:p>
                  <w:pPr>
                    <w:jc w:val="center"/>
                    <w:rPr>
                      <w:rFonts w:ascii="Times New Roman" w:hAnsi="Times New Roman" w:cs="Times New Roman"/>
                      <w:color w:val="auto"/>
                      <w:sz w:val="21"/>
                      <w:szCs w:val="21"/>
                    </w:rPr>
                  </w:pPr>
                </w:p>
              </w:tc>
              <w:tc>
                <w:tcPr>
                  <w:tcW w:w="1414" w:type="dxa"/>
                  <w:vMerge w:val="continue"/>
                  <w:vAlign w:val="center"/>
                </w:tcPr>
                <w:p>
                  <w:pPr>
                    <w:jc w:val="center"/>
                    <w:rPr>
                      <w:rFonts w:ascii="Times New Roman" w:hAnsi="Times New Roman" w:cs="Times New Roman"/>
                      <w:color w:val="auto"/>
                      <w:sz w:val="21"/>
                      <w:szCs w:val="21"/>
                    </w:rPr>
                  </w:pPr>
                </w:p>
              </w:tc>
              <w:tc>
                <w:tcPr>
                  <w:tcW w:w="1773" w:type="dxa"/>
                  <w:vAlign w:val="center"/>
                </w:tcPr>
                <w:p>
                  <w:pPr>
                    <w:jc w:val="center"/>
                    <w:rPr>
                      <w:rFonts w:ascii="Times New Roman" w:hAnsi="Times New Roman" w:cs="Times New Roman"/>
                      <w:b/>
                      <w:bCs/>
                      <w:color w:val="auto"/>
                      <w:spacing w:val="-3"/>
                      <w:sz w:val="21"/>
                      <w:szCs w:val="21"/>
                      <w:lang w:val="en-US" w:bidi="ar-SA"/>
                    </w:rPr>
                  </w:pPr>
                  <w:r>
                    <w:rPr>
                      <w:rFonts w:ascii="Times New Roman" w:hAnsi="Times New Roman" w:cs="Times New Roman"/>
                      <w:b/>
                      <w:bCs/>
                      <w:color w:val="auto"/>
                      <w:spacing w:val="-3"/>
                      <w:sz w:val="21"/>
                      <w:szCs w:val="21"/>
                      <w:lang w:val="en-US" w:bidi="ar-SA"/>
                    </w:rPr>
                    <w:t>标准名称</w:t>
                  </w:r>
                </w:p>
              </w:tc>
              <w:tc>
                <w:tcPr>
                  <w:tcW w:w="1934" w:type="dxa"/>
                  <w:vAlign w:val="center"/>
                </w:tcPr>
                <w:p>
                  <w:pPr>
                    <w:jc w:val="center"/>
                    <w:rPr>
                      <w:rFonts w:ascii="Times New Roman" w:hAnsi="Times New Roman" w:cs="Times New Roman"/>
                      <w:b/>
                      <w:bCs/>
                      <w:color w:val="auto"/>
                      <w:spacing w:val="-3"/>
                      <w:sz w:val="21"/>
                      <w:szCs w:val="21"/>
                      <w:lang w:val="en-US" w:bidi="ar-SA"/>
                    </w:rPr>
                  </w:pPr>
                  <w:r>
                    <w:rPr>
                      <w:rFonts w:ascii="Times New Roman" w:hAnsi="Times New Roman" w:cs="Times New Roman"/>
                      <w:b/>
                      <w:bCs/>
                      <w:color w:val="auto"/>
                      <w:spacing w:val="-3"/>
                      <w:sz w:val="21"/>
                      <w:szCs w:val="21"/>
                      <w:lang w:val="en-US" w:bidi="ar-SA"/>
                    </w:rPr>
                    <w:t>浓度限值/（</w:t>
                  </w:r>
                  <w:r>
                    <w:rPr>
                      <w:rFonts w:ascii="Times New Roman" w:hAnsi="Times New Roman" w:cs="Times New Roman"/>
                      <w:b/>
                      <w:bCs/>
                      <w:color w:val="auto"/>
                      <w:spacing w:val="-4"/>
                      <w:sz w:val="21"/>
                      <w:szCs w:val="21"/>
                      <w:lang w:val="en-US"/>
                    </w:rPr>
                    <w:t>mg/m</w:t>
                  </w:r>
                  <w:r>
                    <w:rPr>
                      <w:rFonts w:ascii="Times New Roman" w:hAnsi="Times New Roman" w:cs="Times New Roman"/>
                      <w:b/>
                      <w:bCs/>
                      <w:color w:val="auto"/>
                      <w:spacing w:val="-4"/>
                      <w:sz w:val="21"/>
                      <w:szCs w:val="21"/>
                      <w:vertAlign w:val="superscript"/>
                      <w:lang w:val="en-US"/>
                    </w:rPr>
                    <w:t>3</w:t>
                  </w:r>
                  <w:r>
                    <w:rPr>
                      <w:rFonts w:ascii="Times New Roman" w:hAnsi="Times New Roman" w:cs="Times New Roman"/>
                      <w:b/>
                      <w:bCs/>
                      <w:color w:val="auto"/>
                      <w:spacing w:val="-3"/>
                      <w:sz w:val="21"/>
                      <w:szCs w:val="21"/>
                      <w:lang w:val="en-US" w:bidi="ar-SA"/>
                    </w:rPr>
                    <w:t>）</w:t>
                  </w:r>
                </w:p>
              </w:tc>
              <w:tc>
                <w:tcPr>
                  <w:tcW w:w="698" w:type="dxa"/>
                  <w:vMerge w:val="continue"/>
                  <w:vAlign w:val="center"/>
                </w:tcPr>
                <w:p>
                  <w:pPr>
                    <w:jc w:val="center"/>
                    <w:rPr>
                      <w:rFonts w:ascii="Times New Roman" w:hAnsi="Times New Roman" w:cs="Times New Roman"/>
                      <w:color w:val="auto"/>
                      <w:spacing w:val="-3"/>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268" w:type="dxa"/>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
                    </w:rPr>
                    <w:t>1</w:t>
                  </w:r>
                </w:p>
              </w:tc>
              <w:tc>
                <w:tcPr>
                  <w:tcW w:w="675" w:type="dxa"/>
                  <w:vMerge w:val="restart"/>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料场</w:t>
                  </w:r>
                </w:p>
              </w:tc>
              <w:tc>
                <w:tcPr>
                  <w:tcW w:w="1620" w:type="dxa"/>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
                    </w:rPr>
                    <w:t>料场粉尘</w:t>
                  </w:r>
                </w:p>
              </w:tc>
              <w:tc>
                <w:tcPr>
                  <w:tcW w:w="551" w:type="dxa"/>
                  <w:vMerge w:val="restart"/>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
                    </w:rPr>
                    <w:t>颗粒物</w:t>
                  </w:r>
                </w:p>
              </w:tc>
              <w:tc>
                <w:tcPr>
                  <w:tcW w:w="1414" w:type="dxa"/>
                  <w:vMerge w:val="restart"/>
                  <w:vAlign w:val="center"/>
                </w:tcPr>
                <w:p>
                  <w:pPr>
                    <w:widowControl/>
                    <w:jc w:val="center"/>
                    <w:textAlignment w:val="center"/>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
                    </w:rPr>
                    <w:t>车间密闭；设喷雾设备、车辆冲洗装置；选用密闭输送装置进行输送；地面硬化，加强绿化</w:t>
                  </w:r>
                </w:p>
              </w:tc>
              <w:tc>
                <w:tcPr>
                  <w:tcW w:w="1773" w:type="dxa"/>
                  <w:vMerge w:val="restart"/>
                  <w:vAlign w:val="center"/>
                </w:tcPr>
                <w:p>
                  <w:pPr>
                    <w:widowControl/>
                    <w:jc w:val="center"/>
                    <w:textAlignment w:val="center"/>
                    <w:rPr>
                      <w:rFonts w:ascii="Times New Roman" w:hAnsi="Times New Roman" w:cs="Times New Roman"/>
                      <w:color w:val="auto"/>
                      <w:spacing w:val="-3"/>
                      <w:sz w:val="21"/>
                      <w:szCs w:val="21"/>
                      <w:lang w:val="en-US" w:bidi="ar-SA"/>
                    </w:rPr>
                  </w:pPr>
                  <w:r>
                    <w:rPr>
                      <w:rFonts w:ascii="Times New Roman" w:hAnsi="Times New Roman" w:cs="Times New Roman"/>
                      <w:color w:val="auto"/>
                      <w:sz w:val="21"/>
                      <w:szCs w:val="21"/>
                      <w:lang w:val="en-US" w:bidi="ar"/>
                    </w:rPr>
                    <w:t xml:space="preserve">河北省地方标准《水泥工业大气污染物超低排放标准》（DB13/2167-2015） </w:t>
                  </w:r>
                </w:p>
              </w:tc>
              <w:tc>
                <w:tcPr>
                  <w:tcW w:w="1934" w:type="dxa"/>
                  <w:vMerge w:val="restart"/>
                  <w:vAlign w:val="center"/>
                </w:tcPr>
                <w:p>
                  <w:pPr>
                    <w:widowControl/>
                    <w:jc w:val="center"/>
                    <w:textAlignment w:val="center"/>
                    <w:rPr>
                      <w:rFonts w:ascii="Times New Roman" w:hAnsi="Times New Roman" w:cs="Times New Roman"/>
                      <w:color w:val="auto"/>
                      <w:spacing w:val="-3"/>
                      <w:sz w:val="21"/>
                      <w:szCs w:val="21"/>
                      <w:lang w:val="en-US" w:eastAsia="en-US" w:bidi="ar-SA"/>
                    </w:rPr>
                  </w:pPr>
                  <w:r>
                    <w:rPr>
                      <w:rFonts w:ascii="Times New Roman" w:hAnsi="Times New Roman" w:cs="Times New Roman"/>
                      <w:color w:val="auto"/>
                      <w:sz w:val="21"/>
                      <w:szCs w:val="21"/>
                      <w:lang w:val="en-US" w:bidi="ar"/>
                    </w:rPr>
                    <w:t>0.5mg/m</w:t>
                  </w:r>
                  <w:r>
                    <w:rPr>
                      <w:rFonts w:ascii="Times New Roman" w:hAnsi="Times New Roman" w:cs="Times New Roman"/>
                      <w:color w:val="auto"/>
                      <w:sz w:val="21"/>
                      <w:szCs w:val="21"/>
                      <w:vertAlign w:val="superscript"/>
                      <w:lang w:val="en-US" w:bidi="ar"/>
                    </w:rPr>
                    <w:t>3</w:t>
                  </w:r>
                </w:p>
              </w:tc>
              <w:tc>
                <w:tcPr>
                  <w:tcW w:w="698"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0.</w:t>
                  </w:r>
                  <w:r>
                    <w:rPr>
                      <w:rFonts w:hint="eastAsia" w:ascii="Times New Roman" w:hAnsi="Times New Roman" w:cs="Times New Roman"/>
                      <w:color w:val="auto"/>
                      <w:sz w:val="21"/>
                      <w:szCs w:val="21"/>
                      <w:lang w:val="en-US" w:bidi="ar"/>
                    </w:rPr>
                    <w:t>4201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2</w:t>
                  </w:r>
                </w:p>
              </w:tc>
              <w:tc>
                <w:tcPr>
                  <w:tcW w:w="675" w:type="dxa"/>
                  <w:vMerge w:val="continue"/>
                  <w:vAlign w:val="center"/>
                </w:tcPr>
                <w:p>
                  <w:pPr>
                    <w:jc w:val="center"/>
                    <w:rPr>
                      <w:rFonts w:ascii="Times New Roman" w:hAnsi="Times New Roman" w:cs="Times New Roman"/>
                      <w:color w:val="auto"/>
                      <w:sz w:val="21"/>
                      <w:szCs w:val="21"/>
                    </w:rPr>
                  </w:pPr>
                </w:p>
              </w:tc>
              <w:tc>
                <w:tcPr>
                  <w:tcW w:w="1620" w:type="dxa"/>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未被集气罩收集的粉尘</w:t>
                  </w:r>
                </w:p>
              </w:tc>
              <w:tc>
                <w:tcPr>
                  <w:tcW w:w="551" w:type="dxa"/>
                  <w:vMerge w:val="continue"/>
                  <w:vAlign w:val="center"/>
                </w:tcPr>
                <w:p>
                  <w:pPr>
                    <w:jc w:val="center"/>
                    <w:rPr>
                      <w:rFonts w:ascii="Times New Roman" w:hAnsi="Times New Roman" w:cs="Times New Roman"/>
                      <w:color w:val="auto"/>
                      <w:sz w:val="21"/>
                      <w:szCs w:val="21"/>
                    </w:rPr>
                  </w:pPr>
                </w:p>
              </w:tc>
              <w:tc>
                <w:tcPr>
                  <w:tcW w:w="1414" w:type="dxa"/>
                  <w:vMerge w:val="continue"/>
                  <w:vAlign w:val="center"/>
                </w:tcPr>
                <w:p>
                  <w:pPr>
                    <w:jc w:val="center"/>
                    <w:rPr>
                      <w:rFonts w:ascii="Times New Roman" w:hAnsi="Times New Roman" w:cs="Times New Roman"/>
                      <w:color w:val="auto"/>
                      <w:sz w:val="21"/>
                      <w:szCs w:val="21"/>
                    </w:rPr>
                  </w:pPr>
                </w:p>
              </w:tc>
              <w:tc>
                <w:tcPr>
                  <w:tcW w:w="1773" w:type="dxa"/>
                  <w:vMerge w:val="continue"/>
                  <w:vAlign w:val="center"/>
                </w:tcPr>
                <w:p>
                  <w:pPr>
                    <w:jc w:val="center"/>
                    <w:rPr>
                      <w:rFonts w:ascii="Times New Roman" w:hAnsi="Times New Roman" w:cs="Times New Roman"/>
                      <w:color w:val="auto"/>
                      <w:sz w:val="21"/>
                      <w:szCs w:val="21"/>
                      <w:lang w:val="en-US"/>
                    </w:rPr>
                  </w:pPr>
                </w:p>
              </w:tc>
              <w:tc>
                <w:tcPr>
                  <w:tcW w:w="1934" w:type="dxa"/>
                  <w:vMerge w:val="continue"/>
                  <w:vAlign w:val="center"/>
                </w:tcPr>
                <w:p>
                  <w:pPr>
                    <w:jc w:val="center"/>
                    <w:rPr>
                      <w:rFonts w:ascii="Times New Roman" w:hAnsi="Times New Roman" w:cs="Times New Roman"/>
                      <w:color w:val="auto"/>
                      <w:sz w:val="21"/>
                      <w:szCs w:val="21"/>
                      <w:lang w:val="en-US"/>
                    </w:rPr>
                  </w:pPr>
                </w:p>
              </w:tc>
              <w:tc>
                <w:tcPr>
                  <w:tcW w:w="698"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0.0397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3114" w:type="dxa"/>
                  <w:gridSpan w:val="4"/>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无组织排放总计</w:t>
                  </w:r>
                </w:p>
              </w:tc>
              <w:tc>
                <w:tcPr>
                  <w:tcW w:w="5121" w:type="dxa"/>
                  <w:gridSpan w:val="3"/>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98"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0.</w:t>
                  </w:r>
                  <w:r>
                    <w:rPr>
                      <w:rFonts w:hint="eastAsia" w:ascii="Times New Roman" w:hAnsi="Times New Roman" w:cs="Times New Roman"/>
                      <w:color w:val="auto"/>
                      <w:sz w:val="21"/>
                      <w:szCs w:val="21"/>
                      <w:lang w:val="en-US" w:bidi="ar"/>
                    </w:rPr>
                    <w:t>4598</w:t>
                  </w:r>
                </w:p>
              </w:tc>
            </w:tr>
          </w:tbl>
          <w:p>
            <w:pPr>
              <w:pStyle w:val="25"/>
              <w:tabs>
                <w:tab w:val="right" w:leader="dot" w:pos="8507"/>
              </w:tabs>
              <w:autoSpaceDE/>
              <w:autoSpaceDN/>
              <w:spacing w:line="48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6</w:t>
            </w:r>
            <w:r>
              <w:rPr>
                <w:rFonts w:ascii="Times New Roman" w:hAnsi="Times New Roman" w:cs="Times New Roman"/>
                <w:b/>
                <w:bCs/>
                <w:color w:val="auto"/>
                <w:kern w:val="2"/>
                <w:sz w:val="21"/>
                <w:szCs w:val="24"/>
                <w:lang w:val="en-US" w:bidi="ar-SA"/>
              </w:rPr>
              <w:t xml:space="preserve"> 主要废气污染源参数一览表(面源)</w:t>
            </w:r>
          </w:p>
          <w:tbl>
            <w:tblPr>
              <w:tblStyle w:val="32"/>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943"/>
              <w:gridCol w:w="1410"/>
              <w:gridCol w:w="1418"/>
              <w:gridCol w:w="885"/>
              <w:gridCol w:w="975"/>
              <w:gridCol w:w="990"/>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71" w:type="dxa"/>
                  <w:vMerge w:val="restart"/>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污染源名称</w:t>
                  </w:r>
                </w:p>
              </w:tc>
              <w:tc>
                <w:tcPr>
                  <w:tcW w:w="943" w:type="dxa"/>
                  <w:vMerge w:val="restart"/>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rPr>
                    <w:t>污染物名称</w:t>
                  </w:r>
                </w:p>
              </w:tc>
              <w:tc>
                <w:tcPr>
                  <w:tcW w:w="2828" w:type="dxa"/>
                  <w:gridSpan w:val="2"/>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坐标</w:t>
                  </w:r>
                </w:p>
              </w:tc>
              <w:tc>
                <w:tcPr>
                  <w:tcW w:w="885" w:type="dxa"/>
                  <w:vMerge w:val="restart"/>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海拔高度</w:t>
                  </w:r>
                </w:p>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/m</w:t>
                  </w:r>
                </w:p>
              </w:tc>
              <w:tc>
                <w:tcPr>
                  <w:tcW w:w="3142" w:type="dxa"/>
                  <w:gridSpan w:val="3"/>
                  <w:vAlign w:val="center"/>
                </w:tcPr>
                <w:p>
                  <w:pPr>
                    <w:pStyle w:val="52"/>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矩形</w:t>
                  </w:r>
                  <w:r>
                    <w:rPr>
                      <w:rFonts w:ascii="Times New Roman" w:hAnsi="Times New Roman" w:cs="Times New Roman"/>
                      <w:b/>
                      <w:bCs/>
                      <w:color w:val="auto"/>
                      <w:sz w:val="21"/>
                      <w:szCs w:val="21"/>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71" w:type="dxa"/>
                  <w:vMerge w:val="continue"/>
                  <w:tcBorders>
                    <w:top w:val="nil"/>
                  </w:tcBorders>
                  <w:vAlign w:val="center"/>
                </w:tcPr>
                <w:p>
                  <w:pPr>
                    <w:pStyle w:val="52"/>
                    <w:jc w:val="center"/>
                    <w:rPr>
                      <w:rFonts w:ascii="Times New Roman" w:hAnsi="Times New Roman" w:cs="Times New Roman"/>
                      <w:color w:val="auto"/>
                      <w:sz w:val="21"/>
                      <w:szCs w:val="21"/>
                    </w:rPr>
                  </w:pPr>
                </w:p>
              </w:tc>
              <w:tc>
                <w:tcPr>
                  <w:tcW w:w="943" w:type="dxa"/>
                  <w:vMerge w:val="continue"/>
                  <w:vAlign w:val="center"/>
                </w:tcPr>
                <w:p>
                  <w:pPr>
                    <w:pStyle w:val="52"/>
                    <w:jc w:val="center"/>
                    <w:rPr>
                      <w:rFonts w:ascii="Times New Roman" w:hAnsi="Times New Roman" w:cs="Times New Roman"/>
                      <w:color w:val="auto"/>
                      <w:sz w:val="21"/>
                      <w:szCs w:val="21"/>
                    </w:rPr>
                  </w:pPr>
                </w:p>
              </w:tc>
              <w:tc>
                <w:tcPr>
                  <w:tcW w:w="1410"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经度</w:t>
                  </w:r>
                </w:p>
              </w:tc>
              <w:tc>
                <w:tcPr>
                  <w:tcW w:w="1418"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纬度</w:t>
                  </w:r>
                </w:p>
              </w:tc>
              <w:tc>
                <w:tcPr>
                  <w:tcW w:w="885" w:type="dxa"/>
                  <w:vMerge w:val="continue"/>
                  <w:tcBorders>
                    <w:top w:val="nil"/>
                  </w:tcBorders>
                  <w:vAlign w:val="center"/>
                </w:tcPr>
                <w:p>
                  <w:pPr>
                    <w:pStyle w:val="52"/>
                    <w:jc w:val="center"/>
                    <w:rPr>
                      <w:rFonts w:ascii="Times New Roman" w:hAnsi="Times New Roman" w:cs="Times New Roman"/>
                      <w:color w:val="auto"/>
                      <w:sz w:val="21"/>
                      <w:szCs w:val="21"/>
                    </w:rPr>
                  </w:pPr>
                </w:p>
              </w:tc>
              <w:tc>
                <w:tcPr>
                  <w:tcW w:w="975"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长度(m)</w:t>
                  </w:r>
                </w:p>
              </w:tc>
              <w:tc>
                <w:tcPr>
                  <w:tcW w:w="990"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宽度(m)</w:t>
                  </w:r>
                </w:p>
              </w:tc>
              <w:tc>
                <w:tcPr>
                  <w:tcW w:w="1177" w:type="dxa"/>
                  <w:vAlign w:val="center"/>
                </w:tcPr>
                <w:p>
                  <w:pPr>
                    <w:pStyle w:val="52"/>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171"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SA"/>
                    </w:rPr>
                    <w:t>料场</w:t>
                  </w:r>
                </w:p>
              </w:tc>
              <w:tc>
                <w:tcPr>
                  <w:tcW w:w="943" w:type="dxa"/>
                  <w:vAlign w:val="center"/>
                </w:tcPr>
                <w:p>
                  <w:pPr>
                    <w:widowControl/>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bidi="ar"/>
                    </w:rPr>
                    <w:t>颗粒物</w:t>
                  </w:r>
                </w:p>
              </w:tc>
              <w:tc>
                <w:tcPr>
                  <w:tcW w:w="1410"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114°55′42.037</w:t>
                  </w:r>
                  <w:r>
                    <w:rPr>
                      <w:rFonts w:ascii="Times New Roman" w:hAnsi="Times New Roman" w:cs="Times New Roman"/>
                      <w:color w:val="auto"/>
                      <w:sz w:val="21"/>
                      <w:szCs w:val="21"/>
                    </w:rPr>
                    <w:t>″</w:t>
                  </w:r>
                </w:p>
              </w:tc>
              <w:tc>
                <w:tcPr>
                  <w:tcW w:w="1418"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36°18′50.744″</w:t>
                  </w:r>
                </w:p>
              </w:tc>
              <w:tc>
                <w:tcPr>
                  <w:tcW w:w="885" w:type="dxa"/>
                  <w:vAlign w:val="center"/>
                </w:tcPr>
                <w:p>
                  <w:pPr>
                    <w:pStyle w:val="52"/>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50</w:t>
                  </w:r>
                </w:p>
              </w:tc>
              <w:tc>
                <w:tcPr>
                  <w:tcW w:w="975"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77</w:t>
                  </w:r>
                </w:p>
              </w:tc>
              <w:tc>
                <w:tcPr>
                  <w:tcW w:w="990"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52</w:t>
                  </w:r>
                </w:p>
              </w:tc>
              <w:tc>
                <w:tcPr>
                  <w:tcW w:w="1177" w:type="dxa"/>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10</w:t>
                  </w:r>
                </w:p>
              </w:tc>
            </w:tr>
          </w:tbl>
          <w:p>
            <w:pPr>
              <w:pStyle w:val="25"/>
              <w:autoSpaceDE/>
              <w:autoSpaceDN/>
              <w:spacing w:line="400" w:lineRule="exact"/>
              <w:ind w:left="110" w:leftChars="50" w:right="110" w:rightChars="50" w:firstLine="421" w:firstLineChars="200"/>
              <w:jc w:val="both"/>
              <w:rPr>
                <w:rFonts w:ascii="Times New Roman" w:hAnsi="Times New Roman" w:cs="Times New Roman"/>
                <w:b/>
                <w:bCs/>
                <w:color w:val="auto"/>
                <w:sz w:val="21"/>
                <w:lang w:val="en-US"/>
              </w:rPr>
            </w:pPr>
            <w:r>
              <w:rPr>
                <w:rFonts w:ascii="Times New Roman" w:hAnsi="Times New Roman" w:cs="Times New Roman"/>
                <w:b/>
                <w:bCs/>
                <w:color w:val="auto"/>
                <w:kern w:val="2"/>
                <w:sz w:val="21"/>
                <w:szCs w:val="24"/>
                <w:lang w:val="en-US" w:bidi="ar-SA"/>
              </w:rPr>
              <w:t>①</w:t>
            </w:r>
            <w:r>
              <w:rPr>
                <w:rFonts w:ascii="Times New Roman" w:hAnsi="Times New Roman" w:cs="Times New Roman"/>
                <w:b/>
                <w:bCs/>
                <w:color w:val="auto"/>
                <w:sz w:val="21"/>
                <w:lang w:val="en-US"/>
              </w:rPr>
              <w:t>料场粉尘（G0）</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1"/>
                <w:lang w:val="en-US" w:bidi="ar-SA"/>
              </w:rPr>
              <w:t>主要外购细骨料</w:t>
            </w:r>
            <w:r>
              <w:rPr>
                <w:rFonts w:ascii="Times New Roman" w:hAnsi="Times New Roman" w:cs="Times New Roman"/>
                <w:color w:val="auto"/>
                <w:sz w:val="21"/>
                <w:szCs w:val="21"/>
              </w:rPr>
              <w:t>通过自卸汽车卸料到贮堆扬尘，</w:t>
            </w:r>
            <w:r>
              <w:rPr>
                <w:rFonts w:ascii="Times New Roman" w:hAnsi="Times New Roman" w:cs="Times New Roman"/>
                <w:color w:val="auto"/>
                <w:kern w:val="2"/>
                <w:sz w:val="21"/>
                <w:szCs w:val="21"/>
                <w:lang w:val="en-US" w:bidi="ar-SA"/>
              </w:rPr>
              <w:t>用</w:t>
            </w:r>
            <w:r>
              <w:rPr>
                <w:rFonts w:ascii="Times New Roman" w:hAnsi="Times New Roman" w:cs="Times New Roman"/>
                <w:color w:val="auto"/>
                <w:sz w:val="21"/>
                <w:szCs w:val="21"/>
              </w:rPr>
              <w:t>装载机装卸、转运物料扬尘以及风蚀扬尘、动力扬尘</w:t>
            </w:r>
            <w:r>
              <w:rPr>
                <w:rFonts w:ascii="Times New Roman" w:hAnsi="Times New Roman" w:cs="Times New Roman"/>
                <w:color w:val="auto"/>
                <w:kern w:val="2"/>
                <w:sz w:val="21"/>
                <w:szCs w:val="24"/>
                <w:lang w:val="en-US" w:bidi="ar-SA"/>
              </w:rPr>
              <w:t>。根据《排放源统计调查产排污核算方法和系数手册》附表2固体物料堆存颗粒物产排污核算系数手册，本项目</w:t>
            </w:r>
            <w:r>
              <w:rPr>
                <w:rFonts w:ascii="Times New Roman" w:hAnsi="Times New Roman" w:cs="Times New Roman"/>
                <w:color w:val="auto"/>
                <w:kern w:val="2"/>
                <w:sz w:val="21"/>
                <w:szCs w:val="21"/>
                <w:lang w:val="en-US" w:bidi="ar-SA"/>
              </w:rPr>
              <w:t>2#生产车间内西侧设置料场存放细骨料</w:t>
            </w:r>
            <w:r>
              <w:rPr>
                <w:rFonts w:ascii="Times New Roman" w:hAnsi="Times New Roman" w:cs="Times New Roman"/>
                <w:color w:val="auto"/>
                <w:kern w:val="2"/>
                <w:sz w:val="21"/>
                <w:szCs w:val="24"/>
                <w:lang w:val="en-US" w:bidi="ar-SA"/>
              </w:rPr>
              <w:t xml:space="preserve">，颗粒物产生量核算公式如下： </w:t>
            </w:r>
          </w:p>
          <w:p>
            <w:pPr>
              <w:autoSpaceDE/>
              <w:autoSpaceDN/>
              <w:snapToGrid w:val="0"/>
              <w:spacing w:line="400" w:lineRule="exact"/>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P=ZCy+FCy={Nc×D×（a/b）+2×Ef×S}×10</w:t>
            </w:r>
            <w:r>
              <w:rPr>
                <w:rFonts w:ascii="Times New Roman" w:hAnsi="Times New Roman" w:cs="Times New Roman"/>
                <w:color w:val="auto"/>
                <w:kern w:val="2"/>
                <w:sz w:val="21"/>
                <w:szCs w:val="24"/>
                <w:vertAlign w:val="superscript"/>
                <w:lang w:val="en-US" w:bidi="ar-SA"/>
              </w:rPr>
              <w:t>−3</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式中：P：指颗粒物产生量（单位：吨）；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ZCy：指装卸扬尘产生量（单位：吨）；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FCy：指风蚀扬尘产生量（单位：吨）；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Nc×D：指年运输物料量，</w:t>
            </w:r>
            <w:r>
              <w:rPr>
                <w:rFonts w:ascii="Times New Roman" w:hAnsi="Times New Roman" w:cs="Times New Roman"/>
                <w:color w:val="auto"/>
                <w:sz w:val="21"/>
                <w:szCs w:val="21"/>
                <w:lang w:val="en-US"/>
              </w:rPr>
              <w:t>本项目料场共储存细骨料</w:t>
            </w:r>
            <w:r>
              <w:rPr>
                <w:rFonts w:hint="eastAsia" w:ascii="Times New Roman" w:hAnsi="Times New Roman" w:cs="Times New Roman"/>
                <w:color w:val="auto"/>
                <w:sz w:val="21"/>
                <w:szCs w:val="21"/>
                <w:lang w:val="en-US"/>
              </w:rPr>
              <w:t>512500</w:t>
            </w:r>
            <w:r>
              <w:rPr>
                <w:rFonts w:ascii="Times New Roman" w:hAnsi="Times New Roman" w:cs="Times New Roman"/>
                <w:color w:val="auto"/>
                <w:sz w:val="21"/>
                <w:szCs w:val="21"/>
                <w:lang w:val="en-US"/>
              </w:rPr>
              <w:t>t/a</w:t>
            </w:r>
            <w:r>
              <w:rPr>
                <w:rFonts w:ascii="Times New Roman" w:hAnsi="Times New Roman" w:cs="Times New Roman"/>
                <w:color w:val="auto"/>
                <w:kern w:val="2"/>
                <w:sz w:val="21"/>
                <w:szCs w:val="24"/>
                <w:lang w:val="en-US" w:bidi="ar-SA"/>
              </w:rPr>
              <w:t>。Nc指年物料运载车次（单位：车），D：指单车平均运载量（单位：吨/车）。</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（a/b）：指装卸扬尘概化系数（单位：千克/吨），a指各省风速概化系数，河北的系数为0.0010，b指物料含水率概化系数，细骨料参照煤矸石的概化系数0.0008；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Ef：指堆场风蚀扬尘概化系数（单位：千克/平方米），细骨料参照煤矸石的概化系数11.7366；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S：指堆场占地面积（单位：平方米），本项目占用封闭式料场面积约为</w:t>
            </w:r>
            <w:r>
              <w:rPr>
                <w:rFonts w:hint="eastAsia" w:ascii="Times New Roman" w:hAnsi="Times New Roman" w:cs="Times New Roman"/>
                <w:color w:val="auto"/>
                <w:kern w:val="2"/>
                <w:sz w:val="21"/>
                <w:szCs w:val="24"/>
                <w:lang w:val="en-US" w:bidi="ar-SA"/>
              </w:rPr>
              <w:t>1100</w:t>
            </w:r>
            <w:r>
              <w:rPr>
                <w:rFonts w:ascii="Times New Roman" w:hAnsi="Times New Roman" w:cs="Times New Roman"/>
                <w:color w:val="auto"/>
                <w:kern w:val="2"/>
                <w:sz w:val="21"/>
                <w:szCs w:val="24"/>
                <w:lang w:val="en-US" w:bidi="ar-SA"/>
              </w:rPr>
              <w:t>m</w:t>
            </w:r>
            <w:r>
              <w:rPr>
                <w:rFonts w:ascii="Times New Roman" w:hAnsi="Times New Roman" w:cs="Times New Roman"/>
                <w:color w:val="auto"/>
                <w:kern w:val="2"/>
                <w:sz w:val="21"/>
                <w:szCs w:val="24"/>
                <w:vertAlign w:val="superscript"/>
                <w:lang w:val="en-US" w:bidi="ar-SA"/>
              </w:rPr>
              <w:t>2</w:t>
            </w:r>
            <w:r>
              <w:rPr>
                <w:rFonts w:ascii="Times New Roman" w:hAnsi="Times New Roman" w:cs="Times New Roman"/>
                <w:color w:val="auto"/>
                <w:kern w:val="2"/>
                <w:sz w:val="21"/>
                <w:szCs w:val="24"/>
                <w:lang w:val="en-US" w:bidi="ar-SA"/>
              </w:rPr>
              <w:t>。</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sz w:val="21"/>
                <w:szCs w:val="21"/>
              </w:rPr>
              <w:t>为了避免物料贮存产生扬尘，项目将原料直接卸</w:t>
            </w:r>
            <w:r>
              <w:rPr>
                <w:rFonts w:ascii="Times New Roman" w:hAnsi="Times New Roman" w:cs="Times New Roman"/>
                <w:color w:val="auto"/>
                <w:sz w:val="21"/>
                <w:szCs w:val="21"/>
                <w:lang w:val="en-US"/>
              </w:rPr>
              <w:t>料</w:t>
            </w:r>
            <w:r>
              <w:rPr>
                <w:rFonts w:ascii="Times New Roman" w:hAnsi="Times New Roman" w:cs="Times New Roman"/>
                <w:color w:val="auto"/>
                <w:sz w:val="21"/>
                <w:szCs w:val="21"/>
              </w:rPr>
              <w:t>并贮存于密闭</w:t>
            </w:r>
            <w:r>
              <w:rPr>
                <w:rFonts w:ascii="Times New Roman" w:hAnsi="Times New Roman" w:cs="Times New Roman"/>
                <w:color w:val="auto"/>
                <w:sz w:val="21"/>
                <w:szCs w:val="21"/>
                <w:lang w:val="en-US"/>
              </w:rPr>
              <w:t>料场</w:t>
            </w:r>
            <w:r>
              <w:rPr>
                <w:rFonts w:ascii="Times New Roman" w:hAnsi="Times New Roman" w:cs="Times New Roman"/>
                <w:color w:val="auto"/>
                <w:sz w:val="21"/>
                <w:szCs w:val="21"/>
              </w:rPr>
              <w:t>内，料场只留车辆进出口，可有效防止风吹扬尘的产生。设车辆冲洗设备，地面混凝土硬化，未硬化地点绿化，</w:t>
            </w:r>
            <w:r>
              <w:rPr>
                <w:rFonts w:ascii="Times New Roman" w:hAnsi="Times New Roman" w:cs="Times New Roman"/>
                <w:color w:val="auto"/>
                <w:sz w:val="21"/>
                <w:szCs w:val="21"/>
                <w:lang w:val="en-US"/>
              </w:rPr>
              <w:t>料场</w:t>
            </w:r>
            <w:r>
              <w:rPr>
                <w:rFonts w:ascii="Times New Roman" w:hAnsi="Times New Roman" w:cs="Times New Roman"/>
                <w:color w:val="auto"/>
                <w:sz w:val="21"/>
                <w:szCs w:val="21"/>
              </w:rPr>
              <w:t>安装喷雾装置，定期喷水</w:t>
            </w:r>
            <w:r>
              <w:rPr>
                <w:rFonts w:ascii="Times New Roman" w:hAnsi="Times New Roman" w:cs="Times New Roman"/>
                <w:color w:val="auto"/>
                <w:kern w:val="2"/>
                <w:sz w:val="21"/>
                <w:szCs w:val="24"/>
                <w:lang w:val="en-US" w:bidi="ar-SA"/>
              </w:rPr>
              <w:t xml:space="preserve">。参照《排放源统计调查产排污核算方法和系数手册》附表2固体物料堆存颗粒物产排污核算系数手册，洒水（本项目采用喷雾降尘）的控制效率为74%，出入车辆冲洗的控制效率为78%，密闭式堆场的控制效率为99%。工业企业固体物料堆场颗粒物排放量核算公式如下： </w:t>
            </w:r>
          </w:p>
          <w:p>
            <w:pPr>
              <w:autoSpaceDE/>
              <w:autoSpaceDN/>
              <w:snapToGrid w:val="0"/>
              <w:spacing w:line="400" w:lineRule="exact"/>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U</w:t>
            </w:r>
            <w:r>
              <w:rPr>
                <w:rFonts w:ascii="Times New Roman" w:hAnsi="Times New Roman" w:cs="Times New Roman"/>
                <w:color w:val="auto"/>
                <w:kern w:val="2"/>
                <w:sz w:val="21"/>
                <w:szCs w:val="24"/>
                <w:vertAlign w:val="subscript"/>
                <w:lang w:val="en-US" w:bidi="ar-SA"/>
              </w:rPr>
              <w:t>c</w:t>
            </w:r>
            <w:r>
              <w:rPr>
                <w:rFonts w:ascii="Times New Roman" w:hAnsi="Times New Roman" w:cs="Times New Roman"/>
                <w:color w:val="auto"/>
                <w:kern w:val="2"/>
                <w:sz w:val="21"/>
                <w:szCs w:val="24"/>
                <w:lang w:val="en-US" w:bidi="ar-SA"/>
              </w:rPr>
              <w:t>=P×（1-C</w:t>
            </w:r>
            <w:r>
              <w:rPr>
                <w:rFonts w:ascii="Times New Roman" w:hAnsi="Times New Roman" w:cs="Times New Roman"/>
                <w:color w:val="auto"/>
                <w:kern w:val="2"/>
                <w:sz w:val="21"/>
                <w:szCs w:val="24"/>
                <w:vertAlign w:val="subscript"/>
                <w:lang w:val="en-US" w:bidi="ar-SA"/>
              </w:rPr>
              <w:t>m</w:t>
            </w:r>
            <w:r>
              <w:rPr>
                <w:rFonts w:ascii="Times New Roman" w:hAnsi="Times New Roman" w:cs="Times New Roman"/>
                <w:color w:val="auto"/>
                <w:kern w:val="2"/>
                <w:sz w:val="21"/>
                <w:szCs w:val="24"/>
                <w:lang w:val="en-US" w:bidi="ar-SA"/>
              </w:rPr>
              <w:t>）×（1-T</w:t>
            </w:r>
            <w:r>
              <w:rPr>
                <w:rFonts w:ascii="Times New Roman" w:hAnsi="Times New Roman" w:cs="Times New Roman"/>
                <w:color w:val="auto"/>
                <w:kern w:val="2"/>
                <w:sz w:val="21"/>
                <w:szCs w:val="24"/>
                <w:vertAlign w:val="subscript"/>
                <w:lang w:val="en-US" w:bidi="ar-SA"/>
              </w:rPr>
              <w:t>m</w:t>
            </w:r>
            <w:r>
              <w:rPr>
                <w:rFonts w:ascii="Times New Roman" w:hAnsi="Times New Roman" w:cs="Times New Roman"/>
                <w:color w:val="auto"/>
                <w:kern w:val="2"/>
                <w:sz w:val="21"/>
                <w:szCs w:val="24"/>
                <w:lang w:val="en-US" w:bidi="ar-SA"/>
              </w:rPr>
              <w:t>）</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 xml:space="preserve">式中：P 指颗粒物产生量（单位：吨）；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U</w:t>
            </w:r>
            <w:r>
              <w:rPr>
                <w:rFonts w:ascii="Times New Roman" w:hAnsi="Times New Roman" w:cs="Times New Roman"/>
                <w:color w:val="auto"/>
                <w:kern w:val="2"/>
                <w:sz w:val="21"/>
                <w:szCs w:val="24"/>
                <w:vertAlign w:val="subscript"/>
                <w:lang w:val="en-US" w:bidi="ar-SA"/>
              </w:rPr>
              <w:t>c</w:t>
            </w:r>
            <w:r>
              <w:rPr>
                <w:rFonts w:ascii="Times New Roman" w:hAnsi="Times New Roman" w:cs="Times New Roman"/>
                <w:color w:val="auto"/>
                <w:kern w:val="2"/>
                <w:sz w:val="21"/>
                <w:szCs w:val="24"/>
                <w:lang w:val="en-US" w:bidi="ar-SA"/>
              </w:rPr>
              <w:t xml:space="preserve">指颗粒物排放量（单位：吨）；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C</w:t>
            </w:r>
            <w:r>
              <w:rPr>
                <w:rFonts w:ascii="Times New Roman" w:hAnsi="Times New Roman" w:cs="Times New Roman"/>
                <w:color w:val="auto"/>
                <w:kern w:val="2"/>
                <w:sz w:val="21"/>
                <w:szCs w:val="24"/>
                <w:vertAlign w:val="subscript"/>
                <w:lang w:val="en-US" w:bidi="ar-SA"/>
              </w:rPr>
              <w:t>m</w:t>
            </w:r>
            <w:r>
              <w:rPr>
                <w:rFonts w:ascii="Times New Roman" w:hAnsi="Times New Roman" w:cs="Times New Roman"/>
                <w:color w:val="auto"/>
                <w:kern w:val="2"/>
                <w:sz w:val="21"/>
                <w:szCs w:val="24"/>
                <w:lang w:val="en-US" w:bidi="ar-SA"/>
              </w:rPr>
              <w:t xml:space="preserve">指颗粒物控制措施控制效率（单位：%）； </w:t>
            </w:r>
          </w:p>
          <w:p>
            <w:pPr>
              <w:autoSpaceDE/>
              <w:autoSpaceDN/>
              <w:snapToGrid w:val="0"/>
              <w:spacing w:line="400" w:lineRule="exact"/>
              <w:ind w:left="110" w:leftChars="50" w:firstLine="1050" w:firstLineChars="5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T</w:t>
            </w:r>
            <w:r>
              <w:rPr>
                <w:rFonts w:ascii="Times New Roman" w:hAnsi="Times New Roman" w:cs="Times New Roman"/>
                <w:color w:val="auto"/>
                <w:kern w:val="2"/>
                <w:sz w:val="21"/>
                <w:szCs w:val="24"/>
                <w:vertAlign w:val="subscript"/>
                <w:lang w:val="en-US" w:bidi="ar-SA"/>
              </w:rPr>
              <w:t>m</w:t>
            </w:r>
            <w:r>
              <w:rPr>
                <w:rFonts w:ascii="Times New Roman" w:hAnsi="Times New Roman" w:cs="Times New Roman"/>
                <w:color w:val="auto"/>
                <w:kern w:val="2"/>
                <w:sz w:val="21"/>
                <w:szCs w:val="24"/>
                <w:lang w:val="en-US" w:bidi="ar-SA"/>
              </w:rPr>
              <w:t>指堆场类型控制效率（单位：%）。</w:t>
            </w:r>
          </w:p>
          <w:p>
            <w:pPr>
              <w:autoSpaceDE/>
              <w:autoSpaceDN/>
              <w:snapToGrid w:val="0"/>
              <w:spacing w:line="400" w:lineRule="exact"/>
              <w:ind w:left="110" w:lef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料场无组织排放情况见下表。</w:t>
            </w:r>
          </w:p>
          <w:p>
            <w:pPr>
              <w:pStyle w:val="25"/>
              <w:tabs>
                <w:tab w:val="right" w:leader="dot" w:pos="8507"/>
              </w:tabs>
              <w:autoSpaceDE/>
              <w:autoSpaceDN/>
              <w:spacing w:line="480" w:lineRule="exact"/>
              <w:ind w:left="44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7</w:t>
            </w:r>
            <w:r>
              <w:rPr>
                <w:rFonts w:ascii="Times New Roman" w:hAnsi="Times New Roman" w:cs="Times New Roman"/>
                <w:b/>
                <w:bCs/>
                <w:color w:val="auto"/>
                <w:kern w:val="2"/>
                <w:sz w:val="21"/>
                <w:szCs w:val="24"/>
                <w:lang w:val="en-US" w:bidi="ar-SA"/>
              </w:rPr>
              <w:t xml:space="preserve"> 固体物料堆存颗粒物产排污核算一览表</w:t>
            </w:r>
          </w:p>
          <w:tbl>
            <w:tblPr>
              <w:tblStyle w:val="32"/>
              <w:tblW w:w="9220" w:type="dxa"/>
              <w:jc w:val="center"/>
              <w:tblLayout w:type="fixed"/>
              <w:tblCellMar>
                <w:top w:w="0" w:type="dxa"/>
                <w:left w:w="108" w:type="dxa"/>
                <w:bottom w:w="0" w:type="dxa"/>
                <w:right w:w="108" w:type="dxa"/>
              </w:tblCellMar>
            </w:tblPr>
            <w:tblGrid>
              <w:gridCol w:w="647"/>
              <w:gridCol w:w="562"/>
              <w:gridCol w:w="678"/>
              <w:gridCol w:w="491"/>
              <w:gridCol w:w="663"/>
              <w:gridCol w:w="655"/>
              <w:gridCol w:w="427"/>
              <w:gridCol w:w="773"/>
              <w:gridCol w:w="495"/>
              <w:gridCol w:w="480"/>
              <w:gridCol w:w="465"/>
              <w:gridCol w:w="435"/>
              <w:gridCol w:w="660"/>
              <w:gridCol w:w="525"/>
              <w:gridCol w:w="643"/>
              <w:gridCol w:w="621"/>
            </w:tblGrid>
            <w:tr>
              <w:tblPrEx>
                <w:tblCellMar>
                  <w:top w:w="0" w:type="dxa"/>
                  <w:left w:w="108" w:type="dxa"/>
                  <w:bottom w:w="0" w:type="dxa"/>
                  <w:right w:w="108" w:type="dxa"/>
                </w:tblCellMar>
              </w:tblPrEx>
              <w:trPr>
                <w:trHeight w:val="270"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污染源</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29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核算系数</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产生量P（t/a）</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控制措施</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控制措施</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控制措施</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排放速率kg/h</w:t>
                  </w:r>
                </w:p>
              </w:tc>
            </w:tr>
            <w:tr>
              <w:tblPrEx>
                <w:tblCellMar>
                  <w:top w:w="0" w:type="dxa"/>
                  <w:left w:w="108" w:type="dxa"/>
                  <w:bottom w:w="0" w:type="dxa"/>
                  <w:right w:w="108" w:type="dxa"/>
                </w:tblCellMar>
              </w:tblPrEx>
              <w:trPr>
                <w:trHeight w:val="27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Nc×D</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a</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b</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Ef</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S</w:t>
                  </w: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措施名称</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效率</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措施名称</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效率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措施名称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效率</w:t>
                  </w: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27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料场</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512500</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0.001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0.0008</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11.7366</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4000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bidi="ar"/>
                    </w:rPr>
                    <w:t>735.518</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喷雾降尘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74%</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车辆冲洗</w:t>
                  </w: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78%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密闭式堆场</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99%</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0.4201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0.0875</w:t>
                  </w:r>
                </w:p>
              </w:tc>
            </w:tr>
            <w:tr>
              <w:tblPrEx>
                <w:tblCellMar>
                  <w:top w:w="0" w:type="dxa"/>
                  <w:left w:w="108" w:type="dxa"/>
                  <w:bottom w:w="0" w:type="dxa"/>
                  <w:right w:w="108" w:type="dxa"/>
                </w:tblCellMar>
              </w:tblPrEx>
              <w:trPr>
                <w:trHeight w:val="270" w:hRule="atLeast"/>
                <w:jc w:val="center"/>
              </w:trPr>
              <w:tc>
                <w:tcPr>
                  <w:tcW w:w="7956"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合计</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0.4201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0.0875</w:t>
                  </w:r>
                </w:p>
              </w:tc>
            </w:tr>
          </w:tbl>
          <w:p>
            <w:pPr>
              <w:autoSpaceDE/>
              <w:autoSpaceDN/>
              <w:adjustRightInd w:val="0"/>
              <w:snapToGrid w:val="0"/>
              <w:spacing w:line="400" w:lineRule="exact"/>
              <w:ind w:left="110" w:leftChars="50" w:firstLine="421" w:firstLineChars="200"/>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②未被集气罩收集的无组织颗粒物</w:t>
            </w:r>
          </w:p>
          <w:p>
            <w:pPr>
              <w:autoSpaceDE/>
              <w:autoSpaceDN/>
              <w:adjustRightInd w:val="0"/>
              <w:snapToGrid w:val="0"/>
              <w:spacing w:line="400" w:lineRule="exact"/>
              <w:ind w:left="110" w:leftChars="50" w:firstLine="420" w:firstLineChars="200"/>
              <w:rPr>
                <w:rFonts w:ascii="Times New Roman" w:hAnsi="Times New Roman" w:cs="Times New Roman"/>
                <w:b/>
                <w:bCs/>
                <w:color w:val="auto"/>
                <w:kern w:val="2"/>
                <w:sz w:val="21"/>
                <w:szCs w:val="24"/>
                <w:lang w:val="en-US" w:bidi="ar-SA"/>
              </w:rPr>
            </w:pPr>
            <w:r>
              <w:rPr>
                <w:rFonts w:ascii="Times New Roman" w:hAnsi="Times New Roman" w:cs="Times New Roman"/>
                <w:color w:val="auto"/>
                <w:kern w:val="2"/>
                <w:sz w:val="21"/>
                <w:szCs w:val="24"/>
                <w:lang w:val="en-US" w:bidi="ar-SA"/>
              </w:rPr>
              <w:t>主要为</w:t>
            </w:r>
            <w:r>
              <w:rPr>
                <w:rFonts w:hint="eastAsia" w:ascii="Times New Roman" w:hAnsi="Times New Roman" w:cs="Times New Roman"/>
                <w:color w:val="auto"/>
                <w:sz w:val="21"/>
                <w:szCs w:val="21"/>
              </w:rPr>
              <w:t>湿拌</w:t>
            </w:r>
            <w:r>
              <w:rPr>
                <w:rFonts w:ascii="Times New Roman" w:hAnsi="Times New Roman" w:cs="Times New Roman"/>
                <w:color w:val="auto"/>
                <w:sz w:val="21"/>
                <w:szCs w:val="21"/>
              </w:rPr>
              <w:t>砂浆生产线</w:t>
            </w:r>
            <w:r>
              <w:rPr>
                <w:rFonts w:ascii="Times New Roman" w:hAnsi="Times New Roman" w:cs="Times New Roman"/>
                <w:color w:val="auto"/>
                <w:kern w:val="2"/>
                <w:sz w:val="21"/>
                <w:szCs w:val="24"/>
                <w:lang w:val="en-US" w:bidi="ar-SA"/>
              </w:rPr>
              <w:t>未被集气罩收集的颗粒物。</w:t>
            </w:r>
            <w:r>
              <w:rPr>
                <w:rFonts w:ascii="Times New Roman" w:hAnsi="Times New Roman" w:cs="Times New Roman"/>
                <w:color w:val="auto"/>
                <w:sz w:val="21"/>
                <w:szCs w:val="21"/>
              </w:rPr>
              <w:t>本项目采取车间密闭、</w:t>
            </w:r>
            <w:r>
              <w:rPr>
                <w:rFonts w:ascii="Times New Roman" w:hAnsi="Times New Roman" w:cs="Times New Roman"/>
                <w:color w:val="auto"/>
                <w:kern w:val="21"/>
                <w:sz w:val="21"/>
                <w:szCs w:val="21"/>
                <w:lang w:val="en-US"/>
              </w:rPr>
              <w:t>选用密闭输送装置进行输送、加强绿化、</w:t>
            </w:r>
            <w:r>
              <w:rPr>
                <w:rFonts w:ascii="Times New Roman" w:hAnsi="Times New Roman" w:cs="Times New Roman"/>
                <w:color w:val="auto"/>
                <w:sz w:val="21"/>
                <w:szCs w:val="21"/>
              </w:rPr>
              <w:t>泼洒抑尘等措施，粉尘逸散量可降低9</w:t>
            </w:r>
            <w:r>
              <w:rPr>
                <w:rFonts w:ascii="Times New Roman" w:hAnsi="Times New Roman" w:cs="Times New Roman"/>
                <w:color w:val="auto"/>
                <w:sz w:val="21"/>
                <w:szCs w:val="21"/>
                <w:lang w:val="en-US"/>
              </w:rPr>
              <w:t>5</w:t>
            </w:r>
            <w:r>
              <w:rPr>
                <w:rFonts w:ascii="Times New Roman" w:hAnsi="Times New Roman" w:cs="Times New Roman"/>
                <w:color w:val="auto"/>
                <w:sz w:val="21"/>
                <w:szCs w:val="21"/>
              </w:rPr>
              <w:t>%，估算</w:t>
            </w:r>
            <w:r>
              <w:rPr>
                <w:rFonts w:ascii="Times New Roman" w:hAnsi="Times New Roman" w:cs="Times New Roman"/>
                <w:color w:val="auto"/>
                <w:kern w:val="2"/>
                <w:sz w:val="21"/>
                <w:szCs w:val="24"/>
                <w:lang w:val="en-US" w:bidi="ar-SA"/>
              </w:rPr>
              <w:t>未被集气罩收集的颗粒物排放情况见下表。</w:t>
            </w:r>
          </w:p>
          <w:p>
            <w:pPr>
              <w:pStyle w:val="25"/>
              <w:tabs>
                <w:tab w:val="right" w:leader="dot" w:pos="8507"/>
              </w:tabs>
              <w:autoSpaceDE/>
              <w:autoSpaceDN/>
              <w:spacing w:line="480" w:lineRule="exact"/>
              <w:ind w:left="440"/>
              <w:jc w:val="center"/>
              <w:rPr>
                <w:rFonts w:ascii="Times New Roman" w:hAnsi="Times New Roman" w:cs="Times New Roman"/>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8</w:t>
            </w:r>
            <w:r>
              <w:rPr>
                <w:rFonts w:ascii="Times New Roman" w:hAnsi="Times New Roman" w:cs="Times New Roman"/>
                <w:b/>
                <w:bCs/>
                <w:color w:val="auto"/>
                <w:kern w:val="2"/>
                <w:sz w:val="21"/>
                <w:szCs w:val="24"/>
                <w:lang w:val="en-US" w:bidi="ar-SA"/>
              </w:rPr>
              <w:t xml:space="preserve"> 未被集气罩收集废气产排污核算一览表</w:t>
            </w:r>
          </w:p>
          <w:tbl>
            <w:tblPr>
              <w:tblStyle w:val="32"/>
              <w:tblW w:w="8872" w:type="dxa"/>
              <w:jc w:val="center"/>
              <w:tblLayout w:type="fixed"/>
              <w:tblCellMar>
                <w:top w:w="0" w:type="dxa"/>
                <w:left w:w="108" w:type="dxa"/>
                <w:bottom w:w="0" w:type="dxa"/>
                <w:right w:w="108" w:type="dxa"/>
              </w:tblCellMar>
            </w:tblPr>
            <w:tblGrid>
              <w:gridCol w:w="750"/>
              <w:gridCol w:w="1483"/>
              <w:gridCol w:w="705"/>
              <w:gridCol w:w="623"/>
              <w:gridCol w:w="915"/>
              <w:gridCol w:w="915"/>
              <w:gridCol w:w="915"/>
              <w:gridCol w:w="915"/>
              <w:gridCol w:w="915"/>
              <w:gridCol w:w="736"/>
            </w:tblGrid>
            <w:tr>
              <w:tblPrEx>
                <w:tblCellMar>
                  <w:top w:w="0" w:type="dxa"/>
                  <w:left w:w="108" w:type="dxa"/>
                  <w:bottom w:w="0" w:type="dxa"/>
                  <w:right w:w="108" w:type="dxa"/>
                </w:tblCellMar>
              </w:tblPrEx>
              <w:trPr>
                <w:trHeight w:val="27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生产线名称</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产污节点</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产生量t/a</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收集效率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未被收集量t/a</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控制措施</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排放速率kg/h</w:t>
                  </w:r>
                </w:p>
              </w:tc>
            </w:tr>
            <w:tr>
              <w:tblPrEx>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措施名称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效率</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23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rPr>
                    <w:t>湿拌</w:t>
                  </w:r>
                  <w:r>
                    <w:rPr>
                      <w:rFonts w:ascii="Times New Roman" w:hAnsi="Times New Roman" w:cs="Times New Roman"/>
                      <w:color w:val="auto"/>
                      <w:sz w:val="21"/>
                      <w:szCs w:val="21"/>
                    </w:rPr>
                    <w:t>砂浆生产线</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骨料配料粉尘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10.25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0.5125</w:t>
                  </w:r>
                </w:p>
              </w:tc>
              <w:tc>
                <w:tcPr>
                  <w:tcW w:w="915" w:type="dxa"/>
                  <w:vMerge w:val="restart"/>
                  <w:tcBorders>
                    <w:top w:val="single" w:color="000000" w:sz="4" w:space="0"/>
                    <w:left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密闭厂房，洒水抑尘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0.0256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0.0053 </w:t>
                  </w:r>
                </w:p>
              </w:tc>
            </w:tr>
            <w:tr>
              <w:tblPrEx>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粉料仓粉尘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14.25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99</w:t>
                  </w:r>
                  <w:r>
                    <w:rPr>
                      <w:rFonts w:ascii="Times New Roman" w:hAnsi="Times New Roman" w:cs="Times New Roman"/>
                      <w:color w:val="auto"/>
                      <w:sz w:val="21"/>
                      <w:szCs w:val="21"/>
                      <w:lang w:val="en-US"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0.1425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0.0071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0.0015 </w:t>
                  </w:r>
                </w:p>
              </w:tc>
            </w:tr>
            <w:tr>
              <w:tblPrEx>
                <w:tblCellMar>
                  <w:top w:w="0" w:type="dxa"/>
                  <w:left w:w="108" w:type="dxa"/>
                  <w:bottom w:w="0" w:type="dxa"/>
                  <w:right w:w="108" w:type="dxa"/>
                </w:tblCellMar>
              </w:tblPrEx>
              <w:trPr>
                <w:trHeight w:val="27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rPr>
                      <w:rFonts w:ascii="Times New Roman" w:hAnsi="Times New Roman" w:cs="Times New Roman"/>
                      <w:color w:val="auto"/>
                      <w:sz w:val="21"/>
                      <w:szCs w:val="21"/>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计量粉尘、搅拌粉尘</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颗粒物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13.8125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bidi="ar"/>
                    </w:rPr>
                    <w:t>99</w:t>
                  </w:r>
                  <w:r>
                    <w:rPr>
                      <w:rFonts w:ascii="Times New Roman" w:hAnsi="Times New Roman" w:cs="Times New Roman"/>
                      <w:color w:val="auto"/>
                      <w:sz w:val="21"/>
                      <w:szCs w:val="21"/>
                      <w:lang w:val="en-US"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0.1381</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0.0069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 xml:space="preserve">0.0014 </w:t>
                  </w:r>
                </w:p>
              </w:tc>
            </w:tr>
            <w:tr>
              <w:tblPrEx>
                <w:tblCellMar>
                  <w:top w:w="0" w:type="dxa"/>
                  <w:left w:w="108" w:type="dxa"/>
                  <w:bottom w:w="0" w:type="dxa"/>
                  <w:right w:w="108" w:type="dxa"/>
                </w:tblCellMar>
              </w:tblPrEx>
              <w:trPr>
                <w:trHeight w:val="270" w:hRule="atLeast"/>
                <w:jc w:val="center"/>
              </w:trPr>
              <w:tc>
                <w:tcPr>
                  <w:tcW w:w="722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合计</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0.0397t/a</w:t>
                  </w:r>
                </w:p>
              </w:tc>
            </w:tr>
          </w:tbl>
          <w:p>
            <w:pPr>
              <w:spacing w:line="400" w:lineRule="exact"/>
              <w:ind w:left="110" w:leftChars="50" w:right="110" w:rightChars="50" w:firstLine="48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治理措施</w:t>
            </w:r>
            <w:r>
              <w:rPr>
                <w:rFonts w:ascii="Times New Roman" w:hAnsi="Times New Roman" w:cs="Times New Roman"/>
                <w:color w:val="auto"/>
                <w:sz w:val="21"/>
                <w:szCs w:val="21"/>
                <w:lang w:val="en-US"/>
              </w:rPr>
              <w:t>：</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lang w:val="en-US"/>
              </w:rPr>
              <w:t>物料密闭。粉状物料（水泥、粉煤灰）入仓储存；粒状物料（砂子）储存采用入棚、入仓方式储存，密闭料场储存，并设有喷雾降尘装置。</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2）细骨料</w:t>
            </w:r>
            <w:r>
              <w:rPr>
                <w:rFonts w:ascii="Times New Roman" w:hAnsi="Times New Roman" w:cs="Times New Roman"/>
                <w:color w:val="auto"/>
                <w:sz w:val="21"/>
                <w:szCs w:val="21"/>
                <w:lang w:val="en-US"/>
              </w:rPr>
              <w:t>由</w:t>
            </w:r>
            <w:r>
              <w:rPr>
                <w:rFonts w:hint="eastAsia" w:ascii="Times New Roman" w:hAnsi="Times New Roman" w:cs="Times New Roman"/>
                <w:color w:val="auto"/>
                <w:sz w:val="21"/>
                <w:szCs w:val="21"/>
                <w:lang w:val="en-US"/>
              </w:rPr>
              <w:t>自卸汽车</w:t>
            </w:r>
            <w:r>
              <w:rPr>
                <w:rFonts w:ascii="Times New Roman" w:hAnsi="Times New Roman" w:cs="Times New Roman"/>
                <w:color w:val="auto"/>
                <w:sz w:val="21"/>
                <w:szCs w:val="21"/>
                <w:lang w:val="en-US"/>
              </w:rPr>
              <w:t>运输到厂区封闭料场储存</w:t>
            </w:r>
            <w:r>
              <w:rPr>
                <w:rFonts w:hint="eastAsia" w:ascii="Times New Roman" w:hAnsi="Times New Roman" w:cs="Times New Roman"/>
                <w:color w:val="auto"/>
                <w:sz w:val="21"/>
                <w:szCs w:val="21"/>
                <w:lang w:val="en-US"/>
              </w:rPr>
              <w:t>，</w:t>
            </w:r>
            <w:r>
              <w:rPr>
                <w:rFonts w:hint="eastAsia" w:ascii="Times New Roman" w:hAnsi="Times New Roman" w:cs="Times New Roman"/>
                <w:color w:val="auto"/>
                <w:sz w:val="21"/>
                <w:szCs w:val="21"/>
              </w:rPr>
              <w:t>料场上方设喷雾降尘装置，输送过程密闭，可有效降低风蚀扬尘、动力扬尘的产生。</w:t>
            </w:r>
            <w:r>
              <w:rPr>
                <w:rFonts w:hint="eastAsia" w:ascii="Times New Roman" w:hAnsi="Times New Roman" w:cs="Times New Roman"/>
                <w:color w:val="auto"/>
                <w:sz w:val="21"/>
                <w:szCs w:val="21"/>
                <w:lang w:val="en-US"/>
              </w:rPr>
              <w:t>砂石上料采取区域侧、顶三面密封措施并加装集气除尘设施，上料时采用远红外等自动感应控制独立喷淋抑尘系统，集气除尘和自动感应喷淋与铲车作业上料同步运行。</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r>
              <w:rPr>
                <w:rFonts w:ascii="Times New Roman" w:hAnsi="Times New Roman" w:cs="Times New Roman"/>
                <w:color w:val="auto"/>
                <w:sz w:val="21"/>
                <w:szCs w:val="21"/>
                <w:lang w:val="en-US"/>
              </w:rPr>
              <w:t>固定或连续作业的产尘点采用收尘技术。收尘系统应保持与生产工艺设备同步运转，确保收尘点无肉眼可视粉尘外逸。</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4）</w:t>
            </w:r>
            <w:r>
              <w:rPr>
                <w:rFonts w:ascii="Times New Roman" w:hAnsi="Times New Roman" w:cs="Times New Roman"/>
                <w:color w:val="auto"/>
                <w:sz w:val="21"/>
                <w:szCs w:val="21"/>
                <w:lang w:val="en-US"/>
              </w:rPr>
              <w:t>长期堆放的物料可使用加湿、喷洒表面结壳剂、覆盖等抑尘技术，控制物料表面风蚀扬尘；水和结壳剂喷洒量不得超过生产工艺许可，不得含有毒有害成分。厂界安装微雾抑尘系统。</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lang w:val="en-US"/>
              </w:rPr>
              <w:t>车辆出口处，配置1套车身及车轮清洗装置，且清洗装置距离出口位置小于5m。清洗装置配备拦车杆，确保车辆清洗时间。车身及车轮清洗装置清洗水压宜高于1.01Pa，清洗喷头保持通畅，并配套污水处理设施</w:t>
            </w:r>
            <w:r>
              <w:rPr>
                <w:rFonts w:hint="eastAsia" w:ascii="Times New Roman" w:hAnsi="Times New Roman" w:cs="Times New Roman"/>
                <w:color w:val="auto"/>
                <w:sz w:val="21"/>
                <w:szCs w:val="21"/>
                <w:lang w:val="en-US"/>
              </w:rPr>
              <w:t>（沉淀池）</w:t>
            </w:r>
            <w:r>
              <w:rPr>
                <w:rFonts w:ascii="Times New Roman" w:hAnsi="Times New Roman" w:cs="Times New Roman"/>
                <w:color w:val="auto"/>
                <w:sz w:val="21"/>
                <w:szCs w:val="21"/>
                <w:lang w:val="en-US"/>
              </w:rPr>
              <w:t>。厂区需配备足够的湿扫车和洒水车。</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6）</w:t>
            </w:r>
            <w:r>
              <w:rPr>
                <w:rFonts w:ascii="Times New Roman" w:hAnsi="Times New Roman" w:cs="Times New Roman"/>
                <w:color w:val="auto"/>
                <w:sz w:val="21"/>
                <w:szCs w:val="21"/>
                <w:lang w:val="en-US"/>
              </w:rPr>
              <w:t>密闭输送物料应在装卸处配备吸尘、喷淋等设施。</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7）</w:t>
            </w:r>
            <w:r>
              <w:rPr>
                <w:rFonts w:ascii="Times New Roman" w:hAnsi="Times New Roman" w:cs="Times New Roman"/>
                <w:color w:val="auto"/>
                <w:sz w:val="21"/>
                <w:szCs w:val="21"/>
                <w:lang w:val="en-US"/>
              </w:rPr>
              <w:t>内部运输。大宗原料储运采用机械化原料场和机械化作业；粉状物料全部采用封闭皮带通廊或管状带式输送机运输，避免物料的二次倒运。块状物料（如石子等物料）运输车辆装载高度最高点不得超过车辆槽帮上沿40cm，两侧边缘应当低于槽帮上缘10cm。车斗应用苫布覆盖，苫布边缘至少要遮住槽帮上沿以下15cm。</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8）</w:t>
            </w:r>
            <w:r>
              <w:rPr>
                <w:rFonts w:ascii="Times New Roman" w:hAnsi="Times New Roman" w:cs="Times New Roman"/>
                <w:color w:val="auto"/>
                <w:sz w:val="21"/>
                <w:szCs w:val="21"/>
                <w:lang w:val="en-US"/>
              </w:rPr>
              <w:t>外部运输。外部购进的粉状物料，采用新能源或国五以上车辆运输。建立清洁运输台账，包括但不限于运输合同、接轨站接发车货票、磅单记录、皮带秤记录等。</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9）物料运输：物料采用皮带、斜槽等方式输送，封闭式建设；各物料破碎、转载、下料口设置集尘装置或物料转载、下料等区域局部封闭，并配置袋式除尘器。</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10）砂石分离：砂石浆分离系统全封闭式建设，设置洗罐水砂石分离回收设施；通过输送带或砂浆泵等方式，将物料直接输送至料棚或生产线；采用室外倒运的采用防遗漏倒运车，严禁遗撒。</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11）厂区管理：厂区地面全部硬化或绿化，无成片裸露土地；地面保持清洁，定时采用湿法清扫作业车清扫，做到无浮土、污泥。车间地面、墙面、设备表面不可见明显积尘。</w:t>
            </w:r>
          </w:p>
          <w:p>
            <w:pPr>
              <w:adjustRightInd w:val="0"/>
              <w:spacing w:line="400" w:lineRule="exact"/>
              <w:ind w:left="110" w:leftChars="50"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12）主机车间：（搅拌生产楼）地面、墙面、设备表面不可见明显积尘，设施、设备不可见粉尘跑冒滴漏现象。</w:t>
            </w:r>
          </w:p>
          <w:p>
            <w:pPr>
              <w:spacing w:line="400" w:lineRule="exact"/>
              <w:ind w:left="110" w:leftChars="50" w:firstLine="420" w:firstLineChars="200"/>
              <w:rPr>
                <w:rFonts w:ascii="Times New Roman" w:hAnsi="Times New Roman" w:cs="Times New Roman"/>
                <w:b/>
                <w:bCs/>
                <w:color w:val="auto"/>
                <w:sz w:val="21"/>
                <w:szCs w:val="21"/>
                <w:lang w:val="en-US"/>
              </w:rPr>
            </w:pPr>
            <w:r>
              <w:rPr>
                <w:rFonts w:ascii="Times New Roman" w:hAnsi="Times New Roman" w:cs="Times New Roman"/>
                <w:color w:val="auto"/>
                <w:sz w:val="21"/>
                <w:szCs w:val="21"/>
                <w:lang w:val="en-US"/>
              </w:rPr>
              <w:t>本项目无组织粉尘产生量共计0.</w:t>
            </w:r>
            <w:r>
              <w:rPr>
                <w:rFonts w:hint="eastAsia" w:ascii="Times New Roman" w:hAnsi="Times New Roman" w:cs="Times New Roman"/>
                <w:color w:val="auto"/>
                <w:sz w:val="21"/>
                <w:szCs w:val="21"/>
                <w:lang w:val="en-US"/>
              </w:rPr>
              <w:t>2565</w:t>
            </w:r>
            <w:r>
              <w:rPr>
                <w:rFonts w:ascii="Times New Roman" w:hAnsi="Times New Roman" w:cs="Times New Roman"/>
                <w:color w:val="auto"/>
                <w:sz w:val="21"/>
                <w:szCs w:val="21"/>
                <w:lang w:val="en-US"/>
              </w:rPr>
              <w:t>t/a。</w:t>
            </w:r>
            <w:r>
              <w:rPr>
                <w:rFonts w:ascii="Times New Roman" w:hAnsi="Times New Roman" w:cs="Times New Roman"/>
                <w:color w:val="auto"/>
                <w:sz w:val="21"/>
                <w:szCs w:val="21"/>
              </w:rPr>
              <w:t>项目将原料直接卸</w:t>
            </w:r>
            <w:r>
              <w:rPr>
                <w:rFonts w:ascii="Times New Roman" w:hAnsi="Times New Roman" w:cs="Times New Roman"/>
                <w:color w:val="auto"/>
                <w:sz w:val="21"/>
                <w:szCs w:val="21"/>
                <w:lang w:val="en-US"/>
              </w:rPr>
              <w:t>料</w:t>
            </w:r>
            <w:r>
              <w:rPr>
                <w:rFonts w:ascii="Times New Roman" w:hAnsi="Times New Roman" w:cs="Times New Roman"/>
                <w:color w:val="auto"/>
                <w:sz w:val="21"/>
                <w:szCs w:val="21"/>
              </w:rPr>
              <w:t>并贮存于密闭</w:t>
            </w:r>
            <w:r>
              <w:rPr>
                <w:rFonts w:ascii="Times New Roman" w:hAnsi="Times New Roman" w:cs="Times New Roman"/>
                <w:color w:val="auto"/>
                <w:sz w:val="21"/>
                <w:szCs w:val="21"/>
                <w:lang w:val="en-US"/>
              </w:rPr>
              <w:t>料场</w:t>
            </w:r>
            <w:r>
              <w:rPr>
                <w:rFonts w:ascii="Times New Roman" w:hAnsi="Times New Roman" w:cs="Times New Roman"/>
                <w:color w:val="auto"/>
                <w:sz w:val="21"/>
                <w:szCs w:val="21"/>
              </w:rPr>
              <w:t>内，料场只留车辆进出口，可有效防止风吹扬尘的产生。设车辆冲洗设备，地面混凝土硬化，</w:t>
            </w:r>
            <w:r>
              <w:rPr>
                <w:rFonts w:ascii="Times New Roman" w:hAnsi="Times New Roman" w:cs="Times New Roman"/>
                <w:color w:val="auto"/>
                <w:sz w:val="21"/>
                <w:szCs w:val="21"/>
                <w:lang w:val="en-US"/>
              </w:rPr>
              <w:t>料场</w:t>
            </w:r>
            <w:r>
              <w:rPr>
                <w:rFonts w:ascii="Times New Roman" w:hAnsi="Times New Roman" w:cs="Times New Roman"/>
                <w:color w:val="auto"/>
                <w:sz w:val="21"/>
                <w:szCs w:val="21"/>
              </w:rPr>
              <w:t>安装喷雾抑尘装置，定期喷雾。</w:t>
            </w:r>
            <w:r>
              <w:rPr>
                <w:rFonts w:ascii="Times New Roman" w:hAnsi="Times New Roman" w:cs="Times New Roman"/>
                <w:color w:val="auto"/>
                <w:sz w:val="21"/>
                <w:szCs w:val="21"/>
                <w:lang w:val="en-US"/>
              </w:rPr>
              <w:t>类比同类项目，</w:t>
            </w:r>
            <w:r>
              <w:rPr>
                <w:rFonts w:ascii="Times New Roman" w:hAnsi="Times New Roman" w:cs="Times New Roman"/>
                <w:color w:val="auto"/>
                <w:sz w:val="21"/>
                <w:szCs w:val="21"/>
              </w:rPr>
              <w:t>采取上述措施后，无组织颗粒物监控点与参照点TSP</w:t>
            </w:r>
            <w:r>
              <w:rPr>
                <w:rFonts w:ascii="Times New Roman" w:hAnsi="Times New Roman" w:cs="Times New Roman"/>
                <w:color w:val="auto"/>
                <w:sz w:val="21"/>
                <w:szCs w:val="21"/>
                <w:lang w:val="en-US"/>
              </w:rPr>
              <w:t xml:space="preserve"> </w:t>
            </w:r>
            <w:r>
              <w:rPr>
                <w:rFonts w:ascii="Times New Roman" w:hAnsi="Times New Roman" w:cs="Times New Roman"/>
                <w:color w:val="auto"/>
                <w:sz w:val="21"/>
                <w:szCs w:val="21"/>
              </w:rPr>
              <w:t>1小时浓度值的差值≤0.5mg/m</w:t>
            </w: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，满足河北省地方标准</w:t>
            </w:r>
            <w:r>
              <w:rPr>
                <w:rFonts w:ascii="Times New Roman" w:hAnsi="Times New Roman" w:cs="Times New Roman"/>
                <w:color w:val="auto"/>
                <w:sz w:val="21"/>
                <w:szCs w:val="21"/>
                <w:lang w:val="en-US"/>
              </w:rPr>
              <w:t>《水泥工业大气污染物超低排放标准》（DB13/2167-2020）</w:t>
            </w:r>
            <w:r>
              <w:rPr>
                <w:rFonts w:ascii="Times New Roman" w:hAnsi="Times New Roman" w:cs="Times New Roman"/>
                <w:color w:val="auto"/>
                <w:sz w:val="21"/>
                <w:szCs w:val="21"/>
              </w:rPr>
              <w:t>表2无组织排放限值标准。</w:t>
            </w:r>
          </w:p>
          <w:p>
            <w:pPr>
              <w:autoSpaceDE/>
              <w:autoSpaceDN/>
              <w:spacing w:line="400" w:lineRule="exact"/>
              <w:ind w:left="110" w:leftChars="50" w:firstLine="405" w:firstLineChars="200"/>
              <w:rPr>
                <w:rFonts w:ascii="Times New Roman" w:hAnsi="Times New Roman" w:cs="Times New Roman"/>
                <w:b/>
                <w:bCs/>
                <w:color w:val="auto"/>
                <w:sz w:val="21"/>
                <w:szCs w:val="21"/>
                <w:lang w:val="en-US"/>
              </w:rPr>
            </w:pPr>
            <w:r>
              <w:rPr>
                <w:rFonts w:ascii="Times New Roman" w:hAnsi="Times New Roman" w:cs="Times New Roman"/>
                <w:b/>
                <w:bCs/>
                <w:color w:val="auto"/>
                <w:spacing w:val="-4"/>
                <w:sz w:val="21"/>
                <w:szCs w:val="21"/>
                <w:lang w:val="en-US" w:bidi="ar-SA"/>
              </w:rPr>
              <w:t>2、</w:t>
            </w:r>
            <w:r>
              <w:rPr>
                <w:rFonts w:ascii="Times New Roman" w:hAnsi="Times New Roman" w:cs="Times New Roman"/>
                <w:b/>
                <w:bCs/>
                <w:color w:val="auto"/>
                <w:sz w:val="21"/>
                <w:szCs w:val="21"/>
                <w:lang w:val="en-US"/>
              </w:rPr>
              <w:t>废气污染物排放量“三本帐”</w:t>
            </w:r>
          </w:p>
          <w:p>
            <w:pPr>
              <w:spacing w:line="480" w:lineRule="exact"/>
              <w:ind w:firstLine="404" w:firstLineChars="200"/>
              <w:jc w:val="both"/>
              <w:rPr>
                <w:rFonts w:ascii="Times New Roman" w:hAnsi="Times New Roman" w:eastAsia="Times New Roman" w:cs="Times New Roman"/>
                <w:color w:val="auto"/>
                <w:sz w:val="24"/>
                <w:szCs w:val="24"/>
                <w:lang w:val="en-US" w:bidi="ar-SA"/>
              </w:rPr>
            </w:pPr>
            <w:r>
              <w:rPr>
                <w:rFonts w:ascii="Times New Roman" w:hAnsi="Times New Roman" w:cs="Times New Roman"/>
                <w:color w:val="auto"/>
                <w:spacing w:val="-4"/>
                <w:sz w:val="21"/>
                <w:szCs w:val="21"/>
                <w:lang w:val="en-US" w:bidi="ar-SA"/>
              </w:rPr>
              <w:t>本次工程建成后，废气污染物排放量三本帐见下表</w:t>
            </w:r>
            <w:r>
              <w:rPr>
                <w:rFonts w:ascii="Times New Roman" w:hAnsi="Times New Roman" w:cs="Times New Roman"/>
                <w:color w:val="auto"/>
                <w:sz w:val="24"/>
                <w:szCs w:val="24"/>
                <w:lang w:val="en-US" w:bidi="ar-SA"/>
              </w:rPr>
              <w:t>。</w:t>
            </w:r>
          </w:p>
          <w:p>
            <w:pPr>
              <w:spacing w:line="480" w:lineRule="exact"/>
              <w:jc w:val="center"/>
              <w:rPr>
                <w:rFonts w:ascii="Times New Roman" w:hAnsi="Times New Roman" w:eastAsia="Times New Roman" w:cs="Times New Roman"/>
                <w:b/>
                <w:bCs/>
                <w:color w:val="auto"/>
                <w:sz w:val="21"/>
                <w:szCs w:val="21"/>
                <w:lang w:val="en-US" w:eastAsia="en-US" w:bidi="ar-SA"/>
              </w:rPr>
            </w:pPr>
            <w:r>
              <w:rPr>
                <w:rFonts w:ascii="Times New Roman" w:hAnsi="Times New Roman" w:cs="Times New Roman"/>
                <w:b/>
                <w:bCs/>
                <w:color w:val="auto"/>
                <w:sz w:val="21"/>
                <w:szCs w:val="21"/>
                <w:lang w:val="en-US" w:bidi="ar-SA"/>
              </w:rPr>
              <w:t>表</w:t>
            </w:r>
            <w:r>
              <w:rPr>
                <w:rFonts w:hint="eastAsia" w:ascii="Times New Roman" w:hAnsi="Times New Roman" w:cs="Times New Roman"/>
                <w:b/>
                <w:bCs/>
                <w:color w:val="auto"/>
                <w:sz w:val="21"/>
                <w:szCs w:val="21"/>
                <w:lang w:val="en-US" w:bidi="ar-SA"/>
              </w:rPr>
              <w:t>4.9</w:t>
            </w:r>
            <w:r>
              <w:rPr>
                <w:rFonts w:ascii="Times New Roman" w:hAnsi="Times New Roman" w:eastAsia="Times New Roman" w:cs="Times New Roman"/>
                <w:b/>
                <w:bCs/>
                <w:color w:val="auto"/>
                <w:sz w:val="21"/>
                <w:szCs w:val="21"/>
                <w:lang w:val="en-US" w:bidi="ar-SA"/>
              </w:rPr>
              <w:t xml:space="preserve">  </w:t>
            </w:r>
            <w:r>
              <w:rPr>
                <w:rFonts w:ascii="Times New Roman" w:hAnsi="Times New Roman" w:cs="Times New Roman"/>
                <w:b/>
                <w:bCs/>
                <w:color w:val="auto"/>
                <w:sz w:val="21"/>
                <w:szCs w:val="21"/>
                <w:lang w:val="en-US" w:bidi="ar-SA"/>
              </w:rPr>
              <w:t>污染物三本帐一览表   单位：t/a</w:t>
            </w:r>
          </w:p>
          <w:tbl>
            <w:tblPr>
              <w:tblStyle w:val="32"/>
              <w:tblW w:w="49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8"/>
              <w:gridCol w:w="1003"/>
              <w:gridCol w:w="2376"/>
              <w:gridCol w:w="864"/>
              <w:gridCol w:w="1018"/>
              <w:gridCol w:w="1017"/>
              <w:gridCol w:w="1271"/>
              <w:gridCol w:w="12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2" w:hRule="atLeast"/>
                <w:jc w:val="center"/>
              </w:trPr>
              <w:tc>
                <w:tcPr>
                  <w:tcW w:w="781" w:type="pct"/>
                  <w:gridSpan w:val="2"/>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污染物</w:t>
                  </w:r>
                </w:p>
              </w:tc>
              <w:tc>
                <w:tcPr>
                  <w:tcW w:w="1280"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现有项目</w:t>
                  </w:r>
                </w:p>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污染物排放量</w:t>
                  </w:r>
                </w:p>
              </w:tc>
              <w:tc>
                <w:tcPr>
                  <w:tcW w:w="466"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1"/>
                    </w:rPr>
                  </w:pPr>
                  <w:r>
                    <w:rPr>
                      <w:rFonts w:hint="eastAsia" w:ascii="Times New Roman" w:hAnsi="Times New Roman"/>
                      <w:b/>
                      <w:bCs/>
                      <w:color w:val="auto"/>
                      <w:spacing w:val="-6"/>
                      <w:sz w:val="21"/>
                      <w:szCs w:val="21"/>
                    </w:rPr>
                    <w:t>现有工程许可排放量</w:t>
                  </w:r>
                </w:p>
              </w:tc>
              <w:tc>
                <w:tcPr>
                  <w:tcW w:w="549"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扩建项目</w:t>
                  </w:r>
                </w:p>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污染物排放量</w:t>
                  </w:r>
                </w:p>
              </w:tc>
              <w:tc>
                <w:tcPr>
                  <w:tcW w:w="548"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“以新带老”削减量</w:t>
                  </w:r>
                </w:p>
              </w:tc>
              <w:tc>
                <w:tcPr>
                  <w:tcW w:w="685"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扩建项目完成后全厂污染物排放量</w:t>
                  </w:r>
                </w:p>
              </w:tc>
              <w:tc>
                <w:tcPr>
                  <w:tcW w:w="689" w:type="pct"/>
                  <w:tcBorders>
                    <w:tl2br w:val="nil"/>
                    <w:tr2bl w:val="nil"/>
                  </w:tcBorders>
                  <w:vAlign w:val="center"/>
                </w:tcPr>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增减</w:t>
                  </w:r>
                </w:p>
                <w:p>
                  <w:pPr>
                    <w:adjustRightInd w:val="0"/>
                    <w:snapToGrid w:val="0"/>
                    <w:spacing w:line="320" w:lineRule="exact"/>
                    <w:jc w:val="center"/>
                    <w:rPr>
                      <w:rFonts w:ascii="Times New Roman" w:hAnsi="Times New Roman"/>
                      <w:b/>
                      <w:bCs/>
                      <w:color w:val="auto"/>
                      <w:spacing w:val="-6"/>
                      <w:sz w:val="21"/>
                      <w:szCs w:val="20"/>
                    </w:rPr>
                  </w:pPr>
                  <w:r>
                    <w:rPr>
                      <w:rFonts w:ascii="Times New Roman" w:hAnsi="Times New Roman"/>
                      <w:b/>
                      <w:bCs/>
                      <w:color w:val="auto"/>
                      <w:spacing w:val="-6"/>
                      <w:sz w:val="21"/>
                      <w:szCs w:val="21"/>
                    </w:rPr>
                    <w:t>变化量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41" w:type="pct"/>
                  <w:tcBorders>
                    <w:tl2br w:val="nil"/>
                    <w:tr2bl w:val="nil"/>
                  </w:tcBorders>
                  <w:vAlign w:val="center"/>
                </w:tcPr>
                <w:p>
                  <w:pPr>
                    <w:adjustRightInd w:val="0"/>
                    <w:snapToGrid w:val="0"/>
                    <w:spacing w:line="320" w:lineRule="exact"/>
                    <w:jc w:val="center"/>
                    <w:rPr>
                      <w:rFonts w:ascii="Times New Roman" w:hAnsi="Times New Roman"/>
                      <w:bCs/>
                      <w:color w:val="auto"/>
                      <w:spacing w:val="-6"/>
                      <w:sz w:val="21"/>
                      <w:szCs w:val="21"/>
                    </w:rPr>
                  </w:pPr>
                  <w:r>
                    <w:rPr>
                      <w:rFonts w:ascii="Times New Roman" w:hAnsi="Times New Roman"/>
                      <w:color w:val="auto"/>
                      <w:spacing w:val="-6"/>
                      <w:sz w:val="21"/>
                      <w:szCs w:val="21"/>
                    </w:rPr>
                    <w:t>废气</w:t>
                  </w:r>
                </w:p>
              </w:tc>
              <w:tc>
                <w:tcPr>
                  <w:tcW w:w="539" w:type="pct"/>
                  <w:tcBorders>
                    <w:tl2br w:val="nil"/>
                    <w:tr2bl w:val="nil"/>
                  </w:tcBorders>
                  <w:vAlign w:val="center"/>
                </w:tcPr>
                <w:p>
                  <w:pPr>
                    <w:adjustRightInd w:val="0"/>
                    <w:snapToGrid w:val="0"/>
                    <w:spacing w:line="320" w:lineRule="exact"/>
                    <w:jc w:val="center"/>
                    <w:rPr>
                      <w:rFonts w:ascii="Times New Roman" w:hAnsi="Times New Roman"/>
                      <w:bCs/>
                      <w:color w:val="auto"/>
                      <w:spacing w:val="-6"/>
                      <w:sz w:val="21"/>
                      <w:szCs w:val="21"/>
                    </w:rPr>
                  </w:pPr>
                  <w:r>
                    <w:rPr>
                      <w:rFonts w:hint="eastAsia" w:ascii="Times New Roman" w:hAnsi="Times New Roman"/>
                      <w:bCs/>
                      <w:color w:val="auto"/>
                      <w:spacing w:val="-6"/>
                      <w:sz w:val="21"/>
                      <w:szCs w:val="21"/>
                    </w:rPr>
                    <w:t>颗粒物</w:t>
                  </w:r>
                </w:p>
              </w:tc>
              <w:tc>
                <w:tcPr>
                  <w:tcW w:w="2376" w:type="dxa"/>
                  <w:tcBorders>
                    <w:tl2br w:val="nil"/>
                    <w:tr2bl w:val="nil"/>
                  </w:tcBorders>
                  <w:vAlign w:val="center"/>
                </w:tcPr>
                <w:p>
                  <w:pPr>
                    <w:widowControl/>
                    <w:jc w:val="center"/>
                    <w:textAlignment w:val="center"/>
                    <w:rPr>
                      <w:rFonts w:ascii="Times New Roman" w:hAnsi="Times New Roman"/>
                      <w:bCs/>
                      <w:color w:val="auto"/>
                      <w:spacing w:val="-6"/>
                      <w:sz w:val="21"/>
                      <w:szCs w:val="21"/>
                      <w:lang w:val="en-US"/>
                    </w:rPr>
                  </w:pPr>
                  <w:r>
                    <w:rPr>
                      <w:rFonts w:ascii="Times New Roman" w:hAnsi="Times New Roman" w:cs="Times New Roman"/>
                      <w:color w:val="auto"/>
                      <w:sz w:val="21"/>
                      <w:szCs w:val="21"/>
                      <w:lang w:val="en-US" w:bidi="ar"/>
                    </w:rPr>
                    <w:t>0.5296</w:t>
                  </w:r>
                </w:p>
              </w:tc>
              <w:tc>
                <w:tcPr>
                  <w:tcW w:w="864" w:type="dxa"/>
                  <w:tcBorders>
                    <w:tl2br w:val="nil"/>
                    <w:tr2bl w:val="nil"/>
                  </w:tcBorders>
                  <w:vAlign w:val="center"/>
                </w:tcPr>
                <w:p>
                  <w:pPr>
                    <w:widowControl/>
                    <w:jc w:val="center"/>
                    <w:textAlignment w:val="center"/>
                    <w:rPr>
                      <w:rFonts w:ascii="Times New Roman" w:hAnsi="Times New Roman"/>
                      <w:bCs/>
                      <w:color w:val="auto"/>
                      <w:spacing w:val="-6"/>
                      <w:sz w:val="21"/>
                      <w:szCs w:val="21"/>
                      <w:lang w:val="en-US"/>
                    </w:rPr>
                  </w:pPr>
                  <w:r>
                    <w:rPr>
                      <w:rFonts w:ascii="Times New Roman" w:hAnsi="Times New Roman" w:cs="Times New Roman"/>
                      <w:color w:val="auto"/>
                      <w:sz w:val="21"/>
                      <w:szCs w:val="21"/>
                      <w:lang w:val="en-US" w:bidi="ar"/>
                    </w:rPr>
                    <w:t>/</w:t>
                  </w:r>
                </w:p>
              </w:tc>
              <w:tc>
                <w:tcPr>
                  <w:tcW w:w="1018" w:type="dxa"/>
                  <w:tcBorders>
                    <w:tl2br w:val="nil"/>
                    <w:tr2bl w:val="nil"/>
                  </w:tcBorders>
                  <w:vAlign w:val="center"/>
                </w:tcPr>
                <w:p>
                  <w:pPr>
                    <w:widowControl/>
                    <w:jc w:val="center"/>
                    <w:textAlignment w:val="center"/>
                    <w:rPr>
                      <w:rFonts w:ascii="Times New Roman" w:hAnsi="Times New Roman"/>
                      <w:bCs/>
                      <w:color w:val="auto"/>
                      <w:spacing w:val="-6"/>
                      <w:sz w:val="21"/>
                      <w:szCs w:val="21"/>
                      <w:lang w:val="en-US"/>
                    </w:rPr>
                  </w:pPr>
                  <w:r>
                    <w:rPr>
                      <w:rFonts w:ascii="Times New Roman" w:hAnsi="Times New Roman" w:cs="Times New Roman"/>
                      <w:color w:val="auto"/>
                      <w:sz w:val="21"/>
                      <w:szCs w:val="21"/>
                      <w:lang w:val="en-US" w:bidi="ar"/>
                    </w:rPr>
                    <w:t>0.6474</w:t>
                  </w:r>
                </w:p>
              </w:tc>
              <w:tc>
                <w:tcPr>
                  <w:tcW w:w="1017" w:type="dxa"/>
                  <w:tcBorders>
                    <w:tl2br w:val="nil"/>
                    <w:tr2bl w:val="nil"/>
                  </w:tcBorders>
                  <w:vAlign w:val="center"/>
                </w:tcPr>
                <w:p>
                  <w:pPr>
                    <w:widowControl/>
                    <w:jc w:val="center"/>
                    <w:textAlignment w:val="center"/>
                    <w:rPr>
                      <w:rFonts w:ascii="Times New Roman" w:hAnsi="Times New Roman"/>
                      <w:bCs/>
                      <w:color w:val="auto"/>
                      <w:spacing w:val="-6"/>
                      <w:sz w:val="21"/>
                      <w:szCs w:val="21"/>
                      <w:lang w:val="en-US"/>
                    </w:rPr>
                  </w:pPr>
                  <w:r>
                    <w:rPr>
                      <w:rFonts w:ascii="Times New Roman" w:hAnsi="Times New Roman" w:cs="Times New Roman"/>
                      <w:color w:val="auto"/>
                      <w:sz w:val="21"/>
                      <w:szCs w:val="21"/>
                      <w:lang w:val="en-US" w:bidi="ar"/>
                    </w:rPr>
                    <w:t>0.8474</w:t>
                  </w:r>
                </w:p>
              </w:tc>
              <w:tc>
                <w:tcPr>
                  <w:tcW w:w="1271" w:type="dxa"/>
                  <w:tcBorders>
                    <w:tl2br w:val="nil"/>
                    <w:tr2bl w:val="nil"/>
                  </w:tcBorders>
                  <w:vAlign w:val="center"/>
                </w:tcPr>
                <w:p>
                  <w:pPr>
                    <w:widowControl/>
                    <w:jc w:val="center"/>
                    <w:textAlignment w:val="center"/>
                    <w:rPr>
                      <w:rFonts w:ascii="Times New Roman" w:hAnsi="Times New Roman" w:cs="Times New Roman"/>
                      <w:bCs/>
                      <w:color w:val="auto"/>
                      <w:spacing w:val="-6"/>
                      <w:sz w:val="21"/>
                      <w:szCs w:val="21"/>
                      <w:lang w:val="en-US"/>
                    </w:rPr>
                  </w:pPr>
                  <w:r>
                    <w:rPr>
                      <w:rFonts w:ascii="Times New Roman" w:hAnsi="Times New Roman" w:cs="Times New Roman"/>
                      <w:color w:val="auto"/>
                      <w:sz w:val="21"/>
                      <w:szCs w:val="21"/>
                      <w:lang w:val="en-US" w:bidi="ar"/>
                    </w:rPr>
                    <w:t>0.3296</w:t>
                  </w:r>
                </w:p>
              </w:tc>
              <w:tc>
                <w:tcPr>
                  <w:tcW w:w="1278" w:type="dxa"/>
                  <w:tcBorders>
                    <w:tl2br w:val="nil"/>
                    <w:tr2bl w:val="nil"/>
                  </w:tcBorders>
                  <w:vAlign w:val="center"/>
                </w:tcPr>
                <w:p>
                  <w:pPr>
                    <w:widowControl/>
                    <w:jc w:val="center"/>
                    <w:textAlignment w:val="center"/>
                    <w:rPr>
                      <w:rFonts w:ascii="Times New Roman" w:hAnsi="Times New Roman"/>
                      <w:bCs/>
                      <w:color w:val="auto"/>
                      <w:spacing w:val="-6"/>
                      <w:sz w:val="21"/>
                      <w:szCs w:val="21"/>
                      <w:lang w:val="en-US"/>
                    </w:rPr>
                  </w:pPr>
                  <w:r>
                    <w:rPr>
                      <w:rFonts w:hint="eastAsia" w:ascii="Times New Roman" w:hAnsi="Times New Roman" w:cs="Times New Roman"/>
                      <w:color w:val="auto"/>
                      <w:sz w:val="21"/>
                      <w:szCs w:val="21"/>
                      <w:lang w:val="en-US" w:bidi="ar"/>
                    </w:rPr>
                    <w:t>+</w:t>
                  </w:r>
                  <w:r>
                    <w:rPr>
                      <w:rFonts w:ascii="Times New Roman" w:hAnsi="Times New Roman" w:cs="Times New Roman"/>
                      <w:color w:val="auto"/>
                      <w:sz w:val="21"/>
                      <w:szCs w:val="21"/>
                      <w:lang w:val="en-US" w:bidi="ar"/>
                    </w:rPr>
                    <w:t>0.3178</w:t>
                  </w:r>
                </w:p>
              </w:tc>
            </w:tr>
          </w:tbl>
          <w:p>
            <w:pPr>
              <w:spacing w:line="400" w:lineRule="exact"/>
              <w:ind w:left="110" w:leftChars="50" w:firstLine="421" w:firstLineChars="200"/>
              <w:jc w:val="both"/>
              <w:rPr>
                <w:rFonts w:ascii="Times New Roman" w:hAnsi="Times New Roman" w:cs="Times New Roman"/>
                <w:b/>
                <w:bCs/>
                <w:color w:val="auto"/>
                <w:spacing w:val="-4"/>
                <w:sz w:val="21"/>
                <w:szCs w:val="21"/>
                <w:lang w:val="en-US" w:bidi="ar-SA"/>
              </w:rPr>
            </w:pPr>
            <w:r>
              <w:rPr>
                <w:rFonts w:ascii="Times New Roman" w:hAnsi="Times New Roman" w:cs="Times New Roman"/>
                <w:b/>
                <w:bCs/>
                <w:color w:val="auto"/>
                <w:sz w:val="21"/>
                <w:szCs w:val="21"/>
                <w:lang w:val="en-US"/>
              </w:rPr>
              <w:t>3、</w:t>
            </w:r>
            <w:r>
              <w:rPr>
                <w:rFonts w:ascii="Times New Roman" w:hAnsi="Times New Roman" w:cs="Times New Roman"/>
                <w:b/>
                <w:bCs/>
                <w:color w:val="auto"/>
                <w:spacing w:val="-4"/>
                <w:sz w:val="21"/>
                <w:szCs w:val="21"/>
                <w:lang w:val="en-US" w:bidi="ar-SA"/>
              </w:rPr>
              <w:t>自行监测要求</w:t>
            </w:r>
          </w:p>
          <w:p>
            <w:pPr>
              <w:spacing w:line="400" w:lineRule="exact"/>
              <w:ind w:left="110" w:leftChars="50" w:firstLine="404"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pacing w:val="-4"/>
                <w:sz w:val="21"/>
                <w:szCs w:val="21"/>
                <w:lang w:val="en-US" w:bidi="ar-SA"/>
              </w:rPr>
              <w:t>根据《排污许可证申请与核发技术规范 水泥工业（HJ 847—2017）》</w:t>
            </w:r>
            <w:r>
              <w:rPr>
                <w:rFonts w:hint="eastAsia" w:ascii="Times New Roman" w:hAnsi="Times New Roman" w:cs="Times New Roman"/>
                <w:color w:val="auto"/>
                <w:sz w:val="21"/>
                <w:szCs w:val="21"/>
                <w:lang w:val="en-US" w:bidi="ar-SA"/>
              </w:rPr>
              <w:t>《排污单位自行监测技术指南 水泥工业（HJ848-2017）》</w:t>
            </w:r>
            <w:r>
              <w:rPr>
                <w:rFonts w:ascii="Times New Roman" w:hAnsi="Times New Roman" w:cs="Times New Roman"/>
                <w:color w:val="auto"/>
                <w:spacing w:val="-4"/>
                <w:sz w:val="21"/>
                <w:szCs w:val="21"/>
                <w:lang w:val="en-US" w:bidi="ar-SA"/>
              </w:rPr>
              <w:t>中的相关要求，提出相</w:t>
            </w:r>
            <w:r>
              <w:rPr>
                <w:rFonts w:ascii="Times New Roman" w:hAnsi="Times New Roman" w:cs="Times New Roman"/>
                <w:color w:val="auto"/>
                <w:sz w:val="21"/>
                <w:szCs w:val="21"/>
                <w:lang w:val="en-US" w:bidi="ar-SA"/>
              </w:rPr>
              <w:t>应的环境监测计划，定期监测项目主要污染源，掌握项目排污状况，为制定污染控制对策提供依据。</w:t>
            </w:r>
          </w:p>
          <w:p>
            <w:pPr>
              <w:pStyle w:val="25"/>
              <w:spacing w:line="400" w:lineRule="exact"/>
              <w:ind w:left="110" w:leftChars="50" w:firstLine="420" w:firstLineChars="200"/>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根据本项目特征和污染物排放情况，制定本项目的监测计划，具体内容见下表：</w:t>
            </w:r>
          </w:p>
          <w:p>
            <w:pPr>
              <w:tabs>
                <w:tab w:val="left" w:pos="905"/>
              </w:tabs>
              <w:spacing w:line="400" w:lineRule="exact"/>
              <w:ind w:left="5"/>
              <w:jc w:val="center"/>
              <w:outlineLvl w:val="2"/>
              <w:rPr>
                <w:rFonts w:ascii="Times New Roman" w:hAnsi="Times New Roman" w:cs="Times New Roman"/>
                <w:b/>
                <w:bCs/>
                <w:color w:val="auto"/>
                <w:sz w:val="21"/>
                <w:szCs w:val="21"/>
                <w:lang w:val="en-US" w:eastAsia="en-US" w:bidi="ar-SA"/>
              </w:rPr>
            </w:pPr>
            <w:r>
              <w:rPr>
                <w:rFonts w:ascii="Times New Roman" w:hAnsi="Times New Roman" w:cs="Times New Roman"/>
                <w:b/>
                <w:bCs/>
                <w:color w:val="auto"/>
                <w:sz w:val="21"/>
                <w:szCs w:val="21"/>
                <w:lang w:val="en-US" w:eastAsia="en-US" w:bidi="ar-SA"/>
              </w:rPr>
              <w:t>表</w:t>
            </w:r>
            <w:r>
              <w:rPr>
                <w:rFonts w:ascii="Times New Roman" w:hAnsi="Times New Roman" w:cs="Times New Roman"/>
                <w:b/>
                <w:bCs/>
                <w:color w:val="auto"/>
                <w:sz w:val="21"/>
                <w:szCs w:val="21"/>
                <w:lang w:val="en-US" w:bidi="ar-SA"/>
              </w:rPr>
              <w:t>4.</w:t>
            </w:r>
            <w:r>
              <w:rPr>
                <w:rFonts w:hint="eastAsia" w:ascii="Times New Roman" w:hAnsi="Times New Roman" w:cs="Times New Roman"/>
                <w:b/>
                <w:bCs/>
                <w:color w:val="auto"/>
                <w:sz w:val="21"/>
                <w:szCs w:val="21"/>
                <w:lang w:val="en-US" w:bidi="ar-SA"/>
              </w:rPr>
              <w:t>10</w:t>
            </w:r>
            <w:r>
              <w:rPr>
                <w:rFonts w:ascii="Times New Roman" w:hAnsi="Times New Roman" w:eastAsia="Times New Roman" w:cs="Times New Roman"/>
                <w:b/>
                <w:bCs/>
                <w:color w:val="auto"/>
                <w:sz w:val="21"/>
                <w:szCs w:val="21"/>
                <w:lang w:val="en-US" w:eastAsia="en-US" w:bidi="ar-SA"/>
              </w:rPr>
              <w:tab/>
            </w:r>
            <w:r>
              <w:rPr>
                <w:rFonts w:ascii="Times New Roman" w:hAnsi="Times New Roman" w:cs="Times New Roman"/>
                <w:b/>
                <w:bCs/>
                <w:color w:val="auto"/>
                <w:sz w:val="21"/>
                <w:szCs w:val="21"/>
                <w:lang w:val="en-US" w:bidi="ar-SA"/>
              </w:rPr>
              <w:t>废气</w:t>
            </w:r>
            <w:r>
              <w:rPr>
                <w:rFonts w:ascii="Times New Roman" w:hAnsi="Times New Roman" w:cs="Times New Roman"/>
                <w:b/>
                <w:bCs/>
                <w:color w:val="auto"/>
                <w:sz w:val="21"/>
                <w:szCs w:val="21"/>
                <w:lang w:val="en-US" w:eastAsia="en-US" w:bidi="ar-SA"/>
              </w:rPr>
              <w:t>监测计划一览表</w:t>
            </w:r>
          </w:p>
          <w:tbl>
            <w:tblPr>
              <w:tblStyle w:val="32"/>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3657"/>
              <w:gridCol w:w="1113"/>
              <w:gridCol w:w="2021"/>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06"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类型</w:t>
                  </w:r>
                </w:p>
              </w:tc>
              <w:tc>
                <w:tcPr>
                  <w:tcW w:w="3657"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项目</w:t>
                  </w:r>
                </w:p>
              </w:tc>
              <w:tc>
                <w:tcPr>
                  <w:tcW w:w="1113"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监测因子</w:t>
                  </w:r>
                </w:p>
              </w:tc>
              <w:tc>
                <w:tcPr>
                  <w:tcW w:w="2021"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取样位置</w:t>
                  </w:r>
                </w:p>
              </w:tc>
              <w:tc>
                <w:tcPr>
                  <w:tcW w:w="1543"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06" w:type="dxa"/>
                  <w:vMerge w:val="restart"/>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废气</w:t>
                  </w:r>
                </w:p>
              </w:tc>
              <w:tc>
                <w:tcPr>
                  <w:tcW w:w="3657" w:type="dxa"/>
                  <w:vAlign w:val="center"/>
                </w:tcPr>
                <w:p>
                  <w:pPr>
                    <w:widowControl/>
                    <w:ind w:left="-110" w:leftChars="-50" w:right="-110" w:rightChars="-50"/>
                    <w:jc w:val="center"/>
                    <w:textAlignment w:val="center"/>
                    <w:rPr>
                      <w:rFonts w:ascii="Times New Roman" w:hAnsi="Times New Roman" w:cs="Times New Roman"/>
                      <w:color w:val="auto"/>
                      <w:kern w:val="2"/>
                      <w:sz w:val="21"/>
                      <w:lang w:val="en-US" w:bidi="ar-SA"/>
                    </w:rPr>
                  </w:pPr>
                  <w:r>
                    <w:rPr>
                      <w:rFonts w:hint="eastAsia" w:ascii="Times New Roman" w:hAnsi="Times New Roman" w:cs="Times New Roman"/>
                      <w:color w:val="auto"/>
                      <w:sz w:val="21"/>
                      <w:szCs w:val="21"/>
                      <w:lang w:val="en-US" w:bidi="ar"/>
                    </w:rPr>
                    <w:t>1号生产线搅拌-2号生产线搅拌工序废气治理设施出口（DA002）</w:t>
                  </w:r>
                </w:p>
              </w:tc>
              <w:tc>
                <w:tcPr>
                  <w:tcW w:w="1113"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颗粒物</w:t>
                  </w:r>
                </w:p>
              </w:tc>
              <w:tc>
                <w:tcPr>
                  <w:tcW w:w="2021"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排气筒出口</w:t>
                  </w:r>
                </w:p>
              </w:tc>
              <w:tc>
                <w:tcPr>
                  <w:tcW w:w="1543" w:type="dxa"/>
                  <w:tcBorders>
                    <w:top w:val="nil"/>
                  </w:tcBorders>
                  <w:vAlign w:val="center"/>
                </w:tcPr>
                <w:p>
                  <w:pPr>
                    <w:jc w:val="center"/>
                    <w:rPr>
                      <w:rFonts w:ascii="Times New Roman" w:hAnsi="Times New Roman" w:cs="Times New Roman"/>
                      <w:color w:val="auto"/>
                      <w:kern w:val="2"/>
                      <w:sz w:val="21"/>
                      <w:lang w:val="en-US" w:eastAsia="en-US" w:bidi="ar-SA"/>
                    </w:rPr>
                  </w:pPr>
                  <w:r>
                    <w:rPr>
                      <w:rFonts w:hint="eastAsia" w:ascii="Times New Roman" w:hAnsi="Times New Roman" w:cs="Times New Roman"/>
                      <w:color w:val="auto"/>
                      <w:kern w:val="2"/>
                      <w:sz w:val="21"/>
                      <w:lang w:val="en-US" w:bidi="ar-SA"/>
                    </w:rPr>
                    <w:t>每两</w:t>
                  </w:r>
                  <w:r>
                    <w:rPr>
                      <w:rFonts w:ascii="Times New Roman" w:hAnsi="Times New Roman" w:cs="Times New Roman"/>
                      <w:color w:val="auto"/>
                      <w:kern w:val="2"/>
                      <w:sz w:val="21"/>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506" w:type="dxa"/>
                  <w:vMerge w:val="continue"/>
                  <w:vAlign w:val="center"/>
                </w:tcPr>
                <w:p>
                  <w:pPr>
                    <w:jc w:val="center"/>
                    <w:rPr>
                      <w:rFonts w:ascii="Times New Roman" w:hAnsi="Times New Roman" w:cs="Times New Roman"/>
                      <w:color w:val="auto"/>
                      <w:kern w:val="2"/>
                      <w:sz w:val="21"/>
                      <w:lang w:val="en-US" w:bidi="ar-SA"/>
                    </w:rPr>
                  </w:pPr>
                </w:p>
              </w:tc>
              <w:tc>
                <w:tcPr>
                  <w:tcW w:w="3657" w:type="dxa"/>
                  <w:vAlign w:val="center"/>
                </w:tcPr>
                <w:p>
                  <w:pPr>
                    <w:widowControl/>
                    <w:ind w:left="-110" w:leftChars="-50" w:right="-110" w:rightChars="-50"/>
                    <w:jc w:val="center"/>
                    <w:textAlignment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sz w:val="21"/>
                      <w:szCs w:val="21"/>
                      <w:lang w:val="en-US" w:bidi="ar"/>
                    </w:rPr>
                    <w:t>2号生产线粉料仓工序废气治理设施出口（DA003）</w:t>
                  </w:r>
                </w:p>
              </w:tc>
              <w:tc>
                <w:tcPr>
                  <w:tcW w:w="1113"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颗粒物</w:t>
                  </w:r>
                </w:p>
              </w:tc>
              <w:tc>
                <w:tcPr>
                  <w:tcW w:w="2021" w:type="dxa"/>
                  <w:vAlign w:val="center"/>
                </w:tcPr>
                <w:p>
                  <w:pPr>
                    <w:jc w:val="center"/>
                    <w:rPr>
                      <w:rFonts w:ascii="Times New Roman" w:hAnsi="Times New Roman" w:cs="Times New Roman"/>
                      <w:color w:val="auto"/>
                      <w:kern w:val="2"/>
                      <w:sz w:val="21"/>
                      <w:lang w:val="en-US" w:eastAsia="en-US" w:bidi="ar-SA"/>
                    </w:rPr>
                  </w:pPr>
                  <w:r>
                    <w:rPr>
                      <w:rFonts w:ascii="Times New Roman" w:hAnsi="Times New Roman" w:cs="Times New Roman"/>
                      <w:color w:val="auto"/>
                      <w:kern w:val="2"/>
                      <w:sz w:val="21"/>
                      <w:lang w:val="en-US" w:eastAsia="en-US" w:bidi="ar-SA"/>
                    </w:rPr>
                    <w:t>排气筒出口</w:t>
                  </w:r>
                </w:p>
              </w:tc>
              <w:tc>
                <w:tcPr>
                  <w:tcW w:w="1543" w:type="dxa"/>
                  <w:tcBorders>
                    <w:top w:val="nil"/>
                  </w:tcBorders>
                  <w:vAlign w:val="center"/>
                </w:tcPr>
                <w:p>
                  <w:pPr>
                    <w:jc w:val="center"/>
                    <w:rPr>
                      <w:rFonts w:ascii="Times New Roman" w:hAnsi="Times New Roman" w:cs="Times New Roman"/>
                      <w:color w:val="auto"/>
                      <w:kern w:val="2"/>
                      <w:sz w:val="21"/>
                      <w:lang w:val="en-US" w:bidi="ar-SA"/>
                    </w:rPr>
                  </w:pPr>
                  <w:r>
                    <w:rPr>
                      <w:rFonts w:hint="eastAsia" w:ascii="Times New Roman" w:hAnsi="Times New Roman" w:cs="Times New Roman"/>
                      <w:color w:val="auto"/>
                      <w:kern w:val="2"/>
                      <w:sz w:val="21"/>
                      <w:lang w:val="en-US" w:bidi="ar-SA"/>
                    </w:rPr>
                    <w:t>每两</w:t>
                  </w:r>
                  <w:r>
                    <w:rPr>
                      <w:rFonts w:ascii="Times New Roman" w:hAnsi="Times New Roman" w:cs="Times New Roman"/>
                      <w:color w:val="auto"/>
                      <w:kern w:val="2"/>
                      <w:sz w:val="21"/>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06" w:type="dxa"/>
                  <w:vMerge w:val="continue"/>
                  <w:vAlign w:val="center"/>
                </w:tcPr>
                <w:p>
                  <w:pPr>
                    <w:jc w:val="center"/>
                    <w:rPr>
                      <w:rFonts w:ascii="Times New Roman" w:hAnsi="Times New Roman" w:cs="Times New Roman"/>
                      <w:color w:val="auto"/>
                      <w:kern w:val="2"/>
                      <w:sz w:val="21"/>
                      <w:lang w:val="en-US" w:eastAsia="en-US" w:bidi="ar-SA"/>
                    </w:rPr>
                  </w:pPr>
                </w:p>
              </w:tc>
              <w:tc>
                <w:tcPr>
                  <w:tcW w:w="3657" w:type="dxa"/>
                  <w:vAlign w:val="center"/>
                </w:tcPr>
                <w:p>
                  <w:pPr>
                    <w:widowControl/>
                    <w:ind w:left="-110" w:leftChars="-50" w:right="-110" w:rightChars="-50"/>
                    <w:jc w:val="center"/>
                    <w:textAlignment w:val="center"/>
                    <w:rPr>
                      <w:rFonts w:ascii="Times New Roman" w:hAnsi="Times New Roman" w:cs="Times New Roman"/>
                      <w:color w:val="auto"/>
                      <w:kern w:val="2"/>
                      <w:sz w:val="21"/>
                      <w:lang w:val="en-US" w:bidi="ar-SA"/>
                    </w:rPr>
                  </w:pPr>
                  <w:r>
                    <w:rPr>
                      <w:rFonts w:hint="eastAsia" w:ascii="Times New Roman" w:hAnsi="Times New Roman" w:cs="Times New Roman"/>
                      <w:color w:val="auto"/>
                      <w:sz w:val="21"/>
                      <w:szCs w:val="21"/>
                      <w:lang w:val="en-US" w:bidi="ar"/>
                    </w:rPr>
                    <w:t>1号-2号生产线</w:t>
                  </w:r>
                  <w:r>
                    <w:rPr>
                      <w:rFonts w:hint="eastAsia" w:ascii="Times New Roman" w:hAnsi="Times New Roman" w:cs="Times New Roman"/>
                      <w:color w:val="auto"/>
                      <w:sz w:val="21"/>
                      <w:szCs w:val="21"/>
                      <w:lang w:val="en-US" w:eastAsia="zh-CN" w:bidi="ar"/>
                    </w:rPr>
                    <w:t>骨料</w:t>
                  </w:r>
                  <w:r>
                    <w:rPr>
                      <w:rFonts w:hint="eastAsia" w:ascii="Times New Roman" w:hAnsi="Times New Roman" w:cs="Times New Roman"/>
                      <w:color w:val="auto"/>
                      <w:sz w:val="21"/>
                      <w:szCs w:val="21"/>
                      <w:lang w:val="en-US" w:bidi="ar"/>
                    </w:rPr>
                    <w:t>仓工序废气治理设施出口（DA004）</w:t>
                  </w:r>
                </w:p>
              </w:tc>
              <w:tc>
                <w:tcPr>
                  <w:tcW w:w="1113" w:type="dxa"/>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颗粒物</w:t>
                  </w:r>
                </w:p>
              </w:tc>
              <w:tc>
                <w:tcPr>
                  <w:tcW w:w="2021" w:type="dxa"/>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eastAsia="en-US" w:bidi="ar-SA"/>
                    </w:rPr>
                    <w:t>排气筒出口</w:t>
                  </w:r>
                </w:p>
              </w:tc>
              <w:tc>
                <w:tcPr>
                  <w:tcW w:w="1543" w:type="dxa"/>
                  <w:tcBorders>
                    <w:top w:val="nil"/>
                  </w:tcBorders>
                  <w:vAlign w:val="center"/>
                </w:tcPr>
                <w:p>
                  <w:pPr>
                    <w:jc w:val="center"/>
                    <w:rPr>
                      <w:rFonts w:ascii="Times New Roman" w:hAnsi="Times New Roman" w:cs="Times New Roman"/>
                      <w:color w:val="auto"/>
                      <w:kern w:val="2"/>
                      <w:sz w:val="21"/>
                      <w:lang w:val="en-US" w:bidi="ar-SA"/>
                    </w:rPr>
                  </w:pPr>
                  <w:r>
                    <w:rPr>
                      <w:rFonts w:hint="eastAsia" w:ascii="Times New Roman" w:hAnsi="Times New Roman" w:cs="Times New Roman"/>
                      <w:color w:val="auto"/>
                      <w:kern w:val="2"/>
                      <w:sz w:val="21"/>
                      <w:lang w:val="en-US" w:bidi="ar-SA"/>
                    </w:rPr>
                    <w:t>每两</w:t>
                  </w:r>
                  <w:r>
                    <w:rPr>
                      <w:rFonts w:ascii="Times New Roman" w:hAnsi="Times New Roman" w:cs="Times New Roman"/>
                      <w:color w:val="auto"/>
                      <w:kern w:val="2"/>
                      <w:sz w:val="21"/>
                      <w:lang w:val="en-US" w:eastAsia="en-US" w:bidi="ar-SA"/>
                    </w:rPr>
                    <w:t>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506" w:type="dxa"/>
                  <w:vMerge w:val="continue"/>
                  <w:vAlign w:val="center"/>
                </w:tcPr>
                <w:p>
                  <w:pPr>
                    <w:jc w:val="center"/>
                    <w:rPr>
                      <w:rFonts w:ascii="Times New Roman" w:hAnsi="Times New Roman" w:cs="Times New Roman"/>
                      <w:color w:val="auto"/>
                    </w:rPr>
                  </w:pPr>
                </w:p>
              </w:tc>
              <w:tc>
                <w:tcPr>
                  <w:tcW w:w="3657" w:type="dxa"/>
                  <w:vAlign w:val="center"/>
                </w:tcPr>
                <w:p>
                  <w:pPr>
                    <w:jc w:val="center"/>
                    <w:rPr>
                      <w:rFonts w:ascii="Times New Roman" w:hAnsi="Times New Roman" w:cs="Times New Roman"/>
                      <w:color w:val="auto"/>
                      <w:lang w:val="en-US"/>
                    </w:rPr>
                  </w:pPr>
                  <w:r>
                    <w:rPr>
                      <w:rFonts w:ascii="Times New Roman" w:hAnsi="Times New Roman" w:cs="Times New Roman"/>
                      <w:color w:val="auto"/>
                      <w:sz w:val="21"/>
                      <w:szCs w:val="21"/>
                      <w:lang w:val="en-US"/>
                    </w:rPr>
                    <w:t>无组织废气</w:t>
                  </w:r>
                </w:p>
              </w:tc>
              <w:tc>
                <w:tcPr>
                  <w:tcW w:w="1113" w:type="dxa"/>
                  <w:vAlign w:val="center"/>
                </w:tcPr>
                <w:p>
                  <w:pPr>
                    <w:jc w:val="center"/>
                    <w:rPr>
                      <w:rFonts w:ascii="Times New Roman" w:hAnsi="Times New Roman" w:cs="Times New Roman"/>
                      <w:color w:val="auto"/>
                      <w:sz w:val="21"/>
                      <w:szCs w:val="21"/>
                      <w:lang w:val="en-US" w:bidi="ar-SA"/>
                    </w:rPr>
                  </w:pPr>
                  <w:r>
                    <w:rPr>
                      <w:rFonts w:ascii="Times New Roman" w:hAnsi="Times New Roman" w:cs="Times New Roman"/>
                      <w:color w:val="auto"/>
                      <w:kern w:val="2"/>
                      <w:sz w:val="21"/>
                      <w:lang w:val="en-US" w:bidi="ar-SA"/>
                    </w:rPr>
                    <w:t>颗粒物</w:t>
                  </w:r>
                </w:p>
              </w:tc>
              <w:tc>
                <w:tcPr>
                  <w:tcW w:w="2021" w:type="dxa"/>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sz w:val="21"/>
                      <w:szCs w:val="21"/>
                    </w:rPr>
                    <w:t>厂界外20m处上风向设参照点，下风向设监控点</w:t>
                  </w:r>
                </w:p>
              </w:tc>
              <w:tc>
                <w:tcPr>
                  <w:tcW w:w="1543" w:type="dxa"/>
                  <w:vAlign w:val="center"/>
                </w:tcPr>
                <w:p>
                  <w:pPr>
                    <w:jc w:val="center"/>
                    <w:rPr>
                      <w:rFonts w:ascii="Times New Roman" w:hAnsi="Times New Roman" w:cs="Times New Roman"/>
                      <w:color w:val="auto"/>
                      <w:kern w:val="2"/>
                      <w:sz w:val="21"/>
                      <w:lang w:val="en-US" w:bidi="ar-SA"/>
                    </w:rPr>
                  </w:pPr>
                  <w:r>
                    <w:rPr>
                      <w:rFonts w:hint="eastAsia" w:ascii="Times New Roman" w:hAnsi="Times New Roman" w:cs="Times New Roman"/>
                      <w:color w:val="auto"/>
                      <w:kern w:val="2"/>
                      <w:sz w:val="21"/>
                      <w:lang w:val="en-US" w:bidi="ar-SA"/>
                    </w:rPr>
                    <w:t>每季度</w:t>
                  </w:r>
                  <w:r>
                    <w:rPr>
                      <w:rFonts w:ascii="Times New Roman" w:hAnsi="Times New Roman" w:cs="Times New Roman"/>
                      <w:color w:val="auto"/>
                      <w:kern w:val="2"/>
                      <w:sz w:val="21"/>
                      <w:lang w:val="en-US" w:bidi="ar-SA"/>
                    </w:rPr>
                    <w:t>1次</w:t>
                  </w:r>
                </w:p>
              </w:tc>
            </w:tr>
          </w:tbl>
          <w:p>
            <w:pPr>
              <w:autoSpaceDE/>
              <w:autoSpaceDN/>
              <w:spacing w:line="400" w:lineRule="exact"/>
              <w:ind w:firstLine="421" w:firstLineChars="200"/>
              <w:rPr>
                <w:rFonts w:ascii="Times New Roman" w:hAnsi="Times New Roman" w:cs="Times New Roman"/>
                <w:b/>
                <w:bCs/>
                <w:color w:val="auto"/>
                <w:kern w:val="2"/>
                <w:sz w:val="21"/>
                <w:szCs w:val="24"/>
                <w:lang w:val="en-US" w:bidi="ar-SA"/>
              </w:rPr>
            </w:pPr>
            <w:r>
              <w:rPr>
                <w:rFonts w:hint="eastAsia" w:ascii="Times New Roman" w:hAnsi="Times New Roman" w:cs="Times New Roman"/>
                <w:b/>
                <w:bCs/>
                <w:color w:val="auto"/>
                <w:sz w:val="21"/>
                <w:szCs w:val="21"/>
                <w:lang w:val="en-US"/>
              </w:rPr>
              <w:t>4</w:t>
            </w:r>
            <w:r>
              <w:rPr>
                <w:rFonts w:ascii="Times New Roman" w:hAnsi="Times New Roman" w:cs="Times New Roman"/>
                <w:b/>
                <w:bCs/>
                <w:color w:val="auto"/>
                <w:sz w:val="21"/>
                <w:szCs w:val="21"/>
                <w:lang w:val="en-US"/>
              </w:rPr>
              <w:t>、</w:t>
            </w:r>
            <w:r>
              <w:rPr>
                <w:rFonts w:ascii="Times New Roman" w:hAnsi="Times New Roman" w:cs="Times New Roman"/>
                <w:b/>
                <w:bCs/>
                <w:color w:val="auto"/>
                <w:kern w:val="2"/>
                <w:sz w:val="21"/>
                <w:szCs w:val="24"/>
                <w:lang w:val="en-US" w:bidi="ar-SA"/>
              </w:rPr>
              <w:t>非正常排放情况</w:t>
            </w:r>
          </w:p>
          <w:p>
            <w:pPr>
              <w:spacing w:line="400" w:lineRule="exact"/>
              <w:ind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（1）废气处理设施故障</w:t>
            </w:r>
          </w:p>
          <w:p>
            <w:pPr>
              <w:spacing w:line="400" w:lineRule="exact"/>
              <w:ind w:left="110" w:leftChars="50"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本项目废气非正常工况为布袋除尘器出现事故，处理失效，废气未经处理直接排放，最坏情况处理效率为0%。</w:t>
            </w:r>
          </w:p>
          <w:p>
            <w:pPr>
              <w:spacing w:line="400" w:lineRule="exact"/>
              <w:ind w:left="110" w:leftChars="50"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本评价要求，建设单位要定期对废气处理设施（布袋除尘器）进行维护和保养，一旦发现设施运行异常，应停止生产，迅速抢修或更换，待废气处理设施运行正常后恢复生产。</w:t>
            </w:r>
          </w:p>
          <w:p>
            <w:pPr>
              <w:autoSpaceDE/>
              <w:autoSpaceDN/>
              <w:spacing w:line="400" w:lineRule="exact"/>
              <w:ind w:left="110" w:leftChars="50" w:firstLine="420" w:firstLineChars="200"/>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根据工程分析，建设项目涉及的非正常排放主要为：布袋除尘器故障，导致颗粒物未经处理直接排放，事故处理时间以30分钟计。</w:t>
            </w:r>
          </w:p>
          <w:p>
            <w:pPr>
              <w:spacing w:line="400" w:lineRule="exact"/>
              <w:ind w:left="110" w:leftChars="50"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（2）启停机</w:t>
            </w:r>
          </w:p>
          <w:p>
            <w:pPr>
              <w:autoSpaceDE/>
              <w:autoSpaceDN/>
              <w:adjustRightInd w:val="0"/>
              <w:snapToGrid w:val="0"/>
              <w:spacing w:line="400" w:lineRule="exact"/>
              <w:ind w:left="110" w:leftChars="50" w:firstLine="404" w:firstLineChars="200"/>
              <w:jc w:val="both"/>
              <w:rPr>
                <w:rFonts w:ascii="Times New Roman" w:hAnsi="Times New Roman" w:cs="Times New Roman"/>
                <w:color w:val="auto"/>
                <w:spacing w:val="-4"/>
                <w:sz w:val="21"/>
                <w:szCs w:val="21"/>
                <w:lang w:val="en-US" w:bidi="ar-SA"/>
              </w:rPr>
            </w:pPr>
            <w:r>
              <w:rPr>
                <w:rFonts w:ascii="Times New Roman" w:hAnsi="Times New Roman" w:cs="Times New Roman"/>
                <w:color w:val="auto"/>
                <w:spacing w:val="-4"/>
                <w:sz w:val="21"/>
                <w:szCs w:val="21"/>
                <w:lang w:val="en-US" w:bidi="ar-SA"/>
              </w:rPr>
              <w:t>本项目生产设备运行前环保设备提前运行，生产设备停止运行后环保设备延迟运行一段时间运行，确保废气经收集后进入废气处理系统，处理后达标排放。该部分废气以纳入正常工况污染物排放量内，不在单独核算。</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非正常工况下，污染物排放量增大，对环境会产生不利影响。因此，生产中应加强管理，严格操作规范，环保设备检修时需暂停生产，检修完成后进行正常生产，避免废气直接排放造成的环境污染。</w:t>
            </w:r>
          </w:p>
          <w:p>
            <w:pPr>
              <w:autoSpaceDE/>
              <w:autoSpaceDN/>
              <w:adjustRightInd w:val="0"/>
              <w:snapToGrid w:val="0"/>
              <w:spacing w:before="120" w:beforeLines="50" w:line="400" w:lineRule="exact"/>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表4.</w:t>
            </w:r>
            <w:r>
              <w:rPr>
                <w:rFonts w:hint="eastAsia" w:ascii="Times New Roman" w:hAnsi="Times New Roman" w:cs="Times New Roman"/>
                <w:b/>
                <w:bCs/>
                <w:color w:val="auto"/>
                <w:kern w:val="2"/>
                <w:sz w:val="21"/>
                <w:szCs w:val="24"/>
                <w:lang w:val="en-US" w:bidi="ar-SA"/>
              </w:rPr>
              <w:t>11</w:t>
            </w:r>
            <w:r>
              <w:rPr>
                <w:rFonts w:ascii="Times New Roman" w:hAnsi="Times New Roman" w:cs="Times New Roman"/>
                <w:b/>
                <w:bCs/>
                <w:color w:val="auto"/>
                <w:kern w:val="2"/>
                <w:sz w:val="21"/>
                <w:szCs w:val="24"/>
                <w:lang w:val="en-US" w:bidi="ar-SA"/>
              </w:rPr>
              <w:t xml:space="preserve">  非正常排放情况表</w:t>
            </w:r>
          </w:p>
          <w:tbl>
            <w:tblPr>
              <w:tblStyle w:val="32"/>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6"/>
              <w:gridCol w:w="920"/>
              <w:gridCol w:w="1155"/>
              <w:gridCol w:w="1185"/>
              <w:gridCol w:w="900"/>
              <w:gridCol w:w="1054"/>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项目</w:t>
                  </w:r>
                </w:p>
              </w:tc>
              <w:tc>
                <w:tcPr>
                  <w:tcW w:w="876"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排放口编号</w:t>
                  </w:r>
                </w:p>
              </w:tc>
              <w:tc>
                <w:tcPr>
                  <w:tcW w:w="920"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非正常工况频次</w:t>
                  </w:r>
                </w:p>
              </w:tc>
              <w:tc>
                <w:tcPr>
                  <w:tcW w:w="1155"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污染物名称</w:t>
                  </w:r>
                </w:p>
              </w:tc>
              <w:tc>
                <w:tcPr>
                  <w:tcW w:w="1185"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排放浓度（mg/m</w:t>
                  </w:r>
                  <w:r>
                    <w:rPr>
                      <w:rFonts w:ascii="Times New Roman" w:hAnsi="Times New Roman" w:cs="Times New Roman"/>
                      <w:b/>
                      <w:bCs/>
                      <w:color w:val="auto"/>
                      <w:kern w:val="2"/>
                      <w:sz w:val="21"/>
                      <w:szCs w:val="24"/>
                      <w:vertAlign w:val="superscript"/>
                      <w:lang w:val="en-US" w:bidi="ar-SA"/>
                    </w:rPr>
                    <w:t>3</w:t>
                  </w:r>
                  <w:r>
                    <w:rPr>
                      <w:rFonts w:ascii="Times New Roman" w:hAnsi="Times New Roman" w:cs="Times New Roman"/>
                      <w:b/>
                      <w:bCs/>
                      <w:color w:val="auto"/>
                      <w:kern w:val="2"/>
                      <w:sz w:val="21"/>
                      <w:szCs w:val="24"/>
                      <w:lang w:val="en-US" w:bidi="ar-SA"/>
                    </w:rPr>
                    <w:t>）</w:t>
                  </w:r>
                </w:p>
              </w:tc>
              <w:tc>
                <w:tcPr>
                  <w:tcW w:w="900"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持续时间（min）</w:t>
                  </w:r>
                </w:p>
              </w:tc>
              <w:tc>
                <w:tcPr>
                  <w:tcW w:w="1054"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排放量</w:t>
                  </w:r>
                </w:p>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（kg/次）</w:t>
                  </w:r>
                </w:p>
              </w:tc>
              <w:tc>
                <w:tcPr>
                  <w:tcW w:w="2235" w:type="dxa"/>
                  <w:vAlign w:val="center"/>
                </w:tcPr>
                <w:p>
                  <w:pPr>
                    <w:autoSpaceDE/>
                    <w:autoSpaceDN/>
                    <w:ind w:left="-110" w:leftChars="-50" w:right="-110" w:rightChars="-50"/>
                    <w:jc w:val="center"/>
                    <w:rPr>
                      <w:rFonts w:ascii="Times New Roman" w:hAnsi="Times New Roman" w:cs="Times New Roman"/>
                      <w:b/>
                      <w:bCs/>
                      <w:color w:val="auto"/>
                      <w:kern w:val="2"/>
                      <w:sz w:val="21"/>
                      <w:szCs w:val="24"/>
                      <w:lang w:val="en-US" w:bidi="ar-SA"/>
                    </w:rPr>
                  </w:pPr>
                  <w:r>
                    <w:rPr>
                      <w:rFonts w:ascii="Times New Roman" w:hAnsi="Times New Roman" w:cs="Times New Roman"/>
                      <w:b/>
                      <w:bCs/>
                      <w:color w:val="auto"/>
                      <w:kern w:val="2"/>
                      <w:sz w:val="21"/>
                      <w:szCs w:val="24"/>
                      <w:lang w:val="en-US" w:bidi="ar-S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Merge w:val="restart"/>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布袋除尘器故障</w:t>
                  </w:r>
                </w:p>
              </w:tc>
              <w:tc>
                <w:tcPr>
                  <w:tcW w:w="876" w:type="dxa"/>
                  <w:vAlign w:val="center"/>
                </w:tcPr>
                <w:p>
                  <w:pPr>
                    <w:widowControl/>
                    <w:ind w:left="-110" w:leftChars="-50" w:right="-110" w:rightChars="-50"/>
                    <w:jc w:val="center"/>
                    <w:textAlignment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sz w:val="21"/>
                      <w:szCs w:val="21"/>
                      <w:lang w:val="en-US" w:bidi="ar"/>
                    </w:rPr>
                    <w:t>1号生产线搅拌-2号生产线搅拌工序废气治理设施出口（DA002）</w:t>
                  </w:r>
                </w:p>
              </w:tc>
              <w:tc>
                <w:tcPr>
                  <w:tcW w:w="920"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每年一次</w:t>
                  </w:r>
                </w:p>
              </w:tc>
              <w:tc>
                <w:tcPr>
                  <w:tcW w:w="1155"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颗粒物</w:t>
                  </w:r>
                </w:p>
              </w:tc>
              <w:tc>
                <w:tcPr>
                  <w:tcW w:w="1185"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1597.853</w:t>
                  </w:r>
                  <w:r>
                    <w:rPr>
                      <w:rFonts w:ascii="Times New Roman" w:hAnsi="Times New Roman" w:cs="Times New Roman"/>
                      <w:color w:val="auto"/>
                      <w:sz w:val="21"/>
                      <w:szCs w:val="21"/>
                      <w:lang w:val="en-US" w:bidi="ar"/>
                    </w:rPr>
                    <w:t xml:space="preserve"> </w:t>
                  </w:r>
                </w:p>
              </w:tc>
              <w:tc>
                <w:tcPr>
                  <w:tcW w:w="900"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30</w:t>
                  </w:r>
                </w:p>
              </w:tc>
              <w:tc>
                <w:tcPr>
                  <w:tcW w:w="1054" w:type="dxa"/>
                  <w:vAlign w:val="center"/>
                </w:tcPr>
                <w:p>
                  <w:pPr>
                    <w:widowControl/>
                    <w:ind w:left="-110" w:leftChars="-50" w:right="-110" w:rightChars="-50"/>
                    <w:jc w:val="center"/>
                    <w:textAlignment w:val="center"/>
                    <w:rPr>
                      <w:rFonts w:hint="default"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2.096</w:t>
                  </w:r>
                </w:p>
              </w:tc>
              <w:tc>
                <w:tcPr>
                  <w:tcW w:w="2235" w:type="dxa"/>
                  <w:vMerge w:val="restart"/>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Merge w:val="continue"/>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p>
              </w:tc>
              <w:tc>
                <w:tcPr>
                  <w:tcW w:w="876"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2号生产线粉料仓工序废气治理设施出口（DA003）</w:t>
                  </w:r>
                </w:p>
              </w:tc>
              <w:tc>
                <w:tcPr>
                  <w:tcW w:w="920"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每年一次</w:t>
                  </w:r>
                </w:p>
              </w:tc>
              <w:tc>
                <w:tcPr>
                  <w:tcW w:w="1155"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颗粒物</w:t>
                  </w:r>
                </w:p>
              </w:tc>
              <w:tc>
                <w:tcPr>
                  <w:tcW w:w="1185"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bidi="ar"/>
                    </w:rPr>
                    <w:t>1824</w:t>
                  </w:r>
                </w:p>
              </w:tc>
              <w:tc>
                <w:tcPr>
                  <w:tcW w:w="900"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30</w:t>
                  </w:r>
                </w:p>
              </w:tc>
              <w:tc>
                <w:tcPr>
                  <w:tcW w:w="1054" w:type="dxa"/>
                  <w:shd w:val="clear" w:color="auto" w:fill="auto"/>
                  <w:vAlign w:val="center"/>
                </w:tcPr>
                <w:p>
                  <w:pPr>
                    <w:widowControl/>
                    <w:ind w:left="-110" w:leftChars="-50" w:right="-110" w:rightChars="-50"/>
                    <w:jc w:val="center"/>
                    <w:textAlignment w:val="center"/>
                    <w:rPr>
                      <w:rFonts w:hint="eastAsia"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bidi="ar"/>
                    </w:rPr>
                    <w:t>9.12</w:t>
                  </w:r>
                  <w:r>
                    <w:rPr>
                      <w:rFonts w:hint="eastAsia" w:ascii="Times New Roman" w:hAnsi="Times New Roman" w:cs="Times New Roman"/>
                      <w:color w:val="auto"/>
                      <w:sz w:val="21"/>
                      <w:szCs w:val="21"/>
                      <w:lang w:val="en-US" w:eastAsia="zh-CN" w:bidi="ar"/>
                    </w:rPr>
                    <w:t>0</w:t>
                  </w:r>
                </w:p>
              </w:tc>
              <w:tc>
                <w:tcPr>
                  <w:tcW w:w="2235" w:type="dxa"/>
                  <w:vMerge w:val="continue"/>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vMerge w:val="continue"/>
                  <w:vAlign w:val="center"/>
                </w:tcPr>
                <w:p>
                  <w:pPr>
                    <w:autoSpaceDE/>
                    <w:autoSpaceDN/>
                    <w:ind w:left="-110" w:leftChars="-50" w:right="-110" w:rightChars="-50"/>
                    <w:jc w:val="center"/>
                    <w:rPr>
                      <w:rFonts w:ascii="Times New Roman" w:hAnsi="Times New Roman" w:cs="Times New Roman"/>
                      <w:color w:val="auto"/>
                    </w:rPr>
                  </w:pPr>
                </w:p>
              </w:tc>
              <w:tc>
                <w:tcPr>
                  <w:tcW w:w="876" w:type="dxa"/>
                  <w:vAlign w:val="center"/>
                </w:tcPr>
                <w:p>
                  <w:pPr>
                    <w:widowControl/>
                    <w:ind w:left="-110" w:leftChars="-50" w:right="-110" w:rightChars="-50"/>
                    <w:jc w:val="center"/>
                    <w:textAlignment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sz w:val="21"/>
                      <w:szCs w:val="21"/>
                      <w:lang w:val="en-US" w:bidi="ar"/>
                    </w:rPr>
                    <w:t>1号-2号生产线</w:t>
                  </w:r>
                  <w:r>
                    <w:rPr>
                      <w:rFonts w:hint="eastAsia" w:ascii="Times New Roman" w:hAnsi="Times New Roman" w:cs="Times New Roman"/>
                      <w:color w:val="auto"/>
                      <w:sz w:val="21"/>
                      <w:szCs w:val="21"/>
                      <w:lang w:val="en-US" w:eastAsia="zh-CN" w:bidi="ar"/>
                    </w:rPr>
                    <w:t>骨料</w:t>
                  </w:r>
                  <w:r>
                    <w:rPr>
                      <w:rFonts w:hint="eastAsia" w:ascii="Times New Roman" w:hAnsi="Times New Roman" w:cs="Times New Roman"/>
                      <w:color w:val="auto"/>
                      <w:sz w:val="21"/>
                      <w:szCs w:val="21"/>
                      <w:lang w:val="en-US" w:bidi="ar"/>
                    </w:rPr>
                    <w:t>仓工序废气治理设施出口（DA004）</w:t>
                  </w:r>
                </w:p>
              </w:tc>
              <w:tc>
                <w:tcPr>
                  <w:tcW w:w="920"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每年一次</w:t>
                  </w:r>
                </w:p>
              </w:tc>
              <w:tc>
                <w:tcPr>
                  <w:tcW w:w="1155" w:type="dxa"/>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颗粒物</w:t>
                  </w:r>
                </w:p>
              </w:tc>
              <w:tc>
                <w:tcPr>
                  <w:tcW w:w="1185" w:type="dxa"/>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785.254</w:t>
                  </w:r>
                  <w:r>
                    <w:rPr>
                      <w:rFonts w:hint="eastAsia" w:ascii="Times New Roman" w:hAnsi="Times New Roman" w:cs="Times New Roman"/>
                      <w:color w:val="auto"/>
                      <w:sz w:val="21"/>
                      <w:szCs w:val="21"/>
                      <w:lang w:val="en-US" w:bidi="ar"/>
                    </w:rPr>
                    <w:t xml:space="preserve"> </w:t>
                  </w:r>
                </w:p>
              </w:tc>
              <w:tc>
                <w:tcPr>
                  <w:tcW w:w="900" w:type="dxa"/>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30</w:t>
                  </w:r>
                </w:p>
              </w:tc>
              <w:tc>
                <w:tcPr>
                  <w:tcW w:w="1054" w:type="dxa"/>
                  <w:vAlign w:val="center"/>
                </w:tcPr>
                <w:p>
                  <w:pPr>
                    <w:widowControl/>
                    <w:ind w:left="-110" w:leftChars="-50" w:right="-110" w:rightChars="-50"/>
                    <w:jc w:val="center"/>
                    <w:textAlignment w:val="center"/>
                    <w:rPr>
                      <w:rFonts w:hint="default"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3.894</w:t>
                  </w:r>
                </w:p>
              </w:tc>
              <w:tc>
                <w:tcPr>
                  <w:tcW w:w="2235" w:type="dxa"/>
                  <w:vMerge w:val="continue"/>
                  <w:vAlign w:val="center"/>
                </w:tcPr>
                <w:p>
                  <w:pPr>
                    <w:autoSpaceDE/>
                    <w:autoSpaceDN/>
                    <w:ind w:left="-110" w:leftChars="-50" w:right="-110" w:rightChars="-50"/>
                    <w:jc w:val="center"/>
                    <w:rPr>
                      <w:rFonts w:ascii="Times New Roman" w:hAnsi="Times New Roman" w:cs="Times New Roman"/>
                      <w:color w:val="auto"/>
                      <w:kern w:val="2"/>
                      <w:sz w:val="21"/>
                      <w:szCs w:val="24"/>
                      <w:lang w:val="en-US" w:bidi="ar-SA"/>
                    </w:rPr>
                  </w:pPr>
                </w:p>
              </w:tc>
            </w:tr>
          </w:tbl>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二、废水</w:t>
            </w:r>
          </w:p>
          <w:p>
            <w:pPr>
              <w:pStyle w:val="25"/>
              <w:autoSpaceDE/>
              <w:autoSpaceDN/>
              <w:spacing w:line="400" w:lineRule="exact"/>
              <w:ind w:left="110" w:leftChars="50" w:right="110" w:rightChars="50" w:firstLine="420" w:firstLineChars="200"/>
              <w:jc w:val="both"/>
              <w:rPr>
                <w:rFonts w:ascii="Times New Roman" w:hAnsi="Times New Roman" w:cs="Times New Roman"/>
                <w:color w:val="auto"/>
                <w:kern w:val="2"/>
                <w:sz w:val="21"/>
                <w:szCs w:val="24"/>
                <w:lang w:val="en-US" w:bidi="ar-SA"/>
              </w:rPr>
            </w:pPr>
            <w:r>
              <w:rPr>
                <w:rFonts w:ascii="Times New Roman" w:hAnsi="Times New Roman" w:cs="Times New Roman"/>
                <w:color w:val="auto"/>
                <w:kern w:val="2"/>
                <w:sz w:val="21"/>
                <w:szCs w:val="24"/>
                <w:lang w:val="en-US" w:bidi="ar-SA"/>
              </w:rPr>
              <w:t>本项目</w:t>
            </w:r>
            <w:r>
              <w:rPr>
                <w:rFonts w:hint="eastAsia" w:ascii="Times New Roman" w:hAnsi="Times New Roman" w:cs="Times New Roman"/>
                <w:color w:val="auto"/>
                <w:kern w:val="2"/>
                <w:sz w:val="21"/>
                <w:szCs w:val="24"/>
                <w:lang w:val="en-US" w:bidi="ar-SA"/>
              </w:rPr>
              <w:t>不新增劳动定员、不新增生活污水，</w:t>
            </w:r>
            <w:r>
              <w:rPr>
                <w:rFonts w:ascii="Times New Roman" w:hAnsi="Times New Roman" w:cs="Times New Roman"/>
                <w:color w:val="auto"/>
                <w:kern w:val="2"/>
                <w:sz w:val="21"/>
                <w:szCs w:val="24"/>
                <w:lang w:val="en-US" w:bidi="ar-SA"/>
              </w:rPr>
              <w:t>产生的</w:t>
            </w:r>
            <w:r>
              <w:rPr>
                <w:rFonts w:ascii="Times New Roman" w:hAnsi="Times New Roman" w:cs="Times New Roman"/>
                <w:color w:val="auto"/>
                <w:sz w:val="21"/>
                <w:szCs w:val="21"/>
                <w:lang w:val="en-US"/>
              </w:rPr>
              <w:t>废水</w:t>
            </w:r>
            <w:r>
              <w:rPr>
                <w:rFonts w:ascii="Times New Roman" w:hAnsi="Times New Roman" w:cs="Times New Roman"/>
                <w:color w:val="auto"/>
                <w:sz w:val="21"/>
                <w:szCs w:val="21"/>
              </w:rPr>
              <w:t>主要为</w:t>
            </w:r>
            <w:r>
              <w:rPr>
                <w:rFonts w:ascii="Times New Roman" w:hAnsi="Times New Roman" w:cs="Times New Roman"/>
                <w:color w:val="auto"/>
                <w:sz w:val="21"/>
                <w:szCs w:val="21"/>
                <w:lang w:val="en-US"/>
              </w:rPr>
              <w:t>车辆冲洗废水（W</w:t>
            </w:r>
            <w:r>
              <w:rPr>
                <w:rFonts w:hint="eastAsia" w:ascii="Times New Roman" w:hAnsi="Times New Roman" w:cs="Times New Roman"/>
                <w:color w:val="auto"/>
                <w:sz w:val="21"/>
                <w:szCs w:val="21"/>
                <w:vertAlign w:val="subscript"/>
                <w:lang w:val="en-US"/>
              </w:rPr>
              <w:t>1</w:t>
            </w:r>
            <w:r>
              <w:rPr>
                <w:rFonts w:ascii="Times New Roman" w:hAnsi="Times New Roman" w:cs="Times New Roman"/>
                <w:color w:val="auto"/>
                <w:sz w:val="21"/>
                <w:szCs w:val="21"/>
                <w:lang w:val="en-US"/>
              </w:rPr>
              <w:t>）</w:t>
            </w:r>
            <w:r>
              <w:rPr>
                <w:rFonts w:ascii="Times New Roman" w:hAnsi="Times New Roman" w:cs="Times New Roman"/>
                <w:color w:val="auto"/>
                <w:sz w:val="21"/>
                <w:szCs w:val="21"/>
              </w:rPr>
              <w:t>。</w:t>
            </w:r>
            <w:r>
              <w:rPr>
                <w:rFonts w:ascii="Times New Roman" w:hAnsi="Times New Roman" w:cs="Times New Roman"/>
                <w:color w:val="auto"/>
                <w:kern w:val="2"/>
                <w:sz w:val="21"/>
                <w:szCs w:val="24"/>
                <w:lang w:val="en-US" w:bidi="ar-SA"/>
              </w:rPr>
              <w:t>废水</w:t>
            </w:r>
            <w:r>
              <w:rPr>
                <w:rFonts w:ascii="Times New Roman" w:hAnsi="Times New Roman" w:cs="Times New Roman"/>
                <w:color w:val="auto"/>
                <w:sz w:val="21"/>
                <w:szCs w:val="21"/>
                <w:lang w:val="en-US"/>
              </w:rPr>
              <w:t>排放情况及污染源参数见下表。</w:t>
            </w:r>
          </w:p>
          <w:p>
            <w:pPr>
              <w:spacing w:line="400" w:lineRule="exact"/>
              <w:jc w:val="center"/>
              <w:rPr>
                <w:rFonts w:ascii="Times New Roman" w:hAnsi="Times New Roman" w:cs="Times New Roman"/>
                <w:b/>
                <w:bCs/>
                <w:color w:val="auto"/>
                <w:spacing w:val="-4"/>
                <w:sz w:val="21"/>
                <w:szCs w:val="21"/>
                <w:lang w:val="en-US" w:bidi="ar-SA"/>
              </w:rPr>
            </w:pPr>
            <w:r>
              <w:rPr>
                <w:rFonts w:ascii="Times New Roman" w:hAnsi="Times New Roman" w:cs="Times New Roman"/>
                <w:b/>
                <w:bCs/>
                <w:color w:val="auto"/>
                <w:spacing w:val="-4"/>
                <w:sz w:val="21"/>
                <w:szCs w:val="21"/>
                <w:lang w:val="en-US" w:bidi="ar-SA"/>
              </w:rPr>
              <w:t>表4.1</w:t>
            </w:r>
            <w:r>
              <w:rPr>
                <w:rFonts w:hint="eastAsia" w:ascii="Times New Roman" w:hAnsi="Times New Roman" w:cs="Times New Roman"/>
                <w:b/>
                <w:bCs/>
                <w:color w:val="auto"/>
                <w:spacing w:val="-4"/>
                <w:sz w:val="21"/>
                <w:szCs w:val="21"/>
                <w:lang w:val="en-US" w:bidi="ar-SA"/>
              </w:rPr>
              <w:t>2</w:t>
            </w:r>
            <w:r>
              <w:rPr>
                <w:rFonts w:ascii="Times New Roman" w:hAnsi="Times New Roman" w:cs="Times New Roman"/>
                <w:b/>
                <w:bCs/>
                <w:color w:val="auto"/>
                <w:spacing w:val="-4"/>
                <w:sz w:val="21"/>
                <w:szCs w:val="21"/>
                <w:lang w:val="en-US" w:bidi="ar-SA"/>
              </w:rPr>
              <w:t xml:space="preserve"> 污染物产生情况一览表</w:t>
            </w:r>
          </w:p>
          <w:tbl>
            <w:tblPr>
              <w:tblStyle w:val="32"/>
              <w:tblW w:w="8729" w:type="dxa"/>
              <w:jc w:val="center"/>
              <w:tblLayout w:type="fixed"/>
              <w:tblCellMar>
                <w:top w:w="0" w:type="dxa"/>
                <w:left w:w="108" w:type="dxa"/>
                <w:bottom w:w="0" w:type="dxa"/>
                <w:right w:w="108" w:type="dxa"/>
              </w:tblCellMar>
            </w:tblPr>
            <w:tblGrid>
              <w:gridCol w:w="358"/>
              <w:gridCol w:w="1496"/>
              <w:gridCol w:w="913"/>
              <w:gridCol w:w="570"/>
              <w:gridCol w:w="915"/>
              <w:gridCol w:w="885"/>
              <w:gridCol w:w="690"/>
              <w:gridCol w:w="705"/>
              <w:gridCol w:w="615"/>
              <w:gridCol w:w="662"/>
              <w:gridCol w:w="920"/>
            </w:tblGrid>
            <w:tr>
              <w:tblPrEx>
                <w:tblCellMar>
                  <w:top w:w="0" w:type="dxa"/>
                  <w:left w:w="108" w:type="dxa"/>
                  <w:bottom w:w="0" w:type="dxa"/>
                  <w:right w:w="108" w:type="dxa"/>
                </w:tblCellMar>
              </w:tblPrEx>
              <w:trPr>
                <w:trHeight w:val="57" w:hRule="atLeast"/>
                <w:jc w:val="center"/>
              </w:trPr>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序号</w:t>
                  </w:r>
                </w:p>
              </w:tc>
              <w:tc>
                <w:tcPr>
                  <w:tcW w:w="1496"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污染源</w:t>
                  </w:r>
                </w:p>
              </w:tc>
              <w:tc>
                <w:tcPr>
                  <w:tcW w:w="9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w:t>
                  </w:r>
                </w:p>
              </w:tc>
              <w:tc>
                <w:tcPr>
                  <w:tcW w:w="306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污染物产生</w:t>
                  </w:r>
                </w:p>
              </w:tc>
              <w:tc>
                <w:tcPr>
                  <w:tcW w:w="132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治理措施</w:t>
                  </w:r>
                </w:p>
              </w:tc>
              <w:tc>
                <w:tcPr>
                  <w:tcW w:w="662" w:type="dxa"/>
                  <w:vMerge w:val="restart"/>
                  <w:tcBorders>
                    <w:top w:val="single" w:color="000000" w:sz="8" w:space="0"/>
                    <w:left w:val="single" w:color="000000" w:sz="8" w:space="0"/>
                    <w:bottom w:val="nil"/>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排放量t/a</w:t>
                  </w:r>
                </w:p>
              </w:tc>
              <w:tc>
                <w:tcPr>
                  <w:tcW w:w="9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备注</w:t>
                  </w:r>
                </w:p>
              </w:tc>
            </w:tr>
            <w:tr>
              <w:tblPrEx>
                <w:tblCellMar>
                  <w:top w:w="0" w:type="dxa"/>
                  <w:left w:w="108" w:type="dxa"/>
                  <w:bottom w:w="0" w:type="dxa"/>
                  <w:right w:w="108" w:type="dxa"/>
                </w:tblCellMar>
              </w:tblPrEx>
              <w:trPr>
                <w:trHeight w:val="57" w:hRule="atLeast"/>
                <w:jc w:val="center"/>
              </w:trPr>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rPr>
                      <w:rFonts w:ascii="Times New Roman" w:hAnsi="Times New Roman" w:cs="Times New Roman"/>
                      <w:color w:val="auto"/>
                      <w:sz w:val="21"/>
                      <w:szCs w:val="21"/>
                    </w:rPr>
                  </w:pPr>
                </w:p>
              </w:tc>
              <w:tc>
                <w:tcPr>
                  <w:tcW w:w="1496" w:type="dxa"/>
                  <w:vMerge w:val="continue"/>
                  <w:tcBorders>
                    <w:top w:val="single" w:color="000000" w:sz="8" w:space="0"/>
                    <w:left w:val="nil"/>
                    <w:bottom w:val="single" w:color="000000" w:sz="8" w:space="0"/>
                    <w:right w:val="single" w:color="000000" w:sz="8"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570" w:type="dxa"/>
                  <w:tcBorders>
                    <w:top w:val="nil"/>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核算方法</w:t>
                  </w:r>
                </w:p>
              </w:tc>
              <w:tc>
                <w:tcPr>
                  <w:tcW w:w="915" w:type="dxa"/>
                  <w:tcBorders>
                    <w:top w:val="nil"/>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产生废水量</w:t>
                  </w:r>
                  <w:r>
                    <w:rPr>
                      <w:rStyle w:val="85"/>
                      <w:rFonts w:hint="default" w:ascii="Times New Roman" w:hAnsi="Times New Roman" w:cs="Times New Roman"/>
                      <w:color w:val="auto"/>
                      <w:sz w:val="21"/>
                      <w:szCs w:val="21"/>
                      <w:lang w:val="en-US" w:bidi="ar"/>
                    </w:rPr>
                    <w:t>m</w:t>
                  </w:r>
                  <w:r>
                    <w:rPr>
                      <w:rFonts w:ascii="Times New Roman" w:hAnsi="Times New Roman" w:cs="Times New Roman"/>
                      <w:b/>
                      <w:bCs/>
                      <w:color w:val="auto"/>
                      <w:sz w:val="21"/>
                      <w:szCs w:val="21"/>
                      <w:vertAlign w:val="superscript"/>
                      <w:lang w:val="en-US" w:bidi="ar"/>
                    </w:rPr>
                    <w:t>3</w:t>
                  </w:r>
                  <w:r>
                    <w:rPr>
                      <w:rStyle w:val="85"/>
                      <w:rFonts w:hint="default" w:ascii="Times New Roman" w:hAnsi="Times New Roman" w:cs="Times New Roman"/>
                      <w:color w:val="auto"/>
                      <w:sz w:val="21"/>
                      <w:szCs w:val="21"/>
                      <w:lang w:val="en-US" w:bidi="ar"/>
                    </w:rPr>
                    <w:t>/a</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产生浓度</w:t>
                  </w:r>
                  <w:r>
                    <w:rPr>
                      <w:rStyle w:val="85"/>
                      <w:rFonts w:hint="default" w:ascii="Times New Roman" w:hAnsi="Times New Roman" w:cs="Times New Roman"/>
                      <w:color w:val="auto"/>
                      <w:sz w:val="21"/>
                      <w:szCs w:val="21"/>
                      <w:lang w:val="en-US" w:bidi="ar"/>
                    </w:rPr>
                    <w:t>mg/L</w:t>
                  </w:r>
                </w:p>
              </w:tc>
              <w:tc>
                <w:tcPr>
                  <w:tcW w:w="690" w:type="dxa"/>
                  <w:tcBorders>
                    <w:top w:val="nil"/>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产生量</w:t>
                  </w:r>
                  <w:r>
                    <w:rPr>
                      <w:rStyle w:val="85"/>
                      <w:rFonts w:hint="default" w:ascii="Times New Roman" w:hAnsi="Times New Roman" w:cs="Times New Roman"/>
                      <w:color w:val="auto"/>
                      <w:sz w:val="21"/>
                      <w:szCs w:val="21"/>
                      <w:lang w:val="en-US" w:bidi="ar"/>
                    </w:rPr>
                    <w:t>t/a</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工艺</w:t>
                  </w:r>
                </w:p>
              </w:tc>
              <w:tc>
                <w:tcPr>
                  <w:tcW w:w="615" w:type="dxa"/>
                  <w:tcBorders>
                    <w:top w:val="single" w:color="000000" w:sz="8" w:space="0"/>
                    <w:left w:val="single" w:color="000000" w:sz="8" w:space="0"/>
                    <w:bottom w:val="nil"/>
                    <w:right w:val="single" w:color="000000" w:sz="8" w:space="0"/>
                  </w:tcBorders>
                  <w:shd w:val="clear" w:color="auto" w:fill="auto"/>
                  <w:vAlign w:val="center"/>
                </w:tcPr>
                <w:p>
                  <w:pPr>
                    <w:widowControl/>
                    <w:ind w:left="-110" w:leftChars="-50" w:right="-110" w:rightChars="-50"/>
                    <w:jc w:val="center"/>
                    <w:textAlignment w:val="center"/>
                    <w:rPr>
                      <w:rFonts w:ascii="Times New Roman" w:hAnsi="Times New Roman" w:cs="Times New Roman"/>
                      <w:b/>
                      <w:bCs/>
                      <w:color w:val="auto"/>
                      <w:sz w:val="21"/>
                      <w:szCs w:val="21"/>
                      <w:lang w:val="en-US" w:bidi="ar"/>
                    </w:rPr>
                  </w:pPr>
                  <w:r>
                    <w:rPr>
                      <w:rFonts w:ascii="Times New Roman" w:hAnsi="Times New Roman" w:cs="Times New Roman"/>
                      <w:b/>
                      <w:bCs/>
                      <w:color w:val="auto"/>
                      <w:sz w:val="21"/>
                      <w:szCs w:val="21"/>
                      <w:lang w:val="en-US" w:bidi="ar"/>
                    </w:rPr>
                    <w:t>效率</w:t>
                  </w:r>
                </w:p>
                <w:p>
                  <w:pPr>
                    <w:widowControl/>
                    <w:ind w:left="-110" w:leftChars="-50" w:right="-110" w:rightChars="-50"/>
                    <w:jc w:val="center"/>
                    <w:textAlignment w:val="center"/>
                    <w:rPr>
                      <w:rFonts w:ascii="Times New Roman" w:hAnsi="Times New Roman" w:cs="Times New Roman"/>
                      <w:b/>
                      <w:bCs/>
                      <w:color w:val="auto"/>
                      <w:sz w:val="21"/>
                      <w:szCs w:val="21"/>
                    </w:rPr>
                  </w:pPr>
                  <w:r>
                    <w:rPr>
                      <w:rFonts w:ascii="Times New Roman" w:hAnsi="Times New Roman" w:cs="Times New Roman"/>
                      <w:b/>
                      <w:bCs/>
                      <w:color w:val="auto"/>
                      <w:sz w:val="21"/>
                      <w:szCs w:val="21"/>
                      <w:lang w:val="en-US" w:bidi="ar"/>
                    </w:rPr>
                    <w:t>%</w:t>
                  </w:r>
                </w:p>
              </w:tc>
              <w:tc>
                <w:tcPr>
                  <w:tcW w:w="662" w:type="dxa"/>
                  <w:vMerge w:val="continue"/>
                  <w:tcBorders>
                    <w:top w:val="single" w:color="000000" w:sz="8" w:space="0"/>
                    <w:left w:val="single" w:color="000000" w:sz="8" w:space="0"/>
                    <w:bottom w:val="nil"/>
                    <w:right w:val="single" w:color="000000" w:sz="8"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c>
                <w:tcPr>
                  <w:tcW w:w="9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left="-110" w:leftChars="-50" w:right="-110" w:rightChars="-50"/>
                    <w:jc w:val="center"/>
                    <w:rPr>
                      <w:rFonts w:ascii="Times New Roman" w:hAnsi="Times New Roman" w:cs="Times New Roman"/>
                      <w:b/>
                      <w:bCs/>
                      <w:color w:val="auto"/>
                      <w:sz w:val="21"/>
                      <w:szCs w:val="21"/>
                    </w:rPr>
                  </w:pPr>
                </w:p>
              </w:tc>
            </w:tr>
            <w:tr>
              <w:tblPrEx>
                <w:tblCellMar>
                  <w:top w:w="0" w:type="dxa"/>
                  <w:left w:w="108" w:type="dxa"/>
                  <w:bottom w:w="0" w:type="dxa"/>
                  <w:right w:w="108" w:type="dxa"/>
                </w:tblCellMar>
              </w:tblPrEx>
              <w:trPr>
                <w:trHeight w:val="57"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w:t>
                  </w:r>
                </w:p>
              </w:tc>
              <w:tc>
                <w:tcPr>
                  <w:tcW w:w="1496" w:type="dxa"/>
                  <w:tcBorders>
                    <w:top w:val="single" w:color="000000" w:sz="4" w:space="0"/>
                    <w:left w:val="nil"/>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车辆冲洗废水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SS</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类比法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1080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 xml:space="preserve">1.080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沉淀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60%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不外排</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lang w:val="en-US" w:bidi="ar"/>
                    </w:rPr>
                    <w:t>回用于车辆冲洗</w:t>
                  </w:r>
                </w:p>
              </w:tc>
            </w:tr>
            <w:tr>
              <w:tblPrEx>
                <w:tblCellMar>
                  <w:top w:w="0" w:type="dxa"/>
                  <w:left w:w="108" w:type="dxa"/>
                  <w:bottom w:w="0" w:type="dxa"/>
                  <w:right w:w="108" w:type="dxa"/>
                </w:tblCellMar>
              </w:tblPrEx>
              <w:trPr>
                <w:trHeight w:val="57"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110" w:leftChars="-50" w:right="-110" w:rightChars="-50"/>
                    <w:jc w:val="center"/>
                    <w:textAlignment w:val="center"/>
                    <w:rPr>
                      <w:rFonts w:hint="eastAsia"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2</w:t>
                  </w:r>
                </w:p>
              </w:tc>
              <w:tc>
                <w:tcPr>
                  <w:tcW w:w="1496" w:type="dxa"/>
                  <w:tcBorders>
                    <w:top w:val="single" w:color="000000" w:sz="4" w:space="0"/>
                    <w:left w:val="nil"/>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hint="eastAsia"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设备清洗废水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SS</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类比法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240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1000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hint="eastAsia" w:ascii="Times New Roman" w:hAnsi="Times New Roman" w:cs="Times New Roman"/>
                      <w:color w:val="auto"/>
                      <w:sz w:val="21"/>
                      <w:szCs w:val="21"/>
                      <w:lang w:val="en-US" w:eastAsia="zh-CN" w:bidi="ar"/>
                    </w:rPr>
                    <w:t>0.24</w:t>
                  </w:r>
                  <w:r>
                    <w:rPr>
                      <w:rFonts w:ascii="Times New Roman" w:hAnsi="Times New Roman" w:cs="Times New Roman"/>
                      <w:color w:val="auto"/>
                      <w:sz w:val="21"/>
                      <w:szCs w:val="21"/>
                      <w:lang w:val="en-US" w:bidi="ar"/>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沉淀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60%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不外排</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110" w:leftChars="-50" w:right="-110" w:rightChars="-50"/>
                    <w:jc w:val="center"/>
                    <w:textAlignment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回用于车辆冲洗</w:t>
                  </w:r>
                </w:p>
              </w:tc>
            </w:tr>
          </w:tbl>
          <w:p>
            <w:pPr>
              <w:pStyle w:val="52"/>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kern w:val="2"/>
                <w:sz w:val="21"/>
                <w:szCs w:val="21"/>
                <w:lang w:val="en-US" w:bidi="ar-SA"/>
              </w:rPr>
              <w:t>（1）</w:t>
            </w:r>
            <w:r>
              <w:rPr>
                <w:rFonts w:ascii="Times New Roman" w:hAnsi="Times New Roman" w:cs="Times New Roman"/>
                <w:b/>
                <w:bCs/>
                <w:color w:val="auto"/>
                <w:sz w:val="21"/>
                <w:szCs w:val="21"/>
                <w:lang w:val="en-US"/>
              </w:rPr>
              <w:t>车辆冲洗废水（W</w:t>
            </w:r>
            <w:r>
              <w:rPr>
                <w:rFonts w:hint="eastAsia" w:ascii="Times New Roman" w:hAnsi="Times New Roman" w:cs="Times New Roman"/>
                <w:b/>
                <w:bCs/>
                <w:color w:val="auto"/>
                <w:sz w:val="21"/>
                <w:szCs w:val="21"/>
                <w:vertAlign w:val="subscript"/>
                <w:lang w:val="en-US"/>
              </w:rPr>
              <w:t>1</w:t>
            </w:r>
            <w:r>
              <w:rPr>
                <w:rFonts w:ascii="Times New Roman" w:hAnsi="Times New Roman" w:cs="Times New Roman"/>
                <w:b/>
                <w:bCs/>
                <w:color w:val="auto"/>
                <w:sz w:val="21"/>
                <w:szCs w:val="21"/>
                <w:lang w:val="en-US"/>
              </w:rPr>
              <w:t>）</w:t>
            </w:r>
          </w:p>
          <w:p>
            <w:pPr>
              <w:pStyle w:val="52"/>
              <w:spacing w:line="400" w:lineRule="exact"/>
              <w:ind w:left="110" w:leftChars="50" w:firstLine="420"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车辆冲洗废水的产生量约为3.6m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/d（1080m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/a），废水经沉淀池沉淀后，回用于车辆冲洗，不外排。</w:t>
            </w:r>
          </w:p>
          <w:p>
            <w:pPr>
              <w:pStyle w:val="52"/>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kern w:val="2"/>
                <w:sz w:val="21"/>
                <w:szCs w:val="21"/>
                <w:lang w:val="en-US" w:bidi="ar-SA"/>
              </w:rPr>
              <w:t>（</w:t>
            </w:r>
            <w:r>
              <w:rPr>
                <w:rFonts w:hint="eastAsia" w:ascii="Times New Roman" w:hAnsi="Times New Roman" w:cs="Times New Roman"/>
                <w:b/>
                <w:bCs/>
                <w:color w:val="auto"/>
                <w:kern w:val="2"/>
                <w:sz w:val="21"/>
                <w:szCs w:val="21"/>
                <w:lang w:val="en-US" w:eastAsia="zh-CN" w:bidi="ar-SA"/>
              </w:rPr>
              <w:t>2</w:t>
            </w:r>
            <w:r>
              <w:rPr>
                <w:rFonts w:ascii="Times New Roman" w:hAnsi="Times New Roman" w:cs="Times New Roman"/>
                <w:b/>
                <w:bCs/>
                <w:color w:val="auto"/>
                <w:kern w:val="2"/>
                <w:sz w:val="21"/>
                <w:szCs w:val="21"/>
                <w:lang w:val="en-US" w:bidi="ar-SA"/>
              </w:rPr>
              <w:t>）</w:t>
            </w:r>
            <w:r>
              <w:rPr>
                <w:rFonts w:hint="eastAsia" w:ascii="Times New Roman" w:hAnsi="Times New Roman" w:cs="Times New Roman"/>
                <w:b/>
                <w:bCs/>
                <w:color w:val="auto"/>
                <w:sz w:val="21"/>
                <w:szCs w:val="21"/>
                <w:lang w:val="en-US" w:eastAsia="zh-CN"/>
              </w:rPr>
              <w:t>设备清洗</w:t>
            </w:r>
            <w:r>
              <w:rPr>
                <w:rFonts w:ascii="Times New Roman" w:hAnsi="Times New Roman" w:cs="Times New Roman"/>
                <w:b/>
                <w:bCs/>
                <w:color w:val="auto"/>
                <w:sz w:val="21"/>
                <w:szCs w:val="21"/>
                <w:lang w:val="en-US"/>
              </w:rPr>
              <w:t>废水（W</w:t>
            </w:r>
            <w:r>
              <w:rPr>
                <w:rFonts w:hint="eastAsia" w:ascii="Times New Roman" w:hAnsi="Times New Roman" w:cs="Times New Roman"/>
                <w:b/>
                <w:bCs/>
                <w:color w:val="auto"/>
                <w:sz w:val="21"/>
                <w:szCs w:val="21"/>
                <w:vertAlign w:val="subscript"/>
                <w:lang w:val="en-US" w:eastAsia="zh-CN"/>
              </w:rPr>
              <w:t>2</w:t>
            </w:r>
            <w:r>
              <w:rPr>
                <w:rFonts w:ascii="Times New Roman" w:hAnsi="Times New Roman" w:cs="Times New Roman"/>
                <w:b/>
                <w:bCs/>
                <w:color w:val="auto"/>
                <w:sz w:val="21"/>
                <w:szCs w:val="21"/>
                <w:lang w:val="en-US"/>
              </w:rPr>
              <w:t>）</w:t>
            </w:r>
          </w:p>
          <w:p>
            <w:pPr>
              <w:pStyle w:val="52"/>
              <w:spacing w:line="400" w:lineRule="exact"/>
              <w:ind w:left="110" w:leftChars="50" w:firstLine="420" w:firstLineChars="200"/>
              <w:jc w:val="both"/>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eastAsia="zh-CN" w:bidi="ar-SA"/>
              </w:rPr>
              <w:t>设备清洗</w:t>
            </w:r>
            <w:r>
              <w:rPr>
                <w:rFonts w:ascii="Times New Roman" w:hAnsi="Times New Roman" w:cs="Times New Roman"/>
                <w:color w:val="auto"/>
                <w:sz w:val="21"/>
                <w:szCs w:val="21"/>
                <w:lang w:val="en-US" w:bidi="ar-SA"/>
              </w:rPr>
              <w:t>废水的产生量约为</w:t>
            </w:r>
            <w:r>
              <w:rPr>
                <w:rFonts w:hint="eastAsia" w:ascii="Times New Roman" w:hAnsi="Times New Roman" w:cs="Times New Roman"/>
                <w:color w:val="auto"/>
                <w:sz w:val="21"/>
                <w:szCs w:val="21"/>
                <w:lang w:val="en-US" w:eastAsia="zh-CN" w:bidi="ar-SA"/>
              </w:rPr>
              <w:t>0.8</w:t>
            </w:r>
            <w:r>
              <w:rPr>
                <w:rFonts w:ascii="Times New Roman" w:hAnsi="Times New Roman" w:cs="Times New Roman"/>
                <w:color w:val="auto"/>
                <w:sz w:val="21"/>
                <w:szCs w:val="21"/>
                <w:lang w:val="en-US" w:bidi="ar-SA"/>
              </w:rPr>
              <w:t>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/d（</w:t>
            </w:r>
            <w:r>
              <w:rPr>
                <w:rFonts w:hint="eastAsia" w:ascii="Times New Roman" w:hAnsi="Times New Roman" w:cs="Times New Roman"/>
                <w:color w:val="auto"/>
                <w:sz w:val="21"/>
                <w:szCs w:val="21"/>
                <w:lang w:val="en-US" w:eastAsia="zh-CN" w:bidi="ar-SA"/>
              </w:rPr>
              <w:t>24</w:t>
            </w:r>
            <w:r>
              <w:rPr>
                <w:rFonts w:ascii="Times New Roman" w:hAnsi="Times New Roman" w:cs="Times New Roman"/>
                <w:color w:val="auto"/>
                <w:sz w:val="21"/>
                <w:szCs w:val="21"/>
                <w:lang w:val="en-US" w:bidi="ar-SA"/>
              </w:rPr>
              <w:t>0m</w:t>
            </w:r>
            <w:r>
              <w:rPr>
                <w:rFonts w:ascii="Times New Roman" w:hAnsi="Times New Roman" w:cs="Times New Roman"/>
                <w:color w:val="auto"/>
                <w:sz w:val="21"/>
                <w:szCs w:val="21"/>
                <w:vertAlign w:val="superscript"/>
                <w:lang w:val="en-US" w:bidi="ar-SA"/>
              </w:rPr>
              <w:t>3</w:t>
            </w:r>
            <w:r>
              <w:rPr>
                <w:rFonts w:ascii="Times New Roman" w:hAnsi="Times New Roman" w:cs="Times New Roman"/>
                <w:color w:val="auto"/>
                <w:sz w:val="21"/>
                <w:szCs w:val="21"/>
                <w:lang w:val="en-US" w:bidi="ar-SA"/>
              </w:rPr>
              <w:t>/a），废水经沉淀池沉淀后，回用于</w:t>
            </w:r>
            <w:r>
              <w:rPr>
                <w:rFonts w:hint="eastAsia" w:ascii="Times New Roman" w:hAnsi="Times New Roman" w:cs="Times New Roman"/>
                <w:color w:val="auto"/>
                <w:sz w:val="21"/>
                <w:szCs w:val="21"/>
                <w:lang w:val="en-US" w:eastAsia="zh-CN" w:bidi="ar-SA"/>
              </w:rPr>
              <w:t>设备清洗</w:t>
            </w:r>
            <w:r>
              <w:rPr>
                <w:rFonts w:ascii="Times New Roman" w:hAnsi="Times New Roman" w:cs="Times New Roman"/>
                <w:color w:val="auto"/>
                <w:sz w:val="21"/>
                <w:szCs w:val="21"/>
                <w:lang w:val="en-US" w:bidi="ar-SA"/>
              </w:rPr>
              <w:t>，不外排。</w:t>
            </w:r>
          </w:p>
          <w:p>
            <w:pPr>
              <w:spacing w:line="400" w:lineRule="exact"/>
              <w:ind w:left="110" w:leftChars="50" w:firstLine="421" w:firstLineChars="200"/>
              <w:textAlignment w:val="baseline"/>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沉淀池可行性分析：</w:t>
            </w:r>
            <w:r>
              <w:rPr>
                <w:rFonts w:ascii="Times New Roman" w:hAnsi="Times New Roman" w:cs="Times New Roman"/>
                <w:color w:val="auto"/>
                <w:sz w:val="21"/>
                <w:szCs w:val="21"/>
                <w:lang w:val="en-US"/>
              </w:rPr>
              <w:t>沉淀池是应用沉淀作用去除水中悬浮物的一种构筑物，净化水质的设备。利用水的自然沉淀的作用来除去水中的悬浮物。本项目车辆冲洗废水中含有的污染物主要为SS，经沉淀池沉淀后，可使大部分悬浮物沉淀至池底，形成沉淀渣。本项目清洗水对SS的要求不高，经过沉淀池处理后的水可以满足清洗水的要求，并且沉淀渣也可会用于生产。根据上文可知本项目给排水平衡，沉淀池存水可以满足循环水量要求。综上所述，本项目使用沉淀池可行。</w:t>
            </w:r>
          </w:p>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三、噪声</w:t>
            </w:r>
          </w:p>
          <w:p>
            <w:pPr>
              <w:pStyle w:val="25"/>
              <w:autoSpaceDE/>
              <w:autoSpaceDN/>
              <w:spacing w:line="400" w:lineRule="exact"/>
              <w:ind w:left="110" w:leftChars="50" w:right="110" w:rightChars="50" w:firstLine="48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1、噪声排放及治理</w:t>
            </w:r>
          </w:p>
          <w:p>
            <w:pPr>
              <w:pStyle w:val="25"/>
              <w:autoSpaceDE/>
              <w:autoSpaceDN/>
              <w:spacing w:line="400" w:lineRule="exact"/>
              <w:ind w:left="110" w:leftChars="50" w:right="110" w:rightChars="50" w:firstLine="48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本项目产生的噪声主要来源于各生产工序设备运行时产生的噪声，</w:t>
            </w:r>
            <w:r>
              <w:rPr>
                <w:rFonts w:ascii="Times New Roman" w:hAnsi="Times New Roman" w:cs="Times New Roman"/>
                <w:bCs/>
                <w:color w:val="auto"/>
                <w:sz w:val="21"/>
                <w:szCs w:val="21"/>
              </w:rPr>
              <w:t>类比同类项目各设备源强，预测各声源源强见下表</w:t>
            </w:r>
            <w:r>
              <w:rPr>
                <w:rFonts w:ascii="Times New Roman" w:hAnsi="Times New Roman" w:cs="Times New Roman"/>
                <w:color w:val="auto"/>
                <w:sz w:val="21"/>
                <w:szCs w:val="21"/>
                <w:lang w:val="en-US"/>
              </w:rPr>
              <w:t>。</w:t>
            </w:r>
          </w:p>
          <w:p>
            <w:pPr>
              <w:autoSpaceDE/>
              <w:autoSpaceDN/>
              <w:spacing w:line="400" w:lineRule="exact"/>
              <w:rPr>
                <w:rFonts w:ascii="Times New Roman" w:hAnsi="Times New Roman" w:cs="Times New Roman"/>
                <w:color w:val="auto"/>
                <w:sz w:val="21"/>
              </w:rPr>
            </w:pPr>
          </w:p>
        </w:tc>
      </w:tr>
    </w:tbl>
    <w:p>
      <w:pPr>
        <w:rPr>
          <w:rFonts w:ascii="Times New Roman" w:hAnsi="Times New Roman" w:cs="Times New Roman"/>
          <w:color w:val="auto"/>
          <w:sz w:val="21"/>
        </w:rPr>
      </w:pPr>
    </w:p>
    <w:p>
      <w:pPr>
        <w:pStyle w:val="45"/>
        <w:rPr>
          <w:color w:val="auto"/>
        </w:rPr>
        <w:sectPr>
          <w:pgSz w:w="11910" w:h="16850"/>
          <w:pgMar w:top="1600" w:right="1320" w:bottom="1531" w:left="1340" w:header="0" w:footer="817" w:gutter="0"/>
          <w:cols w:space="720" w:num="1"/>
        </w:sectPr>
      </w:pPr>
    </w:p>
    <w:tbl>
      <w:tblPr>
        <w:tblStyle w:val="33"/>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1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1" w:hRule="atLeast"/>
          <w:jc w:val="center"/>
        </w:trPr>
        <w:tc>
          <w:tcPr>
            <w:tcW w:w="471" w:type="dxa"/>
          </w:tcPr>
          <w:p>
            <w:pPr>
              <w:ind w:firstLine="560"/>
              <w:jc w:val="both"/>
              <w:rPr>
                <w:rFonts w:ascii="Times New Roman" w:hAnsi="Times New Roman" w:cs="Times New Roman"/>
                <w:color w:val="auto"/>
              </w:rPr>
            </w:pPr>
          </w:p>
        </w:tc>
        <w:tc>
          <w:tcPr>
            <w:tcW w:w="14417" w:type="dxa"/>
          </w:tcPr>
          <w:p>
            <w:pPr>
              <w:pStyle w:val="25"/>
              <w:autoSpaceDE/>
              <w:autoSpaceDN/>
              <w:spacing w:line="400" w:lineRule="exact"/>
              <w:ind w:left="110" w:leftChars="50" w:right="6" w:firstLine="210" w:firstLineChars="10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表4.</w:t>
            </w:r>
            <w:r>
              <w:rPr>
                <w:rFonts w:hint="eastAsia" w:ascii="Times New Roman" w:hAnsi="Times New Roman" w:cs="Times New Roman"/>
                <w:b/>
                <w:bCs/>
                <w:color w:val="auto"/>
                <w:sz w:val="21"/>
                <w:szCs w:val="21"/>
                <w:lang w:val="en-US"/>
              </w:rPr>
              <w:t>13</w:t>
            </w:r>
            <w:r>
              <w:rPr>
                <w:rFonts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rPr>
              <w:t>工业企业噪声源强调查清单（室内声源）</w:t>
            </w:r>
          </w:p>
          <w:tbl>
            <w:tblPr>
              <w:tblStyle w:val="32"/>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
              <w:gridCol w:w="578"/>
              <w:gridCol w:w="1375"/>
              <w:gridCol w:w="905"/>
              <w:gridCol w:w="533"/>
              <w:gridCol w:w="572"/>
              <w:gridCol w:w="448"/>
              <w:gridCol w:w="481"/>
              <w:gridCol w:w="491"/>
              <w:gridCol w:w="474"/>
              <w:gridCol w:w="555"/>
              <w:gridCol w:w="467"/>
              <w:gridCol w:w="491"/>
              <w:gridCol w:w="474"/>
              <w:gridCol w:w="473"/>
              <w:gridCol w:w="605"/>
              <w:gridCol w:w="676"/>
              <w:gridCol w:w="459"/>
              <w:gridCol w:w="459"/>
              <w:gridCol w:w="475"/>
              <w:gridCol w:w="459"/>
              <w:gridCol w:w="400"/>
              <w:gridCol w:w="400"/>
              <w:gridCol w:w="427"/>
              <w:gridCol w:w="412"/>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 w:type="dxa"/>
                  <w:vMerge w:val="restart"/>
                  <w:vAlign w:val="center"/>
                </w:tcPr>
                <w:p>
                  <w:pPr>
                    <w:ind w:left="-110" w:leftChars="-50" w:right="-110" w:rightChars="-50"/>
                    <w:jc w:val="center"/>
                    <w:rPr>
                      <w:rFonts w:ascii="Times New Roman" w:hAnsi="Times New Roman" w:cs="Times New Roman"/>
                      <w:color w:val="auto"/>
                      <w:sz w:val="21"/>
                      <w:szCs w:val="21"/>
                    </w:rPr>
                  </w:pPr>
                  <w:bookmarkStart w:id="4" w:name="PT_6"/>
                  <w:r>
                    <w:rPr>
                      <w:rFonts w:ascii="Times New Roman" w:hAnsi="Times New Roman" w:cs="Times New Roman"/>
                      <w:b/>
                      <w:color w:val="auto"/>
                      <w:sz w:val="21"/>
                      <w:szCs w:val="21"/>
                    </w:rPr>
                    <w:t>序号</w:t>
                  </w:r>
                </w:p>
              </w:tc>
              <w:tc>
                <w:tcPr>
                  <w:tcW w:w="578" w:type="dxa"/>
                  <w:vMerge w:val="restar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建筑物名称</w:t>
                  </w:r>
                </w:p>
              </w:tc>
              <w:tc>
                <w:tcPr>
                  <w:tcW w:w="1375" w:type="dxa"/>
                  <w:vMerge w:val="restar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声源名称</w:t>
                  </w:r>
                </w:p>
              </w:tc>
              <w:tc>
                <w:tcPr>
                  <w:tcW w:w="905" w:type="dxa"/>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声源源强</w:t>
                  </w:r>
                </w:p>
              </w:tc>
              <w:tc>
                <w:tcPr>
                  <w:tcW w:w="533" w:type="dxa"/>
                  <w:vMerge w:val="restart"/>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声源控制措施</w:t>
                  </w:r>
                </w:p>
                <w:p>
                  <w:pPr>
                    <w:ind w:left="-110" w:leftChars="-50" w:right="-110" w:rightChars="-50"/>
                    <w:jc w:val="center"/>
                    <w:rPr>
                      <w:rFonts w:ascii="Times New Roman" w:hAnsi="Times New Roman" w:cs="Times New Roman"/>
                      <w:color w:val="auto"/>
                      <w:sz w:val="21"/>
                      <w:szCs w:val="21"/>
                    </w:rPr>
                  </w:pPr>
                </w:p>
              </w:tc>
              <w:tc>
                <w:tcPr>
                  <w:tcW w:w="1501" w:type="dxa"/>
                  <w:gridSpan w:val="3"/>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b/>
                      <w:color w:val="auto"/>
                      <w:sz w:val="21"/>
                      <w:szCs w:val="21"/>
                    </w:rPr>
                    <w:t>空间相对位置/m</w:t>
                  </w:r>
                </w:p>
              </w:tc>
              <w:tc>
                <w:tcPr>
                  <w:tcW w:w="1987" w:type="dxa"/>
                  <w:gridSpan w:val="4"/>
                  <w:vAlign w:val="center"/>
                </w:tcPr>
                <w:p>
                  <w:pPr>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距室内边界距离/m</w:t>
                  </w:r>
                </w:p>
              </w:tc>
              <w:tc>
                <w:tcPr>
                  <w:tcW w:w="2043" w:type="dxa"/>
                  <w:gridSpan w:val="4"/>
                  <w:vAlign w:val="center"/>
                </w:tcPr>
                <w:p>
                  <w:pPr>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室内边界声级/dB(A)</w:t>
                  </w:r>
                </w:p>
              </w:tc>
              <w:tc>
                <w:tcPr>
                  <w:tcW w:w="676" w:type="dxa"/>
                  <w:vMerge w:val="restart"/>
                  <w:vAlign w:val="center"/>
                </w:tcPr>
                <w:p>
                  <w:pPr>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b/>
                      <w:color w:val="auto"/>
                      <w:sz w:val="21"/>
                      <w:szCs w:val="21"/>
                    </w:rPr>
                    <w:t>运行时段</w:t>
                  </w:r>
                </w:p>
                <w:p>
                  <w:pPr>
                    <w:ind w:left="-110" w:leftChars="-50" w:right="-110" w:rightChars="-50"/>
                    <w:jc w:val="center"/>
                    <w:rPr>
                      <w:rFonts w:ascii="Times New Roman" w:hAnsi="Times New Roman" w:cs="Times New Roman"/>
                      <w:color w:val="auto"/>
                      <w:sz w:val="21"/>
                      <w:szCs w:val="21"/>
                    </w:rPr>
                  </w:pPr>
                </w:p>
              </w:tc>
              <w:tc>
                <w:tcPr>
                  <w:tcW w:w="1852" w:type="dxa"/>
                  <w:gridSpan w:val="4"/>
                  <w:vAlign w:val="center"/>
                </w:tcPr>
                <w:p>
                  <w:pPr>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建筑物插入损失 / dB(A)</w:t>
                  </w:r>
                  <w:bookmarkStart w:id="5" w:name="PT_10"/>
                  <w:bookmarkEnd w:id="5"/>
                </w:p>
              </w:tc>
              <w:tc>
                <w:tcPr>
                  <w:tcW w:w="2265" w:type="dxa"/>
                  <w:gridSpan w:val="5"/>
                  <w:vAlign w:val="center"/>
                </w:tcPr>
                <w:p>
                  <w:pPr>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声功率级/dB(A)</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X</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Y</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Z</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东</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南</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西</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北</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东</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南</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西</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北</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东</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南</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西</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北</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东</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南</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西</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北</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建筑物</w:t>
                  </w:r>
                </w:p>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c>
                <w:tcPr>
                  <w:tcW w:w="578" w:type="dxa"/>
                  <w:vMerge w:val="restart"/>
                  <w:shd w:val="clear" w:color="auto" w:fill="FFFFFF"/>
                  <w:tcMar>
                    <w:top w:w="0" w:type="dxa"/>
                    <w:left w:w="0" w:type="dxa"/>
                    <w:bottom w:w="0" w:type="dxa"/>
                    <w:right w:w="0" w:type="dxa"/>
                  </w:tcMar>
                  <w:vAlign w:val="center"/>
                </w:tcPr>
                <w:p>
                  <w:pPr>
                    <w:jc w:val="center"/>
                    <w:rPr>
                      <w:rFonts w:ascii="Times New Roman" w:hAnsi="Times New Roman" w:eastAsia="Arial" w:cs="Times New Roman"/>
                      <w:color w:val="auto"/>
                      <w:sz w:val="21"/>
                      <w:szCs w:val="21"/>
                      <w:lang w:val="en-US"/>
                    </w:rPr>
                  </w:pPr>
                  <w:r>
                    <w:rPr>
                      <w:rFonts w:hint="eastAsia" w:ascii="Times New Roman" w:hAnsi="Times New Roman" w:eastAsia="Arial" w:cs="Times New Roman"/>
                      <w:color w:val="auto"/>
                      <w:sz w:val="21"/>
                      <w:szCs w:val="21"/>
                      <w:lang w:val="en-US"/>
                    </w:rPr>
                    <w:t>生产车间</w:t>
                  </w:r>
                </w:p>
              </w:tc>
              <w:tc>
                <w:tcPr>
                  <w:tcW w:w="137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搅拌机</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85</w:t>
                  </w:r>
                </w:p>
              </w:tc>
              <w:tc>
                <w:tcPr>
                  <w:tcW w:w="533" w:type="dxa"/>
                  <w:vMerge w:val="restart"/>
                  <w:shd w:val="clear" w:color="auto" w:fill="FFFFFF"/>
                  <w:tcMar>
                    <w:top w:w="0" w:type="dxa"/>
                    <w:left w:w="0" w:type="dxa"/>
                    <w:bottom w:w="0" w:type="dxa"/>
                    <w:right w:w="0" w:type="dxa"/>
                  </w:tcMar>
                  <w:vAlign w:val="center"/>
                </w:tcPr>
                <w:p>
                  <w:pPr>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选用低噪设备、基础减震、隔声、距离衰减等</w:t>
                  </w: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50</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29.7</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38.4</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109.1</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34.3</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37.1</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65.7</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65.7</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65.7</w:t>
                  </w:r>
                </w:p>
              </w:tc>
              <w:tc>
                <w:tcPr>
                  <w:tcW w:w="676" w:type="dxa"/>
                  <w:vMerge w:val="restart"/>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hint="eastAsia" w:ascii="Times New Roman" w:hAnsi="Times New Roman" w:eastAsia="宋体" w:cs="Times New Roman"/>
                      <w:color w:val="auto"/>
                      <w:sz w:val="21"/>
                      <w:szCs w:val="21"/>
                      <w:lang w:val="en-US" w:eastAsia="zh-CN"/>
                    </w:rPr>
                    <w:t>24</w:t>
                  </w:r>
                  <w:r>
                    <w:rPr>
                      <w:rFonts w:hint="eastAsia" w:ascii="Times New Roman" w:hAnsi="Times New Roman" w:eastAsia="Arial" w:cs="Times New Roman"/>
                      <w:color w:val="auto"/>
                      <w:sz w:val="21"/>
                      <w:szCs w:val="21"/>
                      <w:lang w:val="en-US"/>
                    </w:rPr>
                    <w:t>h</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39.7</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39.7</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39.7</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39.7</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1#皮带机组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76.02</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36.6</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-11.4</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66.5</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28.0</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58.4</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56.7</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56.7</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57.7</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32.4</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30.7</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30.7</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31.7</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2#皮带机组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76.02</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42.8</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11.9</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20.0</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90.5</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30.2</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18.6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56.8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56.7</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56.7</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56.8</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30.8</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30.7</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30.7</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30.8</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1#骨料配料斗</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39.2</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-14.1</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64.2</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31.1</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61.4</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60.7</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60.7</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61.2</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35.4</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34.7</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34.7</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35.2</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2#骨料配料斗</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42.5</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-14.4</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64.4</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34.4</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61.4</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60.7</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60.7</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61.2</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35.4</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34.7</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34.7</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35.2</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3#骨料配料斗</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45</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-14.8</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64.4</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36.9</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7.6</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61.4</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60.7</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60.7</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61.2</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35.4</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34.7</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34.7</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35.2</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4#骨料配料斗</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47.2</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-15.1</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6.4</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64.5</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39.1</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7.7</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60.7</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60.7</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61.1</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lang w:val="en-US"/>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35.3</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34.7</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34.7</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35.1</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水泥计量设备</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75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46.7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32.1</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40.4</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111.0</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30.6</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39.1</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55.7</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55.7</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55.7</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29.7</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29.7</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29.7</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29.7</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9</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粉煤灰计量设备</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50</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32.6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112.0</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33.8</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40.0</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55.7</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55.7</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55.7</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29.7</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29.7</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29.7</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29.7</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10</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水计量设备</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53.7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32.4</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41.4</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112.4</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37.5</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40.2</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55.7</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55.7</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55.7</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29.7</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29.7</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29.7</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29.7</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11</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13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外加剂计量设备</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75</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44.7</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23.9</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32.1</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102.6</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30.0</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30.7</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55.7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55.7</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55.7</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55.7</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29.7</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29.7</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29.7</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29.7</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螺旋输送机组</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84.77</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40.9</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-18.4</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10.3</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60.2</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33.5</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11.7</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65.4</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65.5</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65.7</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39.7</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39.4</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39.5</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39.7</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13</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风机1</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50.8</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-12.6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1.5</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3.6</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67.5</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42.2</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4.8</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62.5</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60.7</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60.7</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61.8</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kern w:val="2"/>
                      <w:sz w:val="21"/>
                      <w:szCs w:val="21"/>
                      <w:lang w:val="en-US" w:bidi="ar-SA"/>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36.5</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34.7</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34.7</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35.8</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2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14</w:t>
                  </w:r>
                </w:p>
              </w:tc>
              <w:tc>
                <w:tcPr>
                  <w:tcW w:w="578"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13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风机2</w:t>
                  </w:r>
                </w:p>
              </w:tc>
              <w:tc>
                <w:tcPr>
                  <w:tcW w:w="9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80</w:t>
                  </w:r>
                </w:p>
              </w:tc>
              <w:tc>
                <w:tcPr>
                  <w:tcW w:w="533"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p>
              </w:tc>
              <w:tc>
                <w:tcPr>
                  <w:tcW w:w="57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55.8</w:t>
                  </w:r>
                </w:p>
              </w:tc>
              <w:tc>
                <w:tcPr>
                  <w:tcW w:w="448"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25.6</w:t>
                  </w:r>
                </w:p>
              </w:tc>
              <w:tc>
                <w:tcPr>
                  <w:tcW w:w="48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34.8</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106.0</w:t>
                  </w:r>
                </w:p>
              </w:tc>
              <w:tc>
                <w:tcPr>
                  <w:tcW w:w="55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40.7</w:t>
                  </w:r>
                </w:p>
              </w:tc>
              <w:tc>
                <w:tcPr>
                  <w:tcW w:w="46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33.7</w:t>
                  </w:r>
                </w:p>
              </w:tc>
              <w:tc>
                <w:tcPr>
                  <w:tcW w:w="491"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60.7</w:t>
                  </w:r>
                </w:p>
              </w:tc>
              <w:tc>
                <w:tcPr>
                  <w:tcW w:w="474"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60.7</w:t>
                  </w:r>
                </w:p>
              </w:tc>
              <w:tc>
                <w:tcPr>
                  <w:tcW w:w="473"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60.7</w:t>
                  </w:r>
                </w:p>
              </w:tc>
              <w:tc>
                <w:tcPr>
                  <w:tcW w:w="60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60.7</w:t>
                  </w:r>
                </w:p>
              </w:tc>
              <w:tc>
                <w:tcPr>
                  <w:tcW w:w="676" w:type="dxa"/>
                  <w:vMerge w:val="continue"/>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cs="Times New Roman"/>
                      <w:color w:val="auto"/>
                      <w:sz w:val="21"/>
                      <w:szCs w:val="21"/>
                    </w:rPr>
                  </w:pP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75"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59"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26.0</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34.7</w:t>
                  </w:r>
                </w:p>
              </w:tc>
              <w:tc>
                <w:tcPr>
                  <w:tcW w:w="400"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34.7</w:t>
                  </w:r>
                </w:p>
              </w:tc>
              <w:tc>
                <w:tcPr>
                  <w:tcW w:w="427"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34.7</w:t>
                  </w:r>
                </w:p>
              </w:tc>
              <w:tc>
                <w:tcPr>
                  <w:tcW w:w="412"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34.7</w:t>
                  </w:r>
                </w:p>
              </w:tc>
              <w:tc>
                <w:tcPr>
                  <w:tcW w:w="626" w:type="dxa"/>
                  <w:shd w:val="clear" w:color="auto" w:fill="FFFFFF"/>
                  <w:tcMar>
                    <w:top w:w="0" w:type="dxa"/>
                    <w:left w:w="0" w:type="dxa"/>
                    <w:bottom w:w="0" w:type="dxa"/>
                    <w:right w:w="0" w:type="dxa"/>
                  </w:tcMar>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1</w:t>
                  </w:r>
                </w:p>
              </w:tc>
            </w:tr>
            <w:bookmarkEnd w:id="4"/>
          </w:tbl>
          <w:p>
            <w:pPr>
              <w:ind w:firstLine="420" w:firstLineChars="200"/>
              <w:jc w:val="both"/>
              <w:rPr>
                <w:rFonts w:ascii="Times New Roman" w:hAnsi="Times New Roman" w:cs="Times New Roman"/>
                <w:bCs/>
                <w:color w:val="auto"/>
                <w:sz w:val="21"/>
                <w:szCs w:val="21"/>
                <w:lang w:val="en-US"/>
              </w:rPr>
            </w:pPr>
            <w:r>
              <w:rPr>
                <w:rFonts w:ascii="Times New Roman" w:hAnsi="Times New Roman" w:cs="Times New Roman"/>
                <w:bCs/>
                <w:color w:val="auto"/>
                <w:sz w:val="21"/>
                <w:szCs w:val="21"/>
                <w:lang w:val="en-US"/>
              </w:rPr>
              <w:t>表中坐标以</w:t>
            </w:r>
            <w:r>
              <w:rPr>
                <w:rFonts w:hint="default" w:ascii="Times New Roman" w:hAnsi="Times New Roman" w:cs="Times New Roman"/>
                <w:bCs/>
                <w:color w:val="auto"/>
                <w:sz w:val="21"/>
                <w:szCs w:val="21"/>
                <w:lang w:val="en-US" w:eastAsia="zh-CN"/>
              </w:rPr>
              <w:t>厂界中心（</w:t>
            </w:r>
            <w:bookmarkStart w:id="6" w:name="PO_7"/>
            <w:r>
              <w:rPr>
                <w:rFonts w:hint="default" w:ascii="Times New Roman" w:hAnsi="Times New Roman" w:cs="Times New Roman"/>
                <w:bCs/>
                <w:color w:val="auto"/>
                <w:sz w:val="21"/>
                <w:szCs w:val="21"/>
                <w:lang w:val="en-US" w:eastAsia="zh-CN"/>
              </w:rPr>
              <w:t>114.928054,36.314540</w:t>
            </w:r>
            <w:bookmarkEnd w:id="6"/>
            <w:r>
              <w:rPr>
                <w:rFonts w:hint="default" w:ascii="Times New Roman" w:hAnsi="Times New Roman" w:cs="Times New Roman"/>
                <w:bCs/>
                <w:color w:val="auto"/>
                <w:sz w:val="21"/>
                <w:szCs w:val="21"/>
                <w:lang w:val="en-US" w:eastAsia="zh-CN"/>
              </w:rPr>
              <w:t>）</w:t>
            </w:r>
            <w:r>
              <w:rPr>
                <w:rFonts w:ascii="Times New Roman" w:hAnsi="Times New Roman" w:cs="Times New Roman"/>
                <w:bCs/>
                <w:color w:val="auto"/>
                <w:sz w:val="21"/>
                <w:szCs w:val="21"/>
                <w:lang w:val="en-US"/>
              </w:rPr>
              <w:t>为坐标原点，正东向为X轴正方向，正北向为Y轴正方向</w:t>
            </w:r>
            <w:r>
              <w:rPr>
                <w:rFonts w:hint="eastAsia" w:ascii="Times New Roman" w:hAnsi="Times New Roman" w:cs="Times New Roman"/>
                <w:bCs/>
                <w:color w:val="auto"/>
                <w:sz w:val="21"/>
                <w:szCs w:val="21"/>
                <w:lang w:val="en-US"/>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6" w:firstLine="210" w:firstLineChars="100"/>
              <w:jc w:val="center"/>
              <w:textAlignment w:val="auto"/>
              <w:rPr>
                <w:rFonts w:hint="default" w:ascii="Times New Roman" w:hAnsi="Times New Roman" w:eastAsia="宋体" w:cs="Times New Roman"/>
                <w:b/>
                <w:bCs/>
                <w:color w:val="auto"/>
                <w:sz w:val="21"/>
                <w:szCs w:val="21"/>
                <w:lang w:val="en-US" w:eastAsia="zh-CN" w:bidi="zh-CN"/>
              </w:rPr>
            </w:pPr>
            <w:r>
              <w:rPr>
                <w:rFonts w:hint="default" w:ascii="Times New Roman" w:hAnsi="Times New Roman" w:eastAsia="宋体" w:cs="Times New Roman"/>
                <w:b/>
                <w:bCs/>
                <w:color w:val="auto"/>
                <w:sz w:val="21"/>
                <w:szCs w:val="21"/>
                <w:lang w:val="en-US" w:eastAsia="zh-CN" w:bidi="zh-CN"/>
              </w:rPr>
              <w:t>表4.1</w:t>
            </w:r>
            <w:r>
              <w:rPr>
                <w:rFonts w:hint="eastAsia" w:ascii="Times New Roman" w:hAnsi="Times New Roman" w:cs="Times New Roman"/>
                <w:b/>
                <w:bCs/>
                <w:color w:val="auto"/>
                <w:sz w:val="21"/>
                <w:szCs w:val="21"/>
                <w:lang w:val="en-US" w:eastAsia="zh-CN" w:bidi="zh-CN"/>
              </w:rPr>
              <w:t>4</w:t>
            </w:r>
            <w:r>
              <w:rPr>
                <w:rFonts w:hint="default" w:ascii="Times New Roman" w:hAnsi="Times New Roman" w:eastAsia="宋体" w:cs="Times New Roman"/>
                <w:b/>
                <w:bCs/>
                <w:color w:val="auto"/>
                <w:sz w:val="21"/>
                <w:szCs w:val="21"/>
                <w:lang w:val="en-US" w:eastAsia="zh-CN" w:bidi="zh-CN"/>
              </w:rPr>
              <w:t xml:space="preserve">  </w:t>
            </w:r>
            <w:r>
              <w:rPr>
                <w:rFonts w:hint="default" w:ascii="Times New Roman" w:hAnsi="Times New Roman" w:eastAsia="宋体" w:cs="Times New Roman"/>
                <w:b/>
                <w:bCs/>
                <w:color w:val="auto"/>
                <w:sz w:val="21"/>
                <w:szCs w:val="21"/>
                <w:lang w:val="zh-CN" w:eastAsia="zh-CN" w:bidi="zh-CN"/>
              </w:rPr>
              <w:t>工业企业噪声源强调查清单（室</w:t>
            </w:r>
            <w:r>
              <w:rPr>
                <w:rFonts w:hint="eastAsia" w:ascii="宋体" w:hAnsi="宋体" w:eastAsia="宋体" w:cs="Times New Roman"/>
                <w:b/>
                <w:bCs/>
                <w:color w:val="auto"/>
                <w:sz w:val="21"/>
                <w:szCs w:val="21"/>
                <w:lang w:val="zh-CN" w:eastAsia="zh-CN" w:bidi="zh-CN"/>
              </w:rPr>
              <w:t>外</w:t>
            </w:r>
            <w:r>
              <w:rPr>
                <w:rFonts w:hint="default" w:ascii="Times New Roman" w:hAnsi="Times New Roman" w:eastAsia="宋体" w:cs="Times New Roman"/>
                <w:b/>
                <w:bCs/>
                <w:color w:val="auto"/>
                <w:sz w:val="21"/>
                <w:szCs w:val="21"/>
                <w:lang w:val="zh-CN" w:eastAsia="zh-CN" w:bidi="zh-CN"/>
              </w:rPr>
              <w:t>声源）</w:t>
            </w:r>
          </w:p>
          <w:tbl>
            <w:tblPr>
              <w:tblStyle w:val="32"/>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409"/>
              <w:gridCol w:w="534"/>
              <w:gridCol w:w="708"/>
              <w:gridCol w:w="671"/>
              <w:gridCol w:w="494"/>
              <w:gridCol w:w="1725"/>
              <w:gridCol w:w="2314"/>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序号</w:t>
                  </w:r>
                </w:p>
              </w:tc>
              <w:tc>
                <w:tcPr>
                  <w:tcW w:w="14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声源名称</w:t>
                  </w:r>
                </w:p>
              </w:tc>
              <w:tc>
                <w:tcPr>
                  <w:tcW w:w="53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型号</w:t>
                  </w:r>
                </w:p>
              </w:tc>
              <w:tc>
                <w:tcPr>
                  <w:tcW w:w="1873"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空间相对位置/m</w:t>
                  </w:r>
                </w:p>
              </w:tc>
              <w:tc>
                <w:tcPr>
                  <w:tcW w:w="172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b/>
                      <w:color w:val="auto"/>
                      <w:sz w:val="21"/>
                      <w:szCs w:val="21"/>
                      <w:lang w:eastAsia="zh-CN"/>
                    </w:rPr>
                    <w:t>声源源强</w:t>
                  </w:r>
                </w:p>
              </w:tc>
              <w:tc>
                <w:tcPr>
                  <w:tcW w:w="23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声源控制措施</w:t>
                  </w:r>
                </w:p>
              </w:tc>
              <w:tc>
                <w:tcPr>
                  <w:tcW w:w="74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36"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1409"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534"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70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X</w:t>
                  </w:r>
                </w:p>
              </w:tc>
              <w:tc>
                <w:tcPr>
                  <w:tcW w:w="671"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Y</w:t>
                  </w:r>
                </w:p>
              </w:tc>
              <w:tc>
                <w:tcPr>
                  <w:tcW w:w="494"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Z</w:t>
                  </w:r>
                </w:p>
              </w:tc>
              <w:tc>
                <w:tcPr>
                  <w:tcW w:w="172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声功率级/dB(A)</w:t>
                  </w:r>
                </w:p>
              </w:tc>
              <w:tc>
                <w:tcPr>
                  <w:tcW w:w="2314"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c>
                <w:tcPr>
                  <w:tcW w:w="742" w:type="dxa"/>
                  <w:vMerge w:val="continue"/>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63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c>
                <w:tcPr>
                  <w:tcW w:w="1409" w:type="dxa"/>
                  <w:shd w:val="clear" w:color="auto" w:fill="FFFFFF"/>
                  <w:vAlign w:val="center"/>
                </w:tcPr>
                <w:p>
                  <w:pPr>
                    <w:jc w:val="center"/>
                    <w:rPr>
                      <w:rFonts w:hint="eastAsia" w:ascii="Times New Roman" w:hAnsi="Times New Roman" w:eastAsia="Arial" w:cs="Times New Roman"/>
                      <w:color w:val="auto"/>
                      <w:sz w:val="21"/>
                      <w:szCs w:val="21"/>
                      <w:lang w:eastAsia="zh-CN"/>
                    </w:rPr>
                  </w:pPr>
                  <w:r>
                    <w:rPr>
                      <w:rFonts w:hint="default" w:ascii="Times New Roman" w:hAnsi="Times New Roman" w:eastAsia="Arial" w:cs="Times New Roman"/>
                      <w:color w:val="auto"/>
                      <w:sz w:val="21"/>
                      <w:szCs w:val="21"/>
                    </w:rPr>
                    <w:t>水泵</w:t>
                  </w:r>
                </w:p>
              </w:tc>
              <w:tc>
                <w:tcPr>
                  <w:tcW w:w="534"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708" w:type="dxa"/>
                  <w:shd w:val="clear" w:color="auto" w:fill="FFFFFF"/>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-33.7</w:t>
                  </w:r>
                </w:p>
              </w:tc>
              <w:tc>
                <w:tcPr>
                  <w:tcW w:w="671" w:type="dxa"/>
                  <w:shd w:val="clear" w:color="auto" w:fill="FFFFFF"/>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-39.1</w:t>
                  </w:r>
                </w:p>
              </w:tc>
              <w:tc>
                <w:tcPr>
                  <w:tcW w:w="494" w:type="dxa"/>
                  <w:shd w:val="clear" w:color="auto" w:fill="FFFFFF"/>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c>
                <w:tcPr>
                  <w:tcW w:w="1725" w:type="dxa"/>
                  <w:shd w:val="clear" w:color="auto" w:fill="FFFFFF"/>
                  <w:vAlign w:val="center"/>
                </w:tcPr>
                <w:p>
                  <w:pPr>
                    <w:jc w:val="center"/>
                    <w:rPr>
                      <w:rFonts w:hint="eastAsia" w:ascii="Times New Roman" w:hAnsi="Times New Roman" w:eastAsia="Arial" w:cs="Times New Roman"/>
                      <w:color w:val="auto"/>
                      <w:sz w:val="21"/>
                      <w:szCs w:val="21"/>
                      <w:lang w:eastAsia="zh-CN"/>
                    </w:rPr>
                  </w:pPr>
                  <w:r>
                    <w:rPr>
                      <w:rFonts w:hint="default" w:ascii="Times New Roman" w:hAnsi="Times New Roman" w:eastAsia="Arial" w:cs="Times New Roman"/>
                      <w:color w:val="auto"/>
                      <w:sz w:val="21"/>
                      <w:szCs w:val="21"/>
                    </w:rPr>
                    <w:t>75</w:t>
                  </w:r>
                </w:p>
              </w:tc>
              <w:tc>
                <w:tcPr>
                  <w:tcW w:w="2314"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基础减振</w:t>
                  </w:r>
                </w:p>
              </w:tc>
              <w:tc>
                <w:tcPr>
                  <w:tcW w:w="742"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auto"/>
                      <w:sz w:val="21"/>
                      <w:szCs w:val="21"/>
                      <w:lang w:val="en-US" w:eastAsia="zh-CN"/>
                    </w:rPr>
                    <w:t>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636"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409" w:type="dxa"/>
                  <w:shd w:val="clear" w:color="auto" w:fill="FFFFFF"/>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砂石分离机</w:t>
                  </w:r>
                </w:p>
              </w:tc>
              <w:tc>
                <w:tcPr>
                  <w:tcW w:w="534"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708" w:type="dxa"/>
                  <w:shd w:val="clear" w:color="auto" w:fill="FFFFFF"/>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-25.3</w:t>
                  </w:r>
                </w:p>
              </w:tc>
              <w:tc>
                <w:tcPr>
                  <w:tcW w:w="671" w:type="dxa"/>
                  <w:shd w:val="clear" w:color="auto" w:fill="FFFFFF"/>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-40.1</w:t>
                  </w:r>
                </w:p>
              </w:tc>
              <w:tc>
                <w:tcPr>
                  <w:tcW w:w="494" w:type="dxa"/>
                  <w:shd w:val="clear" w:color="auto" w:fill="FFFFFF"/>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1.5</w:t>
                  </w:r>
                </w:p>
              </w:tc>
              <w:tc>
                <w:tcPr>
                  <w:tcW w:w="1725" w:type="dxa"/>
                  <w:shd w:val="clear" w:color="auto" w:fill="FFFFFF"/>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80</w:t>
                  </w:r>
                </w:p>
              </w:tc>
              <w:tc>
                <w:tcPr>
                  <w:tcW w:w="2314"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基础减振</w:t>
                  </w:r>
                </w:p>
              </w:tc>
              <w:tc>
                <w:tcPr>
                  <w:tcW w:w="742"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leftChars="0" w:right="0" w:right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24</w:t>
                  </w:r>
                  <w:r>
                    <w:rPr>
                      <w:rFonts w:hint="default" w:ascii="Times New Roman" w:hAnsi="Times New Roman" w:eastAsia="宋体" w:cs="Times New Roman"/>
                      <w:color w:val="auto"/>
                      <w:sz w:val="21"/>
                      <w:szCs w:val="21"/>
                      <w:lang w:val="en-US" w:eastAsia="zh-CN"/>
                    </w:rPr>
                    <w:t>h/d</w:t>
                  </w:r>
                </w:p>
              </w:tc>
            </w:tr>
          </w:tbl>
          <w:p>
            <w:pPr>
              <w:ind w:firstLine="2660" w:firstLineChars="1400"/>
              <w:jc w:val="both"/>
              <w:rPr>
                <w:rFonts w:hint="eastAsia" w:ascii="Times New Roman" w:hAnsi="Times New Roman" w:eastAsia="宋体" w:cs="Times New Roman"/>
                <w:bCs/>
                <w:color w:val="auto"/>
                <w:spacing w:val="-10"/>
                <w:sz w:val="21"/>
                <w:szCs w:val="21"/>
                <w:lang w:val="en-US" w:eastAsia="zh-CN"/>
              </w:rPr>
            </w:pPr>
            <w:r>
              <w:rPr>
                <w:rFonts w:hint="default" w:ascii="Times New Roman" w:hAnsi="Times New Roman" w:eastAsia="宋体" w:cs="Times New Roman"/>
                <w:bCs/>
                <w:color w:val="auto"/>
                <w:spacing w:val="-10"/>
                <w:sz w:val="21"/>
                <w:szCs w:val="21"/>
                <w:lang w:val="en-US" w:eastAsia="zh-CN"/>
              </w:rPr>
              <w:t>表中坐标以坐标以</w:t>
            </w:r>
            <w:r>
              <w:rPr>
                <w:rFonts w:hint="default" w:ascii="Times New Roman" w:hAnsi="Times New Roman" w:cs="Times New Roman"/>
                <w:bCs/>
                <w:color w:val="auto"/>
                <w:sz w:val="21"/>
                <w:szCs w:val="21"/>
                <w:lang w:val="en-US" w:eastAsia="zh-CN"/>
              </w:rPr>
              <w:t>厂界中心（114.928054,36.314540）</w:t>
            </w:r>
            <w:r>
              <w:rPr>
                <w:rFonts w:hint="default" w:ascii="Times New Roman" w:hAnsi="Times New Roman" w:eastAsia="宋体" w:cs="Times New Roman"/>
                <w:bCs/>
                <w:color w:val="auto"/>
                <w:spacing w:val="-10"/>
                <w:sz w:val="21"/>
                <w:szCs w:val="21"/>
                <w:lang w:val="en-US" w:eastAsia="zh-CN"/>
              </w:rPr>
              <w:t>为坐标原点，正东向为X轴正方向，正北向为Y轴正方向</w:t>
            </w:r>
            <w:r>
              <w:rPr>
                <w:rFonts w:hint="eastAsia" w:ascii="Times New Roman" w:hAnsi="Times New Roman" w:eastAsia="宋体" w:cs="Times New Roman"/>
                <w:bCs/>
                <w:color w:val="auto"/>
                <w:spacing w:val="-10"/>
                <w:sz w:val="21"/>
                <w:szCs w:val="21"/>
                <w:lang w:val="en-US" w:eastAsia="zh-CN"/>
              </w:rPr>
              <w:t>。</w:t>
            </w:r>
          </w:p>
          <w:p>
            <w:pPr>
              <w:pStyle w:val="25"/>
              <w:autoSpaceDE/>
              <w:autoSpaceDN/>
              <w:spacing w:line="400" w:lineRule="exact"/>
              <w:ind w:left="110" w:leftChars="50"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拟采取的噪声污染防治措施：</w:t>
            </w:r>
          </w:p>
          <w:p>
            <w:pPr>
              <w:pStyle w:val="25"/>
              <w:numPr>
                <w:ilvl w:val="0"/>
                <w:numId w:val="5"/>
              </w:numPr>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合理布局：在满足工艺和安全生产前提下，尽量将噪声设备集中安排，增大主要噪声源与厂界的距离，并保持厂房密闭，以减小对厂界的影响；</w:t>
            </w:r>
          </w:p>
          <w:p>
            <w:pPr>
              <w:pStyle w:val="25"/>
              <w:numPr>
                <w:ilvl w:val="0"/>
                <w:numId w:val="5"/>
              </w:numPr>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选用低噪声设备：充分选用先进的低噪声设备，从声源上降低设备本身噪声；</w:t>
            </w:r>
          </w:p>
          <w:p>
            <w:pPr>
              <w:pStyle w:val="25"/>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（3）加强设备的维护：确保设备处于良好的运转状态，杜绝因设备不正常运转时产生的高噪声现象；</w:t>
            </w:r>
          </w:p>
          <w:p>
            <w:pPr>
              <w:pStyle w:val="25"/>
              <w:autoSpaceDE/>
              <w:autoSpaceDN/>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（4）对生产设备经常保持润滑，合理布置强噪声源，设置基础减震等。</w:t>
            </w:r>
          </w:p>
          <w:p>
            <w:pPr>
              <w:autoSpaceDE/>
              <w:autoSpaceDN/>
              <w:spacing w:line="400" w:lineRule="exact"/>
              <w:ind w:left="110" w:leftChars="50" w:right="110" w:rightChars="50" w:firstLine="421" w:firstLineChars="200"/>
              <w:jc w:val="both"/>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2、声环境影响评价</w:t>
            </w:r>
          </w:p>
          <w:p>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（1）预测内容</w:t>
            </w:r>
          </w:p>
          <w:p>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依据《环境影响的评价技术导则声环境》（</w:t>
            </w:r>
            <w:r>
              <w:rPr>
                <w:rFonts w:hint="eastAsia" w:ascii="Times New Roman" w:hAnsi="Times New Roman" w:cs="Times New Roman"/>
                <w:color w:val="auto"/>
                <w:sz w:val="21"/>
                <w:szCs w:val="21"/>
              </w:rPr>
              <w:t>HJ 2.4—2021</w:t>
            </w:r>
            <w:r>
              <w:rPr>
                <w:rFonts w:ascii="Times New Roman" w:hAnsi="Times New Roman" w:cs="Times New Roman"/>
                <w:color w:val="auto"/>
                <w:sz w:val="21"/>
                <w:szCs w:val="21"/>
              </w:rPr>
              <w:t>）中推荐的预测模式分别计算各声源对厂界的贡献值。</w:t>
            </w:r>
          </w:p>
          <w:p>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（2）预测模式</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室内声源首先换算为等效室外声源，再按各类声源模式计算。</w:t>
            </w:r>
          </w:p>
          <w:p>
            <w:pPr>
              <w:numPr>
                <w:ilvl w:val="0"/>
                <w:numId w:val="6"/>
              </w:num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首先计算出某个室内声源靠近围护结构处的倍频带声压级：</w:t>
            </w:r>
          </w:p>
          <w:p>
            <w:pPr>
              <w:wordWrap w:val="0"/>
              <w:autoSpaceDE/>
              <w:autoSpaceDN/>
              <w:spacing w:before="120" w:beforeLines="50" w:after="120" w:afterLines="50" w:line="400" w:lineRule="exact"/>
              <w:ind w:left="110" w:leftChars="50" w:right="110" w:rightChars="50" w:firstLine="420" w:firstLineChars="200"/>
              <w:jc w:val="center"/>
              <w:rPr>
                <w:rFonts w:ascii="Times New Roman" w:hAnsi="Times New Roman" w:cs="Times New Roman"/>
                <w:color w:val="auto"/>
                <w:sz w:val="21"/>
                <w:szCs w:val="21"/>
                <w:lang w:val="en-US"/>
              </w:rPr>
            </w:pPr>
            <m:oMathPara>
              <m:oMath>
                <m:sSub>
                  <m:sSubPr>
                    <m:ctrlPr>
                      <w:rPr>
                        <w:rFonts w:ascii="Cambria Math" w:hAnsi="Cambria Math" w:cs="Times New Roman"/>
                        <w:i/>
                        <w:iCs/>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iCs/>
                        <w:color w:val="auto"/>
                        <w:sz w:val="21"/>
                        <w:szCs w:val="21"/>
                        <w:lang w:val="en-US"/>
                      </w:rPr>
                    </m:ctrlPr>
                  </m:e>
                  <m:sub>
                    <m:r>
                      <m:rPr/>
                      <w:rPr>
                        <w:rFonts w:ascii="Cambria Math" w:hAnsi="Cambria Math" w:cs="Times New Roman"/>
                        <w:color w:val="auto"/>
                        <w:sz w:val="21"/>
                        <w:szCs w:val="21"/>
                        <w:lang w:val="en-US"/>
                      </w:rPr>
                      <m:t>p1</m:t>
                    </m:r>
                    <m:ctrlPr>
                      <w:rPr>
                        <w:rFonts w:ascii="Cambria Math" w:hAnsi="Cambria Math" w:cs="Times New Roman"/>
                        <w:i/>
                        <w:iCs/>
                        <w:color w:val="auto"/>
                        <w:sz w:val="21"/>
                        <w:szCs w:val="21"/>
                        <w:lang w:val="en-US"/>
                      </w:rPr>
                    </m:ctrlPr>
                  </m:sub>
                </m:sSub>
                <m:r>
                  <m:rPr/>
                  <w:rPr>
                    <w:rFonts w:ascii="Cambria Math" w:hAnsi="Cambria Math" w:cs="Times New Roman"/>
                    <w:color w:val="auto"/>
                    <w:sz w:val="21"/>
                    <w:szCs w:val="21"/>
                    <w:lang w:val="en-US"/>
                  </w:rPr>
                  <m:t>=</m:t>
                </m:r>
                <m:sSub>
                  <m:sSubPr>
                    <m:ctrlPr>
                      <w:rPr>
                        <w:rFonts w:ascii="Cambria Math" w:hAnsi="Cambria Math" w:cs="Times New Roman"/>
                        <w:i/>
                        <w:iCs/>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iCs/>
                        <w:color w:val="auto"/>
                        <w:sz w:val="21"/>
                        <w:szCs w:val="21"/>
                        <w:lang w:val="en-US"/>
                      </w:rPr>
                    </m:ctrlPr>
                  </m:e>
                  <m:sub>
                    <m:r>
                      <m:rPr/>
                      <w:rPr>
                        <w:rFonts w:ascii="Cambria Math" w:hAnsi="Cambria Math" w:cs="Times New Roman"/>
                        <w:color w:val="auto"/>
                        <w:sz w:val="21"/>
                        <w:szCs w:val="21"/>
                        <w:lang w:val="en-US"/>
                      </w:rPr>
                      <m:t>w</m:t>
                    </m:r>
                    <m:ctrlPr>
                      <w:rPr>
                        <w:rFonts w:ascii="Cambria Math" w:hAnsi="Cambria Math" w:cs="Times New Roman"/>
                        <w:i/>
                        <w:iCs/>
                        <w:color w:val="auto"/>
                        <w:sz w:val="21"/>
                        <w:szCs w:val="21"/>
                        <w:lang w:val="en-US"/>
                      </w:rPr>
                    </m:ctrlPr>
                  </m:sub>
                </m:sSub>
                <m:r>
                  <m:rPr/>
                  <w:rPr>
                    <w:rFonts w:ascii="Cambria Math" w:hAnsi="Cambria Math" w:cs="Times New Roman"/>
                    <w:color w:val="auto"/>
                    <w:sz w:val="21"/>
                    <w:szCs w:val="21"/>
                    <w:lang w:val="en-US"/>
                  </w:rPr>
                  <m:t>+10lg（</m:t>
                </m:r>
                <m:f>
                  <m:fPr>
                    <m:ctrlPr>
                      <w:rPr>
                        <w:rFonts w:ascii="Cambria Math" w:hAnsi="Cambria Math" w:cs="Times New Roman"/>
                        <w:i/>
                        <w:iCs/>
                        <w:color w:val="auto"/>
                        <w:sz w:val="21"/>
                        <w:szCs w:val="21"/>
                        <w:lang w:val="en-US"/>
                      </w:rPr>
                    </m:ctrlPr>
                  </m:fPr>
                  <m:num>
                    <m:r>
                      <m:rPr/>
                      <w:rPr>
                        <w:rFonts w:ascii="Cambria Math" w:hAnsi="Cambria Math" w:cs="Times New Roman"/>
                        <w:color w:val="auto"/>
                        <w:sz w:val="21"/>
                        <w:szCs w:val="21"/>
                        <w:lang w:val="en-US"/>
                      </w:rPr>
                      <m:t>Q</m:t>
                    </m:r>
                    <m:ctrlPr>
                      <w:rPr>
                        <w:rFonts w:ascii="Cambria Math" w:hAnsi="Cambria Math" w:cs="Times New Roman"/>
                        <w:i/>
                        <w:iCs/>
                        <w:color w:val="auto"/>
                        <w:sz w:val="21"/>
                        <w:szCs w:val="21"/>
                        <w:lang w:val="en-US"/>
                      </w:rPr>
                    </m:ctrlPr>
                  </m:num>
                  <m:den>
                    <m:sSup>
                      <m:sSupPr>
                        <m:ctrlPr>
                          <w:rPr>
                            <w:rFonts w:ascii="Cambria Math" w:hAnsi="Cambria Math" w:cs="Times New Roman"/>
                            <w:i/>
                            <w:iCs/>
                            <w:color w:val="auto"/>
                            <w:sz w:val="21"/>
                            <w:szCs w:val="21"/>
                            <w:lang w:val="en-US"/>
                          </w:rPr>
                        </m:ctrlPr>
                      </m:sSupPr>
                      <m:e>
                        <m:r>
                          <m:rPr/>
                          <w:rPr>
                            <w:rFonts w:ascii="Cambria Math" w:hAnsi="Cambria Math" w:cs="Times New Roman"/>
                            <w:color w:val="auto"/>
                            <w:sz w:val="21"/>
                            <w:szCs w:val="21"/>
                            <w:lang w:val="en-US"/>
                          </w:rPr>
                          <m:t>4πr</m:t>
                        </m:r>
                        <m:ctrlPr>
                          <w:rPr>
                            <w:rFonts w:ascii="Cambria Math" w:hAnsi="Cambria Math" w:cs="Times New Roman"/>
                            <w:i/>
                            <w:iCs/>
                            <w:color w:val="auto"/>
                            <w:sz w:val="21"/>
                            <w:szCs w:val="21"/>
                            <w:lang w:val="en-US"/>
                          </w:rPr>
                        </m:ctrlPr>
                      </m:e>
                      <m:sup>
                        <m:r>
                          <m:rPr/>
                          <w:rPr>
                            <w:rFonts w:ascii="Cambria Math" w:hAnsi="Cambria Math" w:cs="Times New Roman"/>
                            <w:color w:val="auto"/>
                            <w:sz w:val="21"/>
                            <w:szCs w:val="21"/>
                            <w:lang w:val="en-US"/>
                          </w:rPr>
                          <m:t>2</m:t>
                        </m:r>
                        <m:ctrlPr>
                          <w:rPr>
                            <w:rFonts w:ascii="Cambria Math" w:hAnsi="Cambria Math" w:cs="Times New Roman"/>
                            <w:i/>
                            <w:iCs/>
                            <w:color w:val="auto"/>
                            <w:sz w:val="21"/>
                            <w:szCs w:val="21"/>
                            <w:lang w:val="en-US"/>
                          </w:rPr>
                        </m:ctrlPr>
                      </m:sup>
                    </m:sSup>
                    <m:ctrlPr>
                      <w:rPr>
                        <w:rFonts w:ascii="Cambria Math" w:hAnsi="Cambria Math" w:cs="Times New Roman"/>
                        <w:i/>
                        <w:iCs/>
                        <w:color w:val="auto"/>
                        <w:sz w:val="21"/>
                        <w:szCs w:val="21"/>
                        <w:lang w:val="en-US"/>
                      </w:rPr>
                    </m:ctrlPr>
                  </m:den>
                </m:f>
                <m:r>
                  <m:rPr/>
                  <w:rPr>
                    <w:rFonts w:ascii="Cambria Math" w:hAnsi="Cambria Math" w:cs="Times New Roman"/>
                    <w:color w:val="auto"/>
                    <w:sz w:val="21"/>
                    <w:szCs w:val="21"/>
                    <w:lang w:val="en-US"/>
                  </w:rPr>
                  <m:t>+</m:t>
                </m:r>
                <m:f>
                  <m:fPr>
                    <m:ctrlPr>
                      <w:rPr>
                        <w:rFonts w:ascii="Cambria Math" w:hAnsi="Cambria Math" w:cs="Times New Roman"/>
                        <w:i/>
                        <w:iCs/>
                        <w:color w:val="auto"/>
                        <w:sz w:val="21"/>
                        <w:szCs w:val="21"/>
                        <w:lang w:val="en-US"/>
                      </w:rPr>
                    </m:ctrlPr>
                  </m:fPr>
                  <m:num>
                    <m:r>
                      <m:rPr/>
                      <w:rPr>
                        <w:rFonts w:ascii="Cambria Math" w:hAnsi="Cambria Math" w:cs="Times New Roman"/>
                        <w:color w:val="auto"/>
                        <w:sz w:val="21"/>
                        <w:szCs w:val="21"/>
                        <w:lang w:val="en-US"/>
                      </w:rPr>
                      <m:t>4</m:t>
                    </m:r>
                    <m:ctrlPr>
                      <w:rPr>
                        <w:rFonts w:ascii="Cambria Math" w:hAnsi="Cambria Math" w:cs="Times New Roman"/>
                        <w:i/>
                        <w:iCs/>
                        <w:color w:val="auto"/>
                        <w:sz w:val="21"/>
                        <w:szCs w:val="21"/>
                        <w:lang w:val="en-US"/>
                      </w:rPr>
                    </m:ctrlPr>
                  </m:num>
                  <m:den>
                    <m:r>
                      <m:rPr/>
                      <w:rPr>
                        <w:rFonts w:ascii="Cambria Math" w:hAnsi="Cambria Math" w:cs="Times New Roman"/>
                        <w:color w:val="auto"/>
                        <w:sz w:val="21"/>
                        <w:szCs w:val="21"/>
                        <w:lang w:val="en-US"/>
                      </w:rPr>
                      <m:t>R</m:t>
                    </m:r>
                    <m:ctrlPr>
                      <w:rPr>
                        <w:rFonts w:ascii="Cambria Math" w:hAnsi="Cambria Math" w:cs="Times New Roman"/>
                        <w:i/>
                        <w:iCs/>
                        <w:color w:val="auto"/>
                        <w:sz w:val="21"/>
                        <w:szCs w:val="21"/>
                        <w:lang w:val="en-US"/>
                      </w:rPr>
                    </m:ctrlPr>
                  </m:den>
                </m:f>
                <m:r>
                  <m:rPr/>
                  <w:rPr>
                    <w:rFonts w:ascii="Cambria Math" w:hAnsi="Cambria Math" w:cs="Times New Roman"/>
                    <w:color w:val="auto"/>
                    <w:sz w:val="21"/>
                    <w:szCs w:val="21"/>
                    <w:lang w:val="en-US"/>
                  </w:rPr>
                  <m:t>）</m:t>
                </m:r>
              </m:oMath>
            </m:oMathPara>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式中：</w:t>
            </w:r>
            <m:oMath>
              <m:sSub>
                <m:sSubPr>
                  <m:ctrlPr>
                    <w:rPr>
                      <w:rFonts w:ascii="Cambria Math" w:hAnsi="Cambria Math" w:cs="Times New Roman"/>
                      <w:color w:val="auto"/>
                      <w:sz w:val="21"/>
                      <w:szCs w:val="21"/>
                      <w:lang w:val="en-US"/>
                    </w:rPr>
                  </m:ctrlPr>
                </m:sSubPr>
                <m:e>
                  <m:r>
                    <m:rPr>
                      <m:sty m:val="p"/>
                    </m:rPr>
                    <w:rPr>
                      <w:rFonts w:ascii="Cambria Math" w:hAnsi="Cambria Math" w:cs="Times New Roman"/>
                      <w:color w:val="auto"/>
                      <w:sz w:val="21"/>
                      <w:szCs w:val="21"/>
                      <w:lang w:val="en-US"/>
                    </w:rPr>
                    <m:t>L</m:t>
                  </m:r>
                  <m:ctrlPr>
                    <w:rPr>
                      <w:rFonts w:ascii="Cambria Math" w:hAnsi="Cambria Math" w:cs="Times New Roman"/>
                      <w:color w:val="auto"/>
                      <w:sz w:val="21"/>
                      <w:szCs w:val="21"/>
                      <w:lang w:val="en-US"/>
                    </w:rPr>
                  </m:ctrlPr>
                </m:e>
                <m:sub>
                  <m:r>
                    <m:rPr>
                      <m:sty m:val="p"/>
                    </m:rPr>
                    <w:rPr>
                      <w:rFonts w:ascii="Cambria Math" w:hAnsi="Cambria Math" w:cs="Times New Roman"/>
                      <w:color w:val="auto"/>
                      <w:sz w:val="21"/>
                      <w:szCs w:val="21"/>
                      <w:lang w:val="en-US"/>
                    </w:rPr>
                    <m:t>p1</m:t>
                  </m:r>
                  <m:ctrlPr>
                    <w:rPr>
                      <w:rFonts w:ascii="Cambria Math" w:hAnsi="Cambria Math" w:cs="Times New Roman"/>
                      <w:color w:val="auto"/>
                      <w:sz w:val="21"/>
                      <w:szCs w:val="21"/>
                      <w:lang w:val="en-US"/>
                    </w:rPr>
                  </m:ctrlPr>
                </m:sub>
              </m:sSub>
            </m:oMath>
            <w:r>
              <w:rPr>
                <w:rFonts w:ascii="Times New Roman" w:hAnsi="Times New Roman" w:cs="Times New Roman"/>
                <w:color w:val="auto"/>
                <w:sz w:val="21"/>
                <w:szCs w:val="21"/>
              </w:rPr>
              <w:t>——靠近开口处（或窗户）室内某倍频带的声压级或 A 声级，dB；</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m:oMath>
              <m:sSub>
                <m:sSubPr>
                  <m:ctrlPr>
                    <w:rPr>
                      <w:rFonts w:ascii="Cambria Math" w:hAnsi="Cambria Math" w:cs="Times New Roman"/>
                      <w:color w:val="auto"/>
                      <w:sz w:val="21"/>
                      <w:szCs w:val="21"/>
                      <w:lang w:val="en-US"/>
                    </w:rPr>
                  </m:ctrlPr>
                </m:sSubPr>
                <m:e>
                  <m:r>
                    <m:rPr>
                      <m:sty m:val="p"/>
                    </m:rPr>
                    <w:rPr>
                      <w:rFonts w:ascii="Cambria Math" w:hAnsi="Cambria Math" w:cs="Times New Roman"/>
                      <w:color w:val="auto"/>
                      <w:sz w:val="21"/>
                      <w:szCs w:val="21"/>
                      <w:lang w:val="en-US"/>
                    </w:rPr>
                    <m:t>L</m:t>
                  </m:r>
                  <m:ctrlPr>
                    <w:rPr>
                      <w:rFonts w:ascii="Cambria Math" w:hAnsi="Cambria Math" w:cs="Times New Roman"/>
                      <w:color w:val="auto"/>
                      <w:sz w:val="21"/>
                      <w:szCs w:val="21"/>
                      <w:lang w:val="en-US"/>
                    </w:rPr>
                  </m:ctrlPr>
                </m:e>
                <m:sub>
                  <m:r>
                    <m:rPr>
                      <m:sty m:val="p"/>
                    </m:rPr>
                    <w:rPr>
                      <w:rFonts w:ascii="Cambria Math" w:hAnsi="Cambria Math" w:cs="Times New Roman"/>
                      <w:color w:val="auto"/>
                      <w:sz w:val="21"/>
                      <w:szCs w:val="21"/>
                      <w:lang w:val="en-US"/>
                    </w:rPr>
                    <m:t>w</m:t>
                  </m:r>
                  <m:ctrlPr>
                    <w:rPr>
                      <w:rFonts w:ascii="Cambria Math" w:hAnsi="Cambria Math" w:cs="Times New Roman"/>
                      <w:color w:val="auto"/>
                      <w:sz w:val="21"/>
                      <w:szCs w:val="21"/>
                      <w:lang w:val="en-US"/>
                    </w:rPr>
                  </m:ctrlPr>
                </m:sub>
              </m:sSub>
            </m:oMath>
            <w:r>
              <w:rPr>
                <w:rFonts w:ascii="Times New Roman" w:hAnsi="Times New Roman" w:cs="Times New Roman"/>
                <w:color w:val="auto"/>
                <w:sz w:val="21"/>
                <w:szCs w:val="21"/>
              </w:rPr>
              <w:t>——点声源声功率级（A 计权或倍频带），dB；</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i/>
                <w:iCs/>
                <w:color w:val="auto"/>
                <w:sz w:val="21"/>
                <w:szCs w:val="21"/>
              </w:rPr>
              <w:t>r</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——声源到靠近围护结构某点处的距离，m；</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R——房间常数；</w:t>
            </w:r>
          </w:p>
          <w:p>
            <w:pPr>
              <w:wordWrap w:val="0"/>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Q——指向性因数。</w:t>
            </w:r>
          </w:p>
          <w:p>
            <w:pPr>
              <w:autoSpaceDE/>
              <w:autoSpaceDN/>
              <w:spacing w:line="400" w:lineRule="exact"/>
              <w:ind w:left="110" w:leftChars="50" w:right="110" w:rightChars="50" w:firstLine="420" w:firstLineChars="200"/>
              <w:jc w:val="both"/>
              <w:rPr>
                <w:rFonts w:ascii="Times New Roman" w:hAnsi="Times New Roman" w:cs="Times New Roman"/>
                <w:color w:val="auto"/>
                <w:sz w:val="21"/>
                <w:szCs w:val="21"/>
              </w:rPr>
            </w:pPr>
          </w:p>
        </w:tc>
      </w:tr>
    </w:tbl>
    <w:p>
      <w:pPr>
        <w:pStyle w:val="45"/>
        <w:rPr>
          <w:color w:val="auto"/>
        </w:rPr>
        <w:sectPr>
          <w:pgSz w:w="16850" w:h="11910" w:orient="landscape"/>
          <w:pgMar w:top="1340" w:right="1600" w:bottom="1320" w:left="1531" w:header="0" w:footer="817" w:gutter="0"/>
          <w:cols w:space="720" w:num="1"/>
        </w:sectPr>
      </w:pPr>
    </w:p>
    <w:tbl>
      <w:tblPr>
        <w:tblStyle w:val="32"/>
        <w:tblW w:w="509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454" w:type="dxa"/>
            <w:tcMar>
              <w:left w:w="28" w:type="dxa"/>
              <w:right w:w="28" w:type="dxa"/>
            </w:tcMar>
            <w:vAlign w:val="center"/>
          </w:tcPr>
          <w:p>
            <w:pPr>
              <w:adjustRightInd w:val="0"/>
              <w:snapToGrid w:val="0"/>
              <w:jc w:val="center"/>
              <w:rPr>
                <w:rFonts w:ascii="Times New Roman" w:hAnsi="Times New Roman" w:cs="Times New Roman"/>
                <w:b/>
                <w:bCs/>
                <w:color w:val="auto"/>
                <w:sz w:val="24"/>
              </w:rPr>
            </w:pPr>
          </w:p>
        </w:tc>
        <w:tc>
          <w:tcPr>
            <w:tcW w:w="9022" w:type="dxa"/>
            <w:vAlign w:val="center"/>
          </w:tcPr>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b.计算出所有室内声源的靠近围护结构处产生的总倍频带声压级：</w:t>
            </w:r>
          </w:p>
          <w:p>
            <w:pPr>
              <w:pStyle w:val="25"/>
              <w:tabs>
                <w:tab w:val="right" w:leader="dot" w:pos="8507"/>
              </w:tabs>
              <w:autoSpaceDE/>
              <w:autoSpaceDN/>
              <w:spacing w:before="120" w:beforeLines="50" w:after="120" w:afterLines="50"/>
              <w:ind w:left="440"/>
              <w:rPr>
                <w:rFonts w:hint="eastAsia" w:hAnsi="Cambria Math" w:cs="Times New Roman"/>
                <w:color w:val="auto"/>
                <w:sz w:val="21"/>
                <w:szCs w:val="21"/>
                <w:lang w:val="en-US"/>
              </w:rPr>
            </w:pPr>
            <m:oMathPara>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pli</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(T)=10lg(</m:t>
                </m:r>
                <m:nary>
                  <m:naryPr>
                    <m:chr m:val="∑"/>
                    <m:limLoc m:val="undOvr"/>
                    <m:ctrlPr>
                      <w:rPr>
                        <w:rFonts w:ascii="Cambria Math" w:hAnsi="Cambria Math" w:cs="Times New Roman"/>
                        <w:i/>
                        <w:color w:val="auto"/>
                        <w:sz w:val="21"/>
                        <w:szCs w:val="21"/>
                        <w:lang w:val="en-US"/>
                      </w:rPr>
                    </m:ctrlPr>
                  </m:naryPr>
                  <m:sub>
                    <m:r>
                      <m:rPr/>
                      <w:rPr>
                        <w:rFonts w:ascii="Cambria Math" w:hAnsi="Cambria Math" w:cs="Times New Roman"/>
                        <w:color w:val="auto"/>
                        <w:sz w:val="21"/>
                        <w:szCs w:val="21"/>
                        <w:lang w:val="en-US"/>
                      </w:rPr>
                      <m:t>j=1</m:t>
                    </m:r>
                    <m:ctrlPr>
                      <w:rPr>
                        <w:rFonts w:ascii="Cambria Math" w:hAnsi="Cambria Math" w:cs="Times New Roman"/>
                        <w:i/>
                        <w:color w:val="auto"/>
                        <w:sz w:val="21"/>
                        <w:szCs w:val="21"/>
                        <w:lang w:val="en-US"/>
                      </w:rPr>
                    </m:ctrlPr>
                  </m:sub>
                  <m:sup>
                    <m:r>
                      <m:rPr/>
                      <w:rPr>
                        <w:rFonts w:ascii="Cambria Math" w:hAnsi="Cambria Math" w:cs="Times New Roman"/>
                        <w:color w:val="auto"/>
                        <w:sz w:val="21"/>
                        <w:szCs w:val="21"/>
                        <w:lang w:val="en-US"/>
                      </w:rPr>
                      <m:t>N</m:t>
                    </m:r>
                    <m:ctrlPr>
                      <w:rPr>
                        <w:rFonts w:ascii="Cambria Math" w:hAnsi="Cambria Math" w:cs="Times New Roman"/>
                        <w:i/>
                        <w:color w:val="auto"/>
                        <w:sz w:val="21"/>
                        <w:szCs w:val="21"/>
                        <w:lang w:val="en-US"/>
                      </w:rPr>
                    </m:ctrlPr>
                  </m:sup>
                  <m:e>
                    <m:sSup>
                      <m:sSupPr>
                        <m:ctrlPr>
                          <w:rPr>
                            <w:rFonts w:ascii="Cambria Math" w:hAnsi="Cambria Math" w:cs="Times New Roman"/>
                            <w:i/>
                            <w:color w:val="auto"/>
                            <w:sz w:val="21"/>
                            <w:szCs w:val="21"/>
                            <w:lang w:val="en-US"/>
                          </w:rPr>
                        </m:ctrlPr>
                      </m:sSupPr>
                      <m:e>
                        <m:r>
                          <m:rPr/>
                          <w:rPr>
                            <w:rFonts w:ascii="Cambria Math" w:hAnsi="Cambria Math" w:cs="Times New Roman"/>
                            <w:color w:val="auto"/>
                            <w:sz w:val="21"/>
                            <w:szCs w:val="21"/>
                            <w:lang w:val="en-US"/>
                          </w:rPr>
                          <m:t>10</m:t>
                        </m:r>
                        <m:ctrlPr>
                          <w:rPr>
                            <w:rFonts w:ascii="Cambria Math" w:hAnsi="Cambria Math" w:cs="Times New Roman"/>
                            <w:i/>
                            <w:color w:val="auto"/>
                            <w:sz w:val="21"/>
                            <w:szCs w:val="21"/>
                            <w:lang w:val="en-US"/>
                          </w:rPr>
                        </m:ctrlPr>
                      </m:e>
                      <m:sup>
                        <m:r>
                          <m:rPr/>
                          <w:rPr>
                            <w:rFonts w:ascii="Cambria Math" w:hAnsi="Cambria Math" w:cs="Times New Roman"/>
                            <w:color w:val="auto"/>
                            <w:sz w:val="21"/>
                            <w:szCs w:val="21"/>
                            <w:lang w:val="en-US"/>
                          </w:rPr>
                          <m:t>0.1</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plij</m:t>
                            </m:r>
                            <m:ctrlPr>
                              <w:rPr>
                                <w:rFonts w:ascii="Cambria Math" w:hAnsi="Cambria Math" w:cs="Times New Roman"/>
                                <w:i/>
                                <w:color w:val="auto"/>
                                <w:sz w:val="21"/>
                                <w:szCs w:val="21"/>
                                <w:lang w:val="en-US"/>
                              </w:rPr>
                            </m:ctrlPr>
                          </m:sub>
                        </m:sSub>
                        <m:ctrlPr>
                          <w:rPr>
                            <w:rFonts w:ascii="Cambria Math" w:hAnsi="Cambria Math" w:cs="Times New Roman"/>
                            <w:i/>
                            <w:color w:val="auto"/>
                            <w:sz w:val="21"/>
                            <w:szCs w:val="21"/>
                            <w:lang w:val="en-US"/>
                          </w:rPr>
                        </m:ctrlPr>
                      </m:sup>
                    </m:sSup>
                    <m:ctrlPr>
                      <w:rPr>
                        <w:rFonts w:ascii="Cambria Math" w:hAnsi="Cambria Math" w:cs="Times New Roman"/>
                        <w:i/>
                        <w:color w:val="auto"/>
                        <w:sz w:val="21"/>
                        <w:szCs w:val="21"/>
                        <w:lang w:val="en-US"/>
                      </w:rPr>
                    </m:ctrlPr>
                  </m:e>
                </m:nary>
                <m:r>
                  <m:rPr/>
                  <w:rPr>
                    <w:rFonts w:ascii="Cambria Math" w:hAnsi="Cambria Math" w:cs="Times New Roman"/>
                    <w:color w:val="auto"/>
                    <w:sz w:val="21"/>
                    <w:szCs w:val="21"/>
                    <w:lang w:val="en-US"/>
                  </w:rPr>
                  <m:t>)</m:t>
                </m:r>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Cs/>
                      <w:color w:val="auto"/>
                      <w:sz w:val="21"/>
                      <w:szCs w:val="21"/>
                    </w:rPr>
                  </m:ctrlPr>
                </m:sSubPr>
                <m:e>
                  <m:r>
                    <m:rPr>
                      <m:sty m:val="p"/>
                    </m:rPr>
                    <w:rPr>
                      <w:rFonts w:ascii="Cambria Math" w:hAnsi="Cambria Math" w:cs="Times New Roman"/>
                      <w:color w:val="auto"/>
                      <w:sz w:val="21"/>
                      <w:szCs w:val="21"/>
                      <w:lang w:val="en-US"/>
                    </w:rPr>
                    <m:t>L</m:t>
                  </m:r>
                  <m:ctrlPr>
                    <w:rPr>
                      <w:rFonts w:ascii="Cambria Math" w:hAnsi="Cambria Math" w:cs="Times New Roman"/>
                      <w:iCs/>
                      <w:color w:val="auto"/>
                      <w:sz w:val="21"/>
                      <w:szCs w:val="21"/>
                    </w:rPr>
                  </m:ctrlPr>
                </m:e>
                <m:sub>
                  <m:r>
                    <m:rPr>
                      <m:sty m:val="p"/>
                    </m:rPr>
                    <w:rPr>
                      <w:rFonts w:ascii="Cambria Math" w:hAnsi="Cambria Math" w:cs="Times New Roman"/>
                      <w:color w:val="auto"/>
                      <w:sz w:val="21"/>
                      <w:szCs w:val="21"/>
                      <w:lang w:val="en-US"/>
                    </w:rPr>
                    <m:t>pli</m:t>
                  </m:r>
                  <m:ctrlPr>
                    <w:rPr>
                      <w:rFonts w:ascii="Cambria Math" w:hAnsi="Cambria Math" w:cs="Times New Roman"/>
                      <w:iCs/>
                      <w:color w:val="auto"/>
                      <w:sz w:val="21"/>
                      <w:szCs w:val="21"/>
                    </w:rPr>
                  </m:ctrlPr>
                </m:sub>
              </m:sSub>
              <m:r>
                <m:rPr>
                  <m:sty m:val="p"/>
                </m:rPr>
                <w:rPr>
                  <w:rFonts w:ascii="Cambria Math" w:hAnsi="Cambria Math" w:cs="Times New Roman"/>
                  <w:color w:val="auto"/>
                  <w:sz w:val="21"/>
                  <w:szCs w:val="21"/>
                  <w:lang w:val="en-US"/>
                </w:rPr>
                <m:t>(T)</m:t>
              </m:r>
            </m:oMath>
            <w:r>
              <w:rPr>
                <w:rFonts w:ascii="Times New Roman" w:hAnsi="Times New Roman" w:cs="Times New Roman"/>
                <w:color w:val="auto"/>
                <w:sz w:val="21"/>
                <w:szCs w:val="21"/>
                <w:lang w:val="en-US"/>
              </w:rPr>
              <w:t xml:space="preserve">——靠近围护结构处室内 N 个声源 i 倍频带的叠加声压级，dB；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Cs/>
                      <w:color w:val="auto"/>
                      <w:sz w:val="21"/>
                      <w:szCs w:val="21"/>
                      <w:lang w:val="en-US"/>
                    </w:rPr>
                  </m:ctrlPr>
                </m:sSubPr>
                <m:e>
                  <m:r>
                    <m:rPr>
                      <m:sty m:val="p"/>
                    </m:rPr>
                    <w:rPr>
                      <w:rFonts w:ascii="Cambria Math" w:hAnsi="Cambria Math" w:cs="Times New Roman"/>
                      <w:color w:val="auto"/>
                      <w:sz w:val="21"/>
                      <w:szCs w:val="21"/>
                      <w:lang w:val="en-US"/>
                    </w:rPr>
                    <m:t>L</m:t>
                  </m:r>
                  <m:ctrlPr>
                    <w:rPr>
                      <w:rFonts w:ascii="Cambria Math" w:hAnsi="Cambria Math" w:cs="Times New Roman"/>
                      <w:iCs/>
                      <w:color w:val="auto"/>
                      <w:sz w:val="21"/>
                      <w:szCs w:val="21"/>
                      <w:lang w:val="en-US"/>
                    </w:rPr>
                  </m:ctrlPr>
                </m:e>
                <m:sub>
                  <m:r>
                    <m:rPr>
                      <m:sty m:val="p"/>
                    </m:rPr>
                    <w:rPr>
                      <w:rFonts w:ascii="Cambria Math" w:hAnsi="Cambria Math" w:cs="Times New Roman"/>
                      <w:color w:val="auto"/>
                      <w:sz w:val="21"/>
                      <w:szCs w:val="21"/>
                      <w:lang w:val="en-US"/>
                    </w:rPr>
                    <m:t>plij</m:t>
                  </m:r>
                  <m:ctrlPr>
                    <w:rPr>
                      <w:rFonts w:ascii="Cambria Math" w:hAnsi="Cambria Math" w:cs="Times New Roman"/>
                      <w:iCs/>
                      <w:color w:val="auto"/>
                      <w:sz w:val="21"/>
                      <w:szCs w:val="21"/>
                      <w:lang w:val="en-US"/>
                    </w:rPr>
                  </m:ctrlPr>
                </m:sub>
              </m:sSub>
            </m:oMath>
            <w:r>
              <w:rPr>
                <w:rFonts w:ascii="Times New Roman" w:hAnsi="Times New Roman" w:cs="Times New Roman"/>
                <w:color w:val="auto"/>
                <w:sz w:val="21"/>
                <w:szCs w:val="21"/>
                <w:lang w:val="en-US"/>
              </w:rPr>
              <w:t xml:space="preserve">——室内 j 声源 i 倍频带的声压级，dB；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N ——室内声源总数。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c.计算出室外靠近围护结构处的声压级：</w:t>
            </w:r>
          </w:p>
          <w:p>
            <w:pPr>
              <w:wordWrap w:val="0"/>
              <w:autoSpaceDE/>
              <w:autoSpaceDN/>
              <w:spacing w:line="400" w:lineRule="exact"/>
              <w:ind w:left="110" w:leftChars="50" w:right="110" w:rightChars="50" w:firstLine="420" w:firstLineChars="200"/>
              <w:jc w:val="center"/>
              <w:rPr>
                <w:rFonts w:ascii="Times New Roman" w:hAnsi="Times New Roman" w:cs="Times New Roman"/>
                <w:color w:val="auto"/>
                <w:sz w:val="21"/>
                <w:szCs w:val="21"/>
                <w:lang w:val="en-US"/>
              </w:rPr>
            </w:pPr>
            <m:oMathPara>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P2i</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(T)=</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pli</m:t>
                    </m:r>
                    <m:ctrlPr>
                      <w:rPr>
                        <w:rFonts w:ascii="Cambria Math" w:hAnsi="Cambria Math" w:cs="Times New Roman"/>
                        <w:i/>
                        <w:color w:val="auto"/>
                        <w:sz w:val="21"/>
                        <w:szCs w:val="21"/>
                        <w:lang w:val="en-US"/>
                      </w:rPr>
                    </m:ctrlPr>
                  </m:sub>
                </m:sSub>
                <m:r>
                  <m:rPr/>
                  <w:rPr>
                    <w:rFonts w:ascii="Cambria Math" w:hAnsi="Cambria Math" w:cs="Times New Roman"/>
                    <w:color w:val="auto"/>
                    <w:sz w:val="21"/>
                    <w:szCs w:val="21"/>
                    <w:lang w:val="en-US"/>
                  </w:rPr>
                  <m:t>(T)−(T</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i</m:t>
                    </m:r>
                    <m:ctrlPr>
                      <w:rPr>
                        <w:rFonts w:ascii="Cambria Math" w:hAnsi="Cambria Math" w:cs="Times New Roman"/>
                        <w:i/>
                        <w:color w:val="auto"/>
                        <w:sz w:val="21"/>
                        <w:szCs w:val="21"/>
                        <w:lang w:val="en-US"/>
                      </w:rPr>
                    </m:ctrlPr>
                  </m:sub>
                </m:sSub>
                <m:r>
                  <m:rPr/>
                  <w:rPr>
                    <w:rFonts w:ascii="Cambria Math" w:hAnsi="Cambria Math" w:cs="Times New Roman"/>
                    <w:color w:val="auto"/>
                    <w:sz w:val="21"/>
                    <w:szCs w:val="21"/>
                    <w:lang w:val="en-US"/>
                  </w:rPr>
                  <m:t>+6)</m:t>
                </m:r>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P2i</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(T)</m:t>
              </m:r>
            </m:oMath>
            <w:r>
              <w:rPr>
                <w:rFonts w:ascii="Times New Roman" w:hAnsi="Times New Roman" w:cs="Times New Roman"/>
                <w:color w:val="auto"/>
                <w:sz w:val="21"/>
                <w:szCs w:val="21"/>
              </w:rPr>
              <w:t>——围护结构倍频带隔声损失，厂房内的噪声与围护结构距离较近，整个厂房实际起着一个大隔声罩的作用。在本次预测中，</w:t>
            </w:r>
            <w:r>
              <w:rPr>
                <w:rFonts w:hint="eastAsia" w:ascii="Times New Roman" w:hAnsi="Times New Roman" w:cs="Times New Roman"/>
                <w:color w:val="auto"/>
                <w:sz w:val="21"/>
                <w:szCs w:val="21"/>
              </w:rPr>
              <w:t>类比同类项目</w:t>
            </w:r>
            <w:r>
              <w:rPr>
                <w:rFonts w:ascii="Times New Roman" w:hAnsi="Times New Roman" w:cs="Times New Roman"/>
                <w:color w:val="auto"/>
                <w:sz w:val="21"/>
                <w:szCs w:val="21"/>
              </w:rPr>
              <w:t>，确定以</w:t>
            </w:r>
            <w:r>
              <w:rPr>
                <w:rFonts w:hint="eastAsia" w:ascii="Times New Roman" w:hAnsi="Times New Roman" w:cs="Times New Roman"/>
                <w:color w:val="auto"/>
                <w:sz w:val="21"/>
                <w:szCs w:val="21"/>
                <w:lang w:val="en-US"/>
              </w:rPr>
              <w:t>25</w:t>
            </w:r>
            <w:r>
              <w:rPr>
                <w:rFonts w:ascii="Times New Roman" w:hAnsi="Times New Roman" w:cs="Times New Roman"/>
                <w:color w:val="auto"/>
                <w:sz w:val="21"/>
                <w:szCs w:val="21"/>
              </w:rPr>
              <w:t>dB(A)作为厂房围护的隔声量。</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d.将室外声源的声压级和透过面积换算成等效的室外声源，计算出中心位置位于透声面积（S）处的等效声源的倍频带声功率级；</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m:oMathPara>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w</m:t>
                    </m:r>
                    <m:ctrlPr>
                      <w:rPr>
                        <w:rFonts w:ascii="Cambria Math" w:hAnsi="Cambria Math" w:cs="Times New Roman"/>
                        <w:i/>
                        <w:color w:val="auto"/>
                        <w:sz w:val="21"/>
                        <w:szCs w:val="21"/>
                      </w:rPr>
                    </m:ctrlPr>
                  </m:sub>
                </m:sSub>
                <m:r>
                  <m:rPr/>
                  <w:rPr>
                    <w:rFonts w:ascii="Cambria Math" w:hAnsi="Cambria Math" w:cs="Times New Roman"/>
                    <w:color w:val="auto"/>
                    <w:sz w:val="21"/>
                    <w:szCs w:val="21"/>
                    <w:lang w:val="en-US"/>
                  </w:rPr>
                  <m:t>=</m:t>
                </m:r>
                <m:sSub>
                  <m:sSubPr>
                    <m:ctrlPr>
                      <w:rPr>
                        <w:rFonts w:ascii="Cambria Math" w:hAnsi="Cambria Math" w:cs="Times New Roman"/>
                        <w:i/>
                        <w:color w:val="auto"/>
                        <w:sz w:val="21"/>
                        <w:szCs w:val="21"/>
                        <w:lang w:val="en-US"/>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lang w:val="en-US"/>
                      </w:rPr>
                    </m:ctrlPr>
                  </m:e>
                  <m:sub>
                    <m:r>
                      <m:rPr/>
                      <w:rPr>
                        <w:rFonts w:ascii="Cambria Math" w:hAnsi="Cambria Math" w:cs="Times New Roman"/>
                        <w:color w:val="auto"/>
                        <w:sz w:val="21"/>
                        <w:szCs w:val="21"/>
                        <w:lang w:val="en-US"/>
                      </w:rPr>
                      <m:t>p2</m:t>
                    </m:r>
                    <m:ctrlPr>
                      <w:rPr>
                        <w:rFonts w:ascii="Cambria Math" w:hAnsi="Cambria Math" w:cs="Times New Roman"/>
                        <w:i/>
                        <w:color w:val="auto"/>
                        <w:sz w:val="21"/>
                        <w:szCs w:val="21"/>
                        <w:lang w:val="en-US"/>
                      </w:rPr>
                    </m:ctrlPr>
                  </m:sub>
                </m:sSub>
                <m:r>
                  <m:rPr/>
                  <w:rPr>
                    <w:rFonts w:ascii="Cambria Math" w:hAnsi="Cambria Math" w:cs="Times New Roman"/>
                    <w:color w:val="auto"/>
                    <w:sz w:val="21"/>
                    <w:szCs w:val="21"/>
                    <w:lang w:val="en-US"/>
                  </w:rPr>
                  <m:t>(T)+10lgS</m:t>
                </m:r>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rPr>
              <w:t>S——透声面积，m</w:t>
            </w:r>
            <w:r>
              <w:rPr>
                <w:rFonts w:ascii="Times New Roman" w:hAnsi="Times New Roman" w:cs="Times New Roman"/>
                <w:color w:val="auto"/>
                <w:sz w:val="21"/>
                <w:szCs w:val="21"/>
                <w:vertAlign w:val="superscript"/>
              </w:rPr>
              <w:t>2</w:t>
            </w:r>
            <w:r>
              <w:rPr>
                <w:rFonts w:hint="eastAsia" w:ascii="Times New Roman" w:hAnsi="Times New Roman" w:cs="Times New Roman"/>
                <w:color w:val="auto"/>
                <w:sz w:val="21"/>
                <w:szCs w:val="21"/>
              </w:rPr>
              <w:t>；</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m:oMath>
              <m:sSub>
                <m:sSubPr>
                  <m:ctrlPr>
                    <w:rPr>
                      <w:rFonts w:ascii="Cambria Math" w:hAnsi="Cambria Math" w:cs="Times New Roman"/>
                      <w:i/>
                      <w:color w:val="auto"/>
                      <w:sz w:val="21"/>
                      <w:szCs w:val="21"/>
                    </w:rPr>
                  </m:ctrlPr>
                </m:sSubPr>
                <m:e>
                  <m:r>
                    <m:rPr/>
                    <w:rPr>
                      <w:rFonts w:ascii="Cambria Math" w:hAnsi="Cambria Math" w:cs="Times New Roman"/>
                      <w:color w:val="auto"/>
                      <w:sz w:val="21"/>
                      <w:szCs w:val="21"/>
                      <w:lang w:val="en-US"/>
                    </w:rPr>
                    <m:t>L</m:t>
                  </m:r>
                  <m:ctrlPr>
                    <w:rPr>
                      <w:rFonts w:ascii="Cambria Math" w:hAnsi="Cambria Math" w:cs="Times New Roman"/>
                      <w:i/>
                      <w:color w:val="auto"/>
                      <w:sz w:val="21"/>
                      <w:szCs w:val="21"/>
                    </w:rPr>
                  </m:ctrlPr>
                </m:e>
                <m:sub>
                  <m:r>
                    <m:rPr/>
                    <w:rPr>
                      <w:rFonts w:ascii="Cambria Math" w:hAnsi="Cambria Math" w:cs="Times New Roman"/>
                      <w:color w:val="auto"/>
                      <w:sz w:val="21"/>
                      <w:szCs w:val="21"/>
                      <w:lang w:val="en-US"/>
                    </w:rPr>
                    <m:t>w</m:t>
                  </m:r>
                  <m:ctrlPr>
                    <w:rPr>
                      <w:rFonts w:ascii="Cambria Math" w:hAnsi="Cambria Math" w:cs="Times New Roman"/>
                      <w:i/>
                      <w:color w:val="auto"/>
                      <w:sz w:val="21"/>
                      <w:szCs w:val="21"/>
                    </w:rPr>
                  </m:ctrlPr>
                </m:sub>
              </m:sSub>
            </m:oMath>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rPr>
              <w:t>中心位置位于透声面积（</w:t>
            </w: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lang w:val="en-US"/>
              </w:rPr>
              <w:t>）处的等效声源的倍频带声功率级，</w:t>
            </w:r>
            <w:r>
              <w:rPr>
                <w:rFonts w:ascii="Times New Roman" w:hAnsi="Times New Roman" w:cs="Times New Roman"/>
                <w:color w:val="auto"/>
                <w:sz w:val="21"/>
                <w:szCs w:val="21"/>
                <w:lang w:val="en-US"/>
              </w:rPr>
              <w:t>dB</w:t>
            </w:r>
            <w:r>
              <w:rPr>
                <w:rFonts w:hint="eastAsia" w:ascii="Times New Roman" w:hAnsi="Times New Roman" w:cs="Times New Roman"/>
                <w:color w:val="auto"/>
                <w:sz w:val="21"/>
                <w:szCs w:val="21"/>
                <w:lang w:val="en-US"/>
              </w:rPr>
              <w:t>；</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e.设第i个室外声源在预测点产生的A声级为L</w:t>
            </w:r>
            <w:r>
              <w:rPr>
                <w:rFonts w:ascii="Times New Roman" w:hAnsi="Times New Roman" w:cs="Times New Roman"/>
                <w:color w:val="auto"/>
                <w:sz w:val="21"/>
                <w:szCs w:val="21"/>
                <w:vertAlign w:val="subscript"/>
              </w:rPr>
              <w:t>Ai</w:t>
            </w:r>
            <w:r>
              <w:rPr>
                <w:rFonts w:ascii="Times New Roman" w:hAnsi="Times New Roman" w:cs="Times New Roman"/>
                <w:color w:val="auto"/>
                <w:sz w:val="21"/>
                <w:szCs w:val="21"/>
              </w:rPr>
              <w:t>，在T时间内该声源工作时间为t</w:t>
            </w:r>
            <w:r>
              <w:rPr>
                <w:rFonts w:ascii="Times New Roman" w:hAnsi="Times New Roman" w:cs="Times New Roman"/>
                <w:color w:val="auto"/>
                <w:sz w:val="21"/>
                <w:szCs w:val="21"/>
                <w:vertAlign w:val="subscript"/>
              </w:rPr>
              <w:t>i</w:t>
            </w:r>
            <w:r>
              <w:rPr>
                <w:rFonts w:ascii="Times New Roman" w:hAnsi="Times New Roman" w:cs="Times New Roman"/>
                <w:color w:val="auto"/>
                <w:sz w:val="21"/>
                <w:szCs w:val="21"/>
              </w:rPr>
              <w:t>；第j等效室外声源在预测点产生的A声级为L</w:t>
            </w:r>
            <w:r>
              <w:rPr>
                <w:rFonts w:ascii="Times New Roman" w:hAnsi="Times New Roman" w:cs="Times New Roman"/>
                <w:color w:val="auto"/>
                <w:sz w:val="21"/>
                <w:szCs w:val="21"/>
                <w:vertAlign w:val="subscript"/>
              </w:rPr>
              <w:t>Aj</w:t>
            </w:r>
            <w:r>
              <w:rPr>
                <w:rFonts w:ascii="Times New Roman" w:hAnsi="Times New Roman" w:cs="Times New Roman"/>
                <w:color w:val="auto"/>
                <w:sz w:val="21"/>
                <w:szCs w:val="21"/>
              </w:rPr>
              <w:t>，在T时间内该声源工作时间为t</w:t>
            </w:r>
            <w:r>
              <w:rPr>
                <w:rFonts w:ascii="Times New Roman" w:hAnsi="Times New Roman" w:cs="Times New Roman"/>
                <w:color w:val="auto"/>
                <w:sz w:val="21"/>
                <w:szCs w:val="21"/>
                <w:vertAlign w:val="subscript"/>
              </w:rPr>
              <w:t>j</w:t>
            </w:r>
            <w:r>
              <w:rPr>
                <w:rFonts w:ascii="Times New Roman" w:hAnsi="Times New Roman" w:cs="Times New Roman"/>
                <w:color w:val="auto"/>
                <w:sz w:val="21"/>
                <w:szCs w:val="21"/>
              </w:rPr>
              <w:t>，则拟建工程声源对预测点产生的贡献值（L</w:t>
            </w:r>
            <w:r>
              <w:rPr>
                <w:rFonts w:ascii="Times New Roman" w:hAnsi="Times New Roman" w:cs="Times New Roman"/>
                <w:color w:val="auto"/>
                <w:sz w:val="21"/>
                <w:szCs w:val="21"/>
                <w:vertAlign w:val="subscript"/>
              </w:rPr>
              <w:t>eqg</w:t>
            </w:r>
            <w:r>
              <w:rPr>
                <w:rFonts w:ascii="Times New Roman" w:hAnsi="Times New Roman" w:cs="Times New Roman"/>
                <w:color w:val="auto"/>
                <w:sz w:val="21"/>
                <w:szCs w:val="21"/>
              </w:rPr>
              <w:t>）为：</w:t>
            </w:r>
          </w:p>
          <w:p>
            <w:pPr>
              <w:pStyle w:val="89"/>
              <w:rPr>
                <w:rFonts w:ascii="Times New Roman" w:hAnsi="Times New Roman" w:cs="Times New Roman"/>
                <w:color w:val="auto"/>
                <w:sz w:val="21"/>
                <w:szCs w:val="21"/>
              </w:rPr>
            </w:pPr>
          </w:p>
          <w:p>
            <w:pPr>
              <w:rPr>
                <w:rFonts w:ascii="Times New Roman" w:hAnsi="Times New Roman" w:cs="Times New Roman"/>
                <w:color w:val="auto"/>
                <w:sz w:val="21"/>
                <w:szCs w:val="21"/>
              </w:rPr>
            </w:pPr>
          </w:p>
          <w:p>
            <w:pPr>
              <w:pStyle w:val="89"/>
              <w:rPr>
                <w:color w:val="auto"/>
              </w:rPr>
            </w:pPr>
          </w:p>
          <w:p>
            <w:pPr>
              <w:wordWrap w:val="0"/>
              <w:autoSpaceDE/>
              <w:autoSpaceDN/>
              <w:spacing w:before="120" w:beforeLines="50" w:after="120" w:afterLines="50" w:line="400" w:lineRule="exact"/>
              <w:ind w:left="110" w:leftChars="50" w:right="110" w:rightChars="50" w:firstLine="420" w:firstLineChars="200"/>
              <w:jc w:val="center"/>
              <w:rPr>
                <w:rFonts w:ascii="Times New Roman" w:hAnsi="Times New Roman" w:cs="Times New Roman"/>
                <w:i/>
                <w:iCs/>
                <w:color w:val="auto"/>
                <w:sz w:val="21"/>
                <w:szCs w:val="21"/>
                <w:lang w:val="en-US"/>
              </w:rPr>
            </w:pPr>
            <m:oMathPara>
              <m:oMath>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L</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eqg</m:t>
                    </m:r>
                    <m:ctrlPr>
                      <w:rPr>
                        <w:rFonts w:ascii="Cambria Math" w:hAnsi="Cambria Math" w:cs="Times New Roman"/>
                        <w:i/>
                        <w:iCs/>
                        <w:color w:val="auto"/>
                        <w:kern w:val="2"/>
                        <w:sz w:val="21"/>
                        <w:szCs w:val="21"/>
                        <w:lang w:val="en-US" w:bidi="ar-SA"/>
                      </w:rPr>
                    </m:ctrlPr>
                  </m:sub>
                </m:sSub>
                <m:r>
                  <m:rPr/>
                  <w:rPr>
                    <w:rFonts w:ascii="Cambria Math" w:hAnsi="Cambria Math" w:cs="Times New Roman"/>
                    <w:color w:val="auto"/>
                    <w:kern w:val="2"/>
                    <w:sz w:val="21"/>
                    <w:szCs w:val="21"/>
                    <w:lang w:val="en-US" w:bidi="ar-SA"/>
                  </w:rPr>
                  <m:t>=10lg</m:t>
                </m:r>
                <m:d>
                  <m:dPr>
                    <m:begChr m:val="["/>
                    <m:endChr m:val="]"/>
                    <m:ctrlPr>
                      <w:rPr>
                        <w:rFonts w:ascii="Cambria Math" w:hAnsi="Cambria Math" w:cs="Times New Roman"/>
                        <w:i/>
                        <w:iCs/>
                        <w:color w:val="auto"/>
                        <w:kern w:val="2"/>
                        <w:sz w:val="21"/>
                        <w:szCs w:val="21"/>
                        <w:lang w:val="en-US" w:bidi="ar-SA"/>
                      </w:rPr>
                    </m:ctrlPr>
                  </m:dPr>
                  <m:e>
                    <m:f>
                      <m:fPr>
                        <m:ctrlPr>
                          <w:rPr>
                            <w:rFonts w:ascii="Cambria Math" w:hAnsi="Cambria Math" w:cs="Times New Roman"/>
                            <w:i/>
                            <w:iCs/>
                            <w:color w:val="auto"/>
                            <w:kern w:val="2"/>
                            <w:sz w:val="21"/>
                            <w:szCs w:val="21"/>
                            <w:lang w:val="en-US" w:bidi="ar-SA"/>
                          </w:rPr>
                        </m:ctrlPr>
                      </m:fPr>
                      <m:num>
                        <m:r>
                          <m:rPr/>
                          <w:rPr>
                            <w:rFonts w:ascii="Cambria Math" w:hAnsi="Cambria Math" w:cs="Times New Roman"/>
                            <w:color w:val="auto"/>
                            <w:kern w:val="2"/>
                            <w:sz w:val="21"/>
                            <w:szCs w:val="21"/>
                            <w:lang w:val="en-US" w:bidi="ar-SA"/>
                          </w:rPr>
                          <m:t>1</m:t>
                        </m:r>
                        <m:ctrlPr>
                          <w:rPr>
                            <w:rFonts w:ascii="Cambria Math" w:hAnsi="Cambria Math" w:cs="Times New Roman"/>
                            <w:i/>
                            <w:iCs/>
                            <w:color w:val="auto"/>
                            <w:kern w:val="2"/>
                            <w:sz w:val="21"/>
                            <w:szCs w:val="21"/>
                            <w:lang w:val="en-US" w:bidi="ar-SA"/>
                          </w:rPr>
                        </m:ctrlPr>
                      </m:num>
                      <m:den>
                        <m:r>
                          <m:rPr/>
                          <w:rPr>
                            <w:rFonts w:ascii="Cambria Math" w:hAnsi="Cambria Math" w:cs="Times New Roman"/>
                            <w:color w:val="auto"/>
                            <w:kern w:val="2"/>
                            <w:sz w:val="21"/>
                            <w:szCs w:val="21"/>
                            <w:lang w:val="en-US" w:bidi="ar-SA"/>
                          </w:rPr>
                          <m:t>T</m:t>
                        </m:r>
                        <m:ctrlPr>
                          <w:rPr>
                            <w:rFonts w:ascii="Cambria Math" w:hAnsi="Cambria Math" w:cs="Times New Roman"/>
                            <w:i/>
                            <w:iCs/>
                            <w:color w:val="auto"/>
                            <w:kern w:val="2"/>
                            <w:sz w:val="21"/>
                            <w:szCs w:val="21"/>
                            <w:lang w:val="en-US" w:bidi="ar-SA"/>
                          </w:rPr>
                        </m:ctrlPr>
                      </m:den>
                    </m:f>
                    <m:d>
                      <m:dPr>
                        <m:ctrlPr>
                          <w:rPr>
                            <w:rFonts w:ascii="Cambria Math" w:hAnsi="Cambria Math" w:cs="Times New Roman"/>
                            <w:i/>
                            <w:iCs/>
                            <w:color w:val="auto"/>
                            <w:kern w:val="2"/>
                            <w:sz w:val="21"/>
                            <w:szCs w:val="21"/>
                            <w:lang w:val="en-US" w:bidi="ar-SA"/>
                          </w:rPr>
                        </m:ctrlPr>
                      </m:dPr>
                      <m:e>
                        <m:nary>
                          <m:naryPr>
                            <m:chr m:val="∑"/>
                            <m:limLoc m:val="undOvr"/>
                            <m:ctrlPr>
                              <w:rPr>
                                <w:rFonts w:ascii="Cambria Math" w:hAnsi="Cambria Math" w:cs="Times New Roman"/>
                                <w:i/>
                                <w:iCs/>
                                <w:color w:val="auto"/>
                                <w:kern w:val="2"/>
                                <w:sz w:val="21"/>
                                <w:szCs w:val="21"/>
                                <w:lang w:val="en-US" w:bidi="ar-SA"/>
                              </w:rPr>
                            </m:ctrlPr>
                          </m:naryPr>
                          <m:sub>
                            <m:r>
                              <m:rPr/>
                              <w:rPr>
                                <w:rFonts w:ascii="Cambria Math" w:hAnsi="Cambria Math" w:cs="Times New Roman"/>
                                <w:color w:val="auto"/>
                                <w:kern w:val="2"/>
                                <w:sz w:val="21"/>
                                <w:szCs w:val="21"/>
                                <w:lang w:val="en-US" w:bidi="ar-SA"/>
                              </w:rPr>
                              <m:t>i=1</m:t>
                            </m:r>
                            <m:ctrlPr>
                              <w:rPr>
                                <w:rFonts w:ascii="Cambria Math" w:hAnsi="Cambria Math" w:cs="Times New Roman"/>
                                <w:i/>
                                <w:iCs/>
                                <w:color w:val="auto"/>
                                <w:kern w:val="2"/>
                                <w:sz w:val="21"/>
                                <w:szCs w:val="21"/>
                                <w:lang w:val="en-US" w:bidi="ar-SA"/>
                              </w:rPr>
                            </m:ctrlPr>
                          </m:sub>
                          <m:sup>
                            <m:r>
                              <m:rPr/>
                              <w:rPr>
                                <w:rFonts w:ascii="Cambria Math" w:hAnsi="Cambria Math" w:cs="Times New Roman"/>
                                <w:color w:val="auto"/>
                                <w:kern w:val="2"/>
                                <w:sz w:val="21"/>
                                <w:szCs w:val="21"/>
                                <w:lang w:val="en-US" w:bidi="ar-SA"/>
                              </w:rPr>
                              <m:t>N</m:t>
                            </m:r>
                            <m:ctrlPr>
                              <w:rPr>
                                <w:rFonts w:ascii="Cambria Math" w:hAnsi="Cambria Math" w:cs="Times New Roman"/>
                                <w:i/>
                                <w:iCs/>
                                <w:color w:val="auto"/>
                                <w:kern w:val="2"/>
                                <w:sz w:val="21"/>
                                <w:szCs w:val="21"/>
                                <w:lang w:val="en-US" w:bidi="ar-SA"/>
                              </w:rPr>
                            </m:ctrlPr>
                          </m:sup>
                          <m:e>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t</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i</m:t>
                                </m:r>
                                <m:ctrlPr>
                                  <w:rPr>
                                    <w:rFonts w:ascii="Cambria Math" w:hAnsi="Cambria Math" w:cs="Times New Roman"/>
                                    <w:i/>
                                    <w:iCs/>
                                    <w:color w:val="auto"/>
                                    <w:kern w:val="2"/>
                                    <w:sz w:val="21"/>
                                    <w:szCs w:val="21"/>
                                    <w:lang w:val="en-US" w:bidi="ar-SA"/>
                                  </w:rPr>
                                </m:ctrlPr>
                              </m:sub>
                            </m:sSub>
                            <m:sSup>
                              <m:sSupPr>
                                <m:ctrlPr>
                                  <w:rPr>
                                    <w:rFonts w:ascii="Cambria Math" w:hAnsi="Cambria Math" w:cs="Times New Roman"/>
                                    <w:i/>
                                    <w:iCs/>
                                    <w:color w:val="auto"/>
                                    <w:kern w:val="2"/>
                                    <w:sz w:val="21"/>
                                    <w:szCs w:val="21"/>
                                    <w:lang w:val="en-US" w:bidi="ar-SA"/>
                                  </w:rPr>
                                </m:ctrlPr>
                              </m:sSupPr>
                              <m:e>
                                <m:r>
                                  <m:rPr/>
                                  <w:rPr>
                                    <w:rFonts w:ascii="Cambria Math" w:hAnsi="Cambria Math" w:cs="Times New Roman"/>
                                    <w:color w:val="auto"/>
                                    <w:kern w:val="2"/>
                                    <w:sz w:val="21"/>
                                    <w:szCs w:val="21"/>
                                    <w:lang w:val="en-US" w:bidi="ar-SA"/>
                                  </w:rPr>
                                  <m:t>10</m:t>
                                </m:r>
                                <m:ctrlPr>
                                  <w:rPr>
                                    <w:rFonts w:ascii="Cambria Math" w:hAnsi="Cambria Math" w:cs="Times New Roman"/>
                                    <w:i/>
                                    <w:iCs/>
                                    <w:color w:val="auto"/>
                                    <w:kern w:val="2"/>
                                    <w:sz w:val="21"/>
                                    <w:szCs w:val="21"/>
                                    <w:lang w:val="en-US" w:bidi="ar-SA"/>
                                  </w:rPr>
                                </m:ctrlPr>
                              </m:e>
                              <m:sup>
                                <m:r>
                                  <m:rPr/>
                                  <w:rPr>
                                    <w:rFonts w:ascii="Cambria Math" w:hAnsi="Cambria Math" w:cs="Times New Roman"/>
                                    <w:color w:val="auto"/>
                                    <w:kern w:val="2"/>
                                    <w:sz w:val="21"/>
                                    <w:szCs w:val="21"/>
                                    <w:lang w:val="en-US" w:bidi="ar-SA"/>
                                  </w:rPr>
                                  <m:t>0.1</m:t>
                                </m:r>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L</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Ai</m:t>
                                    </m:r>
                                    <m:ctrlPr>
                                      <w:rPr>
                                        <w:rFonts w:ascii="Cambria Math" w:hAnsi="Cambria Math" w:cs="Times New Roman"/>
                                        <w:i/>
                                        <w:iCs/>
                                        <w:color w:val="auto"/>
                                        <w:kern w:val="2"/>
                                        <w:sz w:val="21"/>
                                        <w:szCs w:val="21"/>
                                        <w:lang w:val="en-US" w:bidi="ar-SA"/>
                                      </w:rPr>
                                    </m:ctrlPr>
                                  </m:sub>
                                </m:sSub>
                                <m:ctrlPr>
                                  <w:rPr>
                                    <w:rFonts w:ascii="Cambria Math" w:hAnsi="Cambria Math" w:cs="Times New Roman"/>
                                    <w:i/>
                                    <w:iCs/>
                                    <w:color w:val="auto"/>
                                    <w:kern w:val="2"/>
                                    <w:sz w:val="21"/>
                                    <w:szCs w:val="21"/>
                                    <w:lang w:val="en-US" w:bidi="ar-SA"/>
                                  </w:rPr>
                                </m:ctrlPr>
                              </m:sup>
                            </m:sSup>
                            <m:r>
                              <m:rPr/>
                              <w:rPr>
                                <w:rFonts w:ascii="Cambria Math" w:hAnsi="Cambria Math" w:cs="Times New Roman"/>
                                <w:color w:val="auto"/>
                                <w:kern w:val="2"/>
                                <w:sz w:val="21"/>
                                <w:szCs w:val="21"/>
                                <w:lang w:val="en-US" w:bidi="ar-SA"/>
                              </w:rPr>
                              <m:t>+</m:t>
                            </m:r>
                            <m:nary>
                              <m:naryPr>
                                <m:chr m:val="∑"/>
                                <m:limLoc m:val="undOvr"/>
                                <m:ctrlPr>
                                  <w:rPr>
                                    <w:rFonts w:ascii="Cambria Math" w:hAnsi="Cambria Math" w:cs="Times New Roman"/>
                                    <w:i/>
                                    <w:iCs/>
                                    <w:color w:val="auto"/>
                                    <w:kern w:val="2"/>
                                    <w:sz w:val="21"/>
                                    <w:szCs w:val="21"/>
                                    <w:lang w:val="en-US" w:bidi="ar-SA"/>
                                  </w:rPr>
                                </m:ctrlPr>
                              </m:naryPr>
                              <m:sub>
                                <m:r>
                                  <m:rPr/>
                                  <w:rPr>
                                    <w:rFonts w:ascii="Cambria Math" w:hAnsi="Cambria Math" w:cs="Times New Roman"/>
                                    <w:color w:val="auto"/>
                                    <w:kern w:val="2"/>
                                    <w:sz w:val="21"/>
                                    <w:szCs w:val="21"/>
                                    <w:lang w:val="en-US" w:bidi="ar-SA"/>
                                  </w:rPr>
                                  <m:t>j=1</m:t>
                                </m:r>
                                <m:ctrlPr>
                                  <w:rPr>
                                    <w:rFonts w:ascii="Cambria Math" w:hAnsi="Cambria Math" w:cs="Times New Roman"/>
                                    <w:i/>
                                    <w:iCs/>
                                    <w:color w:val="auto"/>
                                    <w:kern w:val="2"/>
                                    <w:sz w:val="21"/>
                                    <w:szCs w:val="21"/>
                                    <w:lang w:val="en-US" w:bidi="ar-SA"/>
                                  </w:rPr>
                                </m:ctrlPr>
                              </m:sub>
                              <m:sup>
                                <m:r>
                                  <m:rPr/>
                                  <w:rPr>
                                    <w:rFonts w:ascii="Cambria Math" w:hAnsi="Cambria Math" w:cs="Times New Roman"/>
                                    <w:color w:val="auto"/>
                                    <w:kern w:val="2"/>
                                    <w:sz w:val="21"/>
                                    <w:szCs w:val="21"/>
                                    <w:lang w:val="en-US" w:bidi="ar-SA"/>
                                  </w:rPr>
                                  <m:t>M</m:t>
                                </m:r>
                                <m:ctrlPr>
                                  <w:rPr>
                                    <w:rFonts w:ascii="Cambria Math" w:hAnsi="Cambria Math" w:cs="Times New Roman"/>
                                    <w:i/>
                                    <w:iCs/>
                                    <w:color w:val="auto"/>
                                    <w:kern w:val="2"/>
                                    <w:sz w:val="21"/>
                                    <w:szCs w:val="21"/>
                                    <w:lang w:val="en-US" w:bidi="ar-SA"/>
                                  </w:rPr>
                                </m:ctrlPr>
                              </m:sup>
                              <m:e>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t</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j</m:t>
                                    </m:r>
                                    <m:ctrlPr>
                                      <w:rPr>
                                        <w:rFonts w:ascii="Cambria Math" w:hAnsi="Cambria Math" w:cs="Times New Roman"/>
                                        <w:i/>
                                        <w:iCs/>
                                        <w:color w:val="auto"/>
                                        <w:kern w:val="2"/>
                                        <w:sz w:val="21"/>
                                        <w:szCs w:val="21"/>
                                        <w:lang w:val="en-US" w:bidi="ar-SA"/>
                                      </w:rPr>
                                    </m:ctrlPr>
                                  </m:sub>
                                </m:sSub>
                                <m:sSup>
                                  <m:sSupPr>
                                    <m:ctrlPr>
                                      <w:rPr>
                                        <w:rFonts w:ascii="Cambria Math" w:hAnsi="Cambria Math" w:cs="Times New Roman"/>
                                        <w:i/>
                                        <w:iCs/>
                                        <w:color w:val="auto"/>
                                        <w:kern w:val="2"/>
                                        <w:sz w:val="21"/>
                                        <w:szCs w:val="21"/>
                                        <w:lang w:val="en-US" w:bidi="ar-SA"/>
                                      </w:rPr>
                                    </m:ctrlPr>
                                  </m:sSupPr>
                                  <m:e>
                                    <m:r>
                                      <m:rPr/>
                                      <w:rPr>
                                        <w:rFonts w:ascii="Cambria Math" w:hAnsi="Cambria Math" w:cs="Times New Roman"/>
                                        <w:color w:val="auto"/>
                                        <w:kern w:val="2"/>
                                        <w:sz w:val="21"/>
                                        <w:szCs w:val="21"/>
                                        <w:lang w:val="en-US" w:bidi="ar-SA"/>
                                      </w:rPr>
                                      <m:t>10</m:t>
                                    </m:r>
                                    <m:ctrlPr>
                                      <w:rPr>
                                        <w:rFonts w:ascii="Cambria Math" w:hAnsi="Cambria Math" w:cs="Times New Roman"/>
                                        <w:i/>
                                        <w:iCs/>
                                        <w:color w:val="auto"/>
                                        <w:kern w:val="2"/>
                                        <w:sz w:val="21"/>
                                        <w:szCs w:val="21"/>
                                        <w:lang w:val="en-US" w:bidi="ar-SA"/>
                                      </w:rPr>
                                    </m:ctrlPr>
                                  </m:e>
                                  <m:sup>
                                    <m:r>
                                      <m:rPr/>
                                      <w:rPr>
                                        <w:rFonts w:ascii="Cambria Math" w:hAnsi="Cambria Math" w:cs="Times New Roman"/>
                                        <w:color w:val="auto"/>
                                        <w:kern w:val="2"/>
                                        <w:sz w:val="21"/>
                                        <w:szCs w:val="21"/>
                                        <w:lang w:val="en-US" w:bidi="ar-SA"/>
                                      </w:rPr>
                                      <m:t>0.1</m:t>
                                    </m:r>
                                    <m:sSub>
                                      <m:sSubPr>
                                        <m:ctrlPr>
                                          <w:rPr>
                                            <w:rFonts w:ascii="Cambria Math" w:hAnsi="Cambria Math" w:cs="Times New Roman"/>
                                            <w:i/>
                                            <w:iCs/>
                                            <w:color w:val="auto"/>
                                            <w:kern w:val="2"/>
                                            <w:sz w:val="21"/>
                                            <w:szCs w:val="21"/>
                                            <w:lang w:val="en-US" w:bidi="ar-SA"/>
                                          </w:rPr>
                                        </m:ctrlPr>
                                      </m:sSubPr>
                                      <m:e>
                                        <m:r>
                                          <m:rPr/>
                                          <w:rPr>
                                            <w:rFonts w:ascii="Cambria Math" w:hAnsi="Cambria Math" w:cs="Times New Roman"/>
                                            <w:color w:val="auto"/>
                                            <w:kern w:val="2"/>
                                            <w:sz w:val="21"/>
                                            <w:szCs w:val="21"/>
                                            <w:lang w:val="en-US" w:bidi="ar-SA"/>
                                          </w:rPr>
                                          <m:t>L</m:t>
                                        </m:r>
                                        <m:ctrlPr>
                                          <w:rPr>
                                            <w:rFonts w:ascii="Cambria Math" w:hAnsi="Cambria Math" w:cs="Times New Roman"/>
                                            <w:i/>
                                            <w:iCs/>
                                            <w:color w:val="auto"/>
                                            <w:kern w:val="2"/>
                                            <w:sz w:val="21"/>
                                            <w:szCs w:val="21"/>
                                            <w:lang w:val="en-US" w:bidi="ar-SA"/>
                                          </w:rPr>
                                        </m:ctrlPr>
                                      </m:e>
                                      <m:sub>
                                        <m:r>
                                          <m:rPr/>
                                          <w:rPr>
                                            <w:rFonts w:ascii="Cambria Math" w:hAnsi="Cambria Math" w:cs="Times New Roman"/>
                                            <w:color w:val="auto"/>
                                            <w:kern w:val="2"/>
                                            <w:sz w:val="21"/>
                                            <w:szCs w:val="21"/>
                                            <w:lang w:val="en-US" w:bidi="ar-SA"/>
                                          </w:rPr>
                                          <m:t>Aj</m:t>
                                        </m:r>
                                        <m:ctrlPr>
                                          <w:rPr>
                                            <w:rFonts w:ascii="Cambria Math" w:hAnsi="Cambria Math" w:cs="Times New Roman"/>
                                            <w:i/>
                                            <w:iCs/>
                                            <w:color w:val="auto"/>
                                            <w:kern w:val="2"/>
                                            <w:sz w:val="21"/>
                                            <w:szCs w:val="21"/>
                                            <w:lang w:val="en-US" w:bidi="ar-SA"/>
                                          </w:rPr>
                                        </m:ctrlPr>
                                      </m:sub>
                                    </m:sSub>
                                    <m:ctrlPr>
                                      <w:rPr>
                                        <w:rFonts w:ascii="Cambria Math" w:hAnsi="Cambria Math" w:cs="Times New Roman"/>
                                        <w:i/>
                                        <w:iCs/>
                                        <w:color w:val="auto"/>
                                        <w:kern w:val="2"/>
                                        <w:sz w:val="21"/>
                                        <w:szCs w:val="21"/>
                                        <w:lang w:val="en-US" w:bidi="ar-SA"/>
                                      </w:rPr>
                                    </m:ctrlPr>
                                  </m:sup>
                                </m:sSup>
                                <m:ctrlPr>
                                  <w:rPr>
                                    <w:rFonts w:ascii="Cambria Math" w:hAnsi="Cambria Math" w:cs="Times New Roman"/>
                                    <w:i/>
                                    <w:iCs/>
                                    <w:color w:val="auto"/>
                                    <w:kern w:val="2"/>
                                    <w:sz w:val="21"/>
                                    <w:szCs w:val="21"/>
                                    <w:lang w:val="en-US" w:bidi="ar-SA"/>
                                  </w:rPr>
                                </m:ctrlPr>
                              </m:e>
                            </m:nary>
                            <m:ctrlPr>
                              <w:rPr>
                                <w:rFonts w:ascii="Cambria Math" w:hAnsi="Cambria Math" w:cs="Times New Roman"/>
                                <w:i/>
                                <w:iCs/>
                                <w:color w:val="auto"/>
                                <w:kern w:val="2"/>
                                <w:sz w:val="21"/>
                                <w:szCs w:val="21"/>
                                <w:lang w:val="en-US" w:bidi="ar-SA"/>
                              </w:rPr>
                            </m:ctrlPr>
                          </m:e>
                        </m:nary>
                        <m:ctrlPr>
                          <w:rPr>
                            <w:rFonts w:ascii="Cambria Math" w:hAnsi="Cambria Math" w:cs="Times New Roman"/>
                            <w:i/>
                            <w:iCs/>
                            <w:color w:val="auto"/>
                            <w:kern w:val="2"/>
                            <w:sz w:val="21"/>
                            <w:szCs w:val="21"/>
                            <w:lang w:val="en-US" w:bidi="ar-SA"/>
                          </w:rPr>
                        </m:ctrlPr>
                      </m:e>
                    </m:d>
                    <m:ctrlPr>
                      <w:rPr>
                        <w:rFonts w:ascii="Cambria Math" w:hAnsi="Cambria Math" w:cs="Times New Roman"/>
                        <w:i/>
                        <w:iCs/>
                        <w:color w:val="auto"/>
                        <w:kern w:val="2"/>
                        <w:sz w:val="21"/>
                        <w:szCs w:val="21"/>
                        <w:lang w:val="en-US" w:bidi="ar-SA"/>
                      </w:rPr>
                    </m:ctrlPr>
                  </m:e>
                </m:d>
              </m:oMath>
            </m:oMathPara>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lang w:val="en-US"/>
              </w:rPr>
            </w:pPr>
            <w:r>
              <w:rPr>
                <w:rFonts w:ascii="Times New Roman" w:hAnsi="Times New Roman" w:cs="Times New Roman"/>
                <w:color w:val="auto"/>
                <w:sz w:val="21"/>
                <w:szCs w:val="21"/>
              </w:rPr>
              <w:t>式中：</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L</w:t>
            </w:r>
            <w:r>
              <w:rPr>
                <w:rFonts w:ascii="Times New Roman" w:hAnsi="Times New Roman" w:cs="Times New Roman"/>
                <w:color w:val="auto"/>
                <w:sz w:val="21"/>
                <w:szCs w:val="21"/>
                <w:vertAlign w:val="subscript"/>
                <w:lang w:val="en-US"/>
              </w:rPr>
              <w:t>eqg</w:t>
            </w:r>
            <w:r>
              <w:rPr>
                <w:rFonts w:ascii="Times New Roman" w:hAnsi="Times New Roman" w:cs="Times New Roman"/>
                <w:color w:val="auto"/>
                <w:sz w:val="21"/>
                <w:szCs w:val="21"/>
                <w:lang w:val="en-US"/>
              </w:rPr>
              <w:t xml:space="preserve">——建设项目声源在预测点产生的噪声贡献值，dB；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T ——用于计算等效声级的时间，s；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N ——室外声源个数；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t</w:t>
            </w:r>
            <w:r>
              <w:rPr>
                <w:rFonts w:ascii="Times New Roman" w:hAnsi="Times New Roman" w:cs="Times New Roman"/>
                <w:color w:val="auto"/>
                <w:sz w:val="21"/>
                <w:szCs w:val="21"/>
                <w:vertAlign w:val="subscript"/>
                <w:lang w:val="en-US"/>
              </w:rPr>
              <w:t>i</w:t>
            </w:r>
            <w:r>
              <w:rPr>
                <w:rFonts w:ascii="Times New Roman" w:hAnsi="Times New Roman" w:cs="Times New Roman"/>
                <w:color w:val="auto"/>
                <w:sz w:val="21"/>
                <w:szCs w:val="21"/>
                <w:lang w:val="en-US"/>
              </w:rPr>
              <w:t xml:space="preserve"> ——在 T 时间内 i 声源工作时间，s；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 xml:space="preserve">M ——等效室外声源个数； </w:t>
            </w:r>
          </w:p>
          <w:p>
            <w:pPr>
              <w:wordWrap w:val="0"/>
              <w:autoSpaceDE/>
              <w:autoSpaceDN/>
              <w:spacing w:line="400" w:lineRule="exact"/>
              <w:ind w:left="110" w:leftChars="50" w:right="110" w:righ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t</w:t>
            </w:r>
            <w:r>
              <w:rPr>
                <w:rFonts w:ascii="Times New Roman" w:hAnsi="Times New Roman" w:cs="Times New Roman"/>
                <w:color w:val="auto"/>
                <w:sz w:val="21"/>
                <w:szCs w:val="21"/>
                <w:vertAlign w:val="subscript"/>
                <w:lang w:val="en-US"/>
              </w:rPr>
              <w:t>j</w:t>
            </w:r>
            <w:r>
              <w:rPr>
                <w:rFonts w:ascii="Times New Roman" w:hAnsi="Times New Roman" w:cs="Times New Roman"/>
                <w:color w:val="auto"/>
                <w:sz w:val="21"/>
                <w:szCs w:val="21"/>
                <w:lang w:val="en-US"/>
              </w:rPr>
              <w:t xml:space="preserve"> ——在 T 时间内 j 声源工作时间，s。</w:t>
            </w:r>
          </w:p>
          <w:p>
            <w:pPr>
              <w:pStyle w:val="4"/>
              <w:autoSpaceDE/>
              <w:autoSpaceDN/>
              <w:spacing w:beforeAutospacing="0" w:afterAutospacing="0" w:line="400" w:lineRule="exact"/>
              <w:ind w:left="110" w:leftChars="50" w:right="110" w:rightChars="50" w:firstLine="420" w:firstLineChars="200"/>
              <w:rPr>
                <w:rFonts w:hint="default" w:ascii="Times New Roman" w:hAnsi="Times New Roman"/>
                <w:b w:val="0"/>
                <w:bCs w:val="0"/>
                <w:color w:val="auto"/>
                <w:sz w:val="21"/>
                <w:szCs w:val="21"/>
              </w:rPr>
            </w:pPr>
            <w:r>
              <w:rPr>
                <w:rFonts w:hint="default" w:ascii="Times New Roman" w:hAnsi="Times New Roman"/>
                <w:b w:val="0"/>
                <w:bCs w:val="0"/>
                <w:color w:val="auto"/>
                <w:sz w:val="21"/>
                <w:szCs w:val="21"/>
              </w:rPr>
              <w:t>（3）预测结果与评价</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lang w:val="en-US"/>
              </w:rPr>
              <w:t>通过预测模型计算，项目厂界噪声预测结果与达标分析见下表。</w:t>
            </w:r>
          </w:p>
          <w:p>
            <w:pPr>
              <w:spacing w:line="400" w:lineRule="exact"/>
              <w:ind w:left="110" w:leftChars="50" w:right="6"/>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w:t>
            </w:r>
            <w:r>
              <w:rPr>
                <w:rFonts w:hint="eastAsia" w:ascii="Times New Roman" w:hAnsi="Times New Roman" w:cs="Times New Roman"/>
                <w:b/>
                <w:color w:val="auto"/>
                <w:sz w:val="21"/>
                <w:szCs w:val="21"/>
                <w:lang w:val="en-US"/>
              </w:rPr>
              <w:t>15</w:t>
            </w:r>
            <w:r>
              <w:rPr>
                <w:rFonts w:ascii="Times New Roman" w:hAnsi="Times New Roman" w:cs="Times New Roman"/>
                <w:b/>
                <w:color w:val="auto"/>
                <w:sz w:val="21"/>
                <w:szCs w:val="21"/>
                <w:lang w:val="en-US"/>
              </w:rPr>
              <w:t xml:space="preserve">  </w:t>
            </w:r>
            <w:r>
              <w:rPr>
                <w:rFonts w:ascii="Times New Roman" w:hAnsi="Times New Roman" w:cs="Times New Roman"/>
                <w:b/>
                <w:color w:val="auto"/>
                <w:sz w:val="21"/>
                <w:szCs w:val="21"/>
              </w:rPr>
              <w:t>噪声预测结果一览表</w:t>
            </w:r>
          </w:p>
          <w:tbl>
            <w:tblPr>
              <w:tblStyle w:val="3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635"/>
              <w:gridCol w:w="635"/>
              <w:gridCol w:w="635"/>
              <w:gridCol w:w="769"/>
              <w:gridCol w:w="1068"/>
              <w:gridCol w:w="1068"/>
              <w:gridCol w:w="1068"/>
              <w:gridCol w:w="1068"/>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844" w:type="dxa"/>
                  <w:vMerge w:val="restar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预测方位</w:t>
                  </w:r>
                </w:p>
              </w:tc>
              <w:tc>
                <w:tcPr>
                  <w:tcW w:w="1905" w:type="dxa"/>
                  <w:gridSpan w:val="3"/>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b/>
                      <w:color w:val="auto"/>
                      <w:sz w:val="21"/>
                      <w:szCs w:val="21"/>
                      <w:lang w:val="en-US"/>
                    </w:rPr>
                    <w:t>最大值点</w:t>
                  </w:r>
                  <w:r>
                    <w:rPr>
                      <w:rFonts w:ascii="Times New Roman" w:hAnsi="Times New Roman" w:cs="Times New Roman" w:eastAsiaTheme="minorEastAsia"/>
                      <w:b/>
                      <w:color w:val="auto"/>
                      <w:sz w:val="21"/>
                      <w:szCs w:val="21"/>
                    </w:rPr>
                    <w:t>空间相对位置/m</w:t>
                  </w:r>
                </w:p>
              </w:tc>
              <w:tc>
                <w:tcPr>
                  <w:tcW w:w="769" w:type="dxa"/>
                  <w:vMerge w:val="restar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时段</w:t>
                  </w:r>
                </w:p>
              </w:tc>
              <w:tc>
                <w:tcPr>
                  <w:tcW w:w="1068" w:type="dxa"/>
                  <w:vMerge w:val="restart"/>
                  <w:vAlign w:val="center"/>
                </w:tcPr>
                <w:p>
                  <w:pPr>
                    <w:jc w:val="center"/>
                    <w:rPr>
                      <w:rFonts w:ascii="Times New Roman" w:hAnsi="Times New Roman" w:cs="Times New Roman" w:eastAsiaTheme="minorEastAsia"/>
                      <w:b/>
                      <w:color w:val="auto"/>
                      <w:sz w:val="21"/>
                      <w:szCs w:val="21"/>
                    </w:rPr>
                  </w:pPr>
                  <w:r>
                    <w:rPr>
                      <w:rFonts w:hint="eastAsia" w:ascii="Times New Roman" w:hAnsi="Times New Roman" w:cs="Times New Roman" w:eastAsiaTheme="minorEastAsia"/>
                      <w:b/>
                      <w:color w:val="auto"/>
                      <w:sz w:val="21"/>
                      <w:szCs w:val="21"/>
                    </w:rPr>
                    <w:t>现状值</w:t>
                  </w:r>
                  <w:r>
                    <w:rPr>
                      <w:rFonts w:ascii="Times New Roman" w:hAnsi="Times New Roman" w:cs="Times New Roman" w:eastAsiaTheme="minorEastAsia"/>
                      <w:b/>
                      <w:color w:val="auto"/>
                      <w:sz w:val="21"/>
                      <w:szCs w:val="21"/>
                    </w:rPr>
                    <w:t>（dB(A)）</w:t>
                  </w:r>
                </w:p>
              </w:tc>
              <w:tc>
                <w:tcPr>
                  <w:tcW w:w="1068" w:type="dxa"/>
                  <w:vMerge w:val="restart"/>
                  <w:vAlign w:val="center"/>
                </w:tcPr>
                <w:p>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b/>
                      <w:color w:val="auto"/>
                      <w:sz w:val="21"/>
                      <w:szCs w:val="21"/>
                    </w:rPr>
                    <w:t>贡献值</w:t>
                  </w:r>
                  <w:r>
                    <w:rPr>
                      <w:rFonts w:ascii="Times New Roman" w:hAnsi="Times New Roman" w:cs="Times New Roman" w:eastAsiaTheme="minorEastAsia"/>
                      <w:b/>
                      <w:color w:val="auto"/>
                      <w:sz w:val="21"/>
                      <w:szCs w:val="21"/>
                    </w:rPr>
                    <w:t>（dB(A)）</w:t>
                  </w:r>
                </w:p>
              </w:tc>
              <w:tc>
                <w:tcPr>
                  <w:tcW w:w="1068" w:type="dxa"/>
                  <w:vMerge w:val="restart"/>
                  <w:vAlign w:val="center"/>
                </w:tcPr>
                <w:p>
                  <w:pPr>
                    <w:jc w:val="center"/>
                    <w:rPr>
                      <w:rFonts w:ascii="Times New Roman" w:hAnsi="Times New Roman" w:cs="Times New Roman" w:eastAsiaTheme="minorEastAsia"/>
                      <w:b/>
                      <w:color w:val="auto"/>
                      <w:sz w:val="21"/>
                      <w:szCs w:val="21"/>
                    </w:rPr>
                  </w:pPr>
                  <w:r>
                    <w:rPr>
                      <w:rFonts w:hint="eastAsia" w:ascii="Times New Roman" w:hAnsi="Times New Roman" w:cs="Times New Roman" w:eastAsiaTheme="minorEastAsia"/>
                      <w:b/>
                      <w:color w:val="auto"/>
                      <w:sz w:val="21"/>
                      <w:szCs w:val="21"/>
                    </w:rPr>
                    <w:t>预测值</w:t>
                  </w:r>
                  <w:r>
                    <w:rPr>
                      <w:rFonts w:ascii="Times New Roman" w:hAnsi="Times New Roman" w:cs="Times New Roman" w:eastAsiaTheme="minorEastAsia"/>
                      <w:b/>
                      <w:color w:val="auto"/>
                      <w:sz w:val="21"/>
                      <w:szCs w:val="21"/>
                    </w:rPr>
                    <w:t>（dB(A)）</w:t>
                  </w:r>
                </w:p>
              </w:tc>
              <w:tc>
                <w:tcPr>
                  <w:tcW w:w="1068" w:type="dxa"/>
                  <w:vMerge w:val="restar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标准限值（dB(A)）</w:t>
                  </w:r>
                </w:p>
              </w:tc>
              <w:tc>
                <w:tcPr>
                  <w:tcW w:w="906" w:type="dxa"/>
                  <w:vMerge w:val="restart"/>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b/>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4"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X</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Y</w:t>
                  </w:r>
                </w:p>
              </w:tc>
              <w:tc>
                <w:tcPr>
                  <w:tcW w:w="635"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Z</w:t>
                  </w:r>
                </w:p>
              </w:tc>
              <w:tc>
                <w:tcPr>
                  <w:tcW w:w="769"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1068"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1068"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1068"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1068"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c>
                <w:tcPr>
                  <w:tcW w:w="906" w:type="dxa"/>
                  <w:vMerge w:val="continue"/>
                  <w:shd w:val="clear" w:color="auto" w:fill="FFFFFF"/>
                  <w:vAlign w:val="center"/>
                </w:tcPr>
                <w:p>
                  <w:pPr>
                    <w:jc w:val="center"/>
                    <w:rPr>
                      <w:rFonts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restart"/>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东侧</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67.1</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24.8</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昼间</w:t>
                  </w:r>
                </w:p>
              </w:tc>
              <w:tc>
                <w:tcPr>
                  <w:tcW w:w="1068" w:type="dxa"/>
                  <w:shd w:val="clear" w:color="auto" w:fill="FFFFFF"/>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52.9</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47.1</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hint="eastAsia" w:ascii="Times New Roman" w:hAnsi="Times New Roman" w:eastAsia="Arial" w:cs="Times New Roman"/>
                      <w:color w:val="auto"/>
                      <w:sz w:val="21"/>
                      <w:szCs w:val="21"/>
                    </w:rPr>
                    <w:t>53.91</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continue"/>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东侧</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67.1</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24.8</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夜间</w:t>
                  </w:r>
                </w:p>
              </w:tc>
              <w:tc>
                <w:tcPr>
                  <w:tcW w:w="1068" w:type="dxa"/>
                  <w:shd w:val="clear" w:color="auto" w:fill="FFFFFF"/>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47.1</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47.1</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restart"/>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西侧</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-56.7</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19.2</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昼间</w:t>
                  </w:r>
                </w:p>
              </w:tc>
              <w:tc>
                <w:tcPr>
                  <w:tcW w:w="1068" w:type="dxa"/>
                  <w:shd w:val="clear" w:color="auto" w:fill="FFFFFF"/>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57.7</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40.3</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hint="eastAsia" w:ascii="Times New Roman" w:hAnsi="Times New Roman" w:eastAsia="Arial" w:cs="Times New Roman"/>
                      <w:color w:val="auto"/>
                      <w:sz w:val="21"/>
                      <w:szCs w:val="21"/>
                    </w:rPr>
                    <w:t>57.78</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continue"/>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西侧</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-56.7</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19.2</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夜间</w:t>
                  </w:r>
                </w:p>
              </w:tc>
              <w:tc>
                <w:tcPr>
                  <w:tcW w:w="1068" w:type="dxa"/>
                  <w:shd w:val="clear" w:color="auto" w:fill="FFFFFF"/>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40.3</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40.3</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restart"/>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北侧</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13.5</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19</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昼间</w:t>
                  </w:r>
                </w:p>
              </w:tc>
              <w:tc>
                <w:tcPr>
                  <w:tcW w:w="1068" w:type="dxa"/>
                  <w:shd w:val="clear" w:color="auto" w:fill="FFFFFF"/>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55.0</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34.5</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hint="eastAsia" w:ascii="Times New Roman" w:hAnsi="Times New Roman" w:eastAsia="Arial" w:cs="Times New Roman"/>
                      <w:color w:val="auto"/>
                      <w:sz w:val="21"/>
                      <w:szCs w:val="21"/>
                    </w:rPr>
                    <w:t>55.04</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60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844" w:type="dxa"/>
                  <w:vMerge w:val="continue"/>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北侧</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13.5</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19</w:t>
                  </w:r>
                </w:p>
              </w:tc>
              <w:tc>
                <w:tcPr>
                  <w:tcW w:w="635" w:type="dxa"/>
                  <w:shd w:val="clear" w:color="auto" w:fill="FFFFFF"/>
                  <w:vAlign w:val="center"/>
                </w:tcPr>
                <w:p>
                  <w:pPr>
                    <w:ind w:left="-110" w:leftChars="-50" w:right="-110" w:rightChars="-50"/>
                    <w:jc w:val="center"/>
                    <w:rPr>
                      <w:rFonts w:hint="eastAsia"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rPr>
                    <w:t>1.2</w:t>
                  </w:r>
                </w:p>
              </w:tc>
              <w:tc>
                <w:tcPr>
                  <w:tcW w:w="769"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夜间</w:t>
                  </w:r>
                </w:p>
              </w:tc>
              <w:tc>
                <w:tcPr>
                  <w:tcW w:w="1068" w:type="dxa"/>
                  <w:shd w:val="clear" w:color="auto" w:fill="FFFFFF"/>
                  <w:vAlign w:val="center"/>
                </w:tcPr>
                <w:p>
                  <w:pPr>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lang w:val="en-US"/>
                    </w:rPr>
                  </w:pPr>
                  <w:r>
                    <w:rPr>
                      <w:rFonts w:ascii="Times New Roman" w:hAnsi="Times New Roman" w:eastAsia="Arial" w:cs="Times New Roman"/>
                      <w:color w:val="auto"/>
                      <w:sz w:val="21"/>
                      <w:szCs w:val="21"/>
                    </w:rPr>
                    <w:t>34.5</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34.5</w:t>
                  </w:r>
                </w:p>
              </w:tc>
              <w:tc>
                <w:tcPr>
                  <w:tcW w:w="1068"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50</w:t>
                  </w:r>
                </w:p>
              </w:tc>
              <w:tc>
                <w:tcPr>
                  <w:tcW w:w="906" w:type="dxa"/>
                  <w:shd w:val="clear" w:color="auto" w:fill="FFFFFF"/>
                  <w:vAlign w:val="center"/>
                </w:tcPr>
                <w:p>
                  <w:pPr>
                    <w:ind w:left="-110" w:leftChars="-50" w:right="-110" w:rightChars="-50"/>
                    <w:jc w:val="center"/>
                    <w:rPr>
                      <w:rFonts w:ascii="Times New Roman" w:hAnsi="Times New Roman" w:eastAsia="Arial" w:cs="Times New Roman"/>
                      <w:color w:val="auto"/>
                      <w:sz w:val="21"/>
                      <w:szCs w:val="21"/>
                    </w:rPr>
                  </w:pPr>
                  <w:r>
                    <w:rPr>
                      <w:rFonts w:ascii="Times New Roman" w:hAnsi="Times New Roman" w:eastAsia="Arial" w:cs="Times New Roman"/>
                      <w:color w:val="auto"/>
                      <w:sz w:val="21"/>
                      <w:szCs w:val="21"/>
                    </w:rPr>
                    <w:t>达标</w:t>
                  </w:r>
                </w:p>
              </w:tc>
            </w:tr>
          </w:tbl>
          <w:p>
            <w:pPr>
              <w:rPr>
                <w:rFonts w:ascii="Times New Roman" w:hAnsi="Times New Roman" w:cs="Times New Roman"/>
                <w:color w:val="auto"/>
                <w:sz w:val="21"/>
                <w:szCs w:val="21"/>
                <w:lang w:val="en-US"/>
              </w:rPr>
            </w:pPr>
            <w:r>
              <w:rPr>
                <w:rFonts w:ascii="Times New Roman" w:hAnsi="Times New Roman" w:cs="Times New Roman"/>
                <w:bCs/>
                <w:color w:val="auto"/>
                <w:sz w:val="21"/>
                <w:szCs w:val="21"/>
                <w:lang w:val="en-US"/>
              </w:rPr>
              <w:t>表中坐标以</w:t>
            </w:r>
            <w:r>
              <w:rPr>
                <w:rFonts w:hint="default" w:ascii="Times New Roman" w:hAnsi="Times New Roman" w:cs="Times New Roman"/>
                <w:bCs/>
                <w:color w:val="auto"/>
                <w:sz w:val="21"/>
                <w:szCs w:val="21"/>
                <w:lang w:val="en-US" w:eastAsia="zh-CN"/>
              </w:rPr>
              <w:t>厂界中心（114.928054,36.314540）</w:t>
            </w:r>
            <w:r>
              <w:rPr>
                <w:rFonts w:ascii="Times New Roman" w:hAnsi="Times New Roman" w:cs="Times New Roman"/>
                <w:bCs/>
                <w:color w:val="auto"/>
                <w:sz w:val="21"/>
                <w:szCs w:val="21"/>
                <w:lang w:val="en-US"/>
              </w:rPr>
              <w:t>为坐标原点，正东向为X轴正方向，正北向为Y轴正方向。</w:t>
            </w:r>
          </w:p>
          <w:p>
            <w:pPr>
              <w:autoSpaceDE/>
              <w:autoSpaceDN/>
              <w:spacing w:line="400" w:lineRule="exact"/>
              <w:ind w:left="110" w:leftChars="50" w:firstLine="420" w:firstLineChars="200"/>
              <w:jc w:val="both"/>
              <w:rPr>
                <w:rFonts w:ascii="Times New Roman" w:hAnsi="Times New Roman"/>
                <w:color w:val="auto"/>
                <w:sz w:val="21"/>
                <w:szCs w:val="21"/>
              </w:rPr>
            </w:pPr>
            <w:r>
              <w:rPr>
                <w:rFonts w:hint="eastAsia" w:ascii="Times New Roman" w:hAnsi="Times New Roman"/>
                <w:color w:val="auto"/>
                <w:sz w:val="21"/>
                <w:szCs w:val="21"/>
              </w:rPr>
              <w:t>根据企业</w:t>
            </w:r>
            <w:r>
              <w:rPr>
                <w:rFonts w:hint="eastAsia" w:ascii="Times New Roman" w:hAnsi="Times New Roman"/>
                <w:color w:val="auto"/>
                <w:sz w:val="21"/>
                <w:szCs w:val="21"/>
                <w:lang w:val="en-US"/>
              </w:rPr>
              <w:t>2024年3月的自行监测报告（XH202403055），在企业正常生产的情况下，东侧、西侧、北侧昼夜监测结果作为现状值</w:t>
            </w:r>
            <w:r>
              <w:rPr>
                <w:rFonts w:hint="eastAsia" w:ascii="Times New Roman" w:hAnsi="Times New Roman" w:cs="Times New Roman"/>
                <w:color w:val="auto"/>
                <w:sz w:val="21"/>
                <w:szCs w:val="21"/>
                <w:lang w:val="en-US"/>
              </w:rPr>
              <w:t>，南侧紧邻企业，不具备检测条件，具体数据见上表，</w:t>
            </w:r>
            <w:r>
              <w:rPr>
                <w:rFonts w:ascii="Times New Roman" w:hAnsi="Times New Roman"/>
                <w:color w:val="auto"/>
                <w:sz w:val="21"/>
                <w:szCs w:val="21"/>
              </w:rPr>
              <w:t xml:space="preserve">满足《工业企业厂界环境噪声排放标准》(GB12348.2008) </w:t>
            </w:r>
            <w:r>
              <w:rPr>
                <w:rFonts w:hint="eastAsia" w:ascii="Times New Roman" w:hAnsi="Times New Roman"/>
                <w:color w:val="auto"/>
                <w:sz w:val="21"/>
                <w:szCs w:val="21"/>
                <w:lang w:val="en-US"/>
              </w:rPr>
              <w:t>2</w:t>
            </w:r>
            <w:r>
              <w:rPr>
                <w:rFonts w:ascii="Times New Roman" w:hAnsi="Times New Roman"/>
                <w:color w:val="auto"/>
                <w:sz w:val="21"/>
                <w:szCs w:val="21"/>
              </w:rPr>
              <w:t>类标准。</w:t>
            </w:r>
          </w:p>
          <w:p>
            <w:pPr>
              <w:spacing w:line="400" w:lineRule="exact"/>
              <w:ind w:firstLine="405" w:firstLineChars="200"/>
              <w:jc w:val="both"/>
              <w:rPr>
                <w:rFonts w:ascii="Times New Roman" w:hAnsi="Times New Roman" w:cs="Times New Roman"/>
                <w:b/>
                <w:bCs/>
                <w:color w:val="auto"/>
                <w:spacing w:val="-4"/>
                <w:sz w:val="21"/>
                <w:szCs w:val="21"/>
                <w:lang w:val="en-US" w:bidi="ar-SA"/>
              </w:rPr>
            </w:pPr>
            <w:r>
              <w:rPr>
                <w:rFonts w:hint="eastAsia" w:ascii="Times New Roman" w:hAnsi="Times New Roman" w:cs="Times New Roman"/>
                <w:b/>
                <w:bCs/>
                <w:color w:val="auto"/>
                <w:spacing w:val="-4"/>
                <w:sz w:val="21"/>
                <w:szCs w:val="21"/>
                <w:lang w:val="en-US" w:bidi="ar-SA"/>
              </w:rPr>
              <w:t>3</w:t>
            </w:r>
            <w:r>
              <w:rPr>
                <w:rFonts w:ascii="Times New Roman" w:hAnsi="Times New Roman" w:cs="Times New Roman"/>
                <w:b/>
                <w:bCs/>
                <w:color w:val="auto"/>
                <w:spacing w:val="-4"/>
                <w:sz w:val="21"/>
                <w:szCs w:val="21"/>
                <w:lang w:val="en-US" w:bidi="ar-SA"/>
              </w:rPr>
              <w:t>、自行监测要求</w:t>
            </w:r>
          </w:p>
          <w:p>
            <w:pPr>
              <w:spacing w:line="400" w:lineRule="exact"/>
              <w:ind w:left="110" w:leftChars="50" w:firstLine="404" w:firstLineChars="200"/>
              <w:jc w:val="both"/>
              <w:rPr>
                <w:rFonts w:ascii="Times New Roman" w:hAnsi="Times New Roman" w:cs="Times New Roman"/>
                <w:color w:val="auto"/>
                <w:sz w:val="21"/>
                <w:szCs w:val="21"/>
                <w:lang w:val="en-US" w:bidi="ar-SA"/>
              </w:rPr>
            </w:pPr>
            <w:r>
              <w:rPr>
                <w:rFonts w:ascii="Times New Roman" w:hAnsi="Times New Roman" w:cs="Times New Roman"/>
                <w:color w:val="auto"/>
                <w:spacing w:val="-4"/>
                <w:sz w:val="21"/>
                <w:szCs w:val="21"/>
                <w:lang w:val="en-US" w:bidi="ar-SA"/>
              </w:rPr>
              <w:t>根据《排污许可证申请与核发技术规范</w:t>
            </w:r>
            <w:r>
              <w:rPr>
                <w:rFonts w:hint="eastAsia" w:ascii="Times New Roman" w:hAnsi="Times New Roman" w:cs="Times New Roman"/>
                <w:color w:val="auto"/>
                <w:spacing w:val="-4"/>
                <w:sz w:val="21"/>
                <w:szCs w:val="21"/>
                <w:lang w:val="en-US" w:bidi="ar-SA"/>
              </w:rPr>
              <w:t xml:space="preserve"> </w:t>
            </w:r>
            <w:r>
              <w:rPr>
                <w:rFonts w:ascii="Times New Roman" w:hAnsi="Times New Roman" w:cs="Times New Roman"/>
                <w:color w:val="auto"/>
                <w:spacing w:val="-4"/>
                <w:sz w:val="21"/>
                <w:szCs w:val="21"/>
                <w:lang w:val="en-US" w:bidi="ar-SA"/>
              </w:rPr>
              <w:t>工业噪声（HJ 1301—2023）》中的相关要求，提出相</w:t>
            </w:r>
            <w:r>
              <w:rPr>
                <w:rFonts w:ascii="Times New Roman" w:hAnsi="Times New Roman" w:cs="Times New Roman"/>
                <w:color w:val="auto"/>
                <w:sz w:val="21"/>
                <w:szCs w:val="21"/>
                <w:lang w:val="en-US" w:bidi="ar-SA"/>
              </w:rPr>
              <w:t>应的环境监测计划，定期监测项目主要污染源，掌握项目排污状况，为制定污染控制对策提供依据。</w:t>
            </w:r>
          </w:p>
          <w:p>
            <w:pPr>
              <w:pStyle w:val="25"/>
              <w:spacing w:line="400" w:lineRule="exact"/>
              <w:ind w:left="110" w:leftChars="50" w:firstLine="420" w:firstLineChars="200"/>
              <w:rPr>
                <w:rFonts w:ascii="Times New Roman" w:hAnsi="Times New Roman" w:cs="Times New Roman"/>
                <w:color w:val="auto"/>
                <w:sz w:val="21"/>
                <w:szCs w:val="21"/>
                <w:lang w:val="en-US" w:bidi="ar-SA"/>
              </w:rPr>
            </w:pPr>
            <w:r>
              <w:rPr>
                <w:rFonts w:ascii="Times New Roman" w:hAnsi="Times New Roman" w:cs="Times New Roman"/>
                <w:color w:val="auto"/>
                <w:sz w:val="21"/>
                <w:szCs w:val="21"/>
                <w:lang w:val="en-US" w:bidi="ar-SA"/>
              </w:rPr>
              <w:t>根据本项目特征和污染物排放情况，制定本项目的监测计划，具体内容见下表：</w:t>
            </w:r>
          </w:p>
          <w:p>
            <w:pPr>
              <w:tabs>
                <w:tab w:val="left" w:pos="905"/>
              </w:tabs>
              <w:spacing w:line="400" w:lineRule="exact"/>
              <w:ind w:left="5"/>
              <w:jc w:val="center"/>
              <w:outlineLvl w:val="2"/>
              <w:rPr>
                <w:rFonts w:ascii="Times New Roman" w:hAnsi="Times New Roman" w:cs="Times New Roman"/>
                <w:color w:val="auto"/>
                <w:sz w:val="21"/>
                <w:szCs w:val="21"/>
                <w:lang w:val="en-US" w:eastAsia="en-US" w:bidi="ar-SA"/>
              </w:rPr>
            </w:pPr>
            <w:r>
              <w:rPr>
                <w:rFonts w:ascii="Times New Roman" w:hAnsi="Times New Roman" w:cs="Times New Roman"/>
                <w:b/>
                <w:bCs/>
                <w:color w:val="auto"/>
                <w:sz w:val="21"/>
                <w:szCs w:val="21"/>
                <w:lang w:val="en-US" w:eastAsia="en-US" w:bidi="ar-SA"/>
              </w:rPr>
              <w:t>表</w:t>
            </w:r>
            <w:r>
              <w:rPr>
                <w:rFonts w:ascii="Times New Roman" w:hAnsi="Times New Roman" w:cs="Times New Roman"/>
                <w:b/>
                <w:bCs/>
                <w:color w:val="auto"/>
                <w:sz w:val="21"/>
                <w:szCs w:val="21"/>
                <w:lang w:val="en-US" w:bidi="ar-SA"/>
              </w:rPr>
              <w:t>4.</w:t>
            </w:r>
            <w:r>
              <w:rPr>
                <w:rFonts w:hint="eastAsia" w:ascii="Times New Roman" w:hAnsi="Times New Roman" w:cs="Times New Roman"/>
                <w:b/>
                <w:bCs/>
                <w:color w:val="auto"/>
                <w:sz w:val="21"/>
                <w:szCs w:val="21"/>
                <w:lang w:val="en-US" w:bidi="ar-SA"/>
              </w:rPr>
              <w:t>1</w:t>
            </w:r>
            <w:r>
              <w:rPr>
                <w:rFonts w:hint="eastAsia" w:ascii="Times New Roman" w:hAnsi="Times New Roman" w:cs="Times New Roman"/>
                <w:b/>
                <w:bCs/>
                <w:color w:val="auto"/>
                <w:sz w:val="21"/>
                <w:szCs w:val="21"/>
                <w:lang w:val="en-US" w:eastAsia="zh-CN" w:bidi="ar-SA"/>
              </w:rPr>
              <w:t>6</w:t>
            </w:r>
            <w:r>
              <w:rPr>
                <w:rFonts w:hint="eastAsia" w:ascii="Times New Roman" w:hAnsi="Times New Roman" w:cs="Times New Roman"/>
                <w:b/>
                <w:bCs/>
                <w:color w:val="auto"/>
                <w:sz w:val="21"/>
                <w:szCs w:val="21"/>
                <w:lang w:val="en-US" w:bidi="ar-SA"/>
              </w:rPr>
              <w:t xml:space="preserve">  </w:t>
            </w:r>
            <w:r>
              <w:rPr>
                <w:rFonts w:ascii="Times New Roman" w:hAnsi="Times New Roman" w:cs="Times New Roman"/>
                <w:b/>
                <w:bCs/>
                <w:color w:val="auto"/>
                <w:sz w:val="21"/>
                <w:szCs w:val="21"/>
                <w:lang w:val="en-US" w:bidi="ar-SA"/>
              </w:rPr>
              <w:t>噪声</w:t>
            </w:r>
            <w:r>
              <w:rPr>
                <w:rFonts w:ascii="Times New Roman" w:hAnsi="Times New Roman" w:cs="Times New Roman"/>
                <w:b/>
                <w:bCs/>
                <w:color w:val="auto"/>
                <w:sz w:val="21"/>
                <w:szCs w:val="21"/>
                <w:lang w:val="en-US" w:eastAsia="en-US" w:bidi="ar-SA"/>
              </w:rPr>
              <w:t>监测计划一览表</w:t>
            </w:r>
          </w:p>
          <w:tbl>
            <w:tblPr>
              <w:tblStyle w:val="32"/>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类型</w:t>
                  </w:r>
                </w:p>
              </w:tc>
              <w:tc>
                <w:tcPr>
                  <w:tcW w:w="1321"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项目</w:t>
                  </w:r>
                </w:p>
              </w:tc>
              <w:tc>
                <w:tcPr>
                  <w:tcW w:w="1502"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监测因子</w:t>
                  </w:r>
                </w:p>
              </w:tc>
              <w:tc>
                <w:tcPr>
                  <w:tcW w:w="2851"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取样位置</w:t>
                  </w:r>
                </w:p>
              </w:tc>
              <w:tc>
                <w:tcPr>
                  <w:tcW w:w="945" w:type="dxa"/>
                  <w:vAlign w:val="center"/>
                </w:tcPr>
                <w:p>
                  <w:pPr>
                    <w:jc w:val="center"/>
                    <w:rPr>
                      <w:rFonts w:ascii="Times New Roman" w:hAnsi="Times New Roman" w:cs="Times New Roman"/>
                      <w:b/>
                      <w:bCs/>
                      <w:color w:val="auto"/>
                      <w:kern w:val="2"/>
                      <w:sz w:val="21"/>
                      <w:lang w:val="en-US" w:eastAsia="en-US" w:bidi="ar-SA"/>
                    </w:rPr>
                  </w:pPr>
                  <w:r>
                    <w:rPr>
                      <w:rFonts w:ascii="Times New Roman" w:hAnsi="Times New Roman" w:cs="Times New Roman"/>
                      <w:b/>
                      <w:bCs/>
                      <w:color w:val="auto"/>
                      <w:kern w:val="2"/>
                      <w:sz w:val="21"/>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vAlign w:val="center"/>
                </w:tcPr>
                <w:p>
                  <w:pPr>
                    <w:jc w:val="center"/>
                    <w:rPr>
                      <w:rFonts w:ascii="Times New Roman" w:hAnsi="Times New Roman" w:cs="Times New Roman"/>
                      <w:color w:val="auto"/>
                      <w:kern w:val="2"/>
                      <w:sz w:val="21"/>
                      <w:szCs w:val="21"/>
                      <w:lang w:val="en-US" w:eastAsia="en-US" w:bidi="ar-SA"/>
                    </w:rPr>
                  </w:pPr>
                  <w:r>
                    <w:rPr>
                      <w:rFonts w:ascii="Times New Roman" w:hAnsi="Times New Roman" w:cs="Times New Roman"/>
                      <w:color w:val="auto"/>
                      <w:kern w:val="2"/>
                      <w:sz w:val="21"/>
                      <w:szCs w:val="21"/>
                      <w:lang w:val="en-US" w:eastAsia="en-US" w:bidi="ar-SA"/>
                    </w:rPr>
                    <w:t>声环境</w:t>
                  </w:r>
                </w:p>
              </w:tc>
              <w:tc>
                <w:tcPr>
                  <w:tcW w:w="1321" w:type="dxa"/>
                  <w:vAlign w:val="center"/>
                </w:tcPr>
                <w:p>
                  <w:pPr>
                    <w:jc w:val="center"/>
                    <w:rPr>
                      <w:rFonts w:ascii="Times New Roman" w:hAnsi="Times New Roman" w:cs="Times New Roman"/>
                      <w:color w:val="auto"/>
                      <w:kern w:val="2"/>
                      <w:sz w:val="21"/>
                      <w:szCs w:val="21"/>
                      <w:lang w:val="en-US" w:eastAsia="en-US" w:bidi="ar-SA"/>
                    </w:rPr>
                  </w:pPr>
                  <w:r>
                    <w:rPr>
                      <w:rFonts w:ascii="Times New Roman" w:hAnsi="Times New Roman" w:cs="Times New Roman"/>
                      <w:color w:val="auto"/>
                      <w:kern w:val="2"/>
                      <w:sz w:val="21"/>
                      <w:szCs w:val="21"/>
                      <w:lang w:val="en-US" w:eastAsia="en-US" w:bidi="ar-SA"/>
                    </w:rPr>
                    <w:t>厂界噪声</w:t>
                  </w:r>
                </w:p>
              </w:tc>
              <w:tc>
                <w:tcPr>
                  <w:tcW w:w="1502" w:type="dxa"/>
                  <w:vAlign w:val="center"/>
                </w:tcPr>
                <w:p>
                  <w:pPr>
                    <w:jc w:val="center"/>
                    <w:rPr>
                      <w:rFonts w:ascii="Times New Roman" w:hAnsi="Times New Roman" w:cs="Times New Roman"/>
                      <w:color w:val="auto"/>
                      <w:kern w:val="2"/>
                      <w:sz w:val="21"/>
                      <w:szCs w:val="21"/>
                      <w:lang w:val="en-US" w:eastAsia="en-US" w:bidi="ar-SA"/>
                    </w:rPr>
                  </w:pPr>
                  <w:r>
                    <w:rPr>
                      <w:rFonts w:ascii="Times New Roman" w:hAnsi="Times New Roman" w:cs="Times New Roman"/>
                      <w:color w:val="auto"/>
                      <w:kern w:val="2"/>
                      <w:sz w:val="21"/>
                      <w:szCs w:val="21"/>
                      <w:lang w:val="en-US" w:eastAsia="en-US" w:bidi="ar-SA"/>
                    </w:rPr>
                    <w:t>等效连续A声级</w:t>
                  </w:r>
                </w:p>
              </w:tc>
              <w:tc>
                <w:tcPr>
                  <w:tcW w:w="2851" w:type="dxa"/>
                  <w:vAlign w:val="center"/>
                </w:tcPr>
                <w:p>
                  <w:pPr>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东、南、西、北厂界外 1m</w:t>
                  </w:r>
                </w:p>
              </w:tc>
              <w:tc>
                <w:tcPr>
                  <w:tcW w:w="945" w:type="dxa"/>
                  <w:tcBorders>
                    <w:top w:val="nil"/>
                  </w:tcBorders>
                  <w:vAlign w:val="center"/>
                </w:tcPr>
                <w:p>
                  <w:pPr>
                    <w:jc w:val="center"/>
                    <w:rPr>
                      <w:rFonts w:ascii="Times New Roman" w:hAnsi="Times New Roman" w:cs="Times New Roman"/>
                      <w:color w:val="auto"/>
                      <w:kern w:val="2"/>
                      <w:sz w:val="21"/>
                      <w:lang w:val="en-US" w:bidi="ar-SA"/>
                    </w:rPr>
                  </w:pPr>
                  <w:r>
                    <w:rPr>
                      <w:rFonts w:ascii="Times New Roman" w:hAnsi="Times New Roman" w:cs="Times New Roman"/>
                      <w:color w:val="auto"/>
                      <w:kern w:val="2"/>
                      <w:sz w:val="21"/>
                      <w:lang w:val="en-US" w:bidi="ar-SA"/>
                    </w:rPr>
                    <w:t>每季1次</w:t>
                  </w:r>
                </w:p>
              </w:tc>
            </w:tr>
          </w:tbl>
          <w:p>
            <w:pPr>
              <w:autoSpaceDE/>
              <w:autoSpaceDN/>
              <w:spacing w:line="400" w:lineRule="exact"/>
              <w:ind w:left="110" w:leftChars="50" w:firstLine="421" w:firstLineChars="200"/>
              <w:jc w:val="both"/>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四、固体废物</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1、固废产生情况及处置措施</w:t>
            </w:r>
          </w:p>
          <w:p>
            <w:pPr>
              <w:autoSpaceDE/>
              <w:autoSpaceDN/>
              <w:spacing w:line="400" w:lineRule="exact"/>
              <w:ind w:left="110" w:leftChars="50" w:firstLine="420" w:firstLineChars="200"/>
              <w:rPr>
                <w:rFonts w:ascii="Times New Roman" w:hAnsi="Times New Roman" w:cs="Times New Roman"/>
                <w:b/>
                <w:bCs/>
                <w:color w:val="auto"/>
                <w:kern w:val="2"/>
                <w:sz w:val="21"/>
                <w:szCs w:val="21"/>
                <w:lang w:bidi="ar-SA"/>
              </w:rPr>
            </w:pPr>
            <w:r>
              <w:rPr>
                <w:rFonts w:hint="eastAsia" w:ascii="Times New Roman" w:hAnsi="Times New Roman" w:cs="Times New Roman"/>
                <w:color w:val="auto"/>
                <w:kern w:val="2"/>
                <w:sz w:val="21"/>
                <w:szCs w:val="21"/>
                <w:lang w:bidi="ar-SA"/>
              </w:rPr>
              <w:t>本项目不新增定员，不新增生活垃圾，</w:t>
            </w:r>
            <w:r>
              <w:rPr>
                <w:rFonts w:ascii="Times New Roman" w:hAnsi="Times New Roman" w:cs="Times New Roman"/>
                <w:color w:val="auto"/>
                <w:kern w:val="2"/>
                <w:sz w:val="21"/>
                <w:szCs w:val="21"/>
                <w:lang w:bidi="ar-SA"/>
              </w:rPr>
              <w:t>本项目产生固体废物</w:t>
            </w:r>
            <w:r>
              <w:rPr>
                <w:rFonts w:ascii="Times New Roman" w:hAnsi="Times New Roman" w:cs="Times New Roman"/>
                <w:color w:val="auto"/>
                <w:sz w:val="21"/>
                <w:szCs w:val="21"/>
              </w:rPr>
              <w:t>主要为</w:t>
            </w:r>
            <w:r>
              <w:rPr>
                <w:rFonts w:ascii="Times New Roman" w:hAnsi="Times New Roman" w:cs="Times New Roman"/>
                <w:color w:val="auto"/>
                <w:sz w:val="21"/>
                <w:szCs w:val="21"/>
                <w:lang w:val="en-US"/>
              </w:rPr>
              <w:t>除尘灰（S</w:t>
            </w:r>
            <w:r>
              <w:rPr>
                <w:rFonts w:hint="eastAsia" w:ascii="Times New Roman" w:hAnsi="Times New Roman" w:cs="Times New Roman"/>
                <w:color w:val="auto"/>
                <w:sz w:val="21"/>
                <w:szCs w:val="21"/>
                <w:vertAlign w:val="subscript"/>
                <w:lang w:val="en-US"/>
              </w:rPr>
              <w:t>1</w:t>
            </w:r>
            <w:r>
              <w:rPr>
                <w:rFonts w:ascii="Times New Roman" w:hAnsi="Times New Roman" w:cs="Times New Roman"/>
                <w:color w:val="auto"/>
                <w:sz w:val="21"/>
                <w:szCs w:val="21"/>
                <w:lang w:val="en-US"/>
              </w:rPr>
              <w:t>）</w:t>
            </w:r>
            <w:r>
              <w:rPr>
                <w:rFonts w:hint="eastAsia" w:ascii="Times New Roman" w:hAnsi="Times New Roman" w:cs="Times New Roman"/>
                <w:color w:val="auto"/>
                <w:sz w:val="21"/>
                <w:szCs w:val="21"/>
                <w:lang w:val="en-US"/>
              </w:rPr>
              <w:t>、</w:t>
            </w:r>
            <w:r>
              <w:rPr>
                <w:rFonts w:ascii="Times New Roman" w:hAnsi="Times New Roman" w:cs="Times New Roman"/>
                <w:color w:val="auto"/>
                <w:sz w:val="21"/>
                <w:szCs w:val="21"/>
              </w:rPr>
              <w:t>检修过程中产生的废油桶（</w:t>
            </w:r>
            <w:r>
              <w:rPr>
                <w:rFonts w:ascii="Times New Roman" w:hAnsi="Times New Roman" w:cs="Times New Roman"/>
                <w:color w:val="auto"/>
                <w:sz w:val="21"/>
                <w:szCs w:val="21"/>
                <w:lang w:val="en-US"/>
              </w:rPr>
              <w:t>S</w:t>
            </w:r>
            <w:r>
              <w:rPr>
                <w:rFonts w:ascii="Times New Roman" w:hAnsi="Times New Roman" w:cs="Times New Roman"/>
                <w:color w:val="auto"/>
                <w:sz w:val="21"/>
                <w:szCs w:val="21"/>
                <w:vertAlign w:val="subscript"/>
                <w:lang w:val="en-US"/>
              </w:rPr>
              <w:t>3</w:t>
            </w:r>
            <w:r>
              <w:rPr>
                <w:rFonts w:ascii="Times New Roman" w:hAnsi="Times New Roman" w:cs="Times New Roman"/>
                <w:color w:val="auto"/>
                <w:sz w:val="21"/>
                <w:szCs w:val="21"/>
              </w:rPr>
              <w:t>）、</w:t>
            </w:r>
            <w:r>
              <w:rPr>
                <w:rFonts w:hint="eastAsia" w:ascii="Times New Roman" w:hAnsi="Times New Roman" w:cs="Times New Roman"/>
                <w:color w:val="auto"/>
                <w:sz w:val="21"/>
                <w:szCs w:val="21"/>
              </w:rPr>
              <w:t>废机油</w:t>
            </w:r>
            <w:r>
              <w:rPr>
                <w:rFonts w:ascii="Times New Roman" w:hAnsi="Times New Roman" w:cs="Times New Roman"/>
                <w:color w:val="auto"/>
                <w:sz w:val="21"/>
                <w:szCs w:val="21"/>
              </w:rPr>
              <w:t>（</w:t>
            </w:r>
            <w:r>
              <w:rPr>
                <w:rFonts w:ascii="Times New Roman" w:hAnsi="Times New Roman" w:cs="Times New Roman"/>
                <w:color w:val="auto"/>
                <w:sz w:val="21"/>
                <w:szCs w:val="21"/>
                <w:lang w:val="en-US"/>
              </w:rPr>
              <w:t>S</w:t>
            </w:r>
            <w:r>
              <w:rPr>
                <w:rFonts w:hint="eastAsia" w:ascii="Times New Roman" w:hAnsi="Times New Roman" w:cs="Times New Roman"/>
                <w:color w:val="auto"/>
                <w:sz w:val="21"/>
                <w:szCs w:val="21"/>
                <w:vertAlign w:val="subscript"/>
                <w:lang w:val="en-US"/>
              </w:rPr>
              <w:t>2</w:t>
            </w:r>
            <w:r>
              <w:rPr>
                <w:rFonts w:ascii="Times New Roman" w:hAnsi="Times New Roman" w:cs="Times New Roman"/>
                <w:color w:val="auto"/>
                <w:sz w:val="21"/>
                <w:szCs w:val="21"/>
              </w:rPr>
              <w:t>）。</w:t>
            </w:r>
            <w:r>
              <w:rPr>
                <w:rFonts w:ascii="Times New Roman" w:hAnsi="Times New Roman" w:cs="Times New Roman"/>
                <w:color w:val="auto"/>
                <w:kern w:val="2"/>
                <w:sz w:val="21"/>
                <w:szCs w:val="21"/>
                <w:lang w:bidi="ar-SA"/>
              </w:rPr>
              <w:t>项目固体废物产生情况见下表。</w:t>
            </w:r>
          </w:p>
          <w:p>
            <w:pPr>
              <w:autoSpaceDE/>
              <w:autoSpaceDN/>
              <w:snapToGrid w:val="0"/>
              <w:spacing w:line="400" w:lineRule="exact"/>
              <w:jc w:val="center"/>
              <w:rPr>
                <w:rFonts w:ascii="Times New Roman" w:hAnsi="Times New Roman" w:cs="Times New Roman"/>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w:t>
            </w:r>
            <w:r>
              <w:rPr>
                <w:rFonts w:hint="eastAsia" w:ascii="Times New Roman" w:hAnsi="Times New Roman" w:cs="Times New Roman"/>
                <w:b/>
                <w:color w:val="auto"/>
                <w:sz w:val="21"/>
                <w:szCs w:val="21"/>
                <w:lang w:val="en-US"/>
              </w:rPr>
              <w:t>1</w:t>
            </w:r>
            <w:r>
              <w:rPr>
                <w:rFonts w:hint="eastAsia" w:ascii="Times New Roman" w:hAnsi="Times New Roman" w:cs="Times New Roman"/>
                <w:b/>
                <w:color w:val="auto"/>
                <w:sz w:val="21"/>
                <w:szCs w:val="21"/>
                <w:lang w:val="en-US" w:eastAsia="zh-CN"/>
              </w:rPr>
              <w:t>7</w:t>
            </w:r>
            <w:r>
              <w:rPr>
                <w:rFonts w:hint="eastAsia" w:ascii="Times New Roman" w:hAnsi="Times New Roman" w:cs="Times New Roman"/>
                <w:b/>
                <w:color w:val="auto"/>
                <w:sz w:val="21"/>
                <w:szCs w:val="21"/>
                <w:lang w:val="en-US"/>
              </w:rPr>
              <w:t xml:space="preserve"> </w:t>
            </w:r>
            <w:r>
              <w:rPr>
                <w:rFonts w:ascii="Times New Roman" w:hAnsi="Times New Roman" w:cs="Times New Roman"/>
                <w:b/>
                <w:color w:val="auto"/>
                <w:sz w:val="21"/>
                <w:szCs w:val="21"/>
              </w:rPr>
              <w:t xml:space="preserve"> </w:t>
            </w:r>
            <w:r>
              <w:rPr>
                <w:rFonts w:ascii="Times New Roman" w:hAnsi="Times New Roman" w:cs="Times New Roman"/>
                <w:b/>
                <w:color w:val="auto"/>
                <w:sz w:val="21"/>
                <w:szCs w:val="21"/>
                <w:lang w:val="en-US"/>
              </w:rPr>
              <w:t>本项目</w:t>
            </w:r>
            <w:r>
              <w:rPr>
                <w:rFonts w:ascii="Times New Roman" w:hAnsi="Times New Roman" w:cs="Times New Roman"/>
                <w:b/>
                <w:color w:val="auto"/>
                <w:sz w:val="21"/>
                <w:szCs w:val="21"/>
              </w:rPr>
              <w:t>建成后</w:t>
            </w:r>
            <w:r>
              <w:rPr>
                <w:rFonts w:hint="eastAsia" w:ascii="Times New Roman" w:hAnsi="Times New Roman" w:cs="Times New Roman"/>
                <w:b/>
                <w:color w:val="auto"/>
                <w:sz w:val="21"/>
                <w:szCs w:val="21"/>
              </w:rPr>
              <w:t>新增</w:t>
            </w:r>
            <w:r>
              <w:rPr>
                <w:rFonts w:ascii="Times New Roman" w:hAnsi="Times New Roman" w:cs="Times New Roman"/>
                <w:b/>
                <w:color w:val="auto"/>
                <w:sz w:val="21"/>
                <w:szCs w:val="21"/>
                <w:lang w:val="en-US"/>
              </w:rPr>
              <w:t>固体废物汇总表</w:t>
            </w:r>
          </w:p>
          <w:tbl>
            <w:tblPr>
              <w:tblStyle w:val="32"/>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
              <w:gridCol w:w="1310"/>
              <w:gridCol w:w="1026"/>
              <w:gridCol w:w="1583"/>
              <w:gridCol w:w="593"/>
              <w:gridCol w:w="920"/>
              <w:gridCol w:w="1026"/>
              <w:gridCol w:w="79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757"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固废名称</w:t>
                  </w:r>
                </w:p>
              </w:tc>
              <w:tc>
                <w:tcPr>
                  <w:tcW w:w="592"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产生环节</w:t>
                  </w:r>
                </w:p>
              </w:tc>
              <w:tc>
                <w:tcPr>
                  <w:tcW w:w="914"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贮存方式</w:t>
                  </w:r>
                </w:p>
              </w:tc>
              <w:tc>
                <w:tcPr>
                  <w:tcW w:w="343"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物理性状</w:t>
                  </w:r>
                </w:p>
              </w:tc>
              <w:tc>
                <w:tcPr>
                  <w:tcW w:w="531"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产生量</w:t>
                  </w:r>
                  <w:r>
                    <w:rPr>
                      <w:rFonts w:ascii="Times New Roman" w:hAnsi="Times New Roman" w:cs="Times New Roman"/>
                      <w:b/>
                      <w:bCs/>
                      <w:color w:val="auto"/>
                      <w:sz w:val="21"/>
                      <w:szCs w:val="21"/>
                      <w:lang w:val="en-US"/>
                    </w:rPr>
                    <w:t>t/a</w:t>
                  </w:r>
                </w:p>
              </w:tc>
              <w:tc>
                <w:tcPr>
                  <w:tcW w:w="592"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属性</w:t>
                  </w:r>
                </w:p>
              </w:tc>
              <w:tc>
                <w:tcPr>
                  <w:tcW w:w="456"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环境危险特性</w:t>
                  </w:r>
                </w:p>
              </w:tc>
              <w:tc>
                <w:tcPr>
                  <w:tcW w:w="641" w:type="pct"/>
                  <w:vAlign w:val="center"/>
                </w:tcPr>
                <w:p>
                  <w:pPr>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92"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w:t>
                  </w:r>
                </w:p>
              </w:tc>
              <w:tc>
                <w:tcPr>
                  <w:tcW w:w="757" w:type="pct"/>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除尘灰</w:t>
                  </w:r>
                </w:p>
              </w:tc>
              <w:tc>
                <w:tcPr>
                  <w:tcW w:w="592" w:type="pct"/>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废气处理</w:t>
                  </w:r>
                </w:p>
              </w:tc>
              <w:tc>
                <w:tcPr>
                  <w:tcW w:w="914" w:type="pct"/>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存放于封闭式原料厂房</w:t>
                  </w:r>
                </w:p>
              </w:tc>
              <w:tc>
                <w:tcPr>
                  <w:tcW w:w="343"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固态</w:t>
                  </w:r>
                </w:p>
              </w:tc>
              <w:tc>
                <w:tcPr>
                  <w:tcW w:w="531"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4"/>
                      <w:lang w:val="en-US" w:bidi="ar-SA"/>
                    </w:rPr>
                    <w:t>37.4068</w:t>
                  </w:r>
                </w:p>
              </w:tc>
              <w:tc>
                <w:tcPr>
                  <w:tcW w:w="592" w:type="pct"/>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一般工业固体废物</w:t>
                  </w:r>
                </w:p>
              </w:tc>
              <w:tc>
                <w:tcPr>
                  <w:tcW w:w="456" w:type="pct"/>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w:t>
                  </w:r>
                </w:p>
              </w:tc>
              <w:tc>
                <w:tcPr>
                  <w:tcW w:w="641" w:type="pct"/>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292"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p>
              </w:tc>
              <w:tc>
                <w:tcPr>
                  <w:tcW w:w="1311"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废油桶</w:t>
                  </w:r>
                </w:p>
              </w:tc>
              <w:tc>
                <w:tcPr>
                  <w:tcW w:w="102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检维修</w:t>
                  </w:r>
                </w:p>
              </w:tc>
              <w:tc>
                <w:tcPr>
                  <w:tcW w:w="1582"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暂存危废间内</w:t>
                  </w:r>
                </w:p>
              </w:tc>
              <w:tc>
                <w:tcPr>
                  <w:tcW w:w="59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固态</w:t>
                  </w:r>
                </w:p>
              </w:tc>
              <w:tc>
                <w:tcPr>
                  <w:tcW w:w="531"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0.05</w:t>
                  </w:r>
                </w:p>
              </w:tc>
              <w:tc>
                <w:tcPr>
                  <w:tcW w:w="592" w:type="pc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危险废物</w:t>
                  </w:r>
                </w:p>
              </w:tc>
              <w:tc>
                <w:tcPr>
                  <w:tcW w:w="790"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T，I</w:t>
                  </w:r>
                </w:p>
              </w:tc>
              <w:tc>
                <w:tcPr>
                  <w:tcW w:w="111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292"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p>
              </w:tc>
              <w:tc>
                <w:tcPr>
                  <w:tcW w:w="1311"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废机油</w:t>
                  </w:r>
                </w:p>
              </w:tc>
              <w:tc>
                <w:tcPr>
                  <w:tcW w:w="1025"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rPr>
                    <w:t>检维修</w:t>
                  </w:r>
                </w:p>
              </w:tc>
              <w:tc>
                <w:tcPr>
                  <w:tcW w:w="1582"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暂存危废间内</w:t>
                  </w:r>
                </w:p>
              </w:tc>
              <w:tc>
                <w:tcPr>
                  <w:tcW w:w="59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固态</w:t>
                  </w:r>
                </w:p>
              </w:tc>
              <w:tc>
                <w:tcPr>
                  <w:tcW w:w="531" w:type="pct"/>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0.2</w:t>
                  </w:r>
                </w:p>
              </w:tc>
              <w:tc>
                <w:tcPr>
                  <w:tcW w:w="592" w:type="pct"/>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危险废物</w:t>
                  </w:r>
                </w:p>
              </w:tc>
              <w:tc>
                <w:tcPr>
                  <w:tcW w:w="790"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T，I</w:t>
                  </w:r>
                </w:p>
              </w:tc>
              <w:tc>
                <w:tcPr>
                  <w:tcW w:w="111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废矿物油</w:t>
                  </w:r>
                </w:p>
              </w:tc>
            </w:tr>
          </w:tbl>
          <w:p>
            <w:pPr>
              <w:autoSpaceDE/>
              <w:autoSpaceDN/>
              <w:spacing w:line="400" w:lineRule="exact"/>
              <w:jc w:val="center"/>
              <w:rPr>
                <w:rFonts w:ascii="Times New Roman" w:hAnsi="Times New Roman" w:cs="Times New Roman"/>
                <w:b/>
                <w:bCs/>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4.1</w:t>
            </w:r>
            <w:r>
              <w:rPr>
                <w:rFonts w:hint="eastAsia" w:ascii="Times New Roman" w:hAnsi="Times New Roman" w:cs="Times New Roman"/>
                <w:b/>
                <w:color w:val="auto"/>
                <w:sz w:val="21"/>
                <w:szCs w:val="21"/>
                <w:lang w:val="en-US" w:eastAsia="zh-CN"/>
              </w:rPr>
              <w:t>8</w:t>
            </w:r>
            <w:r>
              <w:rPr>
                <w:rFonts w:ascii="Times New Roman" w:hAnsi="Times New Roman" w:cs="Times New Roman"/>
                <w:b/>
                <w:color w:val="auto"/>
                <w:sz w:val="21"/>
                <w:szCs w:val="21"/>
              </w:rPr>
              <w:t xml:space="preserve">  </w:t>
            </w:r>
            <w:r>
              <w:rPr>
                <w:rFonts w:ascii="Times New Roman" w:hAnsi="Times New Roman" w:cs="Times New Roman"/>
                <w:b/>
                <w:color w:val="auto"/>
                <w:sz w:val="21"/>
                <w:szCs w:val="21"/>
                <w:lang w:val="en-US"/>
              </w:rPr>
              <w:t>本项目</w:t>
            </w:r>
            <w:r>
              <w:rPr>
                <w:rFonts w:ascii="Times New Roman" w:hAnsi="Times New Roman" w:cs="Times New Roman"/>
                <w:b/>
                <w:bCs/>
                <w:color w:val="auto"/>
                <w:sz w:val="21"/>
                <w:szCs w:val="21"/>
              </w:rPr>
              <w:t>固废利用处置方式一览表</w:t>
            </w:r>
          </w:p>
          <w:tbl>
            <w:tblPr>
              <w:tblStyle w:val="3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489"/>
              <w:gridCol w:w="2524"/>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489"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固废名称</w:t>
                  </w:r>
                </w:p>
              </w:tc>
              <w:tc>
                <w:tcPr>
                  <w:tcW w:w="252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利用处置方式</w:t>
                  </w:r>
                </w:p>
              </w:tc>
              <w:tc>
                <w:tcPr>
                  <w:tcW w:w="114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属性</w:t>
                  </w:r>
                </w:p>
              </w:tc>
              <w:tc>
                <w:tcPr>
                  <w:tcW w:w="1131"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废物代码</w:t>
                  </w:r>
                </w:p>
              </w:tc>
              <w:tc>
                <w:tcPr>
                  <w:tcW w:w="96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处置量</w:t>
                  </w:r>
                  <w:r>
                    <w:rPr>
                      <w:rFonts w:ascii="Times New Roman" w:hAnsi="Times New Roman" w:cs="Times New Roman"/>
                      <w:b/>
                      <w:bCs/>
                      <w:color w:val="auto"/>
                      <w:sz w:val="21"/>
                      <w:szCs w:val="21"/>
                      <w:lang w:val="en-US"/>
                    </w:rPr>
                    <w:t>t/a</w:t>
                  </w:r>
                </w:p>
              </w:tc>
              <w:tc>
                <w:tcPr>
                  <w:tcW w:w="107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w:t>
                  </w:r>
                </w:p>
              </w:tc>
              <w:tc>
                <w:tcPr>
                  <w:tcW w:w="1489" w:type="dxa"/>
                  <w:vAlign w:val="center"/>
                </w:tcPr>
                <w:p>
                  <w:pPr>
                    <w:spacing w:line="0" w:lineRule="atLeast"/>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除尘灰</w:t>
                  </w:r>
                </w:p>
              </w:tc>
              <w:tc>
                <w:tcPr>
                  <w:tcW w:w="2524"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集中收集后回用于生产</w:t>
                  </w:r>
                </w:p>
              </w:tc>
              <w:tc>
                <w:tcPr>
                  <w:tcW w:w="1145"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一般工业固体废物</w:t>
                  </w:r>
                </w:p>
              </w:tc>
              <w:tc>
                <w:tcPr>
                  <w:tcW w:w="1131"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900-099-S59</w:t>
                  </w:r>
                </w:p>
              </w:tc>
              <w:tc>
                <w:tcPr>
                  <w:tcW w:w="96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4"/>
                      <w:lang w:val="en-US" w:bidi="ar-SA"/>
                    </w:rPr>
                    <w:t>37.4068</w:t>
                  </w:r>
                </w:p>
              </w:tc>
              <w:tc>
                <w:tcPr>
                  <w:tcW w:w="1070"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p>
              </w:tc>
              <w:tc>
                <w:tcPr>
                  <w:tcW w:w="1489"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废油桶</w:t>
                  </w:r>
                </w:p>
              </w:tc>
              <w:tc>
                <w:tcPr>
                  <w:tcW w:w="2524"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暂存危废间，定期由资质单位处置</w:t>
                  </w:r>
                </w:p>
              </w:tc>
              <w:tc>
                <w:tcPr>
                  <w:tcW w:w="1145"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危险废物</w:t>
                  </w:r>
                </w:p>
              </w:tc>
              <w:tc>
                <w:tcPr>
                  <w:tcW w:w="1131"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1"/>
                      <w:sz w:val="21"/>
                      <w:szCs w:val="21"/>
                    </w:rPr>
                    <w:t>900-249-08</w:t>
                  </w:r>
                </w:p>
              </w:tc>
              <w:tc>
                <w:tcPr>
                  <w:tcW w:w="96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0.05</w:t>
                  </w:r>
                </w:p>
              </w:tc>
              <w:tc>
                <w:tcPr>
                  <w:tcW w:w="1070"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p>
              </w:tc>
              <w:tc>
                <w:tcPr>
                  <w:tcW w:w="1489" w:type="dxa"/>
                  <w:vAlign w:val="center"/>
                </w:tcPr>
                <w:p>
                  <w:pPr>
                    <w:spacing w:line="0" w:lineRule="atLeast"/>
                    <w:ind w:left="-110" w:leftChars="-50" w:right="-110" w:rightChars="-50"/>
                    <w:jc w:val="center"/>
                    <w:rPr>
                      <w:rFonts w:ascii="Times New Roman" w:hAnsi="Times New Roman" w:cs="Times New Roman"/>
                      <w:color w:val="auto"/>
                      <w:sz w:val="21"/>
                      <w:szCs w:val="21"/>
                      <w:lang w:val="en-US" w:bidi="ar-SA"/>
                    </w:rPr>
                  </w:pPr>
                  <w:r>
                    <w:rPr>
                      <w:rFonts w:hint="eastAsia" w:ascii="Times New Roman" w:hAnsi="Times New Roman" w:cs="Times New Roman"/>
                      <w:color w:val="auto"/>
                      <w:sz w:val="21"/>
                      <w:szCs w:val="21"/>
                      <w:lang w:val="en-US"/>
                    </w:rPr>
                    <w:t>废机油</w:t>
                  </w:r>
                </w:p>
              </w:tc>
              <w:tc>
                <w:tcPr>
                  <w:tcW w:w="2524" w:type="dxa"/>
                  <w:vAlign w:val="center"/>
                </w:tcPr>
                <w:p>
                  <w:pPr>
                    <w:autoSpaceDE/>
                    <w:autoSpaceDN/>
                    <w:jc w:val="center"/>
                    <w:rPr>
                      <w:rFonts w:ascii="Times New Roman" w:hAnsi="Times New Roman" w:cs="Times New Roman"/>
                      <w:color w:val="auto"/>
                      <w:sz w:val="21"/>
                      <w:szCs w:val="21"/>
                      <w:lang w:val="en-US" w:bidi="ar"/>
                    </w:rPr>
                  </w:pPr>
                  <w:r>
                    <w:rPr>
                      <w:rFonts w:ascii="Times New Roman" w:hAnsi="Times New Roman" w:cs="Times New Roman"/>
                      <w:color w:val="auto"/>
                      <w:sz w:val="21"/>
                      <w:szCs w:val="21"/>
                    </w:rPr>
                    <w:t>暂存危废间，定期由资质单位处置</w:t>
                  </w:r>
                </w:p>
              </w:tc>
              <w:tc>
                <w:tcPr>
                  <w:tcW w:w="1145"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危险废物</w:t>
                  </w:r>
                </w:p>
              </w:tc>
              <w:tc>
                <w:tcPr>
                  <w:tcW w:w="1131"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900-217-08</w:t>
                  </w:r>
                </w:p>
              </w:tc>
              <w:tc>
                <w:tcPr>
                  <w:tcW w:w="964"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0.</w:t>
                  </w:r>
                  <w:r>
                    <w:rPr>
                      <w:rFonts w:ascii="Times New Roman" w:hAnsi="Times New Roman" w:cs="Times New Roman"/>
                      <w:color w:val="auto"/>
                      <w:kern w:val="2"/>
                      <w:sz w:val="21"/>
                      <w:szCs w:val="21"/>
                      <w:lang w:val="en-US" w:bidi="ar-SA"/>
                    </w:rPr>
                    <w:t>2</w:t>
                  </w:r>
                </w:p>
              </w:tc>
              <w:tc>
                <w:tcPr>
                  <w:tcW w:w="1070" w:type="dxa"/>
                  <w:vAlign w:val="center"/>
                </w:tcPr>
                <w:p>
                  <w:pPr>
                    <w:autoSpaceDE/>
                    <w:autoSpaceDN/>
                    <w:jc w:val="center"/>
                    <w:rPr>
                      <w:rFonts w:ascii="Times New Roman" w:hAnsi="Times New Roman" w:cs="Times New Roman"/>
                      <w:color w:val="auto"/>
                      <w:sz w:val="21"/>
                      <w:szCs w:val="21"/>
                    </w:rPr>
                  </w:pPr>
                  <w:r>
                    <w:rPr>
                      <w:rFonts w:ascii="Times New Roman" w:hAnsi="Times New Roman" w:cs="Times New Roman"/>
                      <w:color w:val="auto"/>
                      <w:sz w:val="21"/>
                      <w:szCs w:val="21"/>
                    </w:rPr>
                    <w:t>是</w:t>
                  </w:r>
                </w:p>
              </w:tc>
            </w:tr>
          </w:tbl>
          <w:p>
            <w:pPr>
              <w:pStyle w:val="18"/>
              <w:spacing w:line="400" w:lineRule="exact"/>
              <w:ind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（1）一般工业固废</w:t>
            </w:r>
          </w:p>
          <w:p>
            <w:pPr>
              <w:pStyle w:val="18"/>
              <w:spacing w:line="400" w:lineRule="exact"/>
              <w:ind w:left="44" w:leftChars="20" w:firstLine="421" w:firstLineChars="200"/>
              <w:jc w:val="both"/>
              <w:rPr>
                <w:rFonts w:ascii="Times New Roman" w:hAnsi="Times New Roman" w:cs="Times New Roman"/>
                <w:color w:val="auto"/>
                <w:sz w:val="21"/>
                <w:szCs w:val="21"/>
                <w:lang w:val="en-US"/>
              </w:rPr>
            </w:pPr>
            <w:r>
              <w:rPr>
                <w:rFonts w:ascii="Times New Roman" w:hAnsi="Times New Roman" w:cs="Times New Roman"/>
                <w:b/>
                <w:bCs/>
                <w:color w:val="auto"/>
                <w:sz w:val="21"/>
                <w:szCs w:val="21"/>
                <w:lang w:val="en-US"/>
              </w:rPr>
              <w:t>除尘器除尘灰：</w:t>
            </w:r>
            <w:r>
              <w:rPr>
                <w:rFonts w:ascii="Times New Roman" w:hAnsi="Times New Roman" w:cs="Times New Roman"/>
                <w:color w:val="auto"/>
                <w:sz w:val="21"/>
                <w:szCs w:val="21"/>
                <w:lang w:val="en-US"/>
              </w:rPr>
              <w:t>本项目仓顶除尘器除尘灰直接落实粉料仓内，搅拌、计量除尘器除尘灰直接落入</w:t>
            </w:r>
            <w:r>
              <w:rPr>
                <w:rFonts w:hint="eastAsia" w:ascii="Times New Roman" w:hAnsi="Times New Roman" w:cs="Times New Roman"/>
                <w:color w:val="auto"/>
                <w:sz w:val="21"/>
                <w:szCs w:val="21"/>
                <w:lang w:val="en-US"/>
              </w:rPr>
              <w:t>计量斗</w:t>
            </w:r>
            <w:r>
              <w:rPr>
                <w:rFonts w:ascii="Times New Roman" w:hAnsi="Times New Roman" w:cs="Times New Roman"/>
                <w:color w:val="auto"/>
                <w:sz w:val="21"/>
                <w:szCs w:val="21"/>
                <w:lang w:val="en-US"/>
              </w:rPr>
              <w:t>内，产生的固废主要为上料除尘器收集的除尘灰。根据物料守恒的原则，</w:t>
            </w:r>
            <w:r>
              <w:rPr>
                <w:rFonts w:ascii="Times New Roman" w:hAnsi="Times New Roman" w:cs="Times New Roman"/>
                <w:color w:val="auto"/>
                <w:kern w:val="2"/>
                <w:sz w:val="21"/>
                <w:szCs w:val="24"/>
                <w:lang w:val="en-US" w:bidi="ar-SA"/>
              </w:rPr>
              <w:t>除尘灰产生量约为</w:t>
            </w:r>
            <w:r>
              <w:rPr>
                <w:rFonts w:hint="eastAsia" w:ascii="Times New Roman" w:hAnsi="Times New Roman" w:cs="Times New Roman"/>
                <w:color w:val="auto"/>
                <w:kern w:val="2"/>
                <w:sz w:val="21"/>
                <w:szCs w:val="24"/>
                <w:lang w:val="en-US" w:bidi="ar-SA"/>
              </w:rPr>
              <w:t>37.4068</w:t>
            </w:r>
            <w:r>
              <w:rPr>
                <w:rFonts w:ascii="Times New Roman" w:hAnsi="Times New Roman" w:cs="Times New Roman"/>
                <w:color w:val="auto"/>
                <w:kern w:val="2"/>
                <w:sz w:val="21"/>
                <w:szCs w:val="21"/>
                <w:lang w:val="en-US" w:bidi="ar-SA"/>
              </w:rPr>
              <w:t>t/a</w:t>
            </w:r>
            <w:r>
              <w:rPr>
                <w:rFonts w:ascii="Times New Roman" w:hAnsi="Times New Roman" w:cs="Times New Roman"/>
                <w:color w:val="auto"/>
                <w:sz w:val="21"/>
                <w:szCs w:val="21"/>
                <w:lang w:val="en-US"/>
              </w:rPr>
              <w:t>。集中收集后回用于生产。</w:t>
            </w:r>
          </w:p>
          <w:p>
            <w:pPr>
              <w:pStyle w:val="18"/>
              <w:spacing w:line="400" w:lineRule="exact"/>
              <w:ind w:firstLine="421" w:firstLineChars="200"/>
              <w:jc w:val="both"/>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w:t>
            </w: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）危险废物</w:t>
            </w:r>
          </w:p>
          <w:p>
            <w:pPr>
              <w:keepNext/>
              <w:keepLines/>
              <w:autoSpaceDE/>
              <w:autoSpaceDN/>
              <w:spacing w:line="400" w:lineRule="exact"/>
              <w:ind w:firstLine="421" w:firstLineChars="200"/>
              <w:jc w:val="both"/>
              <w:outlineLvl w:val="3"/>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①废油桶：</w:t>
            </w:r>
            <w:r>
              <w:rPr>
                <w:rFonts w:ascii="Times New Roman" w:hAnsi="Times New Roman" w:cs="Times New Roman"/>
                <w:color w:val="auto"/>
                <w:kern w:val="2"/>
                <w:sz w:val="21"/>
                <w:szCs w:val="21"/>
                <w:lang w:val="en-US" w:bidi="ar-SA"/>
              </w:rPr>
              <w:t>主要为检维修时机油使用后的包装油桶。根据《国家危险废物名录》（2021年），废油桶属于危险废物（HW08，危废代码：</w:t>
            </w:r>
            <w:r>
              <w:rPr>
                <w:rFonts w:ascii="Times New Roman" w:hAnsi="Times New Roman" w:cs="Times New Roman"/>
                <w:color w:val="auto"/>
                <w:kern w:val="1"/>
                <w:sz w:val="21"/>
                <w:szCs w:val="21"/>
              </w:rPr>
              <w:t>900-249-08</w:t>
            </w:r>
            <w:r>
              <w:rPr>
                <w:rFonts w:ascii="Times New Roman" w:hAnsi="Times New Roman" w:cs="Times New Roman"/>
                <w:color w:val="auto"/>
                <w:kern w:val="2"/>
                <w:sz w:val="21"/>
                <w:szCs w:val="21"/>
                <w:lang w:val="en-US" w:bidi="ar-SA"/>
              </w:rPr>
              <w:t>）</w:t>
            </w:r>
            <w:r>
              <w:rPr>
                <w:rFonts w:ascii="Times New Roman" w:hAnsi="Times New Roman" w:cs="Times New Roman"/>
                <w:color w:val="auto"/>
                <w:kern w:val="2"/>
                <w:sz w:val="21"/>
                <w:szCs w:val="21"/>
                <w:lang w:bidi="ar-SA"/>
              </w:rPr>
              <w:t>。根据企业提供的资料，</w:t>
            </w:r>
            <w:r>
              <w:rPr>
                <w:rFonts w:hint="eastAsia" w:ascii="Times New Roman" w:hAnsi="Times New Roman" w:cs="Times New Roman"/>
                <w:color w:val="auto"/>
                <w:kern w:val="2"/>
                <w:sz w:val="21"/>
                <w:szCs w:val="21"/>
                <w:lang w:bidi="ar-SA"/>
              </w:rPr>
              <w:t>干混砂浆生产线和湿拌砂浆生产线</w:t>
            </w:r>
            <w:r>
              <w:rPr>
                <w:rFonts w:ascii="Times New Roman" w:hAnsi="Times New Roman" w:cs="Times New Roman"/>
                <w:color w:val="auto"/>
                <w:sz w:val="21"/>
                <w:szCs w:val="21"/>
                <w:lang w:val="en-US"/>
              </w:rPr>
              <w:t>废油桶</w:t>
            </w:r>
            <w:r>
              <w:rPr>
                <w:rFonts w:ascii="Times New Roman" w:hAnsi="Times New Roman" w:cs="Times New Roman"/>
                <w:color w:val="auto"/>
                <w:kern w:val="2"/>
                <w:sz w:val="21"/>
                <w:szCs w:val="21"/>
                <w:lang w:bidi="ar-SA"/>
              </w:rPr>
              <w:t>产生</w:t>
            </w:r>
            <w:r>
              <w:rPr>
                <w:rFonts w:hint="eastAsia" w:ascii="Times New Roman" w:hAnsi="Times New Roman" w:cs="Times New Roman"/>
                <w:color w:val="auto"/>
                <w:kern w:val="2"/>
                <w:sz w:val="21"/>
                <w:szCs w:val="21"/>
                <w:lang w:bidi="ar-SA"/>
              </w:rPr>
              <w:t>量</w:t>
            </w:r>
            <w:r>
              <w:rPr>
                <w:rFonts w:ascii="Times New Roman" w:hAnsi="Times New Roman" w:cs="Times New Roman"/>
                <w:color w:val="auto"/>
                <w:kern w:val="2"/>
                <w:sz w:val="21"/>
                <w:szCs w:val="21"/>
                <w:lang w:bidi="ar-SA"/>
              </w:rPr>
              <w:t>约为</w:t>
            </w:r>
            <w:r>
              <w:rPr>
                <w:rFonts w:ascii="Times New Roman" w:hAnsi="Times New Roman" w:cs="Times New Roman"/>
                <w:color w:val="auto"/>
                <w:kern w:val="2"/>
                <w:sz w:val="21"/>
                <w:szCs w:val="21"/>
                <w:lang w:val="en-US" w:bidi="ar-SA"/>
              </w:rPr>
              <w:t>0.05t/a</w:t>
            </w:r>
            <w:r>
              <w:rPr>
                <w:rFonts w:hint="eastAsia" w:ascii="Times New Roman" w:hAnsi="Times New Roman" w:cs="Times New Roman"/>
                <w:color w:val="auto"/>
                <w:kern w:val="2"/>
                <w:sz w:val="21"/>
                <w:szCs w:val="21"/>
                <w:lang w:val="en-US" w:bidi="ar-SA"/>
              </w:rPr>
              <w:t>，</w:t>
            </w:r>
            <w:r>
              <w:rPr>
                <w:rFonts w:ascii="Times New Roman" w:hAnsi="Times New Roman" w:cs="Times New Roman"/>
                <w:color w:val="auto"/>
                <w:kern w:val="2"/>
                <w:sz w:val="21"/>
                <w:szCs w:val="21"/>
                <w:lang w:val="en-US" w:bidi="ar-SA"/>
              </w:rPr>
              <w:t>暂存于危废间，定期由资质单位处置。</w:t>
            </w:r>
          </w:p>
          <w:p>
            <w:pPr>
              <w:pStyle w:val="18"/>
              <w:autoSpaceDE/>
              <w:autoSpaceDN/>
              <w:spacing w:line="400" w:lineRule="exact"/>
              <w:ind w:firstLine="421" w:firstLineChars="200"/>
              <w:jc w:val="both"/>
              <w:rPr>
                <w:rFonts w:ascii="Times New Roman" w:hAnsi="Times New Roman" w:cs="Times New Roman"/>
                <w:color w:val="auto"/>
                <w:kern w:val="2"/>
                <w:sz w:val="21"/>
                <w:szCs w:val="21"/>
                <w:lang w:val="en-US" w:bidi="ar-SA"/>
              </w:rPr>
            </w:pPr>
            <w:r>
              <w:rPr>
                <w:rFonts w:ascii="Times New Roman" w:hAnsi="Times New Roman" w:cs="Times New Roman"/>
                <w:b/>
                <w:bCs/>
                <w:color w:val="auto"/>
                <w:kern w:val="2"/>
                <w:sz w:val="21"/>
                <w:szCs w:val="21"/>
                <w:lang w:val="en-US" w:bidi="ar-SA"/>
              </w:rPr>
              <w:t>②废机油：</w:t>
            </w:r>
            <w:r>
              <w:rPr>
                <w:rFonts w:ascii="Times New Roman" w:hAnsi="Times New Roman" w:cs="Times New Roman"/>
                <w:color w:val="auto"/>
                <w:kern w:val="2"/>
                <w:sz w:val="21"/>
                <w:szCs w:val="21"/>
                <w:lang w:val="en-US" w:bidi="ar-SA"/>
              </w:rPr>
              <w:t>项目使用的部分设备需定期进行检修，润滑油在设备运行过程中部分消耗，检修过程中会产生废润滑油。根据《国家危险废物名录》（2021年），废油属于危险废物（HW08，危废代码：900-217-08）。</w:t>
            </w:r>
            <w:r>
              <w:rPr>
                <w:rFonts w:ascii="Times New Roman" w:hAnsi="Times New Roman" w:cs="Times New Roman"/>
                <w:color w:val="auto"/>
                <w:kern w:val="2"/>
                <w:sz w:val="21"/>
                <w:szCs w:val="21"/>
                <w:lang w:bidi="ar-SA"/>
              </w:rPr>
              <w:t>根据企业提供的资料，</w:t>
            </w:r>
            <w:r>
              <w:rPr>
                <w:rFonts w:hint="eastAsia" w:ascii="Times New Roman" w:hAnsi="Times New Roman" w:cs="Times New Roman"/>
                <w:color w:val="auto"/>
                <w:kern w:val="2"/>
                <w:sz w:val="21"/>
                <w:szCs w:val="21"/>
                <w:lang w:bidi="ar-SA"/>
              </w:rPr>
              <w:t>干混砂浆生产线和湿拌砂浆生产线</w:t>
            </w:r>
            <w:r>
              <w:rPr>
                <w:rFonts w:ascii="Times New Roman" w:hAnsi="Times New Roman" w:cs="Times New Roman"/>
                <w:color w:val="auto"/>
                <w:kern w:val="2"/>
                <w:sz w:val="21"/>
                <w:szCs w:val="21"/>
                <w:lang w:val="en-US" w:bidi="ar-SA"/>
              </w:rPr>
              <w:t>废机油产生量</w:t>
            </w:r>
            <w:r>
              <w:rPr>
                <w:rFonts w:hint="eastAsia" w:ascii="Times New Roman" w:hAnsi="Times New Roman" w:cs="Times New Roman"/>
                <w:color w:val="auto"/>
                <w:kern w:val="2"/>
                <w:sz w:val="21"/>
                <w:szCs w:val="21"/>
                <w:lang w:val="en-US" w:bidi="ar-SA"/>
              </w:rPr>
              <w:t>约</w:t>
            </w:r>
            <w:r>
              <w:rPr>
                <w:rFonts w:ascii="Times New Roman" w:hAnsi="Times New Roman" w:cs="Times New Roman"/>
                <w:color w:val="auto"/>
                <w:kern w:val="2"/>
                <w:sz w:val="21"/>
                <w:szCs w:val="21"/>
                <w:lang w:val="en-US" w:bidi="ar-SA"/>
              </w:rPr>
              <w:t>为0.2t/a，暂存于危废间，定期由具有危险废物处理资质的单位回收处理。</w:t>
            </w:r>
          </w:p>
          <w:p>
            <w:pPr>
              <w:autoSpaceDE/>
              <w:autoSpaceDN/>
              <w:spacing w:line="400" w:lineRule="exact"/>
              <w:ind w:left="110" w:leftChars="50" w:firstLine="420" w:firstLineChars="200"/>
              <w:jc w:val="both"/>
              <w:rPr>
                <w:rFonts w:ascii="Times New Roman" w:hAnsi="Times New Roman" w:cs="Times New Roman"/>
                <w:b/>
                <w:bCs/>
                <w:color w:val="auto"/>
                <w:kern w:val="2"/>
                <w:sz w:val="21"/>
                <w:szCs w:val="21"/>
                <w:lang w:val="en-US" w:bidi="ar-SA"/>
              </w:rPr>
            </w:pPr>
            <w:r>
              <w:rPr>
                <w:rFonts w:ascii="Times New Roman" w:hAnsi="Times New Roman" w:cs="Times New Roman"/>
                <w:color w:val="auto"/>
                <w:kern w:val="2"/>
                <w:sz w:val="21"/>
                <w:szCs w:val="21"/>
                <w:lang w:val="en-US" w:bidi="ar-SA"/>
              </w:rPr>
              <w:t>项目所产生的固体废物全部得到综合利用和妥善处置，不排入外环境。</w:t>
            </w:r>
          </w:p>
          <w:p>
            <w:pPr>
              <w:keepNext/>
              <w:keepLines/>
              <w:autoSpaceDE/>
              <w:autoSpaceDN/>
              <w:spacing w:line="400" w:lineRule="exact"/>
              <w:ind w:left="110" w:leftChars="50" w:firstLine="421" w:firstLineChars="200"/>
              <w:jc w:val="both"/>
              <w:outlineLvl w:val="3"/>
              <w:rPr>
                <w:rFonts w:ascii="Times New Roman" w:hAnsi="Times New Roman" w:cs="Times New Roman"/>
                <w:b/>
                <w:bCs/>
                <w:color w:val="auto"/>
                <w:kern w:val="2"/>
                <w:sz w:val="21"/>
                <w:szCs w:val="21"/>
                <w:lang w:val="en-US" w:bidi="ar-SA"/>
              </w:rPr>
            </w:pPr>
            <w:r>
              <w:rPr>
                <w:rFonts w:ascii="Times New Roman" w:hAnsi="Times New Roman" w:cs="Times New Roman"/>
                <w:b/>
                <w:bCs/>
                <w:color w:val="auto"/>
                <w:kern w:val="2"/>
                <w:sz w:val="21"/>
                <w:szCs w:val="21"/>
                <w:lang w:val="en-US" w:bidi="ar-SA"/>
              </w:rPr>
              <w:t>2、环境管理要求</w:t>
            </w:r>
          </w:p>
          <w:p>
            <w:pPr>
              <w:pStyle w:val="18"/>
              <w:autoSpaceDE/>
              <w:autoSpaceDN/>
              <w:spacing w:line="400" w:lineRule="exact"/>
              <w:ind w:left="110" w:leftChars="50" w:firstLine="420" w:firstLineChars="200"/>
              <w:rPr>
                <w:rFonts w:ascii="Times New Roman" w:hAnsi="Times New Roman" w:cs="Times New Roman"/>
                <w:color w:val="auto"/>
                <w:sz w:val="21"/>
                <w:szCs w:val="21"/>
                <w:lang w:val="en-US" w:bidi="ar"/>
              </w:rPr>
            </w:pPr>
            <w:r>
              <w:rPr>
                <w:rFonts w:ascii="Times New Roman" w:hAnsi="Times New Roman" w:cs="Times New Roman"/>
                <w:color w:val="auto"/>
                <w:kern w:val="2"/>
                <w:sz w:val="21"/>
                <w:szCs w:val="21"/>
                <w:lang w:val="en-US" w:bidi="ar-SA"/>
              </w:rPr>
              <w:t>（1）</w:t>
            </w:r>
            <w:r>
              <w:rPr>
                <w:rFonts w:ascii="Times New Roman" w:hAnsi="Times New Roman" w:cs="Times New Roman"/>
                <w:color w:val="auto"/>
                <w:sz w:val="21"/>
                <w:szCs w:val="21"/>
                <w:lang w:val="en-US" w:bidi="ar"/>
              </w:rPr>
              <w:t>一般固废暂存要求</w:t>
            </w:r>
          </w:p>
          <w:p>
            <w:pPr>
              <w:pStyle w:val="18"/>
              <w:wordWrap w:val="0"/>
              <w:autoSpaceDE/>
              <w:autoSpaceDN/>
              <w:spacing w:line="400" w:lineRule="exact"/>
              <w:ind w:left="110" w:leftChars="50" w:firstLine="420" w:firstLineChars="200"/>
              <w:rPr>
                <w:rFonts w:ascii="Times New Roman" w:hAnsi="Times New Roman" w:cs="Times New Roman"/>
                <w:color w:val="auto"/>
                <w:sz w:val="21"/>
                <w:szCs w:val="21"/>
                <w:lang w:val="en-US" w:bidi="ar"/>
              </w:rPr>
            </w:pPr>
            <w:r>
              <w:rPr>
                <w:rFonts w:ascii="Times New Roman" w:hAnsi="Times New Roman" w:cs="Times New Roman"/>
                <w:color w:val="auto"/>
                <w:sz w:val="21"/>
                <w:szCs w:val="21"/>
                <w:lang w:val="en-US" w:bidi="ar"/>
              </w:rPr>
              <w:t>本项目各类一般工业固体废物分类收集、定点堆放在厂房一般固废暂存区，定期外售综合利用。按照《环境保护图形标志—固体废物贮存（处置）场》（GB15562.2-1995）及其修改单的规定设置环境保护标志。</w:t>
            </w:r>
          </w:p>
          <w:p>
            <w:pPr>
              <w:autoSpaceDE/>
              <w:autoSpaceDN/>
              <w:spacing w:line="400" w:lineRule="exact"/>
              <w:ind w:left="110" w:leftChars="50" w:firstLine="420" w:firstLineChars="200"/>
              <w:jc w:val="both"/>
              <w:textAlignment w:val="baseline"/>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贮存场应设置清晰、完整的一般工业固体废物标志牌等。排污单位生产运营期间一般工业固体废物自行贮存/利用/处置设施的环境管理和相关设施运行维护要求还应符合GB 15562.2和HJ 2035等相关标准规范要求。</w:t>
            </w:r>
          </w:p>
          <w:p>
            <w:pPr>
              <w:pStyle w:val="18"/>
              <w:spacing w:line="400" w:lineRule="exact"/>
              <w:ind w:left="110" w:leftChars="50" w:firstLine="420" w:firstLineChars="200"/>
              <w:rPr>
                <w:rFonts w:ascii="Times New Roman" w:hAnsi="Times New Roman" w:cs="Times New Roman"/>
                <w:b/>
                <w:bCs/>
                <w:color w:val="auto"/>
                <w:sz w:val="21"/>
                <w:szCs w:val="21"/>
                <w:lang w:val="en-US"/>
              </w:rPr>
            </w:pPr>
            <w:r>
              <w:rPr>
                <w:rFonts w:ascii="Times New Roman" w:hAnsi="Times New Roman" w:cs="Times New Roman"/>
                <w:color w:val="auto"/>
                <w:kern w:val="2"/>
                <w:sz w:val="21"/>
                <w:szCs w:val="21"/>
                <w:lang w:val="en-US" w:bidi="ar-SA"/>
              </w:rPr>
              <w:t>（2）危废暂存间贮存管理要求</w:t>
            </w:r>
            <w:r>
              <w:rPr>
                <w:rFonts w:ascii="Times New Roman" w:hAnsi="Times New Roman" w:cs="Times New Roman"/>
                <w:b/>
                <w:bCs/>
                <w:color w:val="auto"/>
                <w:sz w:val="21"/>
                <w:szCs w:val="21"/>
                <w:lang w:val="en-US"/>
              </w:rPr>
              <w:t xml:space="preserve"> </w:t>
            </w:r>
          </w:p>
          <w:p>
            <w:pPr>
              <w:pStyle w:val="18"/>
              <w:spacing w:line="400" w:lineRule="exact"/>
              <w:ind w:left="110" w:lef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①</w:t>
            </w:r>
            <w:r>
              <w:rPr>
                <w:rFonts w:ascii="Times New Roman" w:hAnsi="Times New Roman" w:cs="Times New Roman"/>
                <w:color w:val="auto"/>
                <w:sz w:val="21"/>
                <w:szCs w:val="21"/>
              </w:rPr>
              <w:t>危险废物判定</w:t>
            </w:r>
          </w:p>
          <w:p>
            <w:pPr>
              <w:pStyle w:val="18"/>
              <w:spacing w:line="400" w:lineRule="exact"/>
              <w:ind w:left="110" w:leftChars="50" w:firstLine="420" w:firstLineChars="200"/>
              <w:jc w:val="both"/>
              <w:rPr>
                <w:rFonts w:ascii="Times New Roman" w:hAnsi="Times New Roman" w:cs="Times New Roman"/>
                <w:b/>
                <w:bCs/>
                <w:color w:val="auto"/>
                <w:sz w:val="21"/>
                <w:szCs w:val="21"/>
              </w:rPr>
            </w:pPr>
            <w:r>
              <w:rPr>
                <w:rFonts w:ascii="Times New Roman" w:hAnsi="Times New Roman" w:cs="Times New Roman"/>
                <w:color w:val="auto"/>
                <w:sz w:val="21"/>
                <w:szCs w:val="21"/>
              </w:rPr>
              <w:t>根据《建设项目危险废物环境影响评价指南》要求，按照《中华人民共和国固体废物污染环境防治法》、《固体废物鉴别标准通则》（GB34330），对建设项目产生的物质（除目标产物，即：产品、副产品外），依据产生来源、利用和处置过程鉴别属于固体废物并且作为固体废物管理的物质，并按照《国家危险废物名录》（</w:t>
            </w:r>
            <w:r>
              <w:rPr>
                <w:rFonts w:ascii="Times New Roman" w:hAnsi="Times New Roman" w:cs="Times New Roman"/>
                <w:color w:val="auto"/>
                <w:sz w:val="21"/>
                <w:szCs w:val="21"/>
                <w:lang w:val="en-US"/>
              </w:rPr>
              <w:t>2021年版</w:t>
            </w:r>
            <w:r>
              <w:rPr>
                <w:rFonts w:ascii="Times New Roman" w:hAnsi="Times New Roman" w:cs="Times New Roman"/>
                <w:color w:val="auto"/>
                <w:sz w:val="21"/>
                <w:szCs w:val="21"/>
              </w:rPr>
              <w:t>）、《危险废物鉴别标准 通则》（GB5085.7）等进行属性判定。厂区危险废物的名称、数量、类别、形态、危险特性和污染防治措施等内容一览表如下：</w:t>
            </w:r>
          </w:p>
          <w:p>
            <w:pPr>
              <w:spacing w:line="460" w:lineRule="exact"/>
              <w:jc w:val="center"/>
              <w:outlineLvl w:val="2"/>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eastAsia="zh-CN"/>
              </w:rPr>
              <w:t>19</w:t>
            </w:r>
            <w:r>
              <w:rPr>
                <w:rFonts w:ascii="Times New Roman" w:hAnsi="Times New Roman" w:cs="Times New Roman"/>
                <w:b/>
                <w:bCs/>
                <w:color w:val="auto"/>
                <w:sz w:val="21"/>
                <w:szCs w:val="21"/>
              </w:rPr>
              <w:t xml:space="preserve">  厂区危险废物汇总表</w:t>
            </w:r>
          </w:p>
          <w:tbl>
            <w:tblPr>
              <w:tblStyle w:val="32"/>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741"/>
              <w:gridCol w:w="71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360"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危险废物名称</w:t>
                  </w:r>
                </w:p>
              </w:tc>
              <w:tc>
                <w:tcPr>
                  <w:tcW w:w="661"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危险废物类别</w:t>
                  </w:r>
                </w:p>
              </w:tc>
              <w:tc>
                <w:tcPr>
                  <w:tcW w:w="1350"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危险废物代码</w:t>
                  </w:r>
                </w:p>
              </w:tc>
              <w:tc>
                <w:tcPr>
                  <w:tcW w:w="605" w:type="dxa"/>
                  <w:vAlign w:val="center"/>
                </w:tcPr>
                <w:p>
                  <w:pPr>
                    <w:topLinePunct/>
                    <w:autoSpaceDE/>
                    <w:autoSpaceDN/>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产生量</w:t>
                  </w:r>
                  <w:r>
                    <w:rPr>
                      <w:rFonts w:ascii="Times New Roman" w:hAnsi="Times New Roman" w:cs="Times New Roman"/>
                      <w:b/>
                      <w:bCs/>
                      <w:color w:val="auto"/>
                      <w:sz w:val="21"/>
                      <w:szCs w:val="21"/>
                      <w:lang w:val="en-US"/>
                    </w:rPr>
                    <w:t>t/a</w:t>
                  </w:r>
                </w:p>
              </w:tc>
              <w:tc>
                <w:tcPr>
                  <w:tcW w:w="1112"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产生工序及装置</w:t>
                  </w:r>
                </w:p>
              </w:tc>
              <w:tc>
                <w:tcPr>
                  <w:tcW w:w="367"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形态</w:t>
                  </w:r>
                </w:p>
              </w:tc>
              <w:tc>
                <w:tcPr>
                  <w:tcW w:w="741"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有害</w:t>
                  </w:r>
                </w:p>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成分</w:t>
                  </w:r>
                </w:p>
              </w:tc>
              <w:tc>
                <w:tcPr>
                  <w:tcW w:w="715"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产废</w:t>
                  </w:r>
                </w:p>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周期</w:t>
                  </w:r>
                </w:p>
              </w:tc>
              <w:tc>
                <w:tcPr>
                  <w:tcW w:w="1687" w:type="dxa"/>
                  <w:vAlign w:val="center"/>
                </w:tcPr>
                <w:p>
                  <w:pPr>
                    <w:topLinePunct/>
                    <w:autoSpaceDE/>
                    <w:autoSpaceDN/>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1</w:t>
                  </w:r>
                </w:p>
              </w:tc>
              <w:tc>
                <w:tcPr>
                  <w:tcW w:w="1360"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废油桶</w:t>
                  </w:r>
                </w:p>
              </w:tc>
              <w:tc>
                <w:tcPr>
                  <w:tcW w:w="661"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HW08</w:t>
                  </w:r>
                </w:p>
              </w:tc>
              <w:tc>
                <w:tcPr>
                  <w:tcW w:w="135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1"/>
                      <w:sz w:val="21"/>
                      <w:szCs w:val="21"/>
                    </w:rPr>
                    <w:t>900-249-08</w:t>
                  </w:r>
                </w:p>
              </w:tc>
              <w:tc>
                <w:tcPr>
                  <w:tcW w:w="60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0.05</w:t>
                  </w:r>
                </w:p>
              </w:tc>
              <w:tc>
                <w:tcPr>
                  <w:tcW w:w="1112"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检维修</w:t>
                  </w:r>
                </w:p>
              </w:tc>
              <w:tc>
                <w:tcPr>
                  <w:tcW w:w="367"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固态</w:t>
                  </w:r>
                </w:p>
              </w:tc>
              <w:tc>
                <w:tcPr>
                  <w:tcW w:w="741"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废矿物油</w:t>
                  </w:r>
                </w:p>
              </w:tc>
              <w:tc>
                <w:tcPr>
                  <w:tcW w:w="715"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2</w:t>
                  </w:r>
                  <w:r>
                    <w:rPr>
                      <w:rFonts w:ascii="Times New Roman" w:hAnsi="Times New Roman" w:cs="Times New Roman"/>
                      <w:color w:val="auto"/>
                      <w:sz w:val="21"/>
                      <w:szCs w:val="21"/>
                    </w:rPr>
                    <w:t>个</w:t>
                  </w:r>
                  <w:r>
                    <w:rPr>
                      <w:rFonts w:ascii="Times New Roman" w:hAnsi="Times New Roman" w:cs="Times New Roman"/>
                      <w:color w:val="auto"/>
                      <w:sz w:val="21"/>
                      <w:szCs w:val="21"/>
                      <w:lang w:val="en-US"/>
                    </w:rPr>
                    <w:t>月</w:t>
                  </w:r>
                </w:p>
              </w:tc>
              <w:tc>
                <w:tcPr>
                  <w:tcW w:w="1687"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p>
              </w:tc>
              <w:tc>
                <w:tcPr>
                  <w:tcW w:w="1360"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w:t>
                  </w:r>
                  <w:r>
                    <w:rPr>
                      <w:rFonts w:hint="eastAsia" w:ascii="Times New Roman" w:hAnsi="Times New Roman" w:cs="Times New Roman"/>
                      <w:color w:val="auto"/>
                      <w:sz w:val="21"/>
                      <w:szCs w:val="21"/>
                      <w:lang w:val="en-US"/>
                    </w:rPr>
                    <w:t>机油</w:t>
                  </w:r>
                </w:p>
              </w:tc>
              <w:tc>
                <w:tcPr>
                  <w:tcW w:w="661"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HW08</w:t>
                  </w:r>
                </w:p>
              </w:tc>
              <w:tc>
                <w:tcPr>
                  <w:tcW w:w="135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900-217-08</w:t>
                  </w:r>
                </w:p>
              </w:tc>
              <w:tc>
                <w:tcPr>
                  <w:tcW w:w="605"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val="en-US" w:bidi="ar-SA"/>
                    </w:rPr>
                    <w:t>0.</w:t>
                  </w:r>
                  <w:r>
                    <w:rPr>
                      <w:rFonts w:hint="eastAsia" w:ascii="Times New Roman" w:hAnsi="Times New Roman" w:cs="Times New Roman"/>
                      <w:color w:val="auto"/>
                      <w:kern w:val="2"/>
                      <w:sz w:val="21"/>
                      <w:szCs w:val="21"/>
                      <w:lang w:val="en-US" w:bidi="ar-SA"/>
                    </w:rPr>
                    <w:t>2</w:t>
                  </w:r>
                </w:p>
              </w:tc>
              <w:tc>
                <w:tcPr>
                  <w:tcW w:w="1112"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rPr>
                    <w:t>检维修</w:t>
                  </w:r>
                </w:p>
              </w:tc>
              <w:tc>
                <w:tcPr>
                  <w:tcW w:w="367"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液态</w:t>
                  </w:r>
                </w:p>
              </w:tc>
              <w:tc>
                <w:tcPr>
                  <w:tcW w:w="741"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废矿物油</w:t>
                  </w:r>
                </w:p>
              </w:tc>
              <w:tc>
                <w:tcPr>
                  <w:tcW w:w="715" w:type="dxa"/>
                  <w:vAlign w:val="center"/>
                </w:tcPr>
                <w:p>
                  <w:pPr>
                    <w:autoSpaceDE/>
                    <w:autoSpaceDN/>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r>
                    <w:rPr>
                      <w:rFonts w:ascii="Times New Roman" w:hAnsi="Times New Roman" w:cs="Times New Roman"/>
                      <w:color w:val="auto"/>
                      <w:sz w:val="21"/>
                      <w:szCs w:val="21"/>
                    </w:rPr>
                    <w:t>个</w:t>
                  </w:r>
                  <w:r>
                    <w:rPr>
                      <w:rFonts w:ascii="Times New Roman" w:hAnsi="Times New Roman" w:cs="Times New Roman"/>
                      <w:color w:val="auto"/>
                      <w:sz w:val="21"/>
                      <w:szCs w:val="21"/>
                      <w:lang w:val="en-US"/>
                    </w:rPr>
                    <w:t>月</w:t>
                  </w:r>
                </w:p>
              </w:tc>
              <w:tc>
                <w:tcPr>
                  <w:tcW w:w="1687"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暂存危废间，定期由资质单位处置</w:t>
                  </w:r>
                </w:p>
              </w:tc>
            </w:tr>
          </w:tbl>
          <w:p>
            <w:pPr>
              <w:snapToGrid w:val="0"/>
              <w:spacing w:line="5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eastAsia="zh-CN"/>
              </w:rPr>
              <w:t>0</w:t>
            </w:r>
            <w:r>
              <w:rPr>
                <w:rFonts w:ascii="Times New Roman" w:hAnsi="Times New Roman" w:cs="Times New Roman"/>
                <w:b/>
                <w:bCs/>
                <w:color w:val="auto"/>
                <w:sz w:val="21"/>
                <w:szCs w:val="21"/>
              </w:rPr>
              <w:t xml:space="preserve">  建设项目危险废物贮存场所（设施）基本情况</w:t>
            </w:r>
          </w:p>
          <w:tbl>
            <w:tblPr>
              <w:tblStyle w:val="32"/>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14"/>
              <w:gridCol w:w="1290"/>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序号</w:t>
                  </w:r>
                </w:p>
              </w:tc>
              <w:tc>
                <w:tcPr>
                  <w:tcW w:w="1314"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贮存场所（设施）名称</w:t>
                  </w:r>
                </w:p>
              </w:tc>
              <w:tc>
                <w:tcPr>
                  <w:tcW w:w="1290"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危险废物名称</w:t>
                  </w:r>
                </w:p>
              </w:tc>
              <w:tc>
                <w:tcPr>
                  <w:tcW w:w="1005"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危险废物类别</w:t>
                  </w:r>
                </w:p>
              </w:tc>
              <w:tc>
                <w:tcPr>
                  <w:tcW w:w="1290"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危险废物代码</w:t>
                  </w:r>
                </w:p>
              </w:tc>
              <w:tc>
                <w:tcPr>
                  <w:tcW w:w="915"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rPr>
                    <w:t>占地面积</w:t>
                  </w:r>
                  <w:r>
                    <w:rPr>
                      <w:rFonts w:ascii="Times New Roman" w:hAnsi="Times New Roman" w:cs="Times New Roman"/>
                      <w:b/>
                      <w:bCs/>
                      <w:color w:val="auto"/>
                      <w:sz w:val="21"/>
                      <w:szCs w:val="21"/>
                      <w:lang w:val="en-US"/>
                    </w:rPr>
                    <w:t>m</w:t>
                  </w:r>
                  <w:r>
                    <w:rPr>
                      <w:rFonts w:ascii="Times New Roman" w:hAnsi="Times New Roman" w:cs="Times New Roman"/>
                      <w:b/>
                      <w:bCs/>
                      <w:color w:val="auto"/>
                      <w:sz w:val="21"/>
                      <w:szCs w:val="21"/>
                      <w:vertAlign w:val="superscript"/>
                      <w:lang w:val="en-US"/>
                    </w:rPr>
                    <w:t>2</w:t>
                  </w:r>
                </w:p>
              </w:tc>
              <w:tc>
                <w:tcPr>
                  <w:tcW w:w="675"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w:t>
                  </w:r>
                </w:p>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方式</w:t>
                  </w:r>
                </w:p>
              </w:tc>
              <w:tc>
                <w:tcPr>
                  <w:tcW w:w="960"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贮存能力（吨）</w:t>
                  </w:r>
                </w:p>
              </w:tc>
              <w:tc>
                <w:tcPr>
                  <w:tcW w:w="761" w:type="dxa"/>
                  <w:vAlign w:val="center"/>
                </w:tcPr>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贮存</w:t>
                  </w:r>
                </w:p>
                <w:p>
                  <w:pPr>
                    <w:topLinePunct/>
                    <w:adjustRightInd w:val="0"/>
                    <w:snapToGrid w:val="0"/>
                    <w:ind w:left="-110" w:leftChars="-50" w:right="-110" w:rightChars="-5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1</w:t>
                  </w:r>
                </w:p>
              </w:tc>
              <w:tc>
                <w:tcPr>
                  <w:tcW w:w="1314" w:type="dxa"/>
                  <w:vMerge w:val="restart"/>
                  <w:vAlign w:val="center"/>
                </w:tcPr>
                <w:p>
                  <w:pPr>
                    <w:topLinePunct/>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危废间</w:t>
                  </w:r>
                </w:p>
              </w:tc>
              <w:tc>
                <w:tcPr>
                  <w:tcW w:w="1290"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废油桶</w:t>
                  </w:r>
                </w:p>
              </w:tc>
              <w:tc>
                <w:tcPr>
                  <w:tcW w:w="1005"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HW08</w:t>
                  </w:r>
                </w:p>
              </w:tc>
              <w:tc>
                <w:tcPr>
                  <w:tcW w:w="129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1"/>
                      <w:sz w:val="21"/>
                      <w:szCs w:val="21"/>
                    </w:rPr>
                    <w:t>900-249-08</w:t>
                  </w:r>
                </w:p>
              </w:tc>
              <w:tc>
                <w:tcPr>
                  <w:tcW w:w="915" w:type="dxa"/>
                  <w:vAlign w:val="center"/>
                </w:tcPr>
                <w:p>
                  <w:pPr>
                    <w:topLinePunct/>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3</w:t>
                  </w:r>
                </w:p>
              </w:tc>
              <w:tc>
                <w:tcPr>
                  <w:tcW w:w="675"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桶装</w:t>
                  </w:r>
                </w:p>
              </w:tc>
              <w:tc>
                <w:tcPr>
                  <w:tcW w:w="960"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1</w:t>
                  </w:r>
                </w:p>
              </w:tc>
              <w:tc>
                <w:tcPr>
                  <w:tcW w:w="761"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2</w:t>
                  </w:r>
                </w:p>
              </w:tc>
              <w:tc>
                <w:tcPr>
                  <w:tcW w:w="1314" w:type="dxa"/>
                  <w:vMerge w:val="continue"/>
                  <w:vAlign w:val="center"/>
                </w:tcPr>
                <w:p>
                  <w:pPr>
                    <w:topLinePunct/>
                    <w:adjustRightInd w:val="0"/>
                    <w:snapToGrid w:val="0"/>
                    <w:jc w:val="center"/>
                    <w:rPr>
                      <w:rFonts w:ascii="Times New Roman" w:hAnsi="Times New Roman" w:cs="Times New Roman"/>
                      <w:color w:val="auto"/>
                      <w:sz w:val="21"/>
                      <w:szCs w:val="21"/>
                    </w:rPr>
                  </w:pPr>
                </w:p>
              </w:tc>
              <w:tc>
                <w:tcPr>
                  <w:tcW w:w="1290" w:type="dxa"/>
                  <w:vAlign w:val="center"/>
                </w:tcPr>
                <w:p>
                  <w:pPr>
                    <w:spacing w:line="0" w:lineRule="atLeast"/>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废</w:t>
                  </w:r>
                  <w:r>
                    <w:rPr>
                      <w:rFonts w:hint="eastAsia" w:ascii="Times New Roman" w:hAnsi="Times New Roman" w:cs="Times New Roman"/>
                      <w:color w:val="auto"/>
                      <w:sz w:val="21"/>
                      <w:szCs w:val="21"/>
                      <w:lang w:val="en-US"/>
                    </w:rPr>
                    <w:t>机油</w:t>
                  </w:r>
                </w:p>
              </w:tc>
              <w:tc>
                <w:tcPr>
                  <w:tcW w:w="1005" w:type="dxa"/>
                  <w:vAlign w:val="center"/>
                </w:tcPr>
                <w:p>
                  <w:pPr>
                    <w:autoSpaceDE/>
                    <w:autoSpaceDN/>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kern w:val="2"/>
                      <w:sz w:val="21"/>
                      <w:szCs w:val="21"/>
                      <w:lang w:val="en-US" w:bidi="ar-SA"/>
                    </w:rPr>
                    <w:t>HW08</w:t>
                  </w:r>
                </w:p>
              </w:tc>
              <w:tc>
                <w:tcPr>
                  <w:tcW w:w="1290" w:type="dxa"/>
                  <w:vAlign w:val="center"/>
                </w:tcPr>
                <w:p>
                  <w:pPr>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900-217-08</w:t>
                  </w:r>
                </w:p>
              </w:tc>
              <w:tc>
                <w:tcPr>
                  <w:tcW w:w="915" w:type="dxa"/>
                  <w:vAlign w:val="center"/>
                </w:tcPr>
                <w:p>
                  <w:pPr>
                    <w:topLinePunct/>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w:t>
                  </w:r>
                </w:p>
              </w:tc>
              <w:tc>
                <w:tcPr>
                  <w:tcW w:w="675"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桶装</w:t>
                  </w:r>
                </w:p>
              </w:tc>
              <w:tc>
                <w:tcPr>
                  <w:tcW w:w="960" w:type="dxa"/>
                  <w:vAlign w:val="center"/>
                </w:tcPr>
                <w:p>
                  <w:pPr>
                    <w:topLinePunct/>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2</w:t>
                  </w:r>
                </w:p>
              </w:tc>
              <w:tc>
                <w:tcPr>
                  <w:tcW w:w="761" w:type="dxa"/>
                  <w:vAlign w:val="center"/>
                </w:tcPr>
                <w:p>
                  <w:pPr>
                    <w:topLinePunct/>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6个月</w:t>
                  </w:r>
                </w:p>
              </w:tc>
            </w:tr>
          </w:tbl>
          <w:p>
            <w:pPr>
              <w:spacing w:line="400" w:lineRule="exact"/>
              <w:ind w:left="110" w:leftChars="50" w:right="110" w:rightChars="50"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建设单位计划建设</w:t>
            </w: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lang w:val="en-US"/>
              </w:rPr>
              <w:t>m</w:t>
            </w:r>
            <w:r>
              <w:rPr>
                <w:rFonts w:ascii="Times New Roman" w:hAnsi="Times New Roman" w:cs="Times New Roman"/>
                <w:color w:val="auto"/>
                <w:sz w:val="21"/>
                <w:szCs w:val="21"/>
                <w:vertAlign w:val="superscript"/>
                <w:lang w:val="en-US"/>
              </w:rPr>
              <w:t>2</w:t>
            </w:r>
            <w:r>
              <w:rPr>
                <w:rFonts w:ascii="Times New Roman" w:hAnsi="Times New Roman" w:cs="Times New Roman"/>
                <w:color w:val="auto"/>
                <w:sz w:val="21"/>
                <w:szCs w:val="21"/>
                <w:lang w:val="en-US"/>
              </w:rPr>
              <w:t>的危废间，</w:t>
            </w:r>
            <w:r>
              <w:rPr>
                <w:rFonts w:hint="eastAsia" w:ascii="Times New Roman" w:hAnsi="Times New Roman" w:cs="Times New Roman"/>
                <w:color w:val="auto"/>
                <w:sz w:val="21"/>
                <w:szCs w:val="21"/>
                <w:lang w:val="en-US"/>
              </w:rPr>
              <w:t>供原有生产线及新建湿拌砂浆生产线共用，</w:t>
            </w:r>
            <w:r>
              <w:rPr>
                <w:rFonts w:ascii="Times New Roman" w:hAnsi="Times New Roman" w:cs="Times New Roman"/>
                <w:color w:val="auto"/>
                <w:sz w:val="21"/>
                <w:szCs w:val="21"/>
                <w:lang w:val="en-US"/>
              </w:rPr>
              <w:t>满足危废储存要求。</w:t>
            </w:r>
          </w:p>
          <w:p>
            <w:pPr>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lang w:val="en-US"/>
              </w:rPr>
              <w:t>②</w:t>
            </w:r>
            <w:r>
              <w:rPr>
                <w:rFonts w:ascii="Times New Roman" w:hAnsi="Times New Roman" w:cs="Times New Roman"/>
                <w:color w:val="auto"/>
                <w:sz w:val="21"/>
                <w:szCs w:val="21"/>
              </w:rPr>
              <w:t>危险废物贮存设施要求</w:t>
            </w:r>
          </w:p>
          <w:p>
            <w:pPr>
              <w:snapToGrid w:val="0"/>
              <w:spacing w:line="400" w:lineRule="exact"/>
              <w:ind w:left="110" w:lef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依据《危险废物贮存污染控制标准》（GB 18597-2023）中规定，本项目厂内需要建设“危险废物储存间”，</w:t>
            </w:r>
            <w:r>
              <w:rPr>
                <w:rFonts w:hint="eastAsia" w:ascii="Times New Roman" w:hAnsi="Times New Roman" w:cs="Times New Roman"/>
                <w:color w:val="auto"/>
                <w:sz w:val="21"/>
                <w:szCs w:val="21"/>
              </w:rPr>
              <w:t>按照</w:t>
            </w:r>
            <w:r>
              <w:rPr>
                <w:rFonts w:hint="eastAsia" w:ascii="Times New Roman" w:hAnsi="Times New Roman" w:cs="Times New Roman"/>
                <w:color w:val="auto"/>
                <w:sz w:val="21"/>
                <w:szCs w:val="21"/>
                <w:lang w:val="en-US"/>
              </w:rPr>
              <w:t>GB18597中关于</w:t>
            </w:r>
            <w:r>
              <w:rPr>
                <w:rFonts w:hint="eastAsia" w:ascii="Times New Roman" w:hAnsi="Times New Roman" w:cs="Times New Roman"/>
                <w:color w:val="auto"/>
                <w:sz w:val="21"/>
                <w:szCs w:val="21"/>
              </w:rPr>
              <w:t>“</w:t>
            </w:r>
            <w:r>
              <w:rPr>
                <w:rFonts w:ascii="Times New Roman" w:hAnsi="Times New Roman" w:cs="Times New Roman"/>
                <w:color w:val="auto"/>
                <w:sz w:val="21"/>
                <w:szCs w:val="21"/>
              </w:rPr>
              <w:t>贮存设施污染控制要求</w:t>
            </w:r>
            <w:r>
              <w:rPr>
                <w:rFonts w:hint="eastAsia" w:ascii="Times New Roman" w:hAnsi="Times New Roman" w:cs="Times New Roman"/>
                <w:color w:val="auto"/>
                <w:sz w:val="21"/>
                <w:szCs w:val="21"/>
              </w:rPr>
              <w:t>”，</w:t>
            </w:r>
            <w:r>
              <w:rPr>
                <w:rFonts w:ascii="Times New Roman" w:hAnsi="Times New Roman" w:cs="Times New Roman"/>
                <w:color w:val="auto"/>
                <w:sz w:val="21"/>
                <w:szCs w:val="21"/>
              </w:rPr>
              <w:t>该储存间应符合以下要求：</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a、</w:t>
            </w:r>
            <w:r>
              <w:rPr>
                <w:rFonts w:hint="eastAsia" w:ascii="Times New Roman" w:hAnsi="Times New Roman" w:cs="Times New Roman"/>
                <w:color w:val="auto"/>
                <w:sz w:val="21"/>
                <w:szCs w:val="21"/>
              </w:rPr>
              <w:t>贮存设施应根据危险废物的形态、物理化学性质、包装形式和污染物迁移途径，采取必要的防风、防晒、防雨、防漏、防渗、防腐以及其他环境污染防治措施，不应露天堆放危险废物；</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b、</w:t>
            </w:r>
            <w:r>
              <w:rPr>
                <w:rFonts w:hint="eastAsia" w:ascii="Times New Roman" w:hAnsi="Times New Roman" w:cs="Times New Roman"/>
                <w:color w:val="auto"/>
                <w:sz w:val="21"/>
                <w:szCs w:val="21"/>
              </w:rPr>
              <w:t>贮存设施应根据危险废物的类别、数量、形态、物理化学性质和污染防治等要求设置必要的贮存分区，避免不相容的危险废物接触、混合；</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c、</w:t>
            </w:r>
            <w:r>
              <w:rPr>
                <w:rFonts w:hint="eastAsia" w:ascii="Times New Roman" w:hAnsi="Times New Roman" w:cs="Times New Roman"/>
                <w:color w:val="auto"/>
                <w:sz w:val="21"/>
                <w:szCs w:val="21"/>
              </w:rPr>
              <w:t>贮存设施或贮存分区内地面、墙面裙脚、堵截泄漏的围堰、接触危险废物的隔板和墙体等应采用坚固的材料建造，表面无裂缝；</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d、</w:t>
            </w:r>
            <w:r>
              <w:rPr>
                <w:rFonts w:hint="eastAsia" w:ascii="Times New Roman" w:hAnsi="Times New Roman" w:cs="Times New Roman"/>
                <w:color w:val="auto"/>
                <w:sz w:val="21"/>
                <w:szCs w:val="21"/>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 m 厚黏土层（渗透系数不大于10</w:t>
            </w:r>
            <w:r>
              <w:rPr>
                <w:rFonts w:hint="eastAsia" w:ascii="Times New Roman" w:hAnsi="Times New Roman" w:cs="Times New Roman"/>
                <w:color w:val="auto"/>
                <w:sz w:val="21"/>
                <w:szCs w:val="21"/>
                <w:vertAlign w:val="superscript"/>
              </w:rPr>
              <w:t>-7</w:t>
            </w:r>
            <w:r>
              <w:rPr>
                <w:rFonts w:hint="eastAsia" w:ascii="Times New Roman" w:hAnsi="Times New Roman" w:cs="Times New Roman"/>
                <w:color w:val="auto"/>
                <w:sz w:val="21"/>
                <w:szCs w:val="21"/>
              </w:rPr>
              <w:t xml:space="preserve"> cm/s），或至少2 mm 厚高密度聚乙烯膜等人工防渗材料（渗透系数不大于 10</w:t>
            </w:r>
            <w:r>
              <w:rPr>
                <w:rFonts w:hint="eastAsia" w:ascii="Times New Roman" w:hAnsi="Times New Roman" w:cs="Times New Roman"/>
                <w:color w:val="auto"/>
                <w:sz w:val="21"/>
                <w:szCs w:val="21"/>
                <w:vertAlign w:val="superscript"/>
              </w:rPr>
              <w:t>-10</w:t>
            </w:r>
            <w:r>
              <w:rPr>
                <w:rFonts w:hint="eastAsia" w:ascii="Times New Roman" w:hAnsi="Times New Roman" w:cs="Times New Roman"/>
                <w:color w:val="auto"/>
                <w:sz w:val="21"/>
                <w:szCs w:val="21"/>
              </w:rPr>
              <w:t xml:space="preserve"> cm/s），或其他防渗性能等效的材料；</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e、</w:t>
            </w:r>
            <w:r>
              <w:rPr>
                <w:rFonts w:hint="eastAsia" w:ascii="Times New Roman" w:hAnsi="Times New Roman" w:cs="Times New Roman"/>
                <w:color w:val="auto"/>
                <w:sz w:val="21"/>
                <w:szCs w:val="21"/>
              </w:rPr>
              <w:t>同一贮存设施宜采用相同的防渗、防腐工艺（包括防渗、防腐结构或材料），防渗、防腐材料应覆盖所有可能与废物及其渗滤液、渗漏液等接触的构筑物表面；采用不同防渗、防腐工艺应分别建设贮存分区；</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f、</w:t>
            </w:r>
            <w:r>
              <w:rPr>
                <w:rFonts w:hint="eastAsia" w:ascii="Times New Roman" w:hAnsi="Times New Roman" w:cs="Times New Roman"/>
                <w:color w:val="auto"/>
                <w:sz w:val="21"/>
                <w:szCs w:val="21"/>
              </w:rPr>
              <w:t>贮存设施应采取技术和管理措施防止无关人员进入。</w:t>
            </w:r>
          </w:p>
          <w:p>
            <w:p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鉴于以上要求，本项目</w:t>
            </w:r>
            <w:r>
              <w:rPr>
                <w:rFonts w:hint="eastAsia" w:ascii="Times New Roman" w:hAnsi="Times New Roman" w:cs="Times New Roman"/>
                <w:color w:val="auto"/>
                <w:sz w:val="21"/>
                <w:szCs w:val="21"/>
              </w:rPr>
              <w:t>建设</w:t>
            </w:r>
            <w:r>
              <w:rPr>
                <w:rFonts w:ascii="Times New Roman" w:hAnsi="Times New Roman" w:cs="Times New Roman"/>
                <w:color w:val="auto"/>
                <w:sz w:val="21"/>
                <w:szCs w:val="21"/>
              </w:rPr>
              <w:t>危险废物暂存间，</w:t>
            </w:r>
            <w:r>
              <w:rPr>
                <w:rFonts w:hint="eastAsia" w:ascii="Times New Roman" w:hAnsi="Times New Roman" w:cs="Times New Roman"/>
                <w:color w:val="auto"/>
                <w:sz w:val="21"/>
                <w:szCs w:val="21"/>
              </w:rPr>
              <w:t>占地共计</w:t>
            </w:r>
            <w:r>
              <w:rPr>
                <w:rFonts w:ascii="Times New Roman" w:hAnsi="Times New Roman" w:cs="Times New Roman"/>
                <w:color w:val="auto"/>
                <w:sz w:val="21"/>
                <w:szCs w:val="21"/>
              </w:rPr>
              <w:t>为</w:t>
            </w:r>
            <w:r>
              <w:rPr>
                <w:rFonts w:hint="eastAsia" w:ascii="Times New Roman" w:hAnsi="Times New Roman" w:cs="Times New Roman"/>
                <w:color w:val="auto"/>
                <w:sz w:val="21"/>
                <w:szCs w:val="21"/>
                <w:lang w:val="en-US"/>
              </w:rPr>
              <w:t>5</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，在危险废物贮存设施处，设立危险废物标志；危险废物贮存间建设时满足以下要求：</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应建有堵截泄漏的裙脚，地面与裙脚要用坚固防渗的材料建造；</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基础防渗层为粘土层的，其厚度应在1m以上，渗透系数应小于1.0×10</w:t>
            </w:r>
            <w:r>
              <w:rPr>
                <w:rFonts w:ascii="Times New Roman" w:hAnsi="Times New Roman" w:cs="Times New Roman"/>
                <w:color w:val="auto"/>
                <w:sz w:val="21"/>
                <w:szCs w:val="21"/>
                <w:vertAlign w:val="superscript"/>
              </w:rPr>
              <w:t>-7</w:t>
            </w:r>
            <w:r>
              <w:rPr>
                <w:rFonts w:ascii="Times New Roman" w:hAnsi="Times New Roman" w:cs="Times New Roman"/>
                <w:color w:val="auto"/>
                <w:sz w:val="21"/>
                <w:szCs w:val="21"/>
              </w:rPr>
              <w:t>cm/s；基础防渗层也可用厚度在2mm以上的高密度聚乙烯或其他人工防渗材料组成，渗透系数应小于1.0×10</w:t>
            </w:r>
            <w:r>
              <w:rPr>
                <w:rFonts w:ascii="Times New Roman" w:hAnsi="Times New Roman" w:cs="Times New Roman"/>
                <w:color w:val="auto"/>
                <w:sz w:val="21"/>
                <w:szCs w:val="21"/>
                <w:vertAlign w:val="superscript"/>
              </w:rPr>
              <w:t>-10</w:t>
            </w:r>
            <w:r>
              <w:rPr>
                <w:rFonts w:ascii="Times New Roman" w:hAnsi="Times New Roman" w:cs="Times New Roman"/>
                <w:color w:val="auto"/>
                <w:sz w:val="21"/>
                <w:szCs w:val="21"/>
              </w:rPr>
              <w:t>cm/s；</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须有泄漏液体收集装置；</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用于存放危险废物的地方，还须有耐腐蚀的硬化地面，地面无裂隙；</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危废外运时，公司应当向环保局提交下列材料：拟转移危险废物的名称、种类、特性、形态、包装方式、数量、转移时间、主要危险废物成分等基本情况；</w:t>
            </w:r>
          </w:p>
          <w:p>
            <w:pPr>
              <w:numPr>
                <w:ilvl w:val="0"/>
                <w:numId w:val="7"/>
              </w:numPr>
              <w:snapToGrid w:val="0"/>
              <w:spacing w:line="400" w:lineRule="exact"/>
              <w:ind w:left="110" w:leftChars="50" w:right="110" w:rightChars="50" w:firstLine="420" w:firstLineChars="200"/>
              <w:jc w:val="both"/>
              <w:rPr>
                <w:rFonts w:ascii="Times New Roman" w:hAnsi="Times New Roman" w:cs="Times New Roman"/>
                <w:color w:val="auto"/>
                <w:sz w:val="21"/>
                <w:szCs w:val="21"/>
              </w:rPr>
            </w:pPr>
            <w:r>
              <w:rPr>
                <w:rFonts w:ascii="Times New Roman" w:hAnsi="Times New Roman" w:cs="Times New Roman"/>
                <w:color w:val="auto"/>
                <w:sz w:val="21"/>
                <w:szCs w:val="21"/>
              </w:rPr>
              <w:t>运输单位具有运输危险货物资格的证明材料；接收单位具有利用和处置危险废物资格及同意接受的证明材料。</w:t>
            </w:r>
          </w:p>
          <w:p>
            <w:pPr>
              <w:autoSpaceDE/>
              <w:autoSpaceDN/>
              <w:spacing w:line="400" w:lineRule="exact"/>
              <w:ind w:left="110" w:leftChars="50" w:firstLine="420" w:firstLineChars="200"/>
              <w:jc w:val="both"/>
              <w:outlineLvl w:val="2"/>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危险废物贮存设施都必须按《环境保护图形标志—固体废物贮存（处置）场》（GB15562.2-1995）</w:t>
            </w:r>
            <w:r>
              <w:rPr>
                <w:rFonts w:hint="eastAsia" w:ascii="Times New Roman" w:hAnsi="Times New Roman" w:cs="Times New Roman"/>
                <w:color w:val="auto"/>
                <w:kern w:val="2"/>
                <w:sz w:val="21"/>
                <w:szCs w:val="21"/>
                <w:lang w:val="en-US" w:bidi="ar-SA"/>
              </w:rPr>
              <w:t>及修改单、《危险废物识别标志设置技术规范》（HJ 1276—2022）</w:t>
            </w:r>
            <w:r>
              <w:rPr>
                <w:rFonts w:ascii="Times New Roman" w:hAnsi="Times New Roman" w:cs="Times New Roman"/>
                <w:color w:val="auto"/>
                <w:kern w:val="2"/>
                <w:sz w:val="21"/>
                <w:szCs w:val="21"/>
                <w:lang w:val="en-US" w:bidi="ar-SA"/>
              </w:rPr>
              <w:t>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autoSpaceDE/>
              <w:autoSpaceDN/>
              <w:snapToGrid w:val="0"/>
              <w:spacing w:line="400" w:lineRule="exact"/>
              <w:ind w:left="110" w:leftChars="50"/>
              <w:jc w:val="center"/>
              <w:rPr>
                <w:rFonts w:ascii="Times New Roman" w:hAnsi="Times New Roman" w:cs="Times New Roman"/>
                <w:b/>
                <w:bCs/>
                <w:color w:val="auto"/>
                <w:spacing w:val="2"/>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eastAsia="zh-CN"/>
              </w:rPr>
              <w:t>1</w:t>
            </w:r>
            <w:r>
              <w:rPr>
                <w:rFonts w:ascii="Times New Roman" w:hAnsi="Times New Roman" w:cs="Times New Roman"/>
                <w:b/>
                <w:bCs/>
                <w:color w:val="auto"/>
                <w:sz w:val="21"/>
                <w:szCs w:val="21"/>
              </w:rPr>
              <w:t xml:space="preserve">  </w:t>
            </w:r>
            <w:r>
              <w:rPr>
                <w:rFonts w:ascii="Times New Roman" w:hAnsi="Times New Roman" w:cs="Times New Roman"/>
                <w:b/>
                <w:bCs/>
                <w:color w:val="auto"/>
                <w:spacing w:val="2"/>
                <w:sz w:val="21"/>
                <w:szCs w:val="21"/>
                <w:lang w:val="en-US"/>
              </w:rPr>
              <w:t>危险废物贮存分区标示要求一览表</w:t>
            </w:r>
          </w:p>
          <w:tbl>
            <w:tblPr>
              <w:tblStyle w:val="3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3029"/>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pacing w:val="2"/>
                      <w:sz w:val="21"/>
                      <w:szCs w:val="21"/>
                    </w:rPr>
                  </w:pPr>
                  <w:r>
                    <w:rPr>
                      <w:rFonts w:ascii="Times New Roman" w:hAnsi="Times New Roman" w:cs="Times New Roman"/>
                      <w:b/>
                      <w:bCs/>
                      <w:color w:val="auto"/>
                      <w:spacing w:val="2"/>
                      <w:sz w:val="21"/>
                      <w:szCs w:val="21"/>
                    </w:rPr>
                    <w:t>场合</w:t>
                  </w:r>
                </w:p>
              </w:tc>
              <w:tc>
                <w:tcPr>
                  <w:tcW w:w="3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pacing w:val="2"/>
                      <w:sz w:val="21"/>
                      <w:szCs w:val="21"/>
                    </w:rPr>
                  </w:pPr>
                  <w:r>
                    <w:rPr>
                      <w:rFonts w:ascii="Times New Roman" w:hAnsi="Times New Roman" w:cs="Times New Roman"/>
                      <w:b/>
                      <w:bCs/>
                      <w:color w:val="auto"/>
                      <w:spacing w:val="2"/>
                      <w:sz w:val="21"/>
                      <w:szCs w:val="21"/>
                    </w:rPr>
                    <w:t>样式</w:t>
                  </w:r>
                </w:p>
              </w:tc>
              <w:tc>
                <w:tcPr>
                  <w:tcW w:w="3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pacing w:val="2"/>
                      <w:sz w:val="21"/>
                      <w:szCs w:val="21"/>
                    </w:rPr>
                  </w:pPr>
                  <w:r>
                    <w:rPr>
                      <w:rFonts w:ascii="Times New Roman" w:hAnsi="Times New Roman" w:cs="Times New Roman"/>
                      <w:b/>
                      <w:bCs/>
                      <w:color w:val="auto"/>
                      <w:spacing w:val="2"/>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21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危险废物标签</w:t>
                  </w:r>
                </w:p>
              </w:tc>
              <w:tc>
                <w:tcPr>
                  <w:tcW w:w="3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SA"/>
                    </w:rPr>
                    <w:drawing>
                      <wp:inline distT="0" distB="0" distL="114300" distR="114300">
                        <wp:extent cx="1868170" cy="1695450"/>
                        <wp:effectExtent l="0" t="0" r="17780" b="0"/>
                        <wp:docPr id="498"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8" name="图片 1"/>
                                <pic:cNvPicPr>
                                  <a:picLocks noChangeAspect="true"/>
                                </pic:cNvPicPr>
                              </pic:nvPicPr>
                              <pic:blipFill>
                                <a:blip r:embed="rId13"/>
                                <a:stretch>
                                  <a:fillRect/>
                                </a:stretch>
                              </pic:blipFill>
                              <pic:spPr>
                                <a:xfrm>
                                  <a:off x="0" y="0"/>
                                  <a:ext cx="1868170" cy="1695450"/>
                                </a:xfrm>
                                <a:prstGeom prst="rect">
                                  <a:avLst/>
                                </a:prstGeom>
                                <a:noFill/>
                                <a:ln>
                                  <a:noFill/>
                                </a:ln>
                              </pic:spPr>
                            </pic:pic>
                          </a:graphicData>
                        </a:graphic>
                      </wp:inline>
                    </w:drawing>
                  </w:r>
                </w:p>
              </w:tc>
              <w:tc>
                <w:tcPr>
                  <w:tcW w:w="384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auto"/>
                      <w:sz w:val="21"/>
                      <w:szCs w:val="21"/>
                    </w:rPr>
                  </w:pPr>
                  <w:r>
                    <w:rPr>
                      <w:rFonts w:ascii="Times New Roman" w:hAnsi="Times New Roman" w:cs="Times New Roman"/>
                      <w:color w:val="auto"/>
                      <w:sz w:val="21"/>
                      <w:szCs w:val="21"/>
                    </w:rPr>
                    <w:t>a、危险废物标签所选用的材质宜具有一定的耐用性和防水性。标签可采用不干胶印刷品，或印刷品外加防水塑料袋或塑封等。</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b、危险废物标签背景色应采用醒目的橘黄色。</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c、危险废物标签字体宜采用黑体字，其中“危险废物”字样应加粗放大。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1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危险废物贮存分区标志</w:t>
                  </w:r>
                </w:p>
              </w:tc>
              <w:tc>
                <w:tcPr>
                  <w:tcW w:w="3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SA"/>
                    </w:rPr>
                    <w:drawing>
                      <wp:inline distT="0" distB="0" distL="114300" distR="114300">
                        <wp:extent cx="1892300" cy="1875155"/>
                        <wp:effectExtent l="0" t="0" r="12700" b="10795"/>
                        <wp:docPr id="499"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9" name="图片 2"/>
                                <pic:cNvPicPr>
                                  <a:picLocks noChangeAspect="true"/>
                                </pic:cNvPicPr>
                              </pic:nvPicPr>
                              <pic:blipFill>
                                <a:blip r:embed="rId14"/>
                                <a:stretch>
                                  <a:fillRect/>
                                </a:stretch>
                              </pic:blipFill>
                              <pic:spPr>
                                <a:xfrm>
                                  <a:off x="0" y="0"/>
                                  <a:ext cx="1892300" cy="1875155"/>
                                </a:xfrm>
                                <a:prstGeom prst="rect">
                                  <a:avLst/>
                                </a:prstGeom>
                                <a:noFill/>
                                <a:ln>
                                  <a:noFill/>
                                </a:ln>
                              </pic:spPr>
                            </pic:pic>
                          </a:graphicData>
                        </a:graphic>
                      </wp:inline>
                    </w:drawing>
                  </w:r>
                </w:p>
              </w:tc>
              <w:tc>
                <w:tcPr>
                  <w:tcW w:w="384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auto"/>
                      <w:sz w:val="21"/>
                      <w:szCs w:val="21"/>
                    </w:rPr>
                  </w:pPr>
                  <w:r>
                    <w:rPr>
                      <w:rFonts w:ascii="Times New Roman" w:hAnsi="Times New Roman" w:cs="Times New Roman"/>
                      <w:color w:val="auto"/>
                      <w:sz w:val="21"/>
                      <w:szCs w:val="21"/>
                    </w:rPr>
                    <w:t>a、危险废物分区标志的字体宜采用黑体字，其中“危险废物贮存分区标志”字样应加粗放大并居中显示。</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b、危险废物分区标志背景色应采用黄色，RGB 颜色值为（255, 255, 0）。废物种类信息应采用醒目的橘黄色，RGB 颜色值为（255, 150, 0）。字体颜色为黑色，RGB 颜色值为（0, 0, 0）。</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c、危险废物贮存分区标志的图形和文字应清晰、完整，保证在足够的观察距离条件下不影响阅读。“危险废物贮存分区标志”字样与其他信息宜加黑色分界线区分，分界线的宽度不小于 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21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危险废物贮存设施标志</w:t>
                  </w:r>
                </w:p>
              </w:tc>
              <w:tc>
                <w:tcPr>
                  <w:tcW w:w="32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bidi="ar-SA"/>
                    </w:rPr>
                    <w:drawing>
                      <wp:inline distT="0" distB="0" distL="114300" distR="114300">
                        <wp:extent cx="1890395" cy="1169670"/>
                        <wp:effectExtent l="0" t="0" r="14605" b="11430"/>
                        <wp:docPr id="500"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00" name="图片 3"/>
                                <pic:cNvPicPr>
                                  <a:picLocks noChangeAspect="true"/>
                                </pic:cNvPicPr>
                              </pic:nvPicPr>
                              <pic:blipFill>
                                <a:blip r:embed="rId15"/>
                                <a:stretch>
                                  <a:fillRect/>
                                </a:stretch>
                              </pic:blipFill>
                              <pic:spPr>
                                <a:xfrm>
                                  <a:off x="0" y="0"/>
                                  <a:ext cx="1890395" cy="1169670"/>
                                </a:xfrm>
                                <a:prstGeom prst="rect">
                                  <a:avLst/>
                                </a:prstGeom>
                                <a:noFill/>
                                <a:ln>
                                  <a:noFill/>
                                </a:ln>
                              </pic:spPr>
                            </pic:pic>
                          </a:graphicData>
                        </a:graphic>
                      </wp:inline>
                    </w:drawing>
                  </w:r>
                </w:p>
              </w:tc>
              <w:tc>
                <w:tcPr>
                  <w:tcW w:w="3843" w:type="dxa"/>
                  <w:tcBorders>
                    <w:top w:val="single" w:color="auto" w:sz="4" w:space="0"/>
                    <w:left w:val="single" w:color="auto" w:sz="4" w:space="0"/>
                    <w:right w:val="single" w:color="auto" w:sz="4" w:space="0"/>
                  </w:tcBorders>
                  <w:vAlign w:val="center"/>
                </w:tcPr>
                <w:p>
                  <w:pPr>
                    <w:snapToGrid w:val="0"/>
                    <w:rPr>
                      <w:rFonts w:ascii="Times New Roman" w:hAnsi="Times New Roman" w:cs="Times New Roman"/>
                      <w:color w:val="auto"/>
                      <w:sz w:val="21"/>
                      <w:szCs w:val="21"/>
                    </w:rPr>
                  </w:pPr>
                  <w:r>
                    <w:rPr>
                      <w:rFonts w:ascii="Times New Roman" w:hAnsi="Times New Roman" w:cs="Times New Roman"/>
                      <w:color w:val="auto"/>
                      <w:sz w:val="21"/>
                      <w:szCs w:val="21"/>
                    </w:rPr>
                    <w:t>a、危险废物设施标志背景颜色为黄色，RGB 颜色值为（255, 255, 0）。字体和边框颜色为黑色，RGB颜色值为（0, 0, 0）。</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b、危险废物设施标志字体应采用黑体字，其中危险废物设施类型的字样应加粗放大并居中显示。</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c、危险废物贮存、利用、处置设施标志宜采用坚固耐用的材料（如 1.5 mm～2 mm 冷轧钢板），并做搪瓷处理或贴膜处理。一般不宜使用遇水变形、变质或易燃的材料。柱式标志牌的立柱可采用 38×4无缝钢管或其他坚固耐用的材料，并经过防腐处理。</w:t>
                  </w:r>
                </w:p>
                <w:p>
                  <w:pPr>
                    <w:snapToGrid w:val="0"/>
                    <w:rPr>
                      <w:rFonts w:ascii="Times New Roman" w:hAnsi="Times New Roman" w:cs="Times New Roman"/>
                      <w:color w:val="auto"/>
                      <w:sz w:val="21"/>
                      <w:szCs w:val="21"/>
                    </w:rPr>
                  </w:pPr>
                  <w:r>
                    <w:rPr>
                      <w:rFonts w:ascii="Times New Roman" w:hAnsi="Times New Roman" w:cs="Times New Roman"/>
                      <w:color w:val="auto"/>
                      <w:sz w:val="21"/>
                      <w:szCs w:val="21"/>
                    </w:rPr>
                    <w:t>d、危险废物贮存、利用、处置设施标志的图形和文字应清晰、完整，保证在足够的观察距离条件下也不影响阅读。三角形警告性图形与其他信息间宜加黑色分界线区分，分界线的宽度宜不小于 3 mm。</w:t>
                  </w:r>
                </w:p>
              </w:tc>
            </w:tr>
          </w:tbl>
          <w:p>
            <w:pPr>
              <w:pStyle w:val="18"/>
              <w:spacing w:line="400" w:lineRule="exact"/>
              <w:ind w:left="110" w:leftChars="50" w:right="110" w:rightChars="50"/>
              <w:jc w:val="both"/>
              <w:rPr>
                <w:rFonts w:ascii="Times New Roman" w:hAnsi="Times New Roman" w:cs="Times New Roman"/>
                <w:color w:val="auto"/>
                <w:kern w:val="2"/>
                <w:sz w:val="21"/>
                <w:szCs w:val="21"/>
                <w:lang w:val="en-US" w:bidi="ar-SA"/>
              </w:rPr>
            </w:pPr>
            <w:r>
              <w:rPr>
                <w:rFonts w:ascii="Times New Roman" w:hAnsi="Times New Roman" w:cs="Times New Roman"/>
                <w:color w:val="auto"/>
                <w:sz w:val="21"/>
                <w:szCs w:val="21"/>
                <w:lang w:val="en-US"/>
              </w:rPr>
              <w:t>建设项目危废收集贮存后委托有资质单位处置</w:t>
            </w:r>
            <w:r>
              <w:rPr>
                <w:rFonts w:ascii="Times New Roman" w:hAnsi="Times New Roman" w:cs="Times New Roman"/>
                <w:color w:val="auto"/>
                <w:sz w:val="21"/>
                <w:szCs w:val="21"/>
              </w:rPr>
              <w:t>，本项目产生的固废均得到合理处理，不排入外环境</w:t>
            </w:r>
            <w:r>
              <w:rPr>
                <w:rFonts w:ascii="Times New Roman" w:hAnsi="Times New Roman" w:cs="Times New Roman"/>
                <w:color w:val="auto"/>
                <w:kern w:val="2"/>
                <w:sz w:val="21"/>
                <w:szCs w:val="21"/>
                <w:lang w:val="en-US" w:bidi="ar-SA"/>
              </w:rPr>
              <w:t>。</w:t>
            </w:r>
          </w:p>
          <w:p>
            <w:pPr>
              <w:autoSpaceDE/>
              <w:autoSpaceDN/>
              <w:adjustRightInd w:val="0"/>
              <w:snapToGrid w:val="0"/>
              <w:spacing w:line="400" w:lineRule="exact"/>
              <w:ind w:firstLine="420" w:firstLineChars="200"/>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（3）危废转运管理要求：</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按照2022年1月1日施行的生态环境部公安部交通运输部部令第23号《</w:t>
            </w:r>
            <w:r>
              <w:rPr>
                <w:rFonts w:hint="eastAsia" w:ascii="Times New Roman" w:hAnsi="Times New Roman" w:cs="Times New Roman"/>
                <w:color w:val="auto"/>
                <w:kern w:val="2"/>
                <w:sz w:val="21"/>
                <w:szCs w:val="21"/>
                <w:lang w:val="en-US" w:bidi="ar-SA"/>
              </w:rPr>
              <w:t>危险废物转移管理办法</w:t>
            </w:r>
            <w:r>
              <w:rPr>
                <w:rFonts w:ascii="Times New Roman" w:hAnsi="Times New Roman" w:cs="Times New Roman"/>
                <w:color w:val="auto"/>
                <w:kern w:val="2"/>
                <w:sz w:val="21"/>
                <w:szCs w:val="21"/>
                <w:lang w:val="en-US" w:bidi="ar-SA"/>
              </w:rPr>
              <w:t>》中的规定</w:t>
            </w:r>
            <w:r>
              <w:rPr>
                <w:rFonts w:hint="eastAsia" w:ascii="Times New Roman" w:hAnsi="Times New Roman" w:cs="Times New Roman"/>
                <w:color w:val="auto"/>
                <w:kern w:val="2"/>
                <w:sz w:val="21"/>
                <w:szCs w:val="21"/>
                <w:lang w:val="en-US" w:bidi="ar-SA"/>
              </w:rPr>
              <w:t>：</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a、危险废物转移联单应当根据危险废物管理计划中填报的危险废物转移等备案信息填写、运行。</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b、危险废物转移联单实行全国统一编号，编号由十四位阿拉伯数字组成。第一至四位数字为年份代码；第五、六位数字为移出地省级行政区划代码；第七、八位数字为移出地设区的市级行政区划代码；其余六位数字以移出地设区的市级行政区域为单位进行流水编号。</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c、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使用同一车（船或者其他运输工具）一次为多个移出人转移危险废物的，每个移出人应当分别填写、运行危险废物转移联单。</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d、采用联运方式转移危险废物的，前一承运人和后一承运人应当明确运输交接的时间和地点。后一承运人应当核实危险废物转移联单确定的移出人信息、前一承运人信息及危险废物相关信息。</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e、接受人应当对运抵的危险废物进行核实验收，并在接受之日起五个工作日内通过信息系统确认接受。</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f、运抵的危险废物的名称、数量、特性、形态、包装方式与危险废物转移联单填写内容不符的，接受人应当及时告知移出人，视情况决定是否接受，同时向接受地生态环境主管部门报告。</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g、对不通过车（船或者其他运输工具），且无法按次对危险废物计量的其他方式转移危险废物的，移出人和接受人应当分别配备计量记录设备，将每天危险废物转移的种类、重量（数量）、形态和危险特性等信息纳入相关台账记录，并根据所在地设区的市级以上地方生态环境主管部门的要求填写、运行危险废物转移联单。</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h、危险废物电子转移联单数据应当在信息系统中至少保存十年。</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因特殊原因无法运行危险废物电子转移联单的，可以先使用纸质转移联单，并于转移活动完成后十个工作日内在信息系统中补录电子转移联单。</w:t>
            </w:r>
          </w:p>
          <w:p>
            <w:pPr>
              <w:autoSpaceDE/>
              <w:autoSpaceDN/>
              <w:adjustRightInd w:val="0"/>
              <w:snapToGrid w:val="0"/>
              <w:spacing w:line="400" w:lineRule="exact"/>
              <w:ind w:left="110" w:leftChars="50" w:firstLine="420" w:firstLineChars="200"/>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经过采取以上措施，危险废物处理与处置符合《</w:t>
            </w:r>
            <w:r>
              <w:rPr>
                <w:rFonts w:ascii="Times New Roman" w:hAnsi="Times New Roman" w:cs="Times New Roman"/>
                <w:color w:val="auto"/>
                <w:sz w:val="21"/>
                <w:szCs w:val="21"/>
                <w:lang w:val="en-US"/>
              </w:rPr>
              <w:t>危险废物贮存污染控制标准》（GB18597—2023）</w:t>
            </w:r>
            <w:r>
              <w:rPr>
                <w:rFonts w:ascii="Times New Roman" w:hAnsi="Times New Roman" w:cs="Times New Roman"/>
                <w:color w:val="auto"/>
                <w:kern w:val="2"/>
                <w:sz w:val="21"/>
                <w:szCs w:val="21"/>
                <w:lang w:val="en-US" w:bidi="ar-SA"/>
              </w:rPr>
              <w:t>有关要求。</w:t>
            </w:r>
          </w:p>
          <w:p>
            <w:pPr>
              <w:autoSpaceDE/>
              <w:autoSpaceDN/>
              <w:adjustRightInd w:val="0"/>
              <w:snapToGrid w:val="0"/>
              <w:spacing w:line="400" w:lineRule="exact"/>
              <w:ind w:left="110" w:leftChars="50" w:firstLine="420" w:firstLineChars="200"/>
              <w:rPr>
                <w:rFonts w:ascii="Times New Roman" w:hAnsi="Times New Roman" w:cs="Times New Roman"/>
                <w:b/>
                <w:bCs/>
                <w:color w:val="auto"/>
                <w:kern w:val="2"/>
                <w:sz w:val="21"/>
                <w:szCs w:val="21"/>
                <w:lang w:val="en-US" w:bidi="ar-SA"/>
              </w:rPr>
            </w:pPr>
            <w:r>
              <w:rPr>
                <w:rFonts w:ascii="Times New Roman" w:hAnsi="Times New Roman" w:cs="Times New Roman"/>
                <w:color w:val="auto"/>
                <w:kern w:val="2"/>
                <w:sz w:val="21"/>
                <w:szCs w:val="21"/>
                <w:lang w:val="en-US" w:bidi="ar-SA"/>
              </w:rPr>
              <w:t>由上述分析可知，工程产生的工业固体废物全部得到了妥善处置或合理安置。在建设单位认真落实评价建议，采取相应的防渗措施，日常生产过程中加强对固废临时堆放场所管理的基础上，固体废物不会对周围环境产生污染影响</w:t>
            </w:r>
            <w:r>
              <w:rPr>
                <w:rFonts w:hint="eastAsia" w:ascii="Times New Roman" w:hAnsi="Times New Roman" w:cs="Times New Roman"/>
                <w:color w:val="auto"/>
                <w:kern w:val="2"/>
                <w:sz w:val="21"/>
                <w:szCs w:val="21"/>
                <w:lang w:val="en-US" w:bidi="ar-SA"/>
              </w:rPr>
              <w:t>。</w:t>
            </w:r>
          </w:p>
          <w:p>
            <w:pPr>
              <w:autoSpaceDE/>
              <w:autoSpaceDN/>
              <w:adjustRightInd w:val="0"/>
              <w:snapToGrid w:val="0"/>
              <w:spacing w:line="400" w:lineRule="exact"/>
              <w:ind w:left="110" w:leftChars="50" w:firstLine="421" w:firstLineChars="200"/>
              <w:rPr>
                <w:rFonts w:ascii="Times New Roman" w:hAnsi="Times New Roman" w:cs="Times New Roman"/>
                <w:b/>
                <w:bCs/>
                <w:color w:val="auto"/>
                <w:kern w:val="2"/>
                <w:sz w:val="21"/>
                <w:szCs w:val="21"/>
                <w:lang w:bidi="ar-SA"/>
              </w:rPr>
            </w:pPr>
            <w:r>
              <w:rPr>
                <w:rFonts w:ascii="Times New Roman" w:hAnsi="Times New Roman" w:cs="Times New Roman"/>
                <w:b/>
                <w:bCs/>
                <w:color w:val="auto"/>
                <w:kern w:val="2"/>
                <w:sz w:val="21"/>
                <w:szCs w:val="21"/>
                <w:lang w:val="en-US" w:bidi="ar-SA"/>
              </w:rPr>
              <w:t>五、</w:t>
            </w:r>
            <w:r>
              <w:rPr>
                <w:rFonts w:ascii="Times New Roman" w:hAnsi="Times New Roman" w:cs="Times New Roman"/>
                <w:b/>
                <w:bCs/>
                <w:color w:val="auto"/>
                <w:kern w:val="2"/>
                <w:sz w:val="21"/>
                <w:szCs w:val="21"/>
                <w:lang w:bidi="ar-SA"/>
              </w:rPr>
              <w:t>地下水、土壤</w:t>
            </w:r>
          </w:p>
          <w:p>
            <w:pPr>
              <w:pStyle w:val="43"/>
              <w:autoSpaceDE/>
              <w:autoSpaceDN/>
              <w:snapToGrid/>
              <w:spacing w:line="400" w:lineRule="exact"/>
              <w:ind w:left="110" w:leftChars="50" w:firstLine="422"/>
              <w:rPr>
                <w:rFonts w:ascii="Times New Roman" w:hAnsi="Times New Roman" w:cs="Times New Roman"/>
                <w:b/>
                <w:bCs/>
                <w:color w:val="auto"/>
                <w:sz w:val="21"/>
                <w:szCs w:val="21"/>
                <w:lang w:val="zh-CN" w:bidi="ar-SA"/>
              </w:rPr>
            </w:pPr>
            <w:r>
              <w:rPr>
                <w:rFonts w:ascii="Times New Roman" w:hAnsi="Times New Roman" w:cs="Times New Roman"/>
                <w:b/>
                <w:bCs/>
                <w:color w:val="auto"/>
                <w:sz w:val="21"/>
                <w:szCs w:val="21"/>
                <w:lang w:bidi="ar-SA"/>
              </w:rPr>
              <w:t>1、</w:t>
            </w:r>
            <w:r>
              <w:rPr>
                <w:rFonts w:ascii="Times New Roman" w:hAnsi="Times New Roman" w:cs="Times New Roman"/>
                <w:b/>
                <w:bCs/>
                <w:color w:val="auto"/>
                <w:sz w:val="21"/>
                <w:szCs w:val="21"/>
                <w:lang w:val="zh-CN" w:bidi="ar-SA"/>
              </w:rPr>
              <w:t>地下水、土壤污染途径分析</w:t>
            </w:r>
          </w:p>
          <w:p>
            <w:pPr>
              <w:pStyle w:val="43"/>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ascii="Times New Roman" w:hAnsi="Times New Roman" w:cs="Times New Roman"/>
                <w:color w:val="auto"/>
                <w:sz w:val="21"/>
                <w:szCs w:val="21"/>
                <w:lang w:val="zh-CN" w:bidi="ar-SA"/>
              </w:rPr>
              <w:t>项目环境影响类型为“污染影响型”</w:t>
            </w:r>
            <w:r>
              <w:rPr>
                <w:rFonts w:hint="eastAsia" w:ascii="Times New Roman" w:hAnsi="Times New Roman" w:cs="Times New Roman"/>
                <w:snapToGrid w:val="0"/>
                <w:color w:val="auto"/>
                <w:sz w:val="21"/>
                <w:szCs w:val="21"/>
              </w:rPr>
              <w:t>。</w:t>
            </w:r>
            <w:r>
              <w:rPr>
                <w:rFonts w:ascii="Times New Roman" w:hAnsi="Times New Roman" w:cs="Times New Roman"/>
                <w:color w:val="auto"/>
                <w:sz w:val="21"/>
                <w:szCs w:val="21"/>
                <w:lang w:val="zh-CN" w:bidi="ar-SA"/>
              </w:rPr>
              <w:t>项目不涉及大气沉降影响、地面漫流影响。</w:t>
            </w:r>
          </w:p>
          <w:p>
            <w:pPr>
              <w:pStyle w:val="43"/>
              <w:autoSpaceDE/>
              <w:autoSpaceDN/>
              <w:snapToGrid/>
              <w:spacing w:line="400" w:lineRule="exact"/>
              <w:ind w:left="110" w:leftChars="50" w:firstLine="422"/>
              <w:rPr>
                <w:rFonts w:ascii="Times New Roman" w:hAnsi="Times New Roman" w:cs="Times New Roman"/>
                <w:b/>
                <w:bCs/>
                <w:color w:val="auto"/>
                <w:sz w:val="21"/>
                <w:szCs w:val="21"/>
                <w:lang w:val="zh-CN" w:bidi="ar-SA"/>
              </w:rPr>
            </w:pPr>
            <w:r>
              <w:rPr>
                <w:rFonts w:ascii="Times New Roman" w:hAnsi="Times New Roman" w:cs="Times New Roman"/>
                <w:b/>
                <w:bCs/>
                <w:color w:val="auto"/>
                <w:sz w:val="21"/>
                <w:szCs w:val="21"/>
                <w:lang w:bidi="ar-SA"/>
              </w:rPr>
              <w:t>2、地下水、土壤污染防治措施</w:t>
            </w:r>
          </w:p>
          <w:p>
            <w:pPr>
              <w:autoSpaceDE/>
              <w:autoSpaceDN/>
              <w:adjustRightInd w:val="0"/>
              <w:snapToGrid w:val="0"/>
              <w:spacing w:line="440" w:lineRule="exact"/>
              <w:ind w:firstLine="420" w:firstLineChars="200"/>
              <w:jc w:val="both"/>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bidi="ar-SA"/>
              </w:rPr>
              <w:t>为了避免污染地下水、土壤，</w:t>
            </w:r>
            <w:r>
              <w:rPr>
                <w:rFonts w:ascii="Times New Roman" w:hAnsi="Times New Roman" w:cs="Times New Roman"/>
                <w:color w:val="auto"/>
                <w:sz w:val="21"/>
                <w:szCs w:val="21"/>
                <w:lang w:val="en-US"/>
              </w:rPr>
              <w:t>参照《环境影响评价技术导则地下水环境》（HJ610-2016）、《危险废物贮存污染控制标准》（GB18597-2023）的要求，企业按下述要求建设</w:t>
            </w:r>
            <w:r>
              <w:rPr>
                <w:rFonts w:hint="eastAsia" w:ascii="Times New Roman" w:hAnsi="Times New Roman" w:cs="Times New Roman"/>
                <w:color w:val="auto"/>
                <w:sz w:val="21"/>
                <w:szCs w:val="21"/>
                <w:lang w:val="en-US"/>
              </w:rPr>
              <w:t>生产车间</w:t>
            </w:r>
            <w:r>
              <w:rPr>
                <w:rFonts w:ascii="Times New Roman" w:hAnsi="Times New Roman" w:cs="Times New Roman"/>
                <w:color w:val="auto"/>
                <w:sz w:val="21"/>
                <w:szCs w:val="21"/>
                <w:lang w:val="en-US"/>
              </w:rPr>
              <w:t>以及完善厂区相应的防控措施，分区防渗图见附图</w:t>
            </w:r>
            <w:r>
              <w:rPr>
                <w:rFonts w:hint="eastAsia" w:ascii="Times New Roman" w:hAnsi="Times New Roman" w:cs="Times New Roman"/>
                <w:color w:val="auto"/>
                <w:sz w:val="21"/>
                <w:szCs w:val="21"/>
                <w:lang w:val="en-US"/>
              </w:rPr>
              <w:t>4</w:t>
            </w:r>
            <w:r>
              <w:rPr>
                <w:rFonts w:ascii="Times New Roman" w:hAnsi="Times New Roman" w:cs="Times New Roman"/>
                <w:color w:val="auto"/>
                <w:sz w:val="21"/>
                <w:szCs w:val="21"/>
                <w:lang w:val="en-US"/>
              </w:rPr>
              <w:t>。</w:t>
            </w:r>
          </w:p>
          <w:p>
            <w:pPr>
              <w:autoSpaceDE/>
              <w:autoSpaceDN/>
              <w:adjustRightInd w:val="0"/>
              <w:snapToGrid w:val="0"/>
              <w:spacing w:line="440" w:lineRule="exact"/>
              <w:jc w:val="center"/>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表4</w:t>
            </w:r>
            <w:r>
              <w:rPr>
                <w:rFonts w:hint="eastAsia"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rPr>
              <w:t xml:space="preserve">  </w:t>
            </w:r>
            <w:r>
              <w:rPr>
                <w:rFonts w:ascii="Times New Roman" w:hAnsi="Times New Roman" w:cs="Times New Roman"/>
                <w:b/>
                <w:bCs/>
                <w:color w:val="auto"/>
                <w:sz w:val="21"/>
                <w:szCs w:val="21"/>
                <w:lang w:val="en-US"/>
              </w:rPr>
              <w:t>本项目污染防治分区情况一览表</w:t>
            </w:r>
          </w:p>
          <w:tbl>
            <w:tblPr>
              <w:tblStyle w:val="32"/>
              <w:tblW w:w="4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686"/>
              <w:gridCol w:w="1751"/>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98" w:type="pct"/>
                  <w:vAlign w:val="center"/>
                </w:tcPr>
                <w:p>
                  <w:pPr>
                    <w:snapToGrid w:val="0"/>
                    <w:spacing w:line="340" w:lineRule="exact"/>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序号</w:t>
                  </w:r>
                </w:p>
              </w:tc>
              <w:tc>
                <w:tcPr>
                  <w:tcW w:w="982" w:type="pct"/>
                  <w:vAlign w:val="center"/>
                </w:tcPr>
                <w:p>
                  <w:pPr>
                    <w:snapToGrid w:val="0"/>
                    <w:spacing w:line="340" w:lineRule="exact"/>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防治分区</w:t>
                  </w:r>
                </w:p>
              </w:tc>
              <w:tc>
                <w:tcPr>
                  <w:tcW w:w="1020" w:type="pct"/>
                  <w:vAlign w:val="center"/>
                </w:tcPr>
                <w:p>
                  <w:pPr>
                    <w:snapToGrid w:val="0"/>
                    <w:spacing w:line="340" w:lineRule="exact"/>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分区位置</w:t>
                  </w:r>
                </w:p>
              </w:tc>
              <w:tc>
                <w:tcPr>
                  <w:tcW w:w="2698" w:type="pct"/>
                  <w:vAlign w:val="center"/>
                </w:tcPr>
                <w:p>
                  <w:pPr>
                    <w:snapToGrid w:val="0"/>
                    <w:spacing w:line="340" w:lineRule="exact"/>
                    <w:ind w:left="-110" w:leftChars="-50" w:right="-110" w:rightChars="-50"/>
                    <w:jc w:val="center"/>
                    <w:rPr>
                      <w:rFonts w:ascii="Times New Roman" w:hAnsi="Times New Roman" w:cs="Times New Roman"/>
                      <w:b/>
                      <w:color w:val="auto"/>
                      <w:sz w:val="21"/>
                      <w:szCs w:val="21"/>
                    </w:rPr>
                  </w:pPr>
                  <w:r>
                    <w:rPr>
                      <w:rFonts w:ascii="Times New Roman" w:hAnsi="Times New Roman" w:cs="Times New Roman"/>
                      <w:b/>
                      <w:color w:val="auto"/>
                      <w:sz w:val="21"/>
                      <w:szCs w:val="21"/>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98"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bCs/>
                      <w:color w:val="auto"/>
                      <w:sz w:val="21"/>
                      <w:szCs w:val="21"/>
                      <w:lang w:val="en-US"/>
                    </w:rPr>
                    <w:t>1</w:t>
                  </w:r>
                </w:p>
              </w:tc>
              <w:tc>
                <w:tcPr>
                  <w:tcW w:w="982"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rPr>
                  </w:pPr>
                  <w:r>
                    <w:rPr>
                      <w:rFonts w:ascii="Times New Roman" w:hAnsi="Times New Roman" w:cs="Times New Roman"/>
                      <w:bCs/>
                      <w:color w:val="auto"/>
                      <w:sz w:val="21"/>
                      <w:szCs w:val="21"/>
                    </w:rPr>
                    <w:t>重点防渗区</w:t>
                  </w:r>
                </w:p>
              </w:tc>
              <w:tc>
                <w:tcPr>
                  <w:tcW w:w="1020"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color w:val="auto"/>
                      <w:kern w:val="2"/>
                      <w:sz w:val="21"/>
                      <w:szCs w:val="21"/>
                      <w:lang w:val="en-US" w:bidi="ar-SA"/>
                    </w:rPr>
                    <w:t>危废间</w:t>
                  </w:r>
                </w:p>
              </w:tc>
              <w:tc>
                <w:tcPr>
                  <w:tcW w:w="2698" w:type="pct"/>
                  <w:vAlign w:val="center"/>
                </w:tcPr>
                <w:p>
                  <w:pPr>
                    <w:adjustRightInd w:val="0"/>
                    <w:jc w:val="center"/>
                    <w:rPr>
                      <w:rFonts w:ascii="Times New Roman" w:hAnsi="Times New Roman" w:cs="Times New Roman"/>
                      <w:color w:val="auto"/>
                      <w:szCs w:val="21"/>
                    </w:rPr>
                  </w:pPr>
                  <w:r>
                    <w:rPr>
                      <w:rFonts w:ascii="Times New Roman" w:hAnsi="Times New Roman" w:cs="Times New Roman"/>
                      <w:color w:val="auto"/>
                      <w:kern w:val="2"/>
                      <w:sz w:val="21"/>
                      <w:szCs w:val="21"/>
                      <w:lang w:val="en-US" w:bidi="ar-SA"/>
                    </w:rPr>
                    <w:t>危废间设为密闭隔间，</w:t>
                  </w:r>
                  <w:r>
                    <w:rPr>
                      <w:rFonts w:ascii="Times New Roman" w:hAnsi="Times New Roman" w:cs="Times New Roman"/>
                      <w:color w:val="auto"/>
                      <w:kern w:val="2"/>
                      <w:sz w:val="21"/>
                      <w:szCs w:val="21"/>
                      <w:lang w:bidi="ar-SA"/>
                    </w:rPr>
                    <w:t>在防渗结构上（包括房间的底部及四周壁）均设置隔离层，并与地面隔离层连成整体；三合土夯实铺底，其上构筑15cm厚防渗混凝土（防渗等级不低于P8），然后敷设2mm厚环氧树脂涂覆，危废间四周设防腐蚀围堰，并设置分区，渗透系数K≤1×10</w:t>
                  </w:r>
                  <w:r>
                    <w:rPr>
                      <w:rFonts w:ascii="Times New Roman" w:hAnsi="Times New Roman" w:cs="Times New Roman"/>
                      <w:color w:val="auto"/>
                      <w:kern w:val="2"/>
                      <w:sz w:val="21"/>
                      <w:szCs w:val="21"/>
                      <w:vertAlign w:val="superscript"/>
                      <w:lang w:bidi="ar-SA"/>
                    </w:rPr>
                    <w:t>-10</w:t>
                  </w:r>
                  <w:r>
                    <w:rPr>
                      <w:rFonts w:ascii="Times New Roman" w:hAnsi="Times New Roman" w:cs="Times New Roman"/>
                      <w:color w:val="auto"/>
                      <w:kern w:val="2"/>
                      <w:sz w:val="21"/>
                      <w:szCs w:val="21"/>
                      <w:lang w:bidi="ar-SA"/>
                    </w:rPr>
                    <w:t>cm/s。或参照《危险废物贮存污染控制标准》GB18597执行，以达到防腐防渗漏的目的</w:t>
                  </w:r>
                  <w:r>
                    <w:rPr>
                      <w:rFonts w:hint="eastAsia" w:ascii="Times New Roman" w:hAnsi="Times New Roman" w:cs="Times New Roman"/>
                      <w:color w:val="auto"/>
                      <w:kern w:val="2"/>
                      <w:sz w:val="21"/>
                      <w:szCs w:val="21"/>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bCs/>
                      <w:color w:val="auto"/>
                      <w:sz w:val="21"/>
                      <w:szCs w:val="21"/>
                      <w:lang w:val="en-US"/>
                    </w:rPr>
                    <w:t>3</w:t>
                  </w:r>
                </w:p>
              </w:tc>
              <w:tc>
                <w:tcPr>
                  <w:tcW w:w="982"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一般防渗区</w:t>
                  </w:r>
                </w:p>
              </w:tc>
              <w:tc>
                <w:tcPr>
                  <w:tcW w:w="1020" w:type="pct"/>
                  <w:vAlign w:val="center"/>
                </w:tcPr>
                <w:p>
                  <w:pPr>
                    <w:snapToGrid w:val="0"/>
                    <w:spacing w:line="340" w:lineRule="exact"/>
                    <w:ind w:left="-110" w:leftChars="-50" w:right="-110" w:rightChars="-50"/>
                    <w:jc w:val="center"/>
                    <w:rPr>
                      <w:rFonts w:ascii="Times New Roman" w:hAnsi="Times New Roman" w:cs="Times New Roman"/>
                      <w:color w:val="auto"/>
                      <w:kern w:val="2"/>
                      <w:sz w:val="21"/>
                      <w:szCs w:val="21"/>
                      <w:lang w:val="en-US" w:bidi="ar-SA"/>
                    </w:rPr>
                  </w:pPr>
                  <w:r>
                    <w:rPr>
                      <w:rFonts w:ascii="Times New Roman" w:hAnsi="Times New Roman" w:cs="Times New Roman"/>
                      <w:color w:val="auto"/>
                      <w:kern w:val="2"/>
                      <w:sz w:val="21"/>
                      <w:szCs w:val="21"/>
                      <w:lang w:val="en-US" w:bidi="ar-SA"/>
                    </w:rPr>
                    <w:t>原料暂存区、生产</w:t>
                  </w:r>
                  <w:r>
                    <w:rPr>
                      <w:rFonts w:hint="eastAsia" w:ascii="Times New Roman" w:hAnsi="Times New Roman" w:cs="Times New Roman"/>
                      <w:color w:val="auto"/>
                      <w:kern w:val="2"/>
                      <w:sz w:val="21"/>
                      <w:szCs w:val="21"/>
                      <w:lang w:val="en-US" w:bidi="ar-SA"/>
                    </w:rPr>
                    <w:t>区</w:t>
                  </w:r>
                  <w:r>
                    <w:rPr>
                      <w:rFonts w:ascii="Times New Roman" w:hAnsi="Times New Roman" w:cs="Times New Roman"/>
                      <w:color w:val="auto"/>
                      <w:kern w:val="2"/>
                      <w:sz w:val="21"/>
                      <w:szCs w:val="21"/>
                      <w:lang w:val="en-US" w:bidi="ar-SA"/>
                    </w:rPr>
                    <w:t>地面</w:t>
                  </w:r>
                  <w:r>
                    <w:rPr>
                      <w:rFonts w:hint="eastAsia" w:ascii="Times New Roman" w:hAnsi="Times New Roman" w:cs="Times New Roman"/>
                      <w:color w:val="auto"/>
                      <w:kern w:val="2"/>
                      <w:sz w:val="21"/>
                      <w:szCs w:val="21"/>
                      <w:lang w:val="en-US" w:bidi="ar-SA"/>
                    </w:rPr>
                    <w:t>、沉淀池</w:t>
                  </w:r>
                </w:p>
              </w:tc>
              <w:tc>
                <w:tcPr>
                  <w:tcW w:w="2698" w:type="pct"/>
                  <w:vAlign w:val="center"/>
                </w:tcPr>
                <w:p>
                  <w:pPr>
                    <w:snapToGrid w:val="0"/>
                    <w:spacing w:line="340" w:lineRule="exact"/>
                    <w:ind w:left="-110" w:leftChars="-50" w:right="-110" w:rightChars="-50"/>
                    <w:jc w:val="center"/>
                    <w:rPr>
                      <w:rFonts w:ascii="Times New Roman" w:hAnsi="Times New Roman" w:cs="Times New Roman"/>
                      <w:color w:val="auto"/>
                      <w:kern w:val="2"/>
                      <w:sz w:val="21"/>
                      <w:szCs w:val="21"/>
                      <w:lang w:bidi="ar-SA"/>
                    </w:rPr>
                  </w:pPr>
                  <w:r>
                    <w:rPr>
                      <w:rFonts w:hint="eastAsia" w:ascii="Times New Roman" w:hAnsi="Times New Roman" w:cs="Times New Roman"/>
                      <w:color w:val="auto"/>
                      <w:sz w:val="21"/>
                      <w:szCs w:val="21"/>
                    </w:rPr>
                    <w:t>生产区、储存区</w:t>
                  </w:r>
                  <w:r>
                    <w:rPr>
                      <w:rFonts w:ascii="Times New Roman" w:hAnsi="Times New Roman" w:cs="Times New Roman"/>
                      <w:color w:val="auto"/>
                      <w:kern w:val="2"/>
                      <w:sz w:val="21"/>
                      <w:szCs w:val="21"/>
                      <w:lang w:bidi="ar-SA"/>
                    </w:rPr>
                    <w:t>地面采取三合土夯实铺底+15cm厚防渗混凝土（防渗等级P6）基础上敷设2mm厚环氧树脂涂覆。或采取其他防渗措施，等效黏土防渗层Mb≥1.5m，K≤1×10</w:t>
                  </w:r>
                  <w:r>
                    <w:rPr>
                      <w:rFonts w:ascii="Times New Roman" w:hAnsi="Times New Roman" w:cs="Times New Roman"/>
                      <w:color w:val="auto"/>
                      <w:kern w:val="2"/>
                      <w:sz w:val="21"/>
                      <w:szCs w:val="21"/>
                      <w:vertAlign w:val="superscript"/>
                      <w:lang w:bidi="ar-SA"/>
                    </w:rPr>
                    <w:t>-7</w:t>
                  </w:r>
                  <w:r>
                    <w:rPr>
                      <w:rFonts w:ascii="Times New Roman" w:hAnsi="Times New Roman" w:cs="Times New Roman"/>
                      <w:color w:val="auto"/>
                      <w:kern w:val="2"/>
                      <w:sz w:val="21"/>
                      <w:szCs w:val="21"/>
                      <w:lang w:bidi="ar-SA"/>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8"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bCs/>
                      <w:color w:val="auto"/>
                      <w:sz w:val="21"/>
                      <w:szCs w:val="21"/>
                      <w:lang w:val="en-US"/>
                    </w:rPr>
                    <w:t>5</w:t>
                  </w:r>
                </w:p>
              </w:tc>
              <w:tc>
                <w:tcPr>
                  <w:tcW w:w="982"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lang w:val="en-US"/>
                    </w:rPr>
                  </w:pPr>
                  <w:r>
                    <w:rPr>
                      <w:rFonts w:ascii="Times New Roman" w:hAnsi="Times New Roman" w:cs="Times New Roman"/>
                      <w:bCs/>
                      <w:color w:val="auto"/>
                      <w:sz w:val="21"/>
                      <w:szCs w:val="21"/>
                    </w:rPr>
                    <w:t>简单防渗区</w:t>
                  </w:r>
                </w:p>
              </w:tc>
              <w:tc>
                <w:tcPr>
                  <w:tcW w:w="1020"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rPr>
                  </w:pPr>
                  <w:r>
                    <w:rPr>
                      <w:rFonts w:hint="eastAsia" w:ascii="Times New Roman" w:hAnsi="Times New Roman" w:cs="Times New Roman"/>
                      <w:color w:val="auto"/>
                      <w:kern w:val="2"/>
                      <w:sz w:val="21"/>
                      <w:szCs w:val="21"/>
                      <w:lang w:val="en-US" w:bidi="ar-SA"/>
                    </w:rPr>
                    <w:t>办公区、</w:t>
                  </w:r>
                  <w:r>
                    <w:rPr>
                      <w:rFonts w:ascii="Times New Roman" w:hAnsi="Times New Roman" w:cs="Times New Roman"/>
                      <w:color w:val="auto"/>
                      <w:kern w:val="2"/>
                      <w:sz w:val="21"/>
                      <w:szCs w:val="21"/>
                      <w:lang w:val="en-US" w:bidi="ar-SA"/>
                    </w:rPr>
                    <w:t>非污染区</w:t>
                  </w:r>
                  <w:r>
                    <w:rPr>
                      <w:rFonts w:ascii="Times New Roman" w:hAnsi="Times New Roman" w:cs="Times New Roman"/>
                      <w:color w:val="auto"/>
                      <w:sz w:val="21"/>
                      <w:szCs w:val="21"/>
                    </w:rPr>
                    <w:t>厂区道路、办公区、门卫</w:t>
                  </w:r>
                </w:p>
              </w:tc>
              <w:tc>
                <w:tcPr>
                  <w:tcW w:w="2698" w:type="pct"/>
                  <w:vAlign w:val="center"/>
                </w:tcPr>
                <w:p>
                  <w:pPr>
                    <w:snapToGrid w:val="0"/>
                    <w:spacing w:line="340" w:lineRule="exact"/>
                    <w:ind w:left="-110" w:leftChars="-50" w:right="-110" w:rightChars="-50"/>
                    <w:jc w:val="center"/>
                    <w:rPr>
                      <w:rFonts w:ascii="Times New Roman" w:hAnsi="Times New Roman" w:cs="Times New Roman"/>
                      <w:bCs/>
                      <w:color w:val="auto"/>
                      <w:sz w:val="21"/>
                      <w:szCs w:val="21"/>
                    </w:rPr>
                  </w:pPr>
                  <w:r>
                    <w:rPr>
                      <w:rFonts w:ascii="Times New Roman" w:hAnsi="Times New Roman" w:cs="Times New Roman"/>
                      <w:color w:val="auto"/>
                      <w:kern w:val="2"/>
                      <w:sz w:val="21"/>
                      <w:szCs w:val="21"/>
                      <w:lang w:bidi="ar-SA"/>
                    </w:rPr>
                    <w:t>非污染区厂区道路、</w:t>
                  </w:r>
                  <w:r>
                    <w:rPr>
                      <w:rFonts w:hint="eastAsia" w:ascii="Times New Roman" w:hAnsi="Times New Roman" w:cs="Times New Roman"/>
                      <w:color w:val="auto"/>
                      <w:kern w:val="2"/>
                      <w:sz w:val="21"/>
                      <w:szCs w:val="21"/>
                      <w:lang w:bidi="ar-SA"/>
                    </w:rPr>
                    <w:t>职工办公休息区</w:t>
                  </w:r>
                  <w:r>
                    <w:rPr>
                      <w:rFonts w:ascii="Times New Roman" w:hAnsi="Times New Roman" w:cs="Times New Roman"/>
                      <w:color w:val="auto"/>
                      <w:kern w:val="2"/>
                      <w:sz w:val="21"/>
                      <w:szCs w:val="21"/>
                      <w:lang w:bidi="ar-SA"/>
                    </w:rPr>
                    <w:t>按常规工程进行设计和建设，地面混凝土硬化，未硬化地点绿化</w:t>
                  </w:r>
                  <w:r>
                    <w:rPr>
                      <w:rFonts w:hint="eastAsia" w:ascii="Times New Roman" w:hAnsi="Times New Roman" w:cs="Times New Roman"/>
                      <w:color w:val="auto"/>
                      <w:kern w:val="2"/>
                      <w:sz w:val="21"/>
                      <w:szCs w:val="21"/>
                      <w:lang w:bidi="ar-SA"/>
                    </w:rPr>
                    <w:t>，采用10-15cm厚普通混凝土硬化处理。</w:t>
                  </w:r>
                </w:p>
              </w:tc>
            </w:tr>
          </w:tbl>
          <w:p>
            <w:pPr>
              <w:pStyle w:val="43"/>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ascii="Times New Roman" w:hAnsi="Times New Roman" w:cs="Times New Roman"/>
                <w:color w:val="auto"/>
                <w:sz w:val="21"/>
                <w:szCs w:val="21"/>
                <w:lang w:val="zh-CN" w:bidi="ar-SA"/>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p>
          <w:p>
            <w:pPr>
              <w:pStyle w:val="43"/>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ascii="Times New Roman" w:hAnsi="Times New Roman" w:cs="Times New Roman"/>
                <w:color w:val="auto"/>
                <w:sz w:val="21"/>
                <w:szCs w:val="21"/>
                <w:lang w:val="zh-CN" w:bidi="ar-SA"/>
              </w:rPr>
              <w:t>本项目厂区不同功能区均采取有效的防渗措施，发生破损、造成污水垂直入渗的概率极小，且项目不产生持久性的污染物，对地下水及土壤环境影响较小。</w:t>
            </w:r>
          </w:p>
          <w:p>
            <w:pPr>
              <w:autoSpaceDE/>
              <w:autoSpaceDN/>
              <w:spacing w:line="400" w:lineRule="exact"/>
              <w:ind w:left="110" w:leftChars="50" w:firstLine="421" w:firstLineChars="200"/>
              <w:rPr>
                <w:rFonts w:ascii="Times New Roman" w:hAnsi="Times New Roman" w:cs="Times New Roman"/>
                <w:b/>
                <w:color w:val="auto"/>
                <w:sz w:val="21"/>
                <w:szCs w:val="21"/>
              </w:rPr>
            </w:pPr>
            <w:r>
              <w:rPr>
                <w:rFonts w:ascii="Times New Roman" w:hAnsi="Times New Roman" w:cs="Times New Roman"/>
                <w:b/>
                <w:color w:val="auto"/>
                <w:sz w:val="21"/>
                <w:szCs w:val="21"/>
              </w:rPr>
              <w:t>六、生态</w:t>
            </w:r>
          </w:p>
          <w:p>
            <w:pPr>
              <w:widowControl/>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本项目所在地无珍稀物种以及自然保护区等环境敏感区，不会影响生物多样性；项目厂区内全部硬化，未硬化的已经全部绿化，绿化后将起到抑尘降噪、美化环境的作用，可以改善周围生态环境。</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 xml:space="preserve">综上所述，本项目不会对区域的生态环境造成不利影响。 </w:t>
            </w:r>
          </w:p>
          <w:p>
            <w:pPr>
              <w:tabs>
                <w:tab w:val="left" w:pos="0"/>
              </w:tabs>
              <w:spacing w:line="400" w:lineRule="exact"/>
              <w:ind w:left="110" w:leftChars="50" w:firstLine="421" w:firstLineChars="200"/>
              <w:rPr>
                <w:rFonts w:ascii="Times New Roman" w:hAnsi="Times New Roman" w:cs="Times New Roman"/>
                <w:b/>
                <w:color w:val="auto"/>
                <w:sz w:val="21"/>
                <w:szCs w:val="21"/>
              </w:rPr>
            </w:pPr>
            <w:r>
              <w:rPr>
                <w:rFonts w:ascii="Times New Roman" w:hAnsi="Times New Roman" w:cs="Times New Roman"/>
                <w:b/>
                <w:color w:val="auto"/>
                <w:sz w:val="21"/>
                <w:szCs w:val="21"/>
                <w:lang w:val="en-US"/>
              </w:rPr>
              <w:t>七</w:t>
            </w:r>
            <w:r>
              <w:rPr>
                <w:rFonts w:ascii="Times New Roman" w:hAnsi="Times New Roman" w:cs="Times New Roman"/>
                <w:b/>
                <w:color w:val="auto"/>
                <w:sz w:val="21"/>
                <w:szCs w:val="21"/>
              </w:rPr>
              <w:t>、环境风险</w:t>
            </w:r>
          </w:p>
          <w:p>
            <w:pPr>
              <w:autoSpaceDE/>
              <w:autoSpaceDN/>
              <w:spacing w:line="400" w:lineRule="exact"/>
              <w:ind w:left="110" w:leftChars="50" w:firstLine="474" w:firstLineChars="225"/>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1、</w:t>
            </w:r>
            <w:r>
              <w:rPr>
                <w:rFonts w:ascii="Times New Roman" w:hAnsi="Times New Roman" w:cs="Times New Roman"/>
                <w:b/>
                <w:bCs/>
                <w:color w:val="auto"/>
                <w:sz w:val="21"/>
                <w:szCs w:val="21"/>
              </w:rPr>
              <w:t>环境风险危险物质识别</w:t>
            </w:r>
          </w:p>
          <w:p>
            <w:pPr>
              <w:autoSpaceDE/>
              <w:autoSpaceDN/>
              <w:spacing w:line="400" w:lineRule="exact"/>
              <w:ind w:left="110" w:leftChars="50" w:firstLine="472" w:firstLineChars="225"/>
              <w:rPr>
                <w:rFonts w:ascii="Times New Roman" w:hAnsi="Times New Roman" w:cs="Times New Roman"/>
                <w:color w:val="auto"/>
                <w:sz w:val="21"/>
                <w:szCs w:val="21"/>
              </w:rPr>
            </w:pPr>
            <w:r>
              <w:rPr>
                <w:rFonts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生产、储存过程中的风险因素及可能诱发的环境问题，并针对潜在的环境风险，提出相应的预防措施，以使建设项目的事故率、损失和环境影响达到可接受水平。</w:t>
            </w:r>
          </w:p>
          <w:p>
            <w:pPr>
              <w:autoSpaceDE/>
              <w:autoSpaceDN/>
              <w:spacing w:line="400" w:lineRule="exact"/>
              <w:ind w:left="110" w:leftChars="50" w:firstLine="472" w:firstLineChars="225"/>
              <w:rPr>
                <w:rFonts w:ascii="Times New Roman" w:hAnsi="Times New Roman" w:cs="Times New Roman"/>
                <w:color w:val="auto"/>
                <w:sz w:val="21"/>
                <w:szCs w:val="21"/>
              </w:rPr>
            </w:pPr>
            <w:r>
              <w:rPr>
                <w:rFonts w:ascii="Times New Roman" w:hAnsi="Times New Roman" w:cs="Times New Roman"/>
                <w:color w:val="auto"/>
                <w:sz w:val="21"/>
                <w:szCs w:val="21"/>
              </w:rPr>
              <w:t>对照《建设项目环境风险评价技术导则》(HJ/T169-2018)附录B，项目生产中涉及到的危险物质主要为</w:t>
            </w:r>
            <w:r>
              <w:rPr>
                <w:rFonts w:ascii="Times New Roman" w:hAnsi="Times New Roman" w:cs="Times New Roman"/>
                <w:b/>
                <w:bCs/>
                <w:color w:val="auto"/>
                <w:sz w:val="21"/>
                <w:szCs w:val="21"/>
              </w:rPr>
              <w:t>油类物质(润滑油)</w:t>
            </w:r>
            <w:r>
              <w:rPr>
                <w:rFonts w:ascii="Times New Roman" w:hAnsi="Times New Roman" w:cs="Times New Roman"/>
                <w:color w:val="auto"/>
                <w:sz w:val="21"/>
                <w:szCs w:val="21"/>
              </w:rPr>
              <w:t>，临界量为</w:t>
            </w:r>
            <w:r>
              <w:rPr>
                <w:rFonts w:ascii="Times New Roman" w:hAnsi="Times New Roman" w:cs="Times New Roman"/>
                <w:color w:val="auto"/>
                <w:sz w:val="21"/>
                <w:szCs w:val="21"/>
                <w:lang w:val="en-US"/>
              </w:rPr>
              <w:t>2500t</w:t>
            </w:r>
            <w:r>
              <w:rPr>
                <w:rFonts w:ascii="Times New Roman" w:hAnsi="Times New Roman" w:cs="Times New Roman"/>
                <w:color w:val="auto"/>
                <w:sz w:val="21"/>
                <w:szCs w:val="21"/>
              </w:rPr>
              <w:t>。本项目油类物质最多同时存在（按项目可允许的最大存放量分析）危废间废润滑油</w:t>
            </w:r>
            <w:r>
              <w:rPr>
                <w:rFonts w:ascii="Times New Roman" w:hAnsi="Times New Roman" w:cs="Times New Roman"/>
                <w:color w:val="auto"/>
                <w:sz w:val="21"/>
                <w:szCs w:val="21"/>
                <w:lang w:val="en-US"/>
              </w:rPr>
              <w:t>2t、生产设备内0.2t</w:t>
            </w:r>
            <w:r>
              <w:rPr>
                <w:rFonts w:ascii="Times New Roman" w:hAnsi="Times New Roman" w:cs="Times New Roman"/>
                <w:color w:val="auto"/>
                <w:sz w:val="21"/>
                <w:szCs w:val="21"/>
              </w:rPr>
              <w:t>，共</w:t>
            </w:r>
            <w:r>
              <w:rPr>
                <w:rFonts w:ascii="Times New Roman" w:hAnsi="Times New Roman" w:cs="Times New Roman"/>
                <w:color w:val="auto"/>
                <w:sz w:val="21"/>
                <w:szCs w:val="21"/>
                <w:lang w:val="en-US"/>
              </w:rPr>
              <w:t>2.</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lang w:val="en-US"/>
              </w:rPr>
              <w:t>t，远小于临界量2500t。</w:t>
            </w:r>
          </w:p>
          <w:p>
            <w:pPr>
              <w:spacing w:line="480" w:lineRule="exact"/>
              <w:ind w:firstLine="421" w:firstLineChars="200"/>
              <w:jc w:val="center"/>
              <w:rPr>
                <w:rFonts w:ascii="Times New Roman" w:hAnsi="Times New Roman" w:cs="Times New Roman"/>
                <w:b/>
                <w:color w:val="auto"/>
                <w:sz w:val="21"/>
                <w:szCs w:val="21"/>
              </w:rPr>
            </w:pPr>
            <w:r>
              <w:rPr>
                <w:rFonts w:ascii="Times New Roman" w:hAnsi="Times New Roman" w:cs="Times New Roman"/>
                <w:b/>
                <w:color w:val="auto"/>
                <w:sz w:val="21"/>
                <w:szCs w:val="21"/>
              </w:rPr>
              <w:t>表</w:t>
            </w:r>
            <w:r>
              <w:rPr>
                <w:rFonts w:ascii="Times New Roman" w:hAnsi="Times New Roman" w:cs="Times New Roman"/>
                <w:b/>
                <w:color w:val="auto"/>
                <w:sz w:val="21"/>
                <w:szCs w:val="21"/>
                <w:lang w:val="en-US"/>
              </w:rPr>
              <w:t>4.</w:t>
            </w:r>
            <w:r>
              <w:rPr>
                <w:rFonts w:hint="eastAsia" w:ascii="Times New Roman" w:hAnsi="Times New Roman" w:cs="Times New Roman"/>
                <w:b/>
                <w:color w:val="auto"/>
                <w:sz w:val="21"/>
                <w:szCs w:val="21"/>
                <w:lang w:val="en-US"/>
              </w:rPr>
              <w:t>2</w:t>
            </w:r>
            <w:r>
              <w:rPr>
                <w:rFonts w:hint="eastAsia" w:ascii="Times New Roman" w:hAnsi="Times New Roman" w:cs="Times New Roman"/>
                <w:b/>
                <w:color w:val="auto"/>
                <w:sz w:val="21"/>
                <w:szCs w:val="21"/>
                <w:lang w:val="en-US" w:eastAsia="zh-CN"/>
              </w:rPr>
              <w:t>3</w:t>
            </w:r>
            <w:r>
              <w:rPr>
                <w:rFonts w:ascii="Times New Roman" w:hAnsi="Times New Roman" w:cs="Times New Roman"/>
                <w:b/>
                <w:color w:val="auto"/>
                <w:sz w:val="21"/>
                <w:szCs w:val="21"/>
              </w:rPr>
              <w:t xml:space="preserve">  风险物质与临界量对比计算结果一览表</w:t>
            </w:r>
          </w:p>
          <w:tbl>
            <w:tblPr>
              <w:tblStyle w:val="3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9"/>
              <w:gridCol w:w="1140"/>
              <w:gridCol w:w="3357"/>
              <w:gridCol w:w="98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1559" w:type="dxa"/>
                  <w:vAlign w:val="center"/>
                </w:tcPr>
                <w:p>
                  <w:pPr>
                    <w:spacing w:line="34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物质名称</w:t>
                  </w:r>
                </w:p>
              </w:tc>
              <w:tc>
                <w:tcPr>
                  <w:tcW w:w="1140" w:type="dxa"/>
                  <w:vAlign w:val="center"/>
                </w:tcPr>
                <w:p>
                  <w:pPr>
                    <w:spacing w:line="340" w:lineRule="exact"/>
                    <w:jc w:val="center"/>
                    <w:rPr>
                      <w:rFonts w:ascii="Times New Roman" w:hAnsi="Times New Roman" w:cs="Times New Roman"/>
                      <w:b/>
                      <w:bCs/>
                      <w:color w:val="auto"/>
                      <w:spacing w:val="4"/>
                      <w:sz w:val="21"/>
                      <w:szCs w:val="21"/>
                    </w:rPr>
                  </w:pPr>
                  <w:r>
                    <w:rPr>
                      <w:rFonts w:ascii="Times New Roman" w:hAnsi="Times New Roman" w:cs="Times New Roman"/>
                      <w:b/>
                      <w:bCs/>
                      <w:color w:val="auto"/>
                      <w:spacing w:val="4"/>
                      <w:sz w:val="21"/>
                      <w:szCs w:val="21"/>
                    </w:rPr>
                    <w:t>CAS号</w:t>
                  </w:r>
                </w:p>
              </w:tc>
              <w:tc>
                <w:tcPr>
                  <w:tcW w:w="3357" w:type="dxa"/>
                  <w:vAlign w:val="center"/>
                </w:tcPr>
                <w:p>
                  <w:pPr>
                    <w:spacing w:line="340" w:lineRule="exact"/>
                    <w:jc w:val="center"/>
                    <w:rPr>
                      <w:rFonts w:ascii="Times New Roman" w:hAnsi="Times New Roman" w:cs="Times New Roman"/>
                      <w:b/>
                      <w:bCs/>
                      <w:color w:val="auto"/>
                      <w:spacing w:val="4"/>
                      <w:sz w:val="21"/>
                      <w:szCs w:val="21"/>
                    </w:rPr>
                  </w:pPr>
                  <w:r>
                    <w:rPr>
                      <w:rFonts w:ascii="Times New Roman" w:hAnsi="Times New Roman" w:cs="Times New Roman"/>
                      <w:b/>
                      <w:bCs/>
                      <w:color w:val="auto"/>
                      <w:spacing w:val="4"/>
                      <w:sz w:val="21"/>
                      <w:szCs w:val="21"/>
                    </w:rPr>
                    <w:t>最大存储量t</w:t>
                  </w:r>
                </w:p>
              </w:tc>
              <w:tc>
                <w:tcPr>
                  <w:tcW w:w="983" w:type="dxa"/>
                  <w:vAlign w:val="center"/>
                </w:tcPr>
                <w:p>
                  <w:pPr>
                    <w:spacing w:line="340" w:lineRule="exact"/>
                    <w:jc w:val="center"/>
                    <w:rPr>
                      <w:rFonts w:ascii="Times New Roman" w:hAnsi="Times New Roman" w:cs="Times New Roman"/>
                      <w:b/>
                      <w:bCs/>
                      <w:color w:val="auto"/>
                      <w:spacing w:val="4"/>
                      <w:sz w:val="21"/>
                      <w:szCs w:val="21"/>
                    </w:rPr>
                  </w:pPr>
                  <w:r>
                    <w:rPr>
                      <w:rFonts w:ascii="Times New Roman" w:hAnsi="Times New Roman" w:cs="Times New Roman"/>
                      <w:b/>
                      <w:bCs/>
                      <w:color w:val="auto"/>
                      <w:spacing w:val="4"/>
                      <w:sz w:val="21"/>
                      <w:szCs w:val="21"/>
                    </w:rPr>
                    <w:t>临界量t</w:t>
                  </w:r>
                </w:p>
              </w:tc>
              <w:tc>
                <w:tcPr>
                  <w:tcW w:w="1659" w:type="dxa"/>
                  <w:vAlign w:val="center"/>
                </w:tcPr>
                <w:p>
                  <w:pPr>
                    <w:spacing w:line="340" w:lineRule="exact"/>
                    <w:jc w:val="center"/>
                    <w:rPr>
                      <w:rFonts w:ascii="Times New Roman" w:hAnsi="Times New Roman" w:cs="Times New Roman"/>
                      <w:b/>
                      <w:bCs/>
                      <w:color w:val="auto"/>
                      <w:spacing w:val="4"/>
                      <w:sz w:val="21"/>
                      <w:szCs w:val="21"/>
                    </w:rPr>
                  </w:pPr>
                  <w:r>
                    <w:rPr>
                      <w:rFonts w:ascii="Times New Roman" w:hAnsi="Times New Roman" w:cs="Times New Roman"/>
                      <w:b/>
                      <w:bCs/>
                      <w:color w:val="auto"/>
                      <w:sz w:val="21"/>
                      <w:szCs w:val="21"/>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1559" w:type="dxa"/>
                  <w:vAlign w:val="center"/>
                </w:tcPr>
                <w:p>
                  <w:pPr>
                    <w:spacing w:line="340" w:lineRule="exact"/>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油类物质（</w:t>
                  </w:r>
                  <w:r>
                    <w:rPr>
                      <w:rFonts w:hint="eastAsia" w:ascii="Times New Roman" w:hAnsi="Times New Roman" w:cs="Times New Roman"/>
                      <w:color w:val="auto"/>
                      <w:sz w:val="21"/>
                      <w:szCs w:val="21"/>
                      <w:lang w:val="en-US"/>
                    </w:rPr>
                    <w:t>润滑油</w:t>
                  </w:r>
                  <w:r>
                    <w:rPr>
                      <w:rFonts w:ascii="Times New Roman" w:hAnsi="Times New Roman" w:cs="Times New Roman"/>
                      <w:color w:val="auto"/>
                      <w:sz w:val="21"/>
                      <w:szCs w:val="21"/>
                      <w:lang w:val="en-US"/>
                    </w:rPr>
                    <w:t>）</w:t>
                  </w:r>
                </w:p>
              </w:tc>
              <w:tc>
                <w:tcPr>
                  <w:tcW w:w="1140" w:type="dxa"/>
                  <w:vAlign w:val="center"/>
                </w:tcPr>
                <w:p>
                  <w:pPr>
                    <w:spacing w:line="340" w:lineRule="exact"/>
                    <w:jc w:val="center"/>
                    <w:rPr>
                      <w:rFonts w:ascii="Times New Roman" w:hAnsi="Times New Roman" w:cs="Times New Roman"/>
                      <w:color w:val="auto"/>
                      <w:spacing w:val="4"/>
                      <w:sz w:val="21"/>
                      <w:szCs w:val="21"/>
                    </w:rPr>
                  </w:pPr>
                  <w:r>
                    <w:rPr>
                      <w:rFonts w:ascii="Times New Roman" w:hAnsi="Times New Roman" w:cs="Times New Roman"/>
                      <w:color w:val="auto"/>
                      <w:spacing w:val="4"/>
                      <w:sz w:val="21"/>
                      <w:szCs w:val="21"/>
                    </w:rPr>
                    <w:t>/</w:t>
                  </w:r>
                </w:p>
              </w:tc>
              <w:tc>
                <w:tcPr>
                  <w:tcW w:w="3357" w:type="dxa"/>
                  <w:vAlign w:val="center"/>
                </w:tcPr>
                <w:p>
                  <w:pPr>
                    <w:spacing w:line="340" w:lineRule="exact"/>
                    <w:jc w:val="center"/>
                    <w:rPr>
                      <w:rFonts w:ascii="Times New Roman" w:hAnsi="Times New Roman" w:cs="Times New Roman"/>
                      <w:color w:val="auto"/>
                      <w:spacing w:val="4"/>
                      <w:sz w:val="21"/>
                      <w:szCs w:val="21"/>
                      <w:lang w:val="en-US"/>
                    </w:rPr>
                  </w:pPr>
                  <w:r>
                    <w:rPr>
                      <w:rFonts w:hint="eastAsia" w:ascii="Times New Roman" w:hAnsi="Times New Roman" w:cs="Times New Roman"/>
                      <w:color w:val="auto"/>
                      <w:spacing w:val="4"/>
                      <w:sz w:val="21"/>
                      <w:szCs w:val="21"/>
                      <w:lang w:val="en-US"/>
                    </w:rPr>
                    <w:t>2.2</w:t>
                  </w:r>
                </w:p>
              </w:tc>
              <w:tc>
                <w:tcPr>
                  <w:tcW w:w="983" w:type="dxa"/>
                  <w:vAlign w:val="center"/>
                </w:tcPr>
                <w:p>
                  <w:pPr>
                    <w:spacing w:line="340" w:lineRule="exact"/>
                    <w:jc w:val="center"/>
                    <w:rPr>
                      <w:rFonts w:ascii="Times New Roman" w:hAnsi="Times New Roman" w:cs="Times New Roman"/>
                      <w:color w:val="auto"/>
                      <w:spacing w:val="4"/>
                      <w:sz w:val="21"/>
                      <w:szCs w:val="21"/>
                      <w:lang w:val="en-US"/>
                    </w:rPr>
                  </w:pPr>
                  <w:r>
                    <w:rPr>
                      <w:rFonts w:ascii="Times New Roman" w:hAnsi="Times New Roman" w:cs="Times New Roman"/>
                      <w:color w:val="auto"/>
                      <w:spacing w:val="4"/>
                      <w:sz w:val="21"/>
                      <w:szCs w:val="21"/>
                      <w:lang w:val="en-US"/>
                    </w:rPr>
                    <w:t>2500</w:t>
                  </w:r>
                </w:p>
              </w:tc>
              <w:tc>
                <w:tcPr>
                  <w:tcW w:w="1659" w:type="dxa"/>
                  <w:vAlign w:val="center"/>
                </w:tcPr>
                <w:p>
                  <w:pPr>
                    <w:spacing w:line="3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7039" w:type="dxa"/>
                  <w:gridSpan w:val="4"/>
                  <w:vAlign w:val="center"/>
                </w:tcPr>
                <w:p>
                  <w:pPr>
                    <w:spacing w:line="340" w:lineRule="exact"/>
                    <w:jc w:val="center"/>
                    <w:rPr>
                      <w:rFonts w:ascii="Times New Roman" w:hAnsi="Times New Roman" w:cs="Times New Roman"/>
                      <w:color w:val="auto"/>
                      <w:spacing w:val="4"/>
                      <w:sz w:val="21"/>
                      <w:szCs w:val="21"/>
                      <w:lang w:val="en-US"/>
                    </w:rPr>
                  </w:pPr>
                  <w:r>
                    <w:rPr>
                      <w:rFonts w:ascii="Times New Roman" w:hAnsi="Times New Roman" w:cs="Times New Roman"/>
                      <w:color w:val="auto"/>
                      <w:spacing w:val="4"/>
                      <w:sz w:val="21"/>
                      <w:szCs w:val="21"/>
                      <w:lang w:val="en-US"/>
                    </w:rPr>
                    <w:t>合计</w:t>
                  </w:r>
                </w:p>
              </w:tc>
              <w:tc>
                <w:tcPr>
                  <w:tcW w:w="1659" w:type="dxa"/>
                  <w:vAlign w:val="center"/>
                </w:tcPr>
                <w:p>
                  <w:pPr>
                    <w:spacing w:line="34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0.0009（＜1）</w:t>
                  </w:r>
                </w:p>
              </w:tc>
            </w:tr>
          </w:tbl>
          <w:p>
            <w:pPr>
              <w:autoSpaceDE/>
              <w:autoSpaceDN/>
              <w:spacing w:line="400" w:lineRule="exact"/>
              <w:ind w:left="110" w:leftChars="50" w:firstLine="472" w:firstLineChars="225"/>
              <w:rPr>
                <w:rFonts w:ascii="Times New Roman" w:hAnsi="Times New Roman" w:cs="Times New Roman"/>
                <w:color w:val="auto"/>
                <w:sz w:val="21"/>
                <w:szCs w:val="21"/>
              </w:rPr>
            </w:pPr>
            <w:r>
              <w:rPr>
                <w:rFonts w:ascii="Times New Roman" w:hAnsi="Times New Roman" w:cs="Times New Roman"/>
                <w:color w:val="auto"/>
                <w:sz w:val="21"/>
                <w:szCs w:val="21"/>
              </w:rPr>
              <w:t>本项目涉及的环境风险物质为</w:t>
            </w:r>
            <w:r>
              <w:rPr>
                <w:rFonts w:ascii="Times New Roman" w:hAnsi="Times New Roman" w:cs="Times New Roman"/>
                <w:b/>
                <w:bCs/>
                <w:color w:val="auto"/>
                <w:sz w:val="21"/>
                <w:szCs w:val="21"/>
              </w:rPr>
              <w:t>油类物质(润滑油)</w:t>
            </w:r>
            <w:r>
              <w:rPr>
                <w:rFonts w:ascii="Times New Roman" w:hAnsi="Times New Roman" w:cs="Times New Roman"/>
                <w:color w:val="auto"/>
                <w:sz w:val="21"/>
                <w:szCs w:val="21"/>
              </w:rPr>
              <w:t>。润滑油成分主要为矿物质油。危险物质成分及危险性见下表。</w:t>
            </w:r>
          </w:p>
          <w:p>
            <w:pPr>
              <w:autoSpaceDE/>
              <w:autoSpaceDN/>
              <w:spacing w:line="4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eastAsia="zh-CN"/>
              </w:rPr>
              <w:t>4</w:t>
            </w:r>
            <w:r>
              <w:rPr>
                <w:rFonts w:ascii="Times New Roman" w:hAnsi="Times New Roman" w:cs="Times New Roman"/>
                <w:b/>
                <w:bCs/>
                <w:color w:val="auto"/>
                <w:sz w:val="21"/>
                <w:szCs w:val="21"/>
              </w:rPr>
              <w:t xml:space="preserve">  危险物质成分及危险性表</w:t>
            </w:r>
          </w:p>
          <w:tbl>
            <w:tblPr>
              <w:tblStyle w:val="32"/>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7"/>
              <w:gridCol w:w="535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vAlign w:val="center"/>
                </w:tcPr>
                <w:p>
                  <w:pPr>
                    <w:wordWrap w:val="0"/>
                    <w:autoSpaceDE/>
                    <w:autoSpaceDN/>
                    <w:spacing w:line="32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危险物质</w:t>
                  </w:r>
                </w:p>
              </w:tc>
              <w:tc>
                <w:tcPr>
                  <w:tcW w:w="3150" w:type="pct"/>
                  <w:vAlign w:val="center"/>
                </w:tcPr>
                <w:p>
                  <w:pPr>
                    <w:wordWrap w:val="0"/>
                    <w:autoSpaceDE/>
                    <w:autoSpaceDN/>
                    <w:spacing w:line="32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理化性质</w:t>
                  </w:r>
                </w:p>
              </w:tc>
              <w:tc>
                <w:tcPr>
                  <w:tcW w:w="1261" w:type="pct"/>
                  <w:vAlign w:val="center"/>
                </w:tcPr>
                <w:p>
                  <w:pPr>
                    <w:wordWrap w:val="0"/>
                    <w:autoSpaceDE/>
                    <w:autoSpaceDN/>
                    <w:spacing w:line="32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vAlign w:val="center"/>
                </w:tcPr>
                <w:p>
                  <w:pPr>
                    <w:wordWrap w:val="0"/>
                    <w:autoSpaceDE/>
                    <w:autoSpaceDN/>
                    <w:spacing w:line="32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油类物质</w:t>
                  </w:r>
                </w:p>
              </w:tc>
              <w:tc>
                <w:tcPr>
                  <w:tcW w:w="3150" w:type="pct"/>
                  <w:vAlign w:val="center"/>
                </w:tcPr>
                <w:p>
                  <w:pPr>
                    <w:wordWrap w:val="0"/>
                    <w:autoSpaceDE/>
                    <w:autoSpaceDN/>
                    <w:spacing w:line="32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vAlign w:val="center"/>
                </w:tcPr>
                <w:p>
                  <w:pPr>
                    <w:wordWrap w:val="0"/>
                    <w:autoSpaceDE/>
                    <w:autoSpaceDN/>
                    <w:spacing w:line="32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温度过高热、明火或与氧化剂接触，均有引燃危险。容器内压增大有开裂或爆炸危险。</w:t>
                  </w:r>
                </w:p>
              </w:tc>
            </w:tr>
          </w:tbl>
          <w:p>
            <w:pPr>
              <w:autoSpaceDE/>
              <w:autoSpaceDN/>
              <w:spacing w:line="400" w:lineRule="exact"/>
              <w:ind w:firstLine="420" w:firstLineChars="200"/>
              <w:rPr>
                <w:rFonts w:ascii="Times New Roman" w:hAnsi="Times New Roman" w:cs="Times New Roman"/>
                <w:color w:val="auto"/>
                <w:kern w:val="2"/>
                <w:sz w:val="21"/>
                <w:szCs w:val="21"/>
              </w:rPr>
            </w:pPr>
            <w:r>
              <w:rPr>
                <w:rFonts w:ascii="Times New Roman" w:hAnsi="Times New Roman" w:cs="Times New Roman"/>
                <w:color w:val="auto"/>
                <w:kern w:val="2"/>
                <w:sz w:val="21"/>
                <w:szCs w:val="21"/>
              </w:rPr>
              <w:t>本项目危险废物主要为</w:t>
            </w:r>
            <w:r>
              <w:rPr>
                <w:rFonts w:hint="eastAsia" w:ascii="Times New Roman" w:hAnsi="Times New Roman" w:cs="Times New Roman"/>
                <w:color w:val="auto"/>
                <w:sz w:val="21"/>
                <w:szCs w:val="21"/>
              </w:rPr>
              <w:t>废润滑油、废油桶</w:t>
            </w:r>
            <w:r>
              <w:rPr>
                <w:rFonts w:ascii="Times New Roman" w:hAnsi="Times New Roman" w:cs="Times New Roman"/>
                <w:color w:val="auto"/>
                <w:kern w:val="2"/>
                <w:sz w:val="21"/>
                <w:szCs w:val="21"/>
              </w:rPr>
              <w:t>，危险废物存放于危废暂存间，正常存放情况下，不会对周边环境产生不良影响。若随意丢弃，不按规范摆放和贮存，可能造成危险废物中含有的有毒有害物质的泄漏、流失，若直接进入环境，可能造成残留物污染水体、土壤、地下水，影响地表水水质、土壤土质、地下水水质，对周边环境将造成较大影响。</w:t>
            </w:r>
          </w:p>
          <w:p>
            <w:pPr>
              <w:autoSpaceDE/>
              <w:autoSpaceDN/>
              <w:spacing w:line="400" w:lineRule="exact"/>
              <w:ind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lang w:val="en-US"/>
              </w:rPr>
              <w:t>环境风险分布情况及可能影响途径</w:t>
            </w:r>
          </w:p>
          <w:p>
            <w:pPr>
              <w:autoSpaceDE/>
              <w:autoSpaceDN/>
              <w:spacing w:line="400" w:lineRule="exact"/>
              <w:ind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（1）生产装置单元</w:t>
            </w:r>
          </w:p>
          <w:p>
            <w:pPr>
              <w:autoSpaceDE/>
              <w:autoSpaceDN/>
              <w:spacing w:line="40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各传动设备、液压设备破损造成润滑油泄露，主要风险物质为油类物质，下渗污染土壤、地下水，遇明火或氧化物发生火灾或爆炸，事故发生概率较低，主要原因是违规操作或设施维护不到位造成的。</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（2）物料储存单元</w:t>
            </w:r>
          </w:p>
          <w:p>
            <w:pPr>
              <w:autoSpaceDE/>
              <w:autoSpaceDN/>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润滑油为易燃物质，</w:t>
            </w:r>
            <w:r>
              <w:rPr>
                <w:rFonts w:hint="eastAsia" w:ascii="Times New Roman" w:hAnsi="Times New Roman" w:cs="Times New Roman"/>
                <w:color w:val="auto"/>
                <w:sz w:val="21"/>
                <w:szCs w:val="21"/>
              </w:rPr>
              <w:t>物料储存单元存在的环境风险为</w:t>
            </w:r>
            <w:r>
              <w:rPr>
                <w:rFonts w:ascii="Times New Roman" w:hAnsi="Times New Roman" w:cs="Times New Roman"/>
                <w:color w:val="auto"/>
                <w:sz w:val="21"/>
                <w:szCs w:val="21"/>
              </w:rPr>
              <w:t>泄露事故、火灾爆炸事故</w:t>
            </w:r>
            <w:r>
              <w:rPr>
                <w:rFonts w:hint="eastAsia" w:ascii="Times New Roman" w:hAnsi="Times New Roman" w:cs="Times New Roman"/>
                <w:color w:val="auto"/>
                <w:sz w:val="21"/>
                <w:szCs w:val="21"/>
              </w:rPr>
              <w:t>，物料燃烧释放的大量浓烟、CO、氯化氢、二噁英等有害气体，事故发生概率很低，原辅料、产品存放量较低，即使发生事故也不会造成重大影响。诱发火灾的因素主要有：违章吸烟、动火；设备维修时，未采取有效防护措施；电器线路和电气设施在开关断开、接触不良、短路、漏电时产生火花，以及静电放电火花；未采取有效避雷措施，或者避雷措施失效而导致雷击失火等。</w:t>
            </w:r>
          </w:p>
          <w:p>
            <w:pPr>
              <w:autoSpaceDE/>
              <w:autoSpaceDN/>
              <w:spacing w:line="40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（3）危废储存单元</w:t>
            </w:r>
          </w:p>
          <w:p>
            <w:pPr>
              <w:autoSpaceDE/>
              <w:autoSpaceDN/>
              <w:spacing w:line="400" w:lineRule="exact"/>
              <w:ind w:firstLine="420" w:firstLineChars="200"/>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危险废物暂存间存放的</w:t>
            </w:r>
            <w:r>
              <w:rPr>
                <w:rFonts w:hint="eastAsia" w:ascii="Times New Roman" w:hAnsi="Times New Roman" w:cs="Times New Roman"/>
                <w:color w:val="auto"/>
                <w:sz w:val="21"/>
                <w:szCs w:val="21"/>
              </w:rPr>
              <w:t>废润滑油、废油桶</w:t>
            </w:r>
            <w:r>
              <w:rPr>
                <w:rFonts w:hint="eastAsia" w:ascii="Times New Roman" w:hAnsi="Times New Roman" w:cs="Times New Roman"/>
                <w:color w:val="auto"/>
                <w:sz w:val="21"/>
                <w:szCs w:val="21"/>
                <w:lang w:val="en-US"/>
              </w:rPr>
              <w:t>等危险废物，破损后会有油类物质、有毒有害物质泄露的风险，地面防渗层破损，</w:t>
            </w:r>
            <w:r>
              <w:rPr>
                <w:rFonts w:hint="eastAsia" w:ascii="Times New Roman" w:hAnsi="Times New Roman" w:cs="Times New Roman"/>
                <w:color w:val="auto"/>
                <w:sz w:val="21"/>
                <w:szCs w:val="21"/>
              </w:rPr>
              <w:t>下渗污染土壤、地下水；危废间温度过高热、遇明火或与氧化剂接触，均有引燃危险，燃烧产生浓烟及有毒有害气体，内压增大有开裂或爆炸危险。事故发生概率很低，主要原因是防渗层破损、员工违规操作或储存装置维护不到位造成的。</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项目生产系统</w:t>
            </w:r>
            <w:r>
              <w:rPr>
                <w:rFonts w:ascii="Times New Roman" w:hAnsi="Times New Roman" w:cs="Times New Roman"/>
                <w:color w:val="auto"/>
                <w:sz w:val="21"/>
                <w:szCs w:val="21"/>
                <w:lang w:val="en-US"/>
              </w:rPr>
              <w:t>环境风险分布情况及可能影响途径</w:t>
            </w:r>
            <w:r>
              <w:rPr>
                <w:rFonts w:ascii="Times New Roman" w:hAnsi="Times New Roman" w:cs="Times New Roman"/>
                <w:color w:val="auto"/>
                <w:sz w:val="21"/>
                <w:szCs w:val="21"/>
              </w:rPr>
              <w:t>见下表。</w:t>
            </w:r>
            <w:r>
              <w:rPr>
                <w:rFonts w:hint="eastAsia" w:ascii="Times New Roman" w:hAnsi="Times New Roman" w:cs="Times New Roman"/>
                <w:color w:val="auto"/>
                <w:sz w:val="21"/>
                <w:szCs w:val="21"/>
              </w:rPr>
              <w:t>项目周边不涉及地表水系，不会因地表漫流影响地表水。</w:t>
            </w:r>
          </w:p>
          <w:p>
            <w:pPr>
              <w:autoSpaceDE/>
              <w:autoSpaceDN/>
              <w:spacing w:line="400" w:lineRule="exact"/>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w:t>
            </w:r>
            <w:r>
              <w:rPr>
                <w:rFonts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lang w:val="en-US" w:eastAsia="zh-CN"/>
              </w:rPr>
              <w:t>5</w:t>
            </w:r>
            <w:r>
              <w:rPr>
                <w:rFonts w:ascii="Times New Roman" w:hAnsi="Times New Roman" w:cs="Times New Roman"/>
                <w:b/>
                <w:bCs/>
                <w:color w:val="auto"/>
                <w:sz w:val="21"/>
                <w:szCs w:val="21"/>
              </w:rPr>
              <w:t xml:space="preserve">  项目生产系统</w:t>
            </w:r>
            <w:r>
              <w:rPr>
                <w:rFonts w:ascii="Times New Roman" w:hAnsi="Times New Roman" w:cs="Times New Roman"/>
                <w:b/>
                <w:bCs/>
                <w:color w:val="auto"/>
                <w:sz w:val="21"/>
                <w:szCs w:val="21"/>
                <w:lang w:val="en-US"/>
              </w:rPr>
              <w:t>环境风险分布情况及可能影响途径一览</w:t>
            </w:r>
            <w:r>
              <w:rPr>
                <w:rFonts w:ascii="Times New Roman" w:hAnsi="Times New Roman" w:cs="Times New Roman"/>
                <w:b/>
                <w:bCs/>
                <w:color w:val="auto"/>
                <w:sz w:val="21"/>
                <w:szCs w:val="21"/>
              </w:rPr>
              <w:t>表</w:t>
            </w:r>
          </w:p>
          <w:tbl>
            <w:tblPr>
              <w:tblStyle w:val="32"/>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5"/>
              <w:gridCol w:w="1609"/>
              <w:gridCol w:w="783"/>
              <w:gridCol w:w="892"/>
              <w:gridCol w:w="269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危险单元</w:t>
                  </w:r>
                </w:p>
              </w:tc>
              <w:tc>
                <w:tcPr>
                  <w:tcW w:w="924"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风险源</w:t>
                  </w:r>
                </w:p>
              </w:tc>
              <w:tc>
                <w:tcPr>
                  <w:tcW w:w="450"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主要危险物质</w:t>
                  </w:r>
                </w:p>
              </w:tc>
              <w:tc>
                <w:tcPr>
                  <w:tcW w:w="513" w:type="pct"/>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环境风险类型</w:t>
                  </w:r>
                </w:p>
              </w:tc>
              <w:tc>
                <w:tcPr>
                  <w:tcW w:w="1550" w:type="pct"/>
                  <w:vAlign w:val="center"/>
                </w:tcPr>
                <w:p>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环境影响途径</w:t>
                  </w:r>
                </w:p>
              </w:tc>
              <w:tc>
                <w:tcPr>
                  <w:tcW w:w="844" w:type="pct"/>
                  <w:vAlign w:val="center"/>
                </w:tcPr>
                <w:p>
                  <w:pPr>
                    <w:adjustRightIn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搅拌楼</w:t>
                  </w:r>
                </w:p>
              </w:tc>
              <w:tc>
                <w:tcPr>
                  <w:tcW w:w="924" w:type="pc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润滑油</w:t>
                  </w:r>
                  <w:r>
                    <w:rPr>
                      <w:rFonts w:hint="eastAsia" w:ascii="Times New Roman" w:hAnsi="Times New Roman" w:cs="Times New Roman"/>
                      <w:color w:val="auto"/>
                      <w:sz w:val="21"/>
                      <w:szCs w:val="21"/>
                    </w:rPr>
                    <w:t>（设备内）</w:t>
                  </w:r>
                </w:p>
              </w:tc>
              <w:tc>
                <w:tcPr>
                  <w:tcW w:w="450" w:type="pct"/>
                  <w:vMerge w:val="restar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油类物质</w:t>
                  </w:r>
                </w:p>
              </w:tc>
              <w:tc>
                <w:tcPr>
                  <w:tcW w:w="513" w:type="pct"/>
                  <w:vMerge w:val="restar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危险物质泄漏、火灾</w:t>
                  </w:r>
                </w:p>
              </w:tc>
              <w:tc>
                <w:tcPr>
                  <w:tcW w:w="1550" w:type="pct"/>
                  <w:vMerge w:val="restart"/>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防渗措施失效后，下渗污染地下水；随雨水污染地表水；火灾产生的伴生/次生物质污染大气环境</w:t>
                  </w:r>
                </w:p>
              </w:tc>
              <w:tc>
                <w:tcPr>
                  <w:tcW w:w="844" w:type="pct"/>
                  <w:vMerge w:val="restar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地下水、地表水、土壤、环境空气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vAlign w:val="center"/>
                </w:tcPr>
                <w:p>
                  <w:pPr>
                    <w:adjustRightInd w:val="0"/>
                    <w:jc w:val="center"/>
                    <w:rPr>
                      <w:rFonts w:ascii="Times New Roman" w:hAnsi="Times New Roman" w:cs="Times New Roman"/>
                      <w:color w:val="auto"/>
                      <w:sz w:val="21"/>
                      <w:szCs w:val="21"/>
                    </w:rPr>
                  </w:pPr>
                  <w:r>
                    <w:rPr>
                      <w:rFonts w:ascii="Times New Roman" w:hAnsi="Times New Roman" w:cs="Times New Roman"/>
                      <w:color w:val="auto"/>
                      <w:sz w:val="21"/>
                      <w:szCs w:val="21"/>
                    </w:rPr>
                    <w:t>危废间</w:t>
                  </w:r>
                </w:p>
              </w:tc>
              <w:tc>
                <w:tcPr>
                  <w:tcW w:w="924" w:type="pct"/>
                  <w:vAlign w:val="center"/>
                </w:tcPr>
                <w:p>
                  <w:pPr>
                    <w:adjustRightIn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废</w:t>
                  </w:r>
                  <w:r>
                    <w:rPr>
                      <w:rFonts w:ascii="Times New Roman" w:hAnsi="Times New Roman" w:cs="Times New Roman"/>
                      <w:color w:val="auto"/>
                      <w:sz w:val="21"/>
                      <w:szCs w:val="21"/>
                    </w:rPr>
                    <w:t>润滑油、</w:t>
                  </w:r>
                  <w:r>
                    <w:rPr>
                      <w:rFonts w:hint="eastAsia" w:ascii="Times New Roman" w:hAnsi="Times New Roman" w:cs="Times New Roman"/>
                      <w:color w:val="auto"/>
                      <w:sz w:val="21"/>
                      <w:szCs w:val="21"/>
                    </w:rPr>
                    <w:t>废</w:t>
                  </w:r>
                  <w:r>
                    <w:rPr>
                      <w:rFonts w:ascii="Times New Roman" w:hAnsi="Times New Roman" w:cs="Times New Roman"/>
                      <w:color w:val="auto"/>
                      <w:sz w:val="21"/>
                      <w:szCs w:val="21"/>
                    </w:rPr>
                    <w:t>油桶</w:t>
                  </w:r>
                </w:p>
              </w:tc>
              <w:tc>
                <w:tcPr>
                  <w:tcW w:w="450" w:type="pct"/>
                  <w:vMerge w:val="continue"/>
                  <w:vAlign w:val="center"/>
                </w:tcPr>
                <w:p>
                  <w:pPr>
                    <w:adjustRightInd w:val="0"/>
                    <w:jc w:val="center"/>
                    <w:rPr>
                      <w:rFonts w:ascii="Times New Roman" w:hAnsi="Times New Roman" w:cs="Times New Roman"/>
                      <w:color w:val="auto"/>
                      <w:sz w:val="21"/>
                      <w:szCs w:val="21"/>
                    </w:rPr>
                  </w:pPr>
                </w:p>
              </w:tc>
              <w:tc>
                <w:tcPr>
                  <w:tcW w:w="513" w:type="pct"/>
                  <w:vMerge w:val="continue"/>
                  <w:vAlign w:val="center"/>
                </w:tcPr>
                <w:p>
                  <w:pPr>
                    <w:adjustRightInd w:val="0"/>
                    <w:jc w:val="center"/>
                    <w:rPr>
                      <w:rFonts w:ascii="Times New Roman" w:hAnsi="Times New Roman" w:cs="Times New Roman"/>
                      <w:color w:val="auto"/>
                      <w:sz w:val="21"/>
                      <w:szCs w:val="21"/>
                    </w:rPr>
                  </w:pPr>
                </w:p>
              </w:tc>
              <w:tc>
                <w:tcPr>
                  <w:tcW w:w="1550" w:type="pct"/>
                  <w:vMerge w:val="continue"/>
                  <w:vAlign w:val="center"/>
                </w:tcPr>
                <w:p>
                  <w:pPr>
                    <w:jc w:val="center"/>
                    <w:rPr>
                      <w:rFonts w:ascii="Times New Roman" w:hAnsi="Times New Roman" w:cs="Times New Roman"/>
                      <w:color w:val="auto"/>
                      <w:sz w:val="21"/>
                      <w:szCs w:val="21"/>
                    </w:rPr>
                  </w:pPr>
                </w:p>
              </w:tc>
              <w:tc>
                <w:tcPr>
                  <w:tcW w:w="844" w:type="pct"/>
                  <w:vMerge w:val="continue"/>
                  <w:vAlign w:val="center"/>
                </w:tcPr>
                <w:p>
                  <w:pPr>
                    <w:adjustRightInd w:val="0"/>
                    <w:jc w:val="center"/>
                    <w:rPr>
                      <w:rFonts w:ascii="Times New Roman" w:hAnsi="Times New Roman" w:cs="Times New Roman"/>
                      <w:color w:val="auto"/>
                      <w:sz w:val="21"/>
                      <w:szCs w:val="21"/>
                    </w:rPr>
                  </w:pPr>
                </w:p>
              </w:tc>
            </w:tr>
          </w:tbl>
          <w:p>
            <w:pPr>
              <w:autoSpaceDE/>
              <w:autoSpaceDN/>
              <w:spacing w:line="400" w:lineRule="exact"/>
              <w:ind w:left="110" w:leftChars="50"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3、</w:t>
            </w:r>
            <w:r>
              <w:rPr>
                <w:rFonts w:ascii="Times New Roman" w:hAnsi="Times New Roman" w:cs="Times New Roman"/>
                <w:b/>
                <w:bCs/>
                <w:color w:val="auto"/>
                <w:sz w:val="21"/>
                <w:szCs w:val="21"/>
              </w:rPr>
              <w:t>环境风险防治措施</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本项目为防止风险事故的发生，应采取以下防范措施:</w:t>
            </w:r>
          </w:p>
          <w:p>
            <w:pPr>
              <w:autoSpaceDE/>
              <w:autoSpaceDN/>
              <w:spacing w:line="400" w:lineRule="exact"/>
              <w:ind w:left="110" w:leftChars="50" w:firstLine="421" w:firstLineChars="200"/>
              <w:rPr>
                <w:rFonts w:ascii="Times New Roman" w:hAnsi="Times New Roman" w:cs="Times New Roman"/>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1</w:t>
            </w:r>
            <w:r>
              <w:rPr>
                <w:rFonts w:ascii="Times New Roman" w:hAnsi="Times New Roman" w:cs="Times New Roman"/>
                <w:b/>
                <w:bCs/>
                <w:color w:val="auto"/>
                <w:sz w:val="21"/>
                <w:szCs w:val="21"/>
              </w:rPr>
              <w:t>）贮存风险防范措施：</w:t>
            </w:r>
            <w:r>
              <w:rPr>
                <w:rFonts w:ascii="Times New Roman" w:hAnsi="Times New Roman" w:cs="Times New Roman"/>
                <w:color w:val="auto"/>
                <w:sz w:val="21"/>
                <w:szCs w:val="21"/>
              </w:rPr>
              <w:t>做好防渗措施；定期对生产设备、储存容器进行检查，防止跑冒滴漏。</w:t>
            </w:r>
          </w:p>
          <w:p>
            <w:pPr>
              <w:autoSpaceDE/>
              <w:autoSpaceDN/>
              <w:spacing w:line="400" w:lineRule="exact"/>
              <w:ind w:left="110" w:leftChars="50" w:firstLine="421" w:firstLineChars="200"/>
              <w:rPr>
                <w:rFonts w:ascii="Times New Roman" w:hAnsi="Times New Roman" w:cs="Times New Roman"/>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）次生危害危险防范措施：</w:t>
            </w:r>
            <w:r>
              <w:rPr>
                <w:rFonts w:ascii="Times New Roman" w:hAnsi="Times New Roman" w:cs="Times New Roman"/>
                <w:color w:val="auto"/>
                <w:sz w:val="21"/>
                <w:szCs w:val="21"/>
              </w:rPr>
              <w:t>各建筑及各种设备均应符合《建筑设计防火规范》中的规定。严格按照国家消防安全的有关规定建设消防设施，一切消防设施不准挪动、乱用，并定期进行检查和更换。</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3</w:t>
            </w:r>
            <w:r>
              <w:rPr>
                <w:rFonts w:ascii="Times New Roman" w:hAnsi="Times New Roman" w:cs="Times New Roman"/>
                <w:b/>
                <w:bCs/>
                <w:color w:val="auto"/>
                <w:sz w:val="21"/>
                <w:szCs w:val="21"/>
              </w:rPr>
              <w:t>）事故应急预案：</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事故应急预案是在发生事故后，按照预先制订的方案采取的一系列的措施，将事故的损失降低到最小程度。本工程应急预案重点如下：</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①必须制定应急计划、方案和程序</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为了使突发事故发生后能有条不紊的处理事故，在工程投产之前就应制定好事故应急计划和方案，以备在发生事故后有备无患。</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②成立重大事故</w:t>
            </w:r>
            <w:r>
              <w:rPr>
                <w:rFonts w:hint="eastAsia" w:ascii="Times New Roman" w:hAnsi="Times New Roman" w:cs="Times New Roman"/>
                <w:color w:val="auto"/>
                <w:sz w:val="21"/>
                <w:szCs w:val="21"/>
                <w:lang w:eastAsia="zh-CN"/>
              </w:rPr>
              <w:t>应急救援</w:t>
            </w:r>
            <w:r>
              <w:rPr>
                <w:rFonts w:ascii="Times New Roman" w:hAnsi="Times New Roman" w:cs="Times New Roman"/>
                <w:color w:val="auto"/>
                <w:sz w:val="21"/>
                <w:szCs w:val="21"/>
              </w:rPr>
              <w:t>小组</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成立由厂长、保卫等部门组成的重大事故应急救援小组，一旦发生事故，救援小组便及时例行其相应的职责，处理事故。</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③事故发生后应采取紧急隔离和疏散措施</w:t>
            </w:r>
          </w:p>
          <w:p>
            <w:pPr>
              <w:autoSpaceDE/>
              <w:autoSpaceDN/>
              <w:spacing w:line="400" w:lineRule="exact"/>
              <w:ind w:left="110" w:leftChars="50" w:firstLine="420" w:firstLineChars="200"/>
              <w:rPr>
                <w:rFonts w:ascii="Times New Roman" w:hAnsi="Times New Roman" w:cs="Times New Roman"/>
                <w:b/>
                <w:bCs/>
                <w:color w:val="auto"/>
                <w:sz w:val="21"/>
                <w:szCs w:val="21"/>
              </w:rPr>
            </w:pPr>
            <w:r>
              <w:rPr>
                <w:rFonts w:ascii="Times New Roman" w:hAnsi="Times New Roman" w:cs="Times New Roman"/>
                <w:color w:val="auto"/>
                <w:sz w:val="21"/>
                <w:szCs w:val="21"/>
              </w:rPr>
              <w:t>一旦发生突发事故，应及时发出警报，并在救援小组的领导下，紧急隔离危险物品，切断电源，疏散人群，抢救受害人员</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rPr>
              <w:t>（</w:t>
            </w:r>
            <w:r>
              <w:rPr>
                <w:rFonts w:ascii="Times New Roman" w:hAnsi="Times New Roman" w:cs="Times New Roman"/>
                <w:b/>
                <w:bCs/>
                <w:color w:val="auto"/>
                <w:sz w:val="21"/>
                <w:szCs w:val="21"/>
                <w:lang w:val="en-US"/>
              </w:rPr>
              <w:t>4</w:t>
            </w:r>
            <w:r>
              <w:rPr>
                <w:rFonts w:ascii="Times New Roman" w:hAnsi="Times New Roman" w:cs="Times New Roman"/>
                <w:b/>
                <w:bCs/>
                <w:color w:val="auto"/>
                <w:sz w:val="21"/>
                <w:szCs w:val="21"/>
              </w:rPr>
              <w:t>）管理措施：</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①</w:t>
            </w:r>
            <w:r>
              <w:rPr>
                <w:rFonts w:ascii="Times New Roman" w:hAnsi="Times New Roman" w:cs="Times New Roman"/>
                <w:color w:val="auto"/>
                <w:sz w:val="21"/>
                <w:szCs w:val="21"/>
              </w:rPr>
              <w:t>在管理方面要有一系列详细的安全管理制度及有效的安全管理组织，确保各种有关的安全管理规定能够在各环节上得到充分落实，并能有所改进与提高。</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②</w:t>
            </w:r>
            <w:r>
              <w:rPr>
                <w:rFonts w:ascii="Times New Roman" w:hAnsi="Times New Roman" w:cs="Times New Roman"/>
                <w:color w:val="auto"/>
                <w:sz w:val="21"/>
                <w:szCs w:val="21"/>
              </w:rPr>
              <w:t>在投产前应制定出正常、异常或紧急状态下的操作手册和维修手册，并对操作、维修人员进行培训，持证上岗，避免引严重操作失误而造成事故。</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③</w:t>
            </w:r>
            <w:r>
              <w:rPr>
                <w:rFonts w:ascii="Times New Roman" w:hAnsi="Times New Roman" w:cs="Times New Roman"/>
                <w:color w:val="auto"/>
                <w:sz w:val="21"/>
                <w:szCs w:val="21"/>
              </w:rPr>
              <w:t>加强对工作人员安全素质方面的教育及训练，包括安全知识、安全技术、安全心理、职业卫生及排险与消防活动等，而且要时常演练与考核。</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lang w:val="en-US"/>
              </w:rPr>
              <w:t>④</w:t>
            </w:r>
            <w:r>
              <w:rPr>
                <w:rFonts w:ascii="Times New Roman" w:hAnsi="Times New Roman" w:cs="Times New Roman"/>
                <w:color w:val="auto"/>
                <w:sz w:val="21"/>
                <w:szCs w:val="21"/>
              </w:rPr>
              <w:t>制定应急操作规程，在规程中应说明发生事故时应采取的操作步骤，规定抢修进度，限制事故的影响。</w:t>
            </w:r>
          </w:p>
          <w:p>
            <w:pPr>
              <w:autoSpaceDE/>
              <w:autoSpaceDN/>
              <w:spacing w:line="400" w:lineRule="exact"/>
              <w:ind w:firstLine="474" w:firstLineChars="225"/>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4、</w:t>
            </w:r>
            <w:r>
              <w:rPr>
                <w:rFonts w:ascii="Times New Roman" w:hAnsi="Times New Roman" w:cs="Times New Roman"/>
                <w:b/>
                <w:bCs/>
                <w:color w:val="auto"/>
                <w:sz w:val="21"/>
                <w:szCs w:val="21"/>
              </w:rPr>
              <w:t>分析结论</w:t>
            </w:r>
          </w:p>
          <w:p>
            <w:pPr>
              <w:spacing w:line="40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本项目在采取各种安全措施后，风险可以降低，事故风险属于可接受的范围之内。本项目虽然存在发生泄漏事故、火灾爆炸事故的风险，但只要加强风险防范管理，可将风险发生概率及其产生的破坏降到最低程度。</w:t>
            </w: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p>
            <w:pPr>
              <w:spacing w:line="400" w:lineRule="exact"/>
              <w:ind w:firstLine="420" w:firstLineChars="200"/>
              <w:rPr>
                <w:rFonts w:ascii="Times New Roman" w:hAnsi="Times New Roman" w:cs="Times New Roman"/>
                <w:color w:val="auto"/>
                <w:sz w:val="21"/>
                <w:szCs w:val="21"/>
              </w:rPr>
            </w:pPr>
          </w:p>
        </w:tc>
      </w:tr>
    </w:tbl>
    <w:p>
      <w:pPr>
        <w:pStyle w:val="45"/>
        <w:rPr>
          <w:color w:val="auto"/>
        </w:rPr>
        <w:sectPr>
          <w:pgSz w:w="11910" w:h="16850"/>
          <w:pgMar w:top="1600" w:right="1320" w:bottom="1531" w:left="1340" w:header="0" w:footer="817" w:gutter="0"/>
          <w:cols w:space="720" w:num="1"/>
        </w:sectPr>
      </w:pPr>
    </w:p>
    <w:p>
      <w:pPr>
        <w:pStyle w:val="10"/>
        <w:spacing w:before="8"/>
        <w:rPr>
          <w:rFonts w:ascii="Times New Roman" w:hAnsi="Times New Roman" w:cs="Times New Roman"/>
          <w:color w:val="auto"/>
          <w:sz w:val="25"/>
        </w:rPr>
      </w:pPr>
    </w:p>
    <w:p>
      <w:pPr>
        <w:pStyle w:val="2"/>
        <w:rPr>
          <w:rFonts w:ascii="黑体" w:hAnsi="黑体" w:eastAsia="黑体" w:cs="黑体"/>
          <w:color w:val="auto"/>
          <w:sz w:val="30"/>
          <w:szCs w:val="30"/>
        </w:rPr>
      </w:pPr>
      <w:r>
        <w:rPr>
          <w:rFonts w:hint="eastAsia" w:ascii="黑体" w:hAnsi="黑体" w:eastAsia="黑体" w:cs="黑体"/>
          <w:color w:val="auto"/>
          <w:sz w:val="30"/>
          <w:szCs w:val="30"/>
          <w:lang w:val="en-US"/>
        </w:rPr>
        <w:t>五、</w:t>
      </w:r>
      <w:r>
        <w:rPr>
          <w:rFonts w:ascii="黑体" w:hAnsi="黑体" w:eastAsia="黑体" w:cs="黑体"/>
          <w:color w:val="auto"/>
          <w:sz w:val="30"/>
          <w:szCs w:val="30"/>
        </w:rPr>
        <w:t>环境保护措施监督检查清单</w:t>
      </w:r>
    </w:p>
    <w:tbl>
      <w:tblPr>
        <w:tblStyle w:val="32"/>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898"/>
        <w:gridCol w:w="2548"/>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tcPr>
          <w:p>
            <w:pPr>
              <w:adjustRightInd w:val="0"/>
              <w:snapToGrid w:val="0"/>
              <w:jc w:val="right"/>
              <w:rPr>
                <w:rFonts w:ascii="Times New Roman" w:hAnsi="Times New Roman" w:cs="Times New Roman"/>
                <w:b/>
                <w:bCs/>
                <w:color w:val="auto"/>
                <w:sz w:val="21"/>
                <w:szCs w:val="21"/>
              </w:rPr>
            </w:pPr>
            <w:r>
              <w:rPr>
                <w:rFonts w:ascii="Times New Roman" w:hAnsi="Times New Roman" w:cs="Times New Roman"/>
                <w:b/>
                <w:bCs/>
                <w:color w:val="auto"/>
                <w:sz w:val="21"/>
                <w:szCs w:val="21"/>
              </w:rPr>
              <w:t>内容</w:t>
            </w:r>
          </w:p>
          <w:p>
            <w:pPr>
              <w:adjustRightInd w:val="0"/>
              <w:snapToGrid w:val="0"/>
              <w:rPr>
                <w:rFonts w:ascii="Times New Roman" w:hAnsi="Times New Roman" w:cs="Times New Roman"/>
                <w:b/>
                <w:bCs/>
                <w:color w:val="auto"/>
                <w:sz w:val="21"/>
                <w:szCs w:val="21"/>
              </w:rPr>
            </w:pPr>
            <w:r>
              <w:rPr>
                <w:rFonts w:ascii="Times New Roman" w:hAnsi="Times New Roman" w:cs="Times New Roman"/>
                <w:b/>
                <w:bCs/>
                <w:color w:val="auto"/>
                <w:sz w:val="21"/>
                <w:szCs w:val="21"/>
              </w:rPr>
              <w:t>要素</w:t>
            </w:r>
          </w:p>
        </w:tc>
        <w:tc>
          <w:tcPr>
            <w:tcW w:w="2313"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排放口(编号、</w:t>
            </w:r>
          </w:p>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名称)/污染源</w:t>
            </w:r>
          </w:p>
        </w:tc>
        <w:tc>
          <w:tcPr>
            <w:tcW w:w="898"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污染物项目</w:t>
            </w:r>
          </w:p>
        </w:tc>
        <w:tc>
          <w:tcPr>
            <w:tcW w:w="2548"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环境保护措施</w:t>
            </w:r>
          </w:p>
        </w:tc>
        <w:tc>
          <w:tcPr>
            <w:tcW w:w="2325" w:type="dxa"/>
            <w:vAlign w:val="center"/>
          </w:tcPr>
          <w:p>
            <w:pPr>
              <w:adjustRightInd w:val="0"/>
              <w:snapToGrid w:val="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545" w:type="dxa"/>
            <w:vMerge w:val="restart"/>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大气环境</w:t>
            </w:r>
          </w:p>
        </w:tc>
        <w:tc>
          <w:tcPr>
            <w:tcW w:w="2313" w:type="dxa"/>
            <w:vAlign w:val="center"/>
          </w:tcPr>
          <w:p>
            <w:pPr>
              <w:widowControl/>
              <w:jc w:val="center"/>
              <w:textAlignment w:val="center"/>
              <w:rPr>
                <w:rFonts w:ascii="Times New Roman" w:hAnsi="Times New Roman" w:cs="Times New Roman"/>
                <w:color w:val="auto"/>
                <w:kern w:val="2"/>
                <w:sz w:val="21"/>
                <w:lang w:val="en-US" w:bidi="ar-SA"/>
              </w:rPr>
            </w:pPr>
            <w:r>
              <w:rPr>
                <w:rFonts w:ascii="Times New Roman" w:hAnsi="Times New Roman" w:cs="Times New Roman"/>
                <w:color w:val="auto"/>
                <w:sz w:val="21"/>
                <w:szCs w:val="21"/>
                <w:lang w:val="en-US" w:bidi="ar"/>
              </w:rPr>
              <w:t>1号生产线搅拌-2号生产线搅拌工序废气治理设施出口（DA002）</w:t>
            </w:r>
          </w:p>
        </w:tc>
        <w:tc>
          <w:tcPr>
            <w:tcW w:w="898"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颗粒物</w:t>
            </w:r>
          </w:p>
        </w:tc>
        <w:tc>
          <w:tcPr>
            <w:tcW w:w="2548" w:type="dxa"/>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kern w:val="21"/>
                <w:sz w:val="21"/>
                <w:szCs w:val="21"/>
                <w:lang w:val="en-US"/>
              </w:rPr>
              <w:t>集气罩＋布袋除尘器+18m排气筒</w:t>
            </w:r>
          </w:p>
        </w:tc>
        <w:tc>
          <w:tcPr>
            <w:tcW w:w="2325" w:type="dxa"/>
            <w:vMerge w:val="restart"/>
            <w:vAlign w:val="center"/>
          </w:tcPr>
          <w:p>
            <w:pPr>
              <w:wordWrap w:val="0"/>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sz w:val="21"/>
                <w:szCs w:val="21"/>
                <w:lang w:val="en-US"/>
              </w:rPr>
              <w:t>《水泥工业大气污染物超低排放标准》(DB13/2167-2020)表1中散装水泥中转站及水泥制品生产标准要求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545" w:type="dxa"/>
            <w:vMerge w:val="continue"/>
            <w:vAlign w:val="center"/>
          </w:tcPr>
          <w:p>
            <w:pPr>
              <w:adjustRightInd w:val="0"/>
              <w:snapToGrid w:val="0"/>
              <w:jc w:val="center"/>
              <w:rPr>
                <w:rFonts w:ascii="Times New Roman" w:hAnsi="Times New Roman" w:cs="Times New Roman"/>
                <w:color w:val="auto"/>
                <w:sz w:val="21"/>
                <w:szCs w:val="21"/>
              </w:rPr>
            </w:pPr>
          </w:p>
        </w:tc>
        <w:tc>
          <w:tcPr>
            <w:tcW w:w="2313" w:type="dxa"/>
            <w:vAlign w:val="center"/>
          </w:tcPr>
          <w:p>
            <w:pPr>
              <w:widowControl/>
              <w:jc w:val="center"/>
              <w:textAlignment w:val="center"/>
              <w:rPr>
                <w:rFonts w:ascii="Times New Roman" w:hAnsi="Times New Roman" w:cs="Times New Roman"/>
                <w:color w:val="auto"/>
                <w:kern w:val="21"/>
                <w:sz w:val="21"/>
                <w:szCs w:val="21"/>
                <w:lang w:val="en-US" w:bidi="ar-SA"/>
              </w:rPr>
            </w:pPr>
            <w:r>
              <w:rPr>
                <w:rFonts w:ascii="Times New Roman" w:hAnsi="Times New Roman" w:cs="Times New Roman"/>
                <w:color w:val="auto"/>
                <w:kern w:val="2"/>
                <w:sz w:val="21"/>
                <w:szCs w:val="21"/>
                <w:lang w:val="en-US" w:bidi="ar-SA"/>
              </w:rPr>
              <w:t>2号生产线粉料仓工序废气治理设施出口（</w:t>
            </w:r>
            <w:r>
              <w:rPr>
                <w:rFonts w:ascii="Times New Roman" w:hAnsi="Times New Roman" w:cs="Times New Roman"/>
                <w:color w:val="auto"/>
                <w:sz w:val="21"/>
                <w:szCs w:val="21"/>
                <w:lang w:val="en-US" w:bidi="ar"/>
              </w:rPr>
              <w:t>DA003</w:t>
            </w:r>
            <w:r>
              <w:rPr>
                <w:rFonts w:ascii="Times New Roman" w:hAnsi="Times New Roman" w:cs="Times New Roman"/>
                <w:color w:val="auto"/>
                <w:kern w:val="2"/>
                <w:sz w:val="21"/>
                <w:szCs w:val="21"/>
                <w:lang w:val="en-US" w:bidi="ar-SA"/>
              </w:rPr>
              <w:t>）</w:t>
            </w:r>
          </w:p>
        </w:tc>
        <w:tc>
          <w:tcPr>
            <w:tcW w:w="898" w:type="dxa"/>
            <w:vAlign w:val="center"/>
          </w:tcPr>
          <w:p>
            <w:pPr>
              <w:autoSpaceDE/>
              <w:autoSpaceDN/>
              <w:jc w:val="center"/>
              <w:rPr>
                <w:rFonts w:ascii="Times New Roman" w:hAnsi="Times New Roman" w:cs="Times New Roman"/>
                <w:color w:val="auto"/>
                <w:kern w:val="2"/>
                <w:sz w:val="21"/>
                <w:szCs w:val="24"/>
                <w:lang w:val="en-US" w:bidi="ar-SA"/>
              </w:rPr>
            </w:pPr>
            <w:r>
              <w:rPr>
                <w:rFonts w:hint="eastAsia" w:ascii="Times New Roman" w:hAnsi="Times New Roman" w:cs="Times New Roman"/>
                <w:color w:val="auto"/>
                <w:sz w:val="21"/>
                <w:szCs w:val="21"/>
                <w:lang w:val="en-US"/>
              </w:rPr>
              <w:t>颗粒物</w:t>
            </w:r>
          </w:p>
        </w:tc>
        <w:tc>
          <w:tcPr>
            <w:tcW w:w="2548" w:type="dxa"/>
            <w:vAlign w:val="center"/>
          </w:tcPr>
          <w:p>
            <w:pPr>
              <w:autoSpaceDE/>
              <w:autoSpaceDN/>
              <w:jc w:val="center"/>
              <w:rPr>
                <w:rFonts w:ascii="Times New Roman" w:hAnsi="Times New Roman" w:cs="Times New Roman"/>
                <w:color w:val="auto"/>
                <w:kern w:val="21"/>
                <w:sz w:val="21"/>
                <w:szCs w:val="21"/>
                <w:lang w:val="en-US"/>
              </w:rPr>
            </w:pPr>
            <w:r>
              <w:rPr>
                <w:rFonts w:hint="eastAsia" w:ascii="Times New Roman" w:hAnsi="Times New Roman" w:cs="Times New Roman"/>
                <w:color w:val="auto"/>
                <w:kern w:val="21"/>
                <w:sz w:val="21"/>
                <w:szCs w:val="21"/>
                <w:lang w:val="en-US"/>
              </w:rPr>
              <w:t>仓顶布袋除尘器+28m高排气筒</w:t>
            </w:r>
          </w:p>
        </w:tc>
        <w:tc>
          <w:tcPr>
            <w:tcW w:w="2325" w:type="dxa"/>
            <w:vMerge w:val="continue"/>
            <w:vAlign w:val="center"/>
          </w:tcPr>
          <w:p>
            <w:pPr>
              <w:wordWrap w:val="0"/>
              <w:autoSpaceDE/>
              <w:autoSpaceDN/>
              <w:jc w:val="center"/>
              <w:rPr>
                <w:rFonts w:ascii="Times New Roman" w:hAnsi="Times New Roman" w:cs="Times New Roman"/>
                <w:color w:val="auto"/>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545" w:type="dxa"/>
            <w:vMerge w:val="continue"/>
            <w:vAlign w:val="center"/>
          </w:tcPr>
          <w:p>
            <w:pPr>
              <w:autoSpaceDE/>
              <w:autoSpaceDN/>
              <w:jc w:val="center"/>
              <w:rPr>
                <w:rFonts w:ascii="Times New Roman" w:hAnsi="Times New Roman" w:cs="Times New Roman"/>
                <w:color w:val="auto"/>
              </w:rPr>
            </w:pPr>
          </w:p>
        </w:tc>
        <w:tc>
          <w:tcPr>
            <w:tcW w:w="2313" w:type="dxa"/>
            <w:vAlign w:val="center"/>
          </w:tcPr>
          <w:p>
            <w:pPr>
              <w:widowControl/>
              <w:jc w:val="center"/>
              <w:textAlignment w:val="center"/>
              <w:rPr>
                <w:rFonts w:ascii="Times New Roman" w:hAnsi="Times New Roman" w:cs="Times New Roman"/>
                <w:color w:val="auto"/>
                <w:kern w:val="2"/>
                <w:sz w:val="21"/>
                <w:lang w:val="en-US" w:bidi="ar-SA"/>
              </w:rPr>
            </w:pPr>
            <w:r>
              <w:rPr>
                <w:rFonts w:ascii="Times New Roman" w:hAnsi="Times New Roman" w:cs="Times New Roman"/>
                <w:color w:val="auto"/>
                <w:sz w:val="21"/>
                <w:szCs w:val="21"/>
                <w:lang w:val="en-US" w:bidi="ar"/>
              </w:rPr>
              <w:t>1号-2号生产线</w:t>
            </w:r>
            <w:r>
              <w:rPr>
                <w:rFonts w:hint="eastAsia" w:ascii="Times New Roman" w:hAnsi="Times New Roman" w:cs="Times New Roman"/>
                <w:color w:val="auto"/>
                <w:sz w:val="21"/>
                <w:szCs w:val="21"/>
                <w:lang w:val="en-US" w:eastAsia="zh-CN" w:bidi="ar"/>
              </w:rPr>
              <w:t>骨料</w:t>
            </w:r>
            <w:r>
              <w:rPr>
                <w:rFonts w:ascii="Times New Roman" w:hAnsi="Times New Roman" w:cs="Times New Roman"/>
                <w:color w:val="auto"/>
                <w:sz w:val="21"/>
                <w:szCs w:val="21"/>
                <w:lang w:val="en-US" w:bidi="ar"/>
              </w:rPr>
              <w:t>仓工序废气治理设施出口</w:t>
            </w:r>
            <w:r>
              <w:rPr>
                <w:rFonts w:ascii="Times New Roman" w:hAnsi="Times New Roman" w:cs="Times New Roman"/>
                <w:color w:val="auto"/>
                <w:kern w:val="2"/>
                <w:sz w:val="21"/>
                <w:szCs w:val="21"/>
                <w:lang w:val="en-US" w:bidi="ar-SA"/>
              </w:rPr>
              <w:t>（</w:t>
            </w:r>
            <w:r>
              <w:rPr>
                <w:rFonts w:ascii="Times New Roman" w:hAnsi="Times New Roman" w:cs="Times New Roman"/>
                <w:color w:val="auto"/>
                <w:sz w:val="21"/>
                <w:szCs w:val="21"/>
                <w:lang w:val="en-US" w:bidi="ar"/>
              </w:rPr>
              <w:t>DA004</w:t>
            </w:r>
            <w:r>
              <w:rPr>
                <w:rFonts w:ascii="Times New Roman" w:hAnsi="Times New Roman" w:cs="Times New Roman"/>
                <w:color w:val="auto"/>
                <w:kern w:val="2"/>
                <w:sz w:val="21"/>
                <w:szCs w:val="21"/>
                <w:lang w:val="en-US" w:bidi="ar-SA"/>
              </w:rPr>
              <w:t>）</w:t>
            </w:r>
          </w:p>
        </w:tc>
        <w:tc>
          <w:tcPr>
            <w:tcW w:w="898" w:type="dxa"/>
            <w:vAlign w:val="center"/>
          </w:tcPr>
          <w:p>
            <w:pPr>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sz w:val="21"/>
                <w:szCs w:val="21"/>
                <w:lang w:val="en-US"/>
              </w:rPr>
              <w:t>颗粒物</w:t>
            </w:r>
          </w:p>
        </w:tc>
        <w:tc>
          <w:tcPr>
            <w:tcW w:w="2548" w:type="dxa"/>
            <w:vAlign w:val="center"/>
          </w:tcPr>
          <w:p>
            <w:pPr>
              <w:autoSpaceDE/>
              <w:autoSpaceDN/>
              <w:jc w:val="center"/>
              <w:rPr>
                <w:rFonts w:ascii="Times New Roman" w:hAnsi="Times New Roman" w:cs="Times New Roman"/>
                <w:color w:val="auto"/>
                <w:kern w:val="21"/>
                <w:sz w:val="21"/>
                <w:szCs w:val="21"/>
                <w:lang w:val="en-US" w:bidi="ar-SA"/>
              </w:rPr>
            </w:pPr>
            <w:r>
              <w:rPr>
                <w:rFonts w:hint="eastAsia" w:ascii="Times New Roman" w:hAnsi="Times New Roman" w:cs="Times New Roman"/>
                <w:color w:val="auto"/>
                <w:kern w:val="21"/>
                <w:sz w:val="21"/>
                <w:szCs w:val="21"/>
                <w:lang w:val="en-US"/>
              </w:rPr>
              <w:t>集气罩＋布袋除尘器+15m排气筒</w:t>
            </w:r>
          </w:p>
        </w:tc>
        <w:tc>
          <w:tcPr>
            <w:tcW w:w="2325" w:type="dxa"/>
            <w:vMerge w:val="continue"/>
            <w:vAlign w:val="center"/>
          </w:tcPr>
          <w:p>
            <w:pPr>
              <w:autoSpaceDE/>
              <w:autoSpaceDN/>
              <w:jc w:val="center"/>
              <w:rPr>
                <w:rFonts w:ascii="Times New Roman" w:hAnsi="Times New Roman" w:cs="Times New Roman"/>
                <w:color w:val="auto"/>
                <w:kern w:val="21"/>
                <w:sz w:val="21"/>
                <w:szCs w:val="21"/>
                <w:lang w:val="en-US"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1545" w:type="dxa"/>
            <w:vMerge w:val="continue"/>
            <w:vAlign w:val="center"/>
          </w:tcPr>
          <w:p>
            <w:pPr>
              <w:adjustRightInd w:val="0"/>
              <w:snapToGrid w:val="0"/>
              <w:jc w:val="center"/>
              <w:rPr>
                <w:rFonts w:ascii="Times New Roman" w:hAnsi="Times New Roman" w:cs="Times New Roman"/>
                <w:color w:val="auto"/>
                <w:sz w:val="21"/>
                <w:szCs w:val="21"/>
              </w:rPr>
            </w:pPr>
          </w:p>
        </w:tc>
        <w:tc>
          <w:tcPr>
            <w:tcW w:w="2313"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厂界无组织废气</w:t>
            </w:r>
          </w:p>
        </w:tc>
        <w:tc>
          <w:tcPr>
            <w:tcW w:w="898"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颗粒物</w:t>
            </w:r>
          </w:p>
        </w:tc>
        <w:tc>
          <w:tcPr>
            <w:tcW w:w="2548" w:type="dxa"/>
            <w:vAlign w:val="center"/>
          </w:tcPr>
          <w:p>
            <w:pPr>
              <w:adjustRightInd w:val="0"/>
              <w:snapToGrid w:val="0"/>
              <w:jc w:val="center"/>
              <w:rPr>
                <w:rFonts w:ascii="Times New Roman" w:hAnsi="Times New Roman" w:cs="Times New Roman"/>
                <w:color w:val="auto"/>
                <w:sz w:val="21"/>
                <w:szCs w:val="21"/>
              </w:rPr>
            </w:pPr>
            <w:r>
              <w:rPr>
                <w:rFonts w:hint="eastAsia"/>
                <w:color w:val="auto"/>
                <w:kern w:val="21"/>
                <w:sz w:val="21"/>
                <w:szCs w:val="21"/>
                <w:lang w:val="en-US"/>
              </w:rPr>
              <w:t>车间密闭；设喷雾设备、车辆冲洗装置；选用密闭输送装置进行输送；地面硬化，加强绿化</w:t>
            </w:r>
          </w:p>
        </w:tc>
        <w:tc>
          <w:tcPr>
            <w:tcW w:w="2325" w:type="dxa"/>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《水泥工业大气污染物超低排放标准》（DB13/2167-2020）</w:t>
            </w:r>
            <w:r>
              <w:rPr>
                <w:rFonts w:ascii="Times New Roman" w:hAnsi="Times New Roman" w:cs="Times New Roman"/>
                <w:color w:val="auto"/>
                <w:sz w:val="21"/>
                <w:szCs w:val="21"/>
              </w:rPr>
              <w:t>表2无组织排放限值标准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545" w:type="dxa"/>
            <w:vMerge w:val="restart"/>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地表水环境</w:t>
            </w:r>
          </w:p>
        </w:tc>
        <w:tc>
          <w:tcPr>
            <w:tcW w:w="2313" w:type="dxa"/>
            <w:vAlign w:val="center"/>
          </w:tcPr>
          <w:p>
            <w:pPr>
              <w:jc w:val="center"/>
              <w:textAlignment w:val="baseline"/>
              <w:rPr>
                <w:rFonts w:ascii="Times New Roman" w:hAnsi="Times New Roman" w:cs="Times New Roman"/>
                <w:color w:val="auto"/>
                <w:sz w:val="21"/>
                <w:szCs w:val="21"/>
              </w:rPr>
            </w:pPr>
            <w:r>
              <w:rPr>
                <w:rFonts w:ascii="Times New Roman" w:hAnsi="Times New Roman" w:cs="Times New Roman"/>
                <w:color w:val="auto"/>
                <w:sz w:val="21"/>
                <w:szCs w:val="21"/>
              </w:rPr>
              <w:t>车辆冲洗废水</w:t>
            </w:r>
          </w:p>
        </w:tc>
        <w:tc>
          <w:tcPr>
            <w:tcW w:w="898" w:type="dxa"/>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SS</w:t>
            </w:r>
          </w:p>
        </w:tc>
        <w:tc>
          <w:tcPr>
            <w:tcW w:w="2548" w:type="dxa"/>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经沉淀池沉淀后回用于车辆冲洗</w:t>
            </w:r>
          </w:p>
        </w:tc>
        <w:tc>
          <w:tcPr>
            <w:tcW w:w="2325" w:type="dxa"/>
            <w:vAlign w:val="center"/>
          </w:tcPr>
          <w:p>
            <w:pPr>
              <w:adjustRightInd w:val="0"/>
              <w:snapToGrid w:val="0"/>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545" w:type="dxa"/>
            <w:vMerge w:val="continue"/>
            <w:vAlign w:val="center"/>
          </w:tcPr>
          <w:p>
            <w:pPr>
              <w:adjustRightInd w:val="0"/>
              <w:snapToGrid w:val="0"/>
              <w:jc w:val="center"/>
              <w:rPr>
                <w:rFonts w:ascii="Times New Roman" w:hAnsi="Times New Roman" w:cs="Times New Roman"/>
                <w:color w:val="auto"/>
                <w:sz w:val="21"/>
                <w:szCs w:val="21"/>
              </w:rPr>
            </w:pPr>
          </w:p>
        </w:tc>
        <w:tc>
          <w:tcPr>
            <w:tcW w:w="2313" w:type="dxa"/>
            <w:vAlign w:val="center"/>
          </w:tcPr>
          <w:p>
            <w:pPr>
              <w:jc w:val="center"/>
              <w:textAlignment w:val="baseline"/>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设备清洗</w:t>
            </w:r>
            <w:r>
              <w:rPr>
                <w:rFonts w:ascii="Times New Roman" w:hAnsi="Times New Roman" w:cs="Times New Roman"/>
                <w:color w:val="auto"/>
                <w:sz w:val="21"/>
                <w:szCs w:val="21"/>
              </w:rPr>
              <w:t>废水</w:t>
            </w:r>
          </w:p>
        </w:tc>
        <w:tc>
          <w:tcPr>
            <w:tcW w:w="898" w:type="dxa"/>
            <w:vAlign w:val="center"/>
          </w:tcPr>
          <w:p>
            <w:pPr>
              <w:adjustRightInd w:val="0"/>
              <w:snapToGrid w:val="0"/>
              <w:jc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SS</w:t>
            </w:r>
          </w:p>
        </w:tc>
        <w:tc>
          <w:tcPr>
            <w:tcW w:w="2548" w:type="dxa"/>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rPr>
              <w:t>经沉淀池沉淀后回用于</w:t>
            </w:r>
            <w:r>
              <w:rPr>
                <w:rFonts w:hint="eastAsia" w:ascii="Times New Roman" w:hAnsi="Times New Roman" w:cs="Times New Roman"/>
                <w:color w:val="auto"/>
                <w:sz w:val="21"/>
                <w:szCs w:val="21"/>
                <w:lang w:val="en-US" w:eastAsia="zh-CN"/>
              </w:rPr>
              <w:t>设备清洗</w:t>
            </w:r>
          </w:p>
        </w:tc>
        <w:tc>
          <w:tcPr>
            <w:tcW w:w="2325" w:type="dxa"/>
            <w:vAlign w:val="center"/>
          </w:tcPr>
          <w:p>
            <w:pPr>
              <w:adjustRightInd w:val="0"/>
              <w:snapToGrid w:val="0"/>
              <w:jc w:val="center"/>
              <w:rPr>
                <w:rFonts w:hint="eastAsia"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声环境</w:t>
            </w:r>
          </w:p>
        </w:tc>
        <w:tc>
          <w:tcPr>
            <w:tcW w:w="2313"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各生产设备</w:t>
            </w:r>
          </w:p>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/设备噪声</w:t>
            </w:r>
          </w:p>
        </w:tc>
        <w:tc>
          <w:tcPr>
            <w:tcW w:w="898"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等效噪声</w:t>
            </w:r>
          </w:p>
        </w:tc>
        <w:tc>
          <w:tcPr>
            <w:tcW w:w="2548" w:type="dxa"/>
            <w:vAlign w:val="center"/>
          </w:tcPr>
          <w:p>
            <w:pPr>
              <w:ind w:left="-110" w:leftChars="-50" w:right="-110" w:rightChars="-50"/>
              <w:jc w:val="center"/>
              <w:rPr>
                <w:rFonts w:ascii="Times New Roman" w:hAnsi="Times New Roman" w:cs="Times New Roman"/>
                <w:color w:val="auto"/>
                <w:sz w:val="21"/>
                <w:szCs w:val="21"/>
              </w:rPr>
            </w:pPr>
            <w:r>
              <w:rPr>
                <w:rFonts w:ascii="Times New Roman" w:hAnsi="Times New Roman" w:cs="Times New Roman"/>
                <w:color w:val="auto"/>
                <w:sz w:val="21"/>
                <w:szCs w:val="21"/>
              </w:rPr>
              <w:t>低噪设备、基础减震、隔声、距离衰减</w:t>
            </w:r>
          </w:p>
        </w:tc>
        <w:tc>
          <w:tcPr>
            <w:tcW w:w="232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厂界周围执行《工业企业厂界环境噪声排放标准》（GB12348-2008）中的</w:t>
            </w:r>
            <w:r>
              <w:rPr>
                <w:rFonts w:hint="eastAsia" w:ascii="Times New Roman" w:hAnsi="Times New Roman" w:cs="Times New Roman"/>
                <w:color w:val="auto"/>
                <w:sz w:val="21"/>
                <w:szCs w:val="21"/>
                <w:lang w:val="en-US"/>
              </w:rPr>
              <w:t>2</w:t>
            </w:r>
            <w:r>
              <w:rPr>
                <w:rFonts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电磁辐射</w:t>
            </w:r>
          </w:p>
        </w:tc>
        <w:tc>
          <w:tcPr>
            <w:tcW w:w="2313"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t>
            </w:r>
          </w:p>
        </w:tc>
        <w:tc>
          <w:tcPr>
            <w:tcW w:w="898"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w:t>
            </w:r>
          </w:p>
        </w:tc>
        <w:tc>
          <w:tcPr>
            <w:tcW w:w="2548"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t>
            </w:r>
          </w:p>
        </w:tc>
        <w:tc>
          <w:tcPr>
            <w:tcW w:w="2325" w:type="dxa"/>
            <w:vAlign w:val="center"/>
          </w:tcPr>
          <w:p>
            <w:pPr>
              <w:adjustRightInd w:val="0"/>
              <w:snapToGrid w:val="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545" w:type="dxa"/>
            <w:vMerge w:val="restart"/>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固体废物</w:t>
            </w:r>
          </w:p>
        </w:tc>
        <w:tc>
          <w:tcPr>
            <w:tcW w:w="2313" w:type="dxa"/>
            <w:vAlign w:val="center"/>
          </w:tcPr>
          <w:p>
            <w:pPr>
              <w:autoSpaceDE/>
              <w:autoSpaceDN/>
              <w:ind w:left="-110" w:leftChars="-50" w:right="-110" w:rightChars="-50"/>
              <w:jc w:val="center"/>
              <w:rPr>
                <w:rFonts w:ascii="Times New Roman" w:hAnsi="Times New Roman" w:cs="Times New Roman"/>
                <w:color w:val="auto"/>
                <w:szCs w:val="21"/>
              </w:rPr>
            </w:pPr>
            <w:r>
              <w:rPr>
                <w:rFonts w:ascii="Times New Roman" w:hAnsi="Times New Roman" w:cs="Times New Roman"/>
                <w:color w:val="auto"/>
                <w:spacing w:val="-10"/>
                <w:szCs w:val="21"/>
              </w:rPr>
              <w:t>除尘灰</w:t>
            </w:r>
          </w:p>
        </w:tc>
        <w:tc>
          <w:tcPr>
            <w:tcW w:w="3446" w:type="dxa"/>
            <w:gridSpan w:val="2"/>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集中收集后回用于生产</w:t>
            </w:r>
          </w:p>
        </w:tc>
        <w:tc>
          <w:tcPr>
            <w:tcW w:w="232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kern w:val="2"/>
                <w:sz w:val="21"/>
                <w:szCs w:val="24"/>
                <w:lang w:val="en-US" w:bidi="ar-SA"/>
              </w:rPr>
              <w:t>《一般工业固体废物贮存和填埋污染控制标准》(GB 18599-2020)要求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545" w:type="dxa"/>
            <w:vMerge w:val="continue"/>
            <w:vAlign w:val="center"/>
          </w:tcPr>
          <w:p>
            <w:pPr>
              <w:adjustRightInd w:val="0"/>
              <w:snapToGrid w:val="0"/>
              <w:jc w:val="center"/>
              <w:rPr>
                <w:rFonts w:ascii="Times New Roman" w:hAnsi="Times New Roman" w:cs="Times New Roman"/>
                <w:color w:val="auto"/>
                <w:sz w:val="21"/>
                <w:szCs w:val="21"/>
              </w:rPr>
            </w:pPr>
          </w:p>
        </w:tc>
        <w:tc>
          <w:tcPr>
            <w:tcW w:w="2313" w:type="dxa"/>
            <w:vAlign w:val="center"/>
          </w:tcPr>
          <w:p>
            <w:pPr>
              <w:spacing w:line="0" w:lineRule="atLeast"/>
              <w:ind w:left="-110" w:leftChars="-50" w:right="-110" w:rightChars="-50"/>
              <w:jc w:val="center"/>
              <w:rPr>
                <w:rFonts w:ascii="Times New Roman" w:hAnsi="Times New Roman" w:cs="Times New Roman"/>
                <w:color w:val="auto"/>
                <w:szCs w:val="21"/>
              </w:rPr>
            </w:pPr>
            <w:r>
              <w:rPr>
                <w:rFonts w:ascii="Times New Roman" w:hAnsi="Times New Roman" w:cs="Times New Roman"/>
                <w:color w:val="auto"/>
                <w:sz w:val="21"/>
                <w:szCs w:val="21"/>
                <w:lang w:val="en-US"/>
              </w:rPr>
              <w:t>废油桶</w:t>
            </w:r>
            <w:r>
              <w:rPr>
                <w:rFonts w:hint="eastAsia" w:ascii="Times New Roman" w:hAnsi="Times New Roman" w:cs="Times New Roman"/>
                <w:color w:val="auto"/>
                <w:sz w:val="21"/>
                <w:szCs w:val="21"/>
                <w:lang w:val="en-US"/>
              </w:rPr>
              <w:t>、废机油</w:t>
            </w:r>
          </w:p>
        </w:tc>
        <w:tc>
          <w:tcPr>
            <w:tcW w:w="3446" w:type="dxa"/>
            <w:gridSpan w:val="2"/>
            <w:vAlign w:val="center"/>
          </w:tcPr>
          <w:p>
            <w:pPr>
              <w:autoSpaceDE/>
              <w:autoSpaceDN/>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暂存危废间，定期由资质单位处置</w:t>
            </w:r>
          </w:p>
        </w:tc>
        <w:tc>
          <w:tcPr>
            <w:tcW w:w="2325" w:type="dxa"/>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ascii="Times New Roman" w:hAnsi="Times New Roman" w:cs="Times New Roman"/>
                <w:color w:val="auto"/>
                <w:sz w:val="21"/>
                <w:szCs w:val="21"/>
                <w:lang w:val="en-US"/>
              </w:rPr>
              <w:t>《危险废物贮存污染控制标准》（GB 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5"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土壤及地下水</w:t>
            </w:r>
          </w:p>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污染防治措施</w:t>
            </w:r>
          </w:p>
        </w:tc>
        <w:tc>
          <w:tcPr>
            <w:tcW w:w="8084" w:type="dxa"/>
            <w:gridSpan w:val="4"/>
            <w:vAlign w:val="center"/>
          </w:tcPr>
          <w:p>
            <w:pPr>
              <w:pStyle w:val="43"/>
              <w:autoSpaceDE/>
              <w:autoSpaceDN/>
              <w:snapToGrid/>
              <w:spacing w:line="400" w:lineRule="exact"/>
              <w:ind w:left="110" w:leftChars="50" w:firstLine="422"/>
              <w:rPr>
                <w:rFonts w:ascii="Times New Roman" w:hAnsi="Times New Roman" w:cs="Times New Roman"/>
                <w:b/>
                <w:bCs/>
                <w:color w:val="auto"/>
                <w:sz w:val="21"/>
                <w:szCs w:val="21"/>
                <w:lang w:val="zh-CN" w:bidi="ar-SA"/>
              </w:rPr>
            </w:pPr>
            <w:r>
              <w:rPr>
                <w:rFonts w:hint="eastAsia" w:ascii="Times New Roman" w:hAnsi="Times New Roman" w:cs="Times New Roman"/>
                <w:b/>
                <w:bCs/>
                <w:color w:val="auto"/>
                <w:sz w:val="21"/>
                <w:szCs w:val="21"/>
                <w:lang w:bidi="ar-SA"/>
              </w:rPr>
              <w:t>1、</w:t>
            </w:r>
            <w:r>
              <w:rPr>
                <w:rFonts w:ascii="Times New Roman" w:hAnsi="Times New Roman" w:cs="Times New Roman"/>
                <w:b/>
                <w:bCs/>
                <w:color w:val="auto"/>
                <w:sz w:val="21"/>
                <w:szCs w:val="21"/>
                <w:lang w:val="zh-CN" w:bidi="ar-SA"/>
              </w:rPr>
              <w:t>地下水防控措施</w:t>
            </w:r>
          </w:p>
          <w:p>
            <w:pPr>
              <w:pStyle w:val="43"/>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ascii="Times New Roman" w:hAnsi="Times New Roman" w:cs="Times New Roman"/>
                <w:color w:val="auto"/>
                <w:sz w:val="21"/>
                <w:szCs w:val="21"/>
                <w:lang w:val="zh-CN" w:bidi="ar-SA"/>
              </w:rPr>
              <w:t>项目采取以下措施防止污染物断续渗入地下水：</w:t>
            </w:r>
          </w:p>
          <w:p>
            <w:pPr>
              <w:pStyle w:val="43"/>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hint="eastAsia" w:ascii="Times New Roman" w:hAnsi="Times New Roman" w:cs="Times New Roman"/>
                <w:color w:val="auto"/>
                <w:sz w:val="21"/>
                <w:szCs w:val="21"/>
                <w:lang w:val="zh-CN" w:bidi="ar-SA"/>
              </w:rPr>
              <w:t>（</w:t>
            </w:r>
            <w:r>
              <w:rPr>
                <w:rFonts w:hint="eastAsia" w:ascii="Times New Roman" w:hAnsi="Times New Roman" w:cs="Times New Roman"/>
                <w:color w:val="auto"/>
                <w:sz w:val="21"/>
                <w:szCs w:val="21"/>
                <w:lang w:bidi="ar-SA"/>
              </w:rPr>
              <w:t>1</w:t>
            </w:r>
            <w:r>
              <w:rPr>
                <w:rFonts w:hint="eastAsia" w:ascii="Times New Roman" w:hAnsi="Times New Roman" w:cs="Times New Roman"/>
                <w:color w:val="auto"/>
                <w:sz w:val="21"/>
                <w:szCs w:val="21"/>
                <w:lang w:val="zh-CN" w:bidi="ar-SA"/>
              </w:rPr>
              <w:t>）</w:t>
            </w:r>
            <w:r>
              <w:rPr>
                <w:rFonts w:ascii="Times New Roman" w:hAnsi="Times New Roman" w:cs="Times New Roman"/>
                <w:color w:val="auto"/>
                <w:sz w:val="21"/>
                <w:szCs w:val="21"/>
                <w:lang w:val="zh-CN" w:bidi="ar-SA"/>
              </w:rPr>
              <w:t>简单防渗区：非污染区厂区道路、</w:t>
            </w:r>
            <w:r>
              <w:rPr>
                <w:rFonts w:hint="eastAsia" w:ascii="Times New Roman" w:hAnsi="Times New Roman" w:cs="Times New Roman"/>
                <w:color w:val="auto"/>
                <w:sz w:val="21"/>
                <w:szCs w:val="21"/>
                <w:lang w:val="zh-CN" w:bidi="ar-SA"/>
              </w:rPr>
              <w:t>职工办公休息区</w:t>
            </w:r>
            <w:r>
              <w:rPr>
                <w:rFonts w:ascii="Times New Roman" w:hAnsi="Times New Roman" w:cs="Times New Roman"/>
                <w:color w:val="auto"/>
                <w:sz w:val="21"/>
                <w:szCs w:val="21"/>
                <w:lang w:val="zh-CN" w:bidi="ar-SA"/>
              </w:rPr>
              <w:t>按常规工程进行设计和建设，地面混凝土硬化，未硬化地点绿化</w:t>
            </w:r>
            <w:r>
              <w:rPr>
                <w:rFonts w:hint="eastAsia" w:ascii="Times New Roman" w:hAnsi="Times New Roman" w:cs="Times New Roman"/>
                <w:color w:val="auto"/>
                <w:sz w:val="21"/>
                <w:szCs w:val="21"/>
                <w:lang w:val="zh-CN" w:bidi="ar-SA"/>
              </w:rPr>
              <w:t>，采用10-15cm厚普通混凝土硬化处理</w:t>
            </w:r>
            <w:r>
              <w:rPr>
                <w:rFonts w:ascii="Times New Roman" w:hAnsi="Times New Roman" w:cs="Times New Roman"/>
                <w:color w:val="auto"/>
                <w:sz w:val="21"/>
                <w:szCs w:val="21"/>
                <w:lang w:val="zh-CN" w:bidi="ar-SA"/>
              </w:rPr>
              <w:t>。</w:t>
            </w:r>
          </w:p>
          <w:p>
            <w:pPr>
              <w:pStyle w:val="43"/>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hint="eastAsia" w:ascii="Times New Roman" w:hAnsi="Times New Roman" w:cs="Times New Roman"/>
                <w:color w:val="auto"/>
                <w:sz w:val="21"/>
                <w:szCs w:val="21"/>
                <w:lang w:val="zh-CN" w:bidi="ar-SA"/>
              </w:rPr>
              <w:t>（</w:t>
            </w:r>
            <w:r>
              <w:rPr>
                <w:rFonts w:hint="eastAsia" w:ascii="Times New Roman" w:hAnsi="Times New Roman" w:cs="Times New Roman"/>
                <w:color w:val="auto"/>
                <w:sz w:val="21"/>
                <w:szCs w:val="21"/>
                <w:lang w:bidi="ar-SA"/>
              </w:rPr>
              <w:t>2</w:t>
            </w:r>
            <w:r>
              <w:rPr>
                <w:rFonts w:hint="eastAsia" w:ascii="Times New Roman" w:hAnsi="Times New Roman" w:cs="Times New Roman"/>
                <w:color w:val="auto"/>
                <w:sz w:val="21"/>
                <w:szCs w:val="21"/>
                <w:lang w:val="zh-CN" w:bidi="ar-SA"/>
              </w:rPr>
              <w:t>）</w:t>
            </w:r>
            <w:r>
              <w:rPr>
                <w:rFonts w:ascii="Times New Roman" w:hAnsi="Times New Roman" w:cs="Times New Roman"/>
                <w:color w:val="auto"/>
                <w:sz w:val="21"/>
                <w:szCs w:val="21"/>
                <w:lang w:val="zh-CN" w:bidi="ar-SA"/>
              </w:rPr>
              <w:t>一般防渗区：</w:t>
            </w:r>
            <w:r>
              <w:rPr>
                <w:rFonts w:hint="eastAsia" w:ascii="Times New Roman" w:hAnsi="Times New Roman" w:cs="Times New Roman"/>
                <w:color w:val="auto"/>
                <w:sz w:val="21"/>
                <w:szCs w:val="21"/>
              </w:rPr>
              <w:t>生产区、储存区</w:t>
            </w:r>
            <w:r>
              <w:rPr>
                <w:rFonts w:ascii="Times New Roman" w:hAnsi="Times New Roman" w:cs="Times New Roman"/>
                <w:color w:val="auto"/>
                <w:sz w:val="21"/>
                <w:szCs w:val="21"/>
                <w:lang w:val="zh-CN" w:bidi="ar-SA"/>
              </w:rPr>
              <w:t>地面采取三合土夯实铺底+15cm厚防渗混凝土（防渗等级P6）基础上敷设2mm厚环氧树脂涂覆。或采取其他防渗措施，等效黏土防渗层Mb≥1.5m，K≤1×10</w:t>
            </w:r>
            <w:r>
              <w:rPr>
                <w:rFonts w:ascii="Times New Roman" w:hAnsi="Times New Roman" w:cs="Times New Roman"/>
                <w:color w:val="auto"/>
                <w:sz w:val="21"/>
                <w:szCs w:val="21"/>
                <w:vertAlign w:val="superscript"/>
                <w:lang w:val="zh-CN" w:bidi="ar-SA"/>
              </w:rPr>
              <w:t>-7</w:t>
            </w:r>
            <w:r>
              <w:rPr>
                <w:rFonts w:ascii="Times New Roman" w:hAnsi="Times New Roman" w:cs="Times New Roman"/>
                <w:color w:val="auto"/>
                <w:sz w:val="21"/>
                <w:szCs w:val="21"/>
                <w:lang w:val="zh-CN" w:bidi="ar-SA"/>
              </w:rPr>
              <w:t>cm。</w:t>
            </w:r>
          </w:p>
          <w:p>
            <w:pPr>
              <w:pStyle w:val="43"/>
              <w:autoSpaceDE/>
              <w:autoSpaceDN/>
              <w:snapToGrid/>
              <w:spacing w:line="400" w:lineRule="exact"/>
              <w:ind w:left="110" w:leftChars="50" w:firstLine="420"/>
              <w:rPr>
                <w:rFonts w:ascii="Times New Roman" w:hAnsi="Times New Roman" w:cs="Times New Roman"/>
                <w:color w:val="auto"/>
                <w:sz w:val="21"/>
                <w:szCs w:val="21"/>
                <w:lang w:val="zh-CN" w:bidi="ar-SA"/>
              </w:rPr>
            </w:pPr>
            <w:r>
              <w:rPr>
                <w:rFonts w:hint="eastAsia" w:ascii="Times New Roman" w:hAnsi="Times New Roman" w:cs="Times New Roman"/>
                <w:color w:val="auto"/>
                <w:sz w:val="21"/>
                <w:szCs w:val="21"/>
                <w:lang w:val="zh-CN" w:bidi="ar-SA"/>
              </w:rPr>
              <w:t>（</w:t>
            </w:r>
            <w:r>
              <w:rPr>
                <w:rFonts w:hint="eastAsia" w:ascii="Times New Roman" w:hAnsi="Times New Roman" w:cs="Times New Roman"/>
                <w:color w:val="auto"/>
                <w:sz w:val="21"/>
                <w:szCs w:val="21"/>
                <w:lang w:bidi="ar-SA"/>
              </w:rPr>
              <w:t>3</w:t>
            </w:r>
            <w:r>
              <w:rPr>
                <w:rFonts w:hint="eastAsia" w:ascii="Times New Roman" w:hAnsi="Times New Roman" w:cs="Times New Roman"/>
                <w:color w:val="auto"/>
                <w:sz w:val="21"/>
                <w:szCs w:val="21"/>
                <w:lang w:val="zh-CN" w:bidi="ar-SA"/>
              </w:rPr>
              <w:t>）</w:t>
            </w:r>
            <w:r>
              <w:rPr>
                <w:rFonts w:ascii="Times New Roman" w:hAnsi="Times New Roman" w:cs="Times New Roman"/>
                <w:color w:val="auto"/>
                <w:sz w:val="21"/>
                <w:szCs w:val="21"/>
                <w:lang w:val="zh-CN" w:bidi="ar-SA"/>
              </w:rPr>
              <w:t>重点防渗区：危废间设为密闭隔间，在防渗结构上（包括房间的底部及四周壁）均设置隔离层，并与地面隔离层连成整体；三合土夯实铺底，其上构筑15cm厚防渗混凝土（防渗等级不低于P8），然后敷设2mm厚环氧树脂涂覆，危废间四周设防腐蚀围堰，并设置分区，渗透系数K≤1×10</w:t>
            </w:r>
            <w:r>
              <w:rPr>
                <w:rFonts w:ascii="Times New Roman" w:hAnsi="Times New Roman" w:cs="Times New Roman"/>
                <w:color w:val="auto"/>
                <w:sz w:val="21"/>
                <w:szCs w:val="21"/>
                <w:vertAlign w:val="superscript"/>
                <w:lang w:val="zh-CN" w:bidi="ar-SA"/>
              </w:rPr>
              <w:t>-10</w:t>
            </w:r>
            <w:r>
              <w:rPr>
                <w:rFonts w:ascii="Times New Roman" w:hAnsi="Times New Roman" w:cs="Times New Roman"/>
                <w:color w:val="auto"/>
                <w:sz w:val="21"/>
                <w:szCs w:val="21"/>
                <w:lang w:val="zh-CN" w:bidi="ar-SA"/>
              </w:rPr>
              <w:t>cm/s。或参照《危险废物贮存污染控制标准》GB18597执行，以达到防腐防渗漏的目的。</w:t>
            </w:r>
          </w:p>
          <w:p>
            <w:pPr>
              <w:pStyle w:val="43"/>
              <w:autoSpaceDE/>
              <w:autoSpaceDN/>
              <w:snapToGrid/>
              <w:spacing w:line="400" w:lineRule="exact"/>
              <w:ind w:left="110" w:leftChars="50" w:firstLine="422"/>
              <w:rPr>
                <w:rFonts w:ascii="Times New Roman" w:hAnsi="Times New Roman" w:cs="Times New Roman"/>
                <w:b/>
                <w:bCs/>
                <w:color w:val="auto"/>
                <w:sz w:val="21"/>
                <w:szCs w:val="21"/>
                <w:lang w:val="zh-CN" w:bidi="ar-SA"/>
              </w:rPr>
            </w:pPr>
            <w:r>
              <w:rPr>
                <w:rFonts w:hint="eastAsia" w:ascii="Times New Roman" w:hAnsi="Times New Roman" w:cs="Times New Roman"/>
                <w:b/>
                <w:bCs/>
                <w:color w:val="auto"/>
                <w:sz w:val="21"/>
                <w:szCs w:val="21"/>
                <w:lang w:bidi="ar-SA"/>
              </w:rPr>
              <w:t>2、</w:t>
            </w:r>
            <w:r>
              <w:rPr>
                <w:rFonts w:ascii="Times New Roman" w:hAnsi="Times New Roman" w:cs="Times New Roman"/>
                <w:b/>
                <w:bCs/>
                <w:color w:val="auto"/>
                <w:sz w:val="21"/>
                <w:szCs w:val="21"/>
                <w:lang w:val="zh-CN" w:bidi="ar-SA"/>
              </w:rPr>
              <w:t>土壤环境保护措施</w:t>
            </w:r>
          </w:p>
          <w:p>
            <w:pPr>
              <w:adjustRightInd w:val="0"/>
              <w:snapToGrid w:val="0"/>
              <w:spacing w:line="440" w:lineRule="exact"/>
              <w:ind w:firstLine="420" w:firstLineChars="200"/>
              <w:rPr>
                <w:rFonts w:ascii="Times New Roman" w:hAnsi="Times New Roman" w:cs="Times New Roman"/>
                <w:color w:val="auto"/>
                <w:sz w:val="21"/>
                <w:szCs w:val="21"/>
                <w:lang w:val="en-US"/>
              </w:rPr>
            </w:pPr>
            <w:r>
              <w:rPr>
                <w:rFonts w:ascii="Times New Roman" w:hAnsi="Times New Roman" w:cs="Times New Roman"/>
                <w:color w:val="auto"/>
                <w:kern w:val="2"/>
                <w:sz w:val="21"/>
                <w:szCs w:val="21"/>
                <w:lang w:bidi="ar-SA"/>
              </w:rPr>
              <w:t>本项目应严格按照国家相关规范要求，对该厂区采取相应的防渗措施，以防止和降低可能污染物的跑、冒、滴、漏。公司应对废气治理设施、防腐防渗措施等定期进行检查，并设专人监督环保设备的使用、固废的储存、厂内车辆行驶情况以及是否有防渗层开裂、破损、腐蚀等情况，出现上述情况应及时修缮，并制定严格的操作规范，坚持源头控制措施与过程控制措施相结合</w:t>
            </w:r>
            <w:r>
              <w:rPr>
                <w:rFonts w:ascii="Times New Roman" w:hAnsi="Times New Roman"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545" w:type="dxa"/>
            <w:vAlign w:val="center"/>
          </w:tcPr>
          <w:p>
            <w:pPr>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生态保护措施</w:t>
            </w:r>
          </w:p>
        </w:tc>
        <w:tc>
          <w:tcPr>
            <w:tcW w:w="8084" w:type="dxa"/>
            <w:gridSpan w:val="4"/>
            <w:vAlign w:val="center"/>
          </w:tcPr>
          <w:p>
            <w:pPr>
              <w:adjustRightInd w:val="0"/>
              <w:snapToGrid w:val="0"/>
              <w:spacing w:line="300" w:lineRule="exact"/>
              <w:jc w:val="center"/>
              <w:rPr>
                <w:rFonts w:ascii="Times New Roman" w:hAnsi="Times New Roman" w:cs="Times New Roman"/>
                <w:color w:val="auto"/>
                <w:sz w:val="21"/>
                <w:szCs w:val="21"/>
                <w:lang w:val="en-US"/>
              </w:rPr>
            </w:pPr>
            <w:r>
              <w:rPr>
                <w:rFonts w:hint="eastAsia" w:ascii="Times New Roman" w:hAnsi="Times New Roman" w:cs="Times New Roman"/>
                <w:color w:val="auto"/>
                <w:sz w:val="21"/>
                <w:szCs w:val="21"/>
                <w:lang w:val="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30" w:hRule="atLeast"/>
          <w:jc w:val="center"/>
        </w:trPr>
        <w:tc>
          <w:tcPr>
            <w:tcW w:w="1545" w:type="dxa"/>
            <w:vAlign w:val="center"/>
          </w:tcPr>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环境风险</w:t>
            </w:r>
          </w:p>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防范措施</w:t>
            </w:r>
          </w:p>
        </w:tc>
        <w:tc>
          <w:tcPr>
            <w:tcW w:w="8084" w:type="dxa"/>
            <w:gridSpan w:val="4"/>
            <w:vAlign w:val="center"/>
          </w:tcPr>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1</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贮存风险防范措施：</w:t>
            </w:r>
            <w:r>
              <w:rPr>
                <w:rFonts w:ascii="Times New Roman" w:hAnsi="Times New Roman" w:cs="Times New Roman"/>
                <w:color w:val="auto"/>
                <w:sz w:val="21"/>
                <w:szCs w:val="21"/>
              </w:rPr>
              <w:t>做好防渗措施；定期对</w:t>
            </w:r>
            <w:r>
              <w:rPr>
                <w:rFonts w:hint="eastAsia" w:ascii="Times New Roman" w:hAnsi="Times New Roman" w:cs="Times New Roman"/>
                <w:color w:val="auto"/>
                <w:sz w:val="21"/>
                <w:szCs w:val="21"/>
              </w:rPr>
              <w:t>生产设备、储存容器</w:t>
            </w:r>
            <w:r>
              <w:rPr>
                <w:rFonts w:ascii="Times New Roman" w:hAnsi="Times New Roman" w:cs="Times New Roman"/>
                <w:color w:val="auto"/>
                <w:sz w:val="21"/>
                <w:szCs w:val="21"/>
              </w:rPr>
              <w:t>进行检查，防止跑冒滴漏。</w:t>
            </w:r>
          </w:p>
          <w:p>
            <w:pPr>
              <w:autoSpaceDE/>
              <w:autoSpaceDN/>
              <w:spacing w:line="400" w:lineRule="exact"/>
              <w:ind w:left="110" w:leftChars="50" w:firstLine="421"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2</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次生危害危险防范措施：</w:t>
            </w:r>
            <w:r>
              <w:rPr>
                <w:rFonts w:ascii="Times New Roman" w:hAnsi="Times New Roman" w:cs="Times New Roman"/>
                <w:color w:val="auto"/>
                <w:sz w:val="21"/>
                <w:szCs w:val="21"/>
              </w:rPr>
              <w:t>各建筑及各种设备均应符合《建筑设计防火规范》中的规定。严格按照国家消防安全的有关规定建设消防设施，一切消防设施不准挪动、乱用，并定期进行检查和更换。</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3</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事故应急预案：</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事故应急预案是在发生事故后，按照预先制订的方案采取的一系列的措施，将事故的损失降低到最小程度。本工程应急预案重点如下：</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①必须制定应急计划、方案和程序</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为了使突发事故发生后能有条不紊的处理事故，在工程投产之前就应制定好事故应急计划和方案，以备在发生事故后有备无患。</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②成立重大事故</w:t>
            </w:r>
            <w:r>
              <w:rPr>
                <w:rFonts w:hint="eastAsia" w:ascii="Times New Roman" w:hAnsi="Times New Roman" w:cs="Times New Roman"/>
                <w:color w:val="auto"/>
                <w:sz w:val="21"/>
                <w:szCs w:val="21"/>
                <w:lang w:eastAsia="zh-CN"/>
              </w:rPr>
              <w:t>应急救援</w:t>
            </w:r>
            <w:r>
              <w:rPr>
                <w:rFonts w:ascii="Times New Roman" w:hAnsi="Times New Roman" w:cs="Times New Roman"/>
                <w:color w:val="auto"/>
                <w:sz w:val="21"/>
                <w:szCs w:val="21"/>
              </w:rPr>
              <w:t>小组</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成立由厂长、分管厂长及生产、安全、环保、保卫等部门组成的重大事故应急救援小组，一旦发生事故，救援小组便及时例行其相应的职责，处理事故。</w:t>
            </w:r>
          </w:p>
          <w:p>
            <w:pPr>
              <w:autoSpaceDE/>
              <w:autoSpaceDN/>
              <w:spacing w:line="400" w:lineRule="exact"/>
              <w:ind w:left="110" w:leftChars="50"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③事故发生后应采取紧急隔离和疏散措施</w:t>
            </w:r>
          </w:p>
          <w:p>
            <w:pPr>
              <w:autoSpaceDE/>
              <w:autoSpaceDN/>
              <w:spacing w:line="400" w:lineRule="exact"/>
              <w:ind w:left="110" w:leftChars="50" w:firstLine="420" w:firstLineChars="200"/>
              <w:rPr>
                <w:rFonts w:ascii="Times New Roman" w:hAnsi="Times New Roman" w:cs="Times New Roman"/>
                <w:b/>
                <w:bCs/>
                <w:color w:val="auto"/>
                <w:sz w:val="21"/>
                <w:szCs w:val="21"/>
              </w:rPr>
            </w:pPr>
            <w:r>
              <w:rPr>
                <w:rFonts w:ascii="Times New Roman" w:hAnsi="Times New Roman" w:cs="Times New Roman"/>
                <w:color w:val="auto"/>
                <w:sz w:val="21"/>
                <w:szCs w:val="21"/>
              </w:rPr>
              <w:t>一旦发生突发事故，应及时发出警报，并在救援小组的领导下，紧急隔离危险物品，切断电源，疏散人群，抢救受害人员</w:t>
            </w:r>
          </w:p>
          <w:p>
            <w:pPr>
              <w:autoSpaceDE/>
              <w:autoSpaceDN/>
              <w:spacing w:line="400" w:lineRule="exact"/>
              <w:ind w:left="110" w:leftChars="50" w:firstLine="421" w:firstLineChars="200"/>
              <w:rPr>
                <w:rFonts w:ascii="Times New Roman" w:hAnsi="Times New Roman" w:cs="Times New Roman"/>
                <w:b/>
                <w:bCs/>
                <w:color w:val="auto"/>
                <w:sz w:val="21"/>
                <w:szCs w:val="21"/>
              </w:rPr>
            </w:pPr>
            <w:r>
              <w:rPr>
                <w:rFonts w:hint="eastAsia" w:ascii="Times New Roman" w:hAnsi="Times New Roman" w:cs="Times New Roman"/>
                <w:b/>
                <w:bCs/>
                <w:color w:val="auto"/>
                <w:sz w:val="21"/>
                <w:szCs w:val="21"/>
              </w:rPr>
              <w:t>（</w:t>
            </w:r>
            <w:r>
              <w:rPr>
                <w:rFonts w:hint="eastAsia" w:ascii="Times New Roman" w:hAnsi="Times New Roman" w:cs="Times New Roman"/>
                <w:b/>
                <w:bCs/>
                <w:color w:val="auto"/>
                <w:sz w:val="21"/>
                <w:szCs w:val="21"/>
                <w:lang w:val="en-US"/>
              </w:rPr>
              <w:t>4</w:t>
            </w:r>
            <w:r>
              <w:rPr>
                <w:rFonts w:hint="eastAsia" w:ascii="Times New Roman" w:hAnsi="Times New Roman" w:cs="Times New Roman"/>
                <w:b/>
                <w:bCs/>
                <w:color w:val="auto"/>
                <w:sz w:val="21"/>
                <w:szCs w:val="21"/>
              </w:rPr>
              <w:t>）</w:t>
            </w:r>
            <w:r>
              <w:rPr>
                <w:rFonts w:ascii="Times New Roman" w:hAnsi="Times New Roman" w:cs="Times New Roman"/>
                <w:b/>
                <w:bCs/>
                <w:color w:val="auto"/>
                <w:sz w:val="21"/>
                <w:szCs w:val="21"/>
              </w:rPr>
              <w:t>管理措施：</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①</w:t>
            </w:r>
            <w:r>
              <w:rPr>
                <w:rFonts w:ascii="Times New Roman" w:hAnsi="Times New Roman" w:cs="Times New Roman"/>
                <w:color w:val="auto"/>
                <w:sz w:val="21"/>
                <w:szCs w:val="21"/>
              </w:rPr>
              <w:t>在管理方面要有一系列详细的安全管理制度及有效的安全管理组织，确保各种有关的安全管理规定能够在各环节上得到充分落实，并能有所改进与提高。</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②</w:t>
            </w:r>
            <w:r>
              <w:rPr>
                <w:rFonts w:ascii="Times New Roman" w:hAnsi="Times New Roman" w:cs="Times New Roman"/>
                <w:color w:val="auto"/>
                <w:sz w:val="21"/>
                <w:szCs w:val="21"/>
              </w:rPr>
              <w:t>在投产前应制定出正常、异常或紧急状态下的操作手册和维修手册，并对操作、维修人员进行培训，持证上岗，避免引严重操作失误而造成事故。</w:t>
            </w:r>
          </w:p>
          <w:p>
            <w:pPr>
              <w:autoSpaceDE/>
              <w:autoSpaceDN/>
              <w:spacing w:line="400" w:lineRule="exact"/>
              <w:ind w:left="110" w:leftChars="50"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③</w:t>
            </w:r>
            <w:r>
              <w:rPr>
                <w:rFonts w:ascii="Times New Roman" w:hAnsi="Times New Roman" w:cs="Times New Roman"/>
                <w:color w:val="auto"/>
                <w:sz w:val="21"/>
                <w:szCs w:val="21"/>
              </w:rPr>
              <w:t>加强对工作人员安全素质方面的教育及训练，包括安全知识、安全技术、安全心理、职业卫生及排险与消防活动等，而且要时常演练与考核。</w:t>
            </w:r>
          </w:p>
          <w:p>
            <w:pPr>
              <w:widowControl/>
              <w:autoSpaceDE/>
              <w:autoSpaceDN/>
              <w:spacing w:line="44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lang w:val="en-US"/>
              </w:rPr>
              <w:t>④</w:t>
            </w:r>
            <w:r>
              <w:rPr>
                <w:rFonts w:ascii="Times New Roman" w:hAnsi="Times New Roman" w:cs="Times New Roman"/>
                <w:color w:val="auto"/>
                <w:sz w:val="21"/>
                <w:szCs w:val="21"/>
              </w:rPr>
              <w:t>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15" w:hRule="atLeast"/>
          <w:jc w:val="center"/>
        </w:trPr>
        <w:tc>
          <w:tcPr>
            <w:tcW w:w="1545" w:type="dxa"/>
            <w:vAlign w:val="center"/>
          </w:tcPr>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其他环境</w:t>
            </w:r>
          </w:p>
          <w:p>
            <w:pPr>
              <w:adjustRightInd w:val="0"/>
              <w:snapToGrid w:val="0"/>
              <w:jc w:val="center"/>
              <w:rPr>
                <w:rFonts w:ascii="Times New Roman" w:hAnsi="Times New Roman" w:cs="Times New Roman"/>
                <w:color w:val="auto"/>
                <w:spacing w:val="-8"/>
                <w:sz w:val="21"/>
                <w:szCs w:val="21"/>
              </w:rPr>
            </w:pPr>
            <w:r>
              <w:rPr>
                <w:rFonts w:ascii="Times New Roman" w:hAnsi="Times New Roman" w:cs="Times New Roman"/>
                <w:color w:val="auto"/>
                <w:spacing w:val="-8"/>
                <w:sz w:val="21"/>
                <w:szCs w:val="21"/>
              </w:rPr>
              <w:t>管理要求</w:t>
            </w:r>
          </w:p>
        </w:tc>
        <w:tc>
          <w:tcPr>
            <w:tcW w:w="8084" w:type="dxa"/>
            <w:gridSpan w:val="4"/>
            <w:vAlign w:val="center"/>
          </w:tcPr>
          <w:p>
            <w:pPr>
              <w:adjustRightInd w:val="0"/>
              <w:snapToGrid w:val="0"/>
              <w:spacing w:line="360" w:lineRule="exact"/>
              <w:ind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1、</w:t>
            </w:r>
            <w:r>
              <w:rPr>
                <w:rFonts w:ascii="Times New Roman" w:hAnsi="Times New Roman" w:cs="Times New Roman"/>
                <w:b/>
                <w:bCs/>
                <w:color w:val="auto"/>
                <w:sz w:val="21"/>
                <w:szCs w:val="21"/>
              </w:rPr>
              <w:t>管理机构设置</w:t>
            </w:r>
          </w:p>
          <w:p>
            <w:pPr>
              <w:adjustRightInd w:val="0"/>
              <w:snapToGrid w:val="0"/>
              <w:spacing w:line="36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环境管理工作应实行法人负责制，</w:t>
            </w:r>
            <w:r>
              <w:rPr>
                <w:rFonts w:hint="eastAsia" w:ascii="Times New Roman" w:hAnsi="Times New Roman" w:cs="Times New Roman"/>
                <w:color w:val="auto"/>
                <w:sz w:val="21"/>
                <w:szCs w:val="21"/>
              </w:rPr>
              <w:t>企业原有生产线已按要求</w:t>
            </w:r>
            <w:r>
              <w:rPr>
                <w:rFonts w:ascii="Times New Roman" w:hAnsi="Times New Roman" w:cs="Times New Roman"/>
                <w:color w:val="auto"/>
                <w:sz w:val="21"/>
                <w:szCs w:val="21"/>
              </w:rPr>
              <w:t>设置环保管理机构和管理人员，配置</w:t>
            </w:r>
            <w:r>
              <w:rPr>
                <w:rFonts w:hint="eastAsia" w:ascii="Times New Roman" w:hAnsi="Times New Roman" w:cs="Times New Roman"/>
                <w:color w:val="auto"/>
                <w:sz w:val="21"/>
                <w:szCs w:val="21"/>
              </w:rPr>
              <w:t>了</w:t>
            </w:r>
            <w:r>
              <w:rPr>
                <w:rFonts w:ascii="Times New Roman" w:hAnsi="Times New Roman" w:cs="Times New Roman"/>
                <w:color w:val="auto"/>
                <w:sz w:val="21"/>
                <w:szCs w:val="21"/>
              </w:rPr>
              <w:t>1名</w:t>
            </w:r>
            <w:r>
              <w:rPr>
                <w:rFonts w:hint="eastAsia" w:ascii="Times New Roman" w:hAnsi="Times New Roman" w:cs="Times New Roman"/>
                <w:color w:val="auto"/>
                <w:sz w:val="21"/>
                <w:szCs w:val="21"/>
              </w:rPr>
              <w:t>经理专门负责处理企业生产过程中产生的环保问题</w:t>
            </w:r>
            <w:r>
              <w:rPr>
                <w:rFonts w:ascii="Times New Roman" w:hAnsi="Times New Roman" w:cs="Times New Roman"/>
                <w:color w:val="auto"/>
                <w:sz w:val="21"/>
                <w:szCs w:val="21"/>
              </w:rPr>
              <w:t>。</w:t>
            </w:r>
            <w:r>
              <w:rPr>
                <w:rFonts w:hint="eastAsia" w:ascii="Times New Roman" w:hAnsi="Times New Roman" w:cs="Times New Roman"/>
                <w:color w:val="auto"/>
                <w:sz w:val="21"/>
                <w:szCs w:val="21"/>
              </w:rPr>
              <w:t>本项目与原有生产线一起由该名管理人员管理。</w:t>
            </w:r>
          </w:p>
          <w:p>
            <w:pPr>
              <w:adjustRightInd w:val="0"/>
              <w:snapToGrid w:val="0"/>
              <w:spacing w:line="360" w:lineRule="exact"/>
              <w:ind w:firstLine="421" w:firstLineChars="200"/>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2、</w:t>
            </w:r>
            <w:r>
              <w:rPr>
                <w:rFonts w:ascii="Times New Roman" w:hAnsi="Times New Roman" w:cs="Times New Roman"/>
                <w:b/>
                <w:bCs/>
                <w:color w:val="auto"/>
                <w:sz w:val="21"/>
                <w:szCs w:val="21"/>
              </w:rPr>
              <w:t>环境管理机构的基本职责</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1</w:t>
            </w:r>
            <w:r>
              <w:rPr>
                <w:rFonts w:hint="eastAsia" w:ascii="Times New Roman" w:hAnsi="Times New Roman" w:cs="Times New Roman"/>
                <w:color w:val="auto"/>
                <w:sz w:val="21"/>
                <w:szCs w:val="21"/>
              </w:rPr>
              <w:t>）</w:t>
            </w:r>
            <w:r>
              <w:rPr>
                <w:rFonts w:ascii="Times New Roman" w:hAnsi="Times New Roman" w:cs="Times New Roman"/>
                <w:color w:val="auto"/>
                <w:sz w:val="21"/>
                <w:szCs w:val="21"/>
              </w:rPr>
              <w:t>贯彻执行《中华人民共和国环境保护法》及其相关法律、法规，按国家的环保政策、环境标准及环境监测要求，制定环境管理规章制度，并监督执行。</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2</w:t>
            </w:r>
            <w:r>
              <w:rPr>
                <w:rFonts w:hint="eastAsia" w:ascii="Times New Roman" w:hAnsi="Times New Roman" w:cs="Times New Roman"/>
                <w:color w:val="auto"/>
                <w:sz w:val="21"/>
                <w:szCs w:val="21"/>
              </w:rPr>
              <w:t>）</w:t>
            </w:r>
            <w:r>
              <w:rPr>
                <w:rFonts w:ascii="Times New Roman" w:hAnsi="Times New Roman" w:cs="Times New Roman"/>
                <w:color w:val="auto"/>
                <w:sz w:val="21"/>
                <w:szCs w:val="21"/>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3</w:t>
            </w:r>
            <w:r>
              <w:rPr>
                <w:rFonts w:hint="eastAsia" w:ascii="Times New Roman" w:hAnsi="Times New Roman" w:cs="Times New Roman"/>
                <w:color w:val="auto"/>
                <w:sz w:val="21"/>
                <w:szCs w:val="21"/>
              </w:rPr>
              <w:t>）</w:t>
            </w:r>
            <w:r>
              <w:rPr>
                <w:rFonts w:ascii="Times New Roman" w:hAnsi="Times New Roman" w:cs="Times New Roman"/>
                <w:color w:val="auto"/>
                <w:sz w:val="21"/>
                <w:szCs w:val="21"/>
              </w:rPr>
              <w:t>组织并抓好本项目污染治理和综合利用工作，负责该项目内所有环保设施的日常运行管理，定期对环保设施进行检查，负责环保设备的维修保养，保证其正常运行，并对环保设施的改进提出积极的建议。</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4</w:t>
            </w:r>
            <w:r>
              <w:rPr>
                <w:rFonts w:hint="eastAsia" w:ascii="Times New Roman" w:hAnsi="Times New Roman" w:cs="Times New Roman"/>
                <w:color w:val="auto"/>
                <w:sz w:val="21"/>
                <w:szCs w:val="21"/>
              </w:rPr>
              <w:t>）</w:t>
            </w:r>
            <w:r>
              <w:rPr>
                <w:rFonts w:ascii="Times New Roman" w:hAnsi="Times New Roman" w:cs="Times New Roman"/>
                <w:color w:val="auto"/>
                <w:sz w:val="21"/>
                <w:szCs w:val="21"/>
              </w:rPr>
              <w:t>负责本项目环境监测工作，及时掌握该项目污染状况，整理监测数据，建立污染源档案。</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5</w:t>
            </w:r>
            <w:r>
              <w:rPr>
                <w:rFonts w:hint="eastAsia" w:ascii="Times New Roman" w:hAnsi="Times New Roman" w:cs="Times New Roman"/>
                <w:color w:val="auto"/>
                <w:sz w:val="21"/>
                <w:szCs w:val="21"/>
              </w:rPr>
              <w:t>）</w:t>
            </w:r>
            <w:r>
              <w:rPr>
                <w:rFonts w:ascii="Times New Roman" w:hAnsi="Times New Roman" w:cs="Times New Roman"/>
                <w:color w:val="auto"/>
                <w:sz w:val="21"/>
                <w:szCs w:val="21"/>
              </w:rPr>
              <w:t>负责对职工进行环保宣传教育工作，以及检查、监督各单位环保制度的执行情况。</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6</w:t>
            </w:r>
            <w:r>
              <w:rPr>
                <w:rFonts w:hint="eastAsia" w:ascii="Times New Roman" w:hAnsi="Times New Roman" w:cs="Times New Roman"/>
                <w:color w:val="auto"/>
                <w:sz w:val="21"/>
                <w:szCs w:val="21"/>
              </w:rPr>
              <w:t>）</w:t>
            </w:r>
            <w:r>
              <w:rPr>
                <w:rFonts w:ascii="Times New Roman" w:hAnsi="Times New Roman" w:cs="Times New Roman"/>
                <w:color w:val="auto"/>
                <w:sz w:val="21"/>
                <w:szCs w:val="21"/>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auto"/>
                <w:sz w:val="21"/>
                <w:szCs w:val="21"/>
              </w:rPr>
              <w:t>五</w:t>
            </w:r>
            <w:r>
              <w:rPr>
                <w:rFonts w:ascii="Times New Roman" w:hAnsi="Times New Roman" w:cs="Times New Roman"/>
                <w:color w:val="auto"/>
                <w:sz w:val="21"/>
                <w:szCs w:val="21"/>
              </w:rPr>
              <w:t>年。</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7</w:t>
            </w:r>
            <w:r>
              <w:rPr>
                <w:rFonts w:hint="eastAsia" w:ascii="Times New Roman" w:hAnsi="Times New Roman" w:cs="Times New Roman"/>
                <w:color w:val="auto"/>
                <w:sz w:val="21"/>
                <w:szCs w:val="21"/>
              </w:rPr>
              <w:t>）</w:t>
            </w:r>
            <w:r>
              <w:rPr>
                <w:rFonts w:ascii="Times New Roman" w:hAnsi="Times New Roman" w:cs="Times New Roman"/>
                <w:color w:val="auto"/>
                <w:sz w:val="21"/>
                <w:szCs w:val="21"/>
              </w:rPr>
              <w:t>搞好厂区内绿化工作</w:t>
            </w:r>
            <w:r>
              <w:rPr>
                <w:rFonts w:hint="eastAsia" w:ascii="Times New Roman" w:hAnsi="Times New Roman" w:cs="Times New Roman"/>
                <w:color w:val="auto"/>
                <w:sz w:val="21"/>
                <w:szCs w:val="21"/>
              </w:rPr>
              <w:t>。</w:t>
            </w:r>
          </w:p>
          <w:p>
            <w:pPr>
              <w:adjustRightInd w:val="0"/>
              <w:snapToGrid w:val="0"/>
              <w:spacing w:line="360" w:lineRule="exact"/>
              <w:ind w:firstLine="421" w:firstLineChars="200"/>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3、其他环境管理要求</w:t>
            </w:r>
          </w:p>
          <w:p>
            <w:pPr>
              <w:adjustRightInd w:val="0"/>
              <w:snapToGrid w:val="0"/>
              <w:spacing w:line="360" w:lineRule="exact"/>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rPr>
              <w:t>1</w:t>
            </w:r>
            <w:r>
              <w:rPr>
                <w:rFonts w:ascii="Times New Roman" w:hAnsi="Times New Roman" w:cs="Times New Roman"/>
                <w:color w:val="auto"/>
                <w:sz w:val="21"/>
                <w:szCs w:val="21"/>
              </w:rPr>
              <w:t>）项目的建设遵循“三同时”制度，即项目环保措施与主体工程同时设计、同时施工、同时投产使用</w:t>
            </w:r>
            <w:r>
              <w:rPr>
                <w:rFonts w:hint="eastAsia" w:ascii="Times New Roman" w:hAnsi="Times New Roman" w:cs="Times New Roman"/>
                <w:color w:val="auto"/>
                <w:sz w:val="21"/>
                <w:szCs w:val="21"/>
              </w:rPr>
              <w:t>。</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2</w:t>
            </w:r>
            <w:r>
              <w:rPr>
                <w:rFonts w:hint="eastAsia" w:ascii="Times New Roman" w:hAnsi="Times New Roman" w:cs="Times New Roman"/>
                <w:color w:val="auto"/>
                <w:sz w:val="21"/>
                <w:szCs w:val="21"/>
              </w:rPr>
              <w:t>）</w:t>
            </w:r>
            <w:r>
              <w:rPr>
                <w:rFonts w:ascii="Times New Roman" w:hAnsi="Times New Roman" w:cs="Times New Roman"/>
                <w:color w:val="auto"/>
                <w:sz w:val="21"/>
                <w:szCs w:val="21"/>
              </w:rPr>
              <w:t>排污许可制度衔接</w:t>
            </w:r>
            <w:r>
              <w:rPr>
                <w:rFonts w:hint="eastAsia" w:ascii="Times New Roman" w:hAnsi="Times New Roman" w:cs="Times New Roman"/>
                <w:color w:val="auto"/>
                <w:sz w:val="21"/>
                <w:szCs w:val="21"/>
              </w:rPr>
              <w:t>。</w:t>
            </w:r>
            <w:r>
              <w:rPr>
                <w:rFonts w:ascii="Times New Roman" w:hAnsi="Times New Roman" w:cs="Times New Roman"/>
                <w:color w:val="auto"/>
                <w:sz w:val="21"/>
                <w:szCs w:val="21"/>
              </w:rPr>
              <w:t>建设单位应按照《排污许可管理条例）》、《固定污染源排污许可分类管理名录（2019年版）》等排污许可证相关管理要求，在规定时限内申请</w:t>
            </w:r>
            <w:r>
              <w:rPr>
                <w:rFonts w:hint="eastAsia" w:ascii="Times New Roman" w:hAnsi="Times New Roman" w:cs="Times New Roman"/>
                <w:color w:val="auto"/>
                <w:sz w:val="21"/>
                <w:szCs w:val="21"/>
              </w:rPr>
              <w:t>办理</w:t>
            </w:r>
            <w:r>
              <w:rPr>
                <w:rFonts w:ascii="Times New Roman" w:hAnsi="Times New Roman" w:cs="Times New Roman"/>
                <w:color w:val="auto"/>
                <w:sz w:val="21"/>
                <w:szCs w:val="21"/>
              </w:rPr>
              <w:t>排污许可证。</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3</w:t>
            </w:r>
            <w:r>
              <w:rPr>
                <w:rFonts w:hint="eastAsia" w:ascii="Times New Roman" w:hAnsi="Times New Roman" w:cs="Times New Roman"/>
                <w:color w:val="auto"/>
                <w:sz w:val="21"/>
                <w:szCs w:val="21"/>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4</w:t>
            </w:r>
            <w:r>
              <w:rPr>
                <w:rFonts w:hint="eastAsia" w:ascii="Times New Roman" w:hAnsi="Times New Roman" w:cs="Times New Roman"/>
                <w:color w:val="auto"/>
                <w:sz w:val="21"/>
                <w:szCs w:val="21"/>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5</w:t>
            </w:r>
            <w:r>
              <w:rPr>
                <w:rFonts w:hint="eastAsia" w:ascii="Times New Roman" w:hAnsi="Times New Roman" w:cs="Times New Roman"/>
                <w:color w:val="auto"/>
                <w:sz w:val="21"/>
                <w:szCs w:val="21"/>
              </w:rPr>
              <w:t>）排污口规范化要求</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根据原国家环保总局下发《关于开展排放口规范化整治工作的通知》（环发[1999]24号）要求，各废气、噪声等排放口需要进行规范化。</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①污染源排放口要遵循便于采集样品、便于监测计量、便于日常监督管理的原则，严格按排放口规范化整治要求进行。</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②污染源排放口必须按照国家颁布的有关污染物强制性排放标准的要求，监测点位处设置监测平台及排放口标志牌。</w:t>
            </w:r>
          </w:p>
          <w:p>
            <w:pPr>
              <w:adjustRightInd w:val="0"/>
              <w:snapToGrid w:val="0"/>
              <w:spacing w:line="360" w:lineRule="exact"/>
              <w:ind w:firstLine="421" w:firstLineChars="200"/>
              <w:jc w:val="center"/>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bidi="ar-SA"/>
              </w:rPr>
              <w:drawing>
                <wp:anchor distT="0" distB="0" distL="114300" distR="114300" simplePos="0" relativeHeight="251666432" behindDoc="0" locked="0" layoutInCell="1" allowOverlap="1">
                  <wp:simplePos x="0" y="0"/>
                  <wp:positionH relativeFrom="column">
                    <wp:posOffset>320675</wp:posOffset>
                  </wp:positionH>
                  <wp:positionV relativeFrom="paragraph">
                    <wp:posOffset>140970</wp:posOffset>
                  </wp:positionV>
                  <wp:extent cx="3857625" cy="3841115"/>
                  <wp:effectExtent l="0" t="0" r="9525" b="6985"/>
                  <wp:wrapTopAndBottom/>
                  <wp:docPr id="118" name="图片 2" descr="e27baa8092054d706ebd7da03334fe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8" name="图片 2" descr="e27baa8092054d706ebd7da03334fe4"/>
                          <pic:cNvPicPr>
                            <a:picLocks noChangeAspect="true"/>
                          </pic:cNvPicPr>
                        </pic:nvPicPr>
                        <pic:blipFill>
                          <a:blip r:embed="rId16"/>
                          <a:srcRect l="7391" t="1849" r="7251"/>
                          <a:stretch>
                            <a:fillRect/>
                          </a:stretch>
                        </pic:blipFill>
                        <pic:spPr>
                          <a:xfrm>
                            <a:off x="0" y="0"/>
                            <a:ext cx="3857625" cy="3841115"/>
                          </a:xfrm>
                          <a:prstGeom prst="rect">
                            <a:avLst/>
                          </a:prstGeom>
                          <a:noFill/>
                          <a:ln>
                            <a:noFill/>
                          </a:ln>
                        </pic:spPr>
                      </pic:pic>
                    </a:graphicData>
                  </a:graphic>
                </wp:anchor>
              </w:drawing>
            </w:r>
            <w:r>
              <w:rPr>
                <w:rFonts w:hint="eastAsia" w:ascii="Times New Roman" w:hAnsi="Times New Roman" w:cs="Times New Roman"/>
                <w:b/>
                <w:bCs/>
                <w:color w:val="auto"/>
                <w:sz w:val="21"/>
                <w:szCs w:val="21"/>
                <w:lang w:val="en-US"/>
              </w:rPr>
              <w:t>图5.1 环境保护图形标志牌</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③建立规范化排污口档案，内容包括排污单位名称，排污口性质及编号，排污口的地理位置（GPS定位经纬度），排污口所排放的主要污染物种类、数量、浓度及排放去向，立标情况，设施运行及日常现场监督检查记录等有关资料和记录。</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rPr>
              <w:t>6</w:t>
            </w:r>
            <w:r>
              <w:rPr>
                <w:rFonts w:hint="eastAsia" w:ascii="Times New Roman" w:hAnsi="Times New Roman" w:cs="Times New Roman"/>
                <w:color w:val="auto"/>
                <w:sz w:val="21"/>
                <w:szCs w:val="21"/>
              </w:rPr>
              <w:t>）项目生产过程中排放的污染物为废气、废水、噪声及固体废物。</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①废气：保证排气筒高度达到标准要求，并在环保技术人员指导下设定废气的监测口位置，按标准设置采样口及采样平台，并在排气筒上设环境保护图形牌。</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 xml:space="preserve">②噪声：保证真实准确的反映排污情况，要求在监测期间全厂生产正常稳定，生产负荷均为满负荷。采样时采样人员应及时了解全厂各工段的运行负荷。 </w:t>
            </w:r>
          </w:p>
          <w:p>
            <w:pPr>
              <w:adjustRightInd w:val="0"/>
              <w:snapToGrid w:val="0"/>
              <w:spacing w:line="360" w:lineRule="exact"/>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③固废：固废及危险废物贮存场所分别设置并按照相关要求采取防晒、防淋、防渗等措施，按环保管理要求设立标志牌等。</w:t>
            </w:r>
          </w:p>
          <w:p>
            <w:pPr>
              <w:rPr>
                <w:rFonts w:ascii="Times New Roman" w:hAnsi="Times New Roman" w:cs="Times New Roman"/>
                <w:color w:val="auto"/>
                <w:sz w:val="21"/>
                <w:szCs w:val="21"/>
              </w:rPr>
            </w:pPr>
          </w:p>
          <w:p>
            <w:pPr>
              <w:rPr>
                <w:rFonts w:ascii="Times New Roman" w:hAnsi="Times New Roman" w:cs="Times New Roman"/>
                <w:color w:val="auto"/>
                <w:sz w:val="21"/>
                <w:szCs w:val="21"/>
              </w:rPr>
            </w:pPr>
          </w:p>
          <w:p>
            <w:pPr>
              <w:adjustRightInd w:val="0"/>
              <w:snapToGrid w:val="0"/>
              <w:spacing w:line="360" w:lineRule="exact"/>
              <w:ind w:firstLine="420" w:firstLineChars="200"/>
              <w:rPr>
                <w:rFonts w:ascii="Times New Roman" w:hAnsi="Times New Roman" w:cs="Times New Roman"/>
                <w:color w:val="auto"/>
                <w:sz w:val="21"/>
                <w:szCs w:val="21"/>
              </w:rPr>
            </w:pPr>
          </w:p>
        </w:tc>
      </w:tr>
    </w:tbl>
    <w:p>
      <w:pPr>
        <w:rPr>
          <w:rFonts w:ascii="Times New Roman" w:hAnsi="Times New Roman" w:cs="Times New Roman"/>
          <w:color w:val="auto"/>
          <w:sz w:val="21"/>
        </w:rPr>
        <w:sectPr>
          <w:pgSz w:w="11910" w:h="16840"/>
          <w:pgMar w:top="1531" w:right="1320" w:bottom="1565" w:left="1340" w:header="0" w:footer="817" w:gutter="0"/>
          <w:cols w:space="720" w:num="1"/>
        </w:sectPr>
      </w:pPr>
    </w:p>
    <w:p>
      <w:pPr>
        <w:pStyle w:val="2"/>
        <w:rPr>
          <w:rFonts w:ascii="黑体" w:hAnsi="黑体" w:eastAsia="黑体" w:cs="黑体"/>
          <w:color w:val="auto"/>
          <w:sz w:val="30"/>
          <w:szCs w:val="30"/>
        </w:rPr>
      </w:pPr>
      <w:r>
        <w:rPr>
          <w:rFonts w:ascii="黑体" w:hAnsi="黑体" w:eastAsia="黑体" w:cs="黑体"/>
          <w:color w:val="auto"/>
          <w:sz w:val="30"/>
          <w:szCs w:val="30"/>
        </w:rPr>
        <w:t>六、结论</w:t>
      </w:r>
    </w:p>
    <w:p>
      <w:pPr>
        <w:pStyle w:val="10"/>
        <w:spacing w:before="10"/>
        <w:rPr>
          <w:rFonts w:ascii="Times New Roman" w:hAnsi="Times New Roman" w:cs="Times New Roman"/>
          <w:color w:val="auto"/>
          <w:sz w:val="18"/>
        </w:rPr>
      </w:pPr>
      <w:r>
        <w:rPr>
          <w:rFonts w:ascii="Times New Roman" w:hAnsi="Times New Roman" w:cs="Times New Roman"/>
          <w:color w:val="auto"/>
          <w:lang w:val="en-US" w:bidi="ar-SA"/>
        </w:rPr>
        <mc:AlternateContent>
          <mc:Choice Requires="wps">
            <w:drawing>
              <wp:anchor distT="0" distB="0" distL="0" distR="0" simplePos="0" relativeHeight="251664384" behindDoc="1" locked="0" layoutInCell="1" allowOverlap="1">
                <wp:simplePos x="0" y="0"/>
                <wp:positionH relativeFrom="page">
                  <wp:posOffset>774065</wp:posOffset>
                </wp:positionH>
                <wp:positionV relativeFrom="paragraph">
                  <wp:posOffset>184150</wp:posOffset>
                </wp:positionV>
                <wp:extent cx="6064885" cy="7628890"/>
                <wp:effectExtent l="4445" t="4445" r="7620" b="5715"/>
                <wp:wrapTopAndBottom/>
                <wp:docPr id="6" name="文本框 3"/>
                <wp:cNvGraphicFramePr/>
                <a:graphic xmlns:a="http://schemas.openxmlformats.org/drawingml/2006/main">
                  <a:graphicData uri="http://schemas.microsoft.com/office/word/2010/wordprocessingShape">
                    <wps:wsp>
                      <wps:cNvSpPr txBox="true"/>
                      <wps:spPr>
                        <a:xfrm>
                          <a:off x="0" y="0"/>
                          <a:ext cx="6064885" cy="7628890"/>
                        </a:xfrm>
                        <a:prstGeom prst="rect">
                          <a:avLst/>
                        </a:prstGeom>
                        <a:noFill/>
                        <a:ln w="6350" cap="flat" cmpd="sng">
                          <a:solidFill>
                            <a:srgbClr val="000000"/>
                          </a:solidFill>
                          <a:prstDash val="solid"/>
                          <a:miter/>
                          <a:headEnd type="none" w="med" len="med"/>
                          <a:tailEnd type="none" w="med" len="med"/>
                        </a:ln>
                      </wps:spPr>
                      <wps:txbx>
                        <w:txbxContent>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line="360" w:lineRule="auto"/>
                              <w:ind w:left="110" w:leftChars="50" w:right="110" w:rightChars="50" w:firstLine="420" w:firstLineChars="200"/>
                              <w:jc w:val="both"/>
                              <w:rPr>
                                <w:rFonts w:ascii="Times New Roman" w:hAnsi="Times New Roman" w:cs="Times New Roman"/>
                                <w:sz w:val="21"/>
                                <w:szCs w:val="21"/>
                                <w:lang w:val="en-US" w:bidi="ar-SA"/>
                              </w:rPr>
                            </w:pPr>
                            <w:r>
                              <w:rPr>
                                <w:sz w:val="21"/>
                                <w:szCs w:val="21"/>
                                <w:lang w:val="en-US" w:bidi="ar-SA"/>
                              </w:rPr>
                              <w:t>本项目符合国家产业政策，项目污染源治理措施可靠有效，污染物均能够达标排放，固体废物能得到合理处置</w:t>
                            </w:r>
                            <w:r>
                              <w:rPr>
                                <w:rFonts w:hint="eastAsia"/>
                                <w:sz w:val="21"/>
                                <w:szCs w:val="21"/>
                                <w:lang w:val="en-US" w:bidi="ar-SA"/>
                              </w:rPr>
                              <w:t>，处置</w:t>
                            </w:r>
                            <w:r>
                              <w:rPr>
                                <w:rFonts w:ascii="Times New Roman" w:hAnsi="Times New Roman" w:cs="Times New Roman"/>
                                <w:sz w:val="21"/>
                                <w:szCs w:val="21"/>
                                <w:lang w:val="en-US" w:bidi="ar-SA"/>
                              </w:rPr>
                              <w:t>率为100%，外排污染物对周围环境影响不大，可以满足当地的环境功能区划的要求；项目具有良好的经济和社会效益。</w:t>
                            </w:r>
                          </w:p>
                          <w:p>
                            <w:pPr>
                              <w:spacing w:line="360" w:lineRule="auto"/>
                              <w:ind w:left="110" w:leftChars="50" w:right="110" w:rightChars="50" w:firstLine="420" w:firstLineChars="200"/>
                              <w:jc w:val="both"/>
                              <w:rPr>
                                <w:rFonts w:ascii="Times New Roman" w:hAnsi="Times New Roman" w:cs="Times New Roman"/>
                                <w:sz w:val="21"/>
                                <w:szCs w:val="21"/>
                                <w:lang w:val="en-US" w:bidi="ar-SA"/>
                              </w:rPr>
                            </w:pPr>
                            <w:r>
                              <w:rPr>
                                <w:rFonts w:ascii="Times New Roman" w:hAnsi="Times New Roman" w:cs="Times New Roman"/>
                                <w:sz w:val="21"/>
                                <w:szCs w:val="21"/>
                                <w:lang w:val="en-US" w:bidi="ar-SA"/>
                              </w:rPr>
                              <w:t>综上所述，在全面加强监督管理，执行环保</w:t>
                            </w:r>
                            <w:r>
                              <w:rPr>
                                <w:rFonts w:ascii="Times New Roman" w:hAnsi="Times New Roman" w:eastAsia="Times New Roman" w:cs="Times New Roman"/>
                                <w:sz w:val="21"/>
                                <w:szCs w:val="21"/>
                                <w:lang w:val="en-US" w:bidi="ar-SA"/>
                              </w:rPr>
                              <w:t>“</w:t>
                            </w:r>
                            <w:r>
                              <w:rPr>
                                <w:rFonts w:ascii="Times New Roman" w:hAnsi="Times New Roman" w:cs="Times New Roman"/>
                                <w:sz w:val="21"/>
                                <w:szCs w:val="21"/>
                                <w:lang w:val="en-US" w:bidi="ar-SA"/>
                              </w:rPr>
                              <w:t>三同时</w:t>
                            </w:r>
                            <w:r>
                              <w:rPr>
                                <w:rFonts w:ascii="Times New Roman" w:hAnsi="Times New Roman" w:eastAsia="Times New Roman" w:cs="Times New Roman"/>
                                <w:sz w:val="21"/>
                                <w:szCs w:val="21"/>
                                <w:lang w:val="en-US" w:bidi="ar-SA"/>
                              </w:rPr>
                              <w:t>”</w:t>
                            </w:r>
                            <w:r>
                              <w:rPr>
                                <w:rFonts w:ascii="Times New Roman" w:hAnsi="Times New Roman" w:cs="Times New Roman"/>
                                <w:sz w:val="21"/>
                                <w:szCs w:val="21"/>
                                <w:lang w:val="en-US" w:bidi="ar-SA"/>
                              </w:rPr>
                              <w:t>制度和认真落实各项环保措施的条件下，从环境保护角度分析，项目的建设是可行的。</w:t>
                            </w:r>
                          </w:p>
                          <w:p>
                            <w:pPr>
                              <w:pStyle w:val="10"/>
                              <w:rPr>
                                <w:color w:val="0000FF"/>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ind w:left="98"/>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60.95pt;margin-top:14.5pt;height:600.7pt;width:477.55pt;mso-position-horizontal-relative:page;mso-wrap-distance-bottom:0pt;mso-wrap-distance-top:0pt;z-index:-251652096;mso-width-relative:page;mso-height-relative:page;" filled="f" stroked="t" coordsize="21600,21600" o:gfxdata="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Xm67jbAAAADAEAAA8A&#10;AAAAAAAAAQAgAAAAOAAAAGRycy9kb3ducmV2LnhtbFBLAQIUABQAAAAIAIdO4kD92aqx/gEAAOoD&#10;AAAOAAAAAAAAAAEAIAAAAEABAABkcnMvZTJvRG9jLnhtbFBLBQYAAAAABgAGAFkBAACwBQAAAAA=&#10;">
                <v:fill on="f" focussize="0,0"/>
                <v:stroke weight="0.5pt" color="#000000" joinstyle="miter"/>
                <v:imagedata o:title=""/>
                <o:lock v:ext="edit" aspectratio="f"/>
                <v:textbox inset="0mm,0mm,0mm,0mm">
                  <w:txbxContent>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before="120" w:beforeLines="50" w:line="360" w:lineRule="auto"/>
                        <w:ind w:left="110" w:leftChars="50" w:right="110" w:rightChars="50" w:firstLine="420" w:firstLineChars="200"/>
                        <w:jc w:val="both"/>
                        <w:rPr>
                          <w:sz w:val="21"/>
                          <w:szCs w:val="21"/>
                          <w:lang w:val="en-US" w:eastAsia="en-US" w:bidi="ar-SA"/>
                        </w:rPr>
                      </w:pPr>
                    </w:p>
                    <w:p>
                      <w:pPr>
                        <w:spacing w:line="360" w:lineRule="auto"/>
                        <w:ind w:left="110" w:leftChars="50" w:right="110" w:rightChars="50" w:firstLine="420" w:firstLineChars="200"/>
                        <w:jc w:val="both"/>
                        <w:rPr>
                          <w:rFonts w:ascii="Times New Roman" w:hAnsi="Times New Roman" w:cs="Times New Roman"/>
                          <w:sz w:val="21"/>
                          <w:szCs w:val="21"/>
                          <w:lang w:val="en-US" w:bidi="ar-SA"/>
                        </w:rPr>
                      </w:pPr>
                      <w:r>
                        <w:rPr>
                          <w:sz w:val="21"/>
                          <w:szCs w:val="21"/>
                          <w:lang w:val="en-US" w:bidi="ar-SA"/>
                        </w:rPr>
                        <w:t>本项目符合国家产业政策，项目污染源治理措施可靠有效，污染物均能够达标排放，固体废物能得到合理处置</w:t>
                      </w:r>
                      <w:r>
                        <w:rPr>
                          <w:rFonts w:hint="eastAsia"/>
                          <w:sz w:val="21"/>
                          <w:szCs w:val="21"/>
                          <w:lang w:val="en-US" w:bidi="ar-SA"/>
                        </w:rPr>
                        <w:t>，处置</w:t>
                      </w:r>
                      <w:r>
                        <w:rPr>
                          <w:rFonts w:ascii="Times New Roman" w:hAnsi="Times New Roman" w:cs="Times New Roman"/>
                          <w:sz w:val="21"/>
                          <w:szCs w:val="21"/>
                          <w:lang w:val="en-US" w:bidi="ar-SA"/>
                        </w:rPr>
                        <w:t>率为100%，外排污染物对周围环境影响不大，可以满足当地的环境功能区划的要求；项目具有良好的经济和社会效益。</w:t>
                      </w:r>
                    </w:p>
                    <w:p>
                      <w:pPr>
                        <w:spacing w:line="360" w:lineRule="auto"/>
                        <w:ind w:left="110" w:leftChars="50" w:right="110" w:rightChars="50" w:firstLine="420" w:firstLineChars="200"/>
                        <w:jc w:val="both"/>
                        <w:rPr>
                          <w:rFonts w:ascii="Times New Roman" w:hAnsi="Times New Roman" w:cs="Times New Roman"/>
                          <w:sz w:val="21"/>
                          <w:szCs w:val="21"/>
                          <w:lang w:val="en-US" w:bidi="ar-SA"/>
                        </w:rPr>
                      </w:pPr>
                      <w:r>
                        <w:rPr>
                          <w:rFonts w:ascii="Times New Roman" w:hAnsi="Times New Roman" w:cs="Times New Roman"/>
                          <w:sz w:val="21"/>
                          <w:szCs w:val="21"/>
                          <w:lang w:val="en-US" w:bidi="ar-SA"/>
                        </w:rPr>
                        <w:t>综上所述，在全面加强监督管理，执行环保</w:t>
                      </w:r>
                      <w:r>
                        <w:rPr>
                          <w:rFonts w:ascii="Times New Roman" w:hAnsi="Times New Roman" w:eastAsia="Times New Roman" w:cs="Times New Roman"/>
                          <w:sz w:val="21"/>
                          <w:szCs w:val="21"/>
                          <w:lang w:val="en-US" w:bidi="ar-SA"/>
                        </w:rPr>
                        <w:t>“</w:t>
                      </w:r>
                      <w:r>
                        <w:rPr>
                          <w:rFonts w:ascii="Times New Roman" w:hAnsi="Times New Roman" w:cs="Times New Roman"/>
                          <w:sz w:val="21"/>
                          <w:szCs w:val="21"/>
                          <w:lang w:val="en-US" w:bidi="ar-SA"/>
                        </w:rPr>
                        <w:t>三同时</w:t>
                      </w:r>
                      <w:r>
                        <w:rPr>
                          <w:rFonts w:ascii="Times New Roman" w:hAnsi="Times New Roman" w:eastAsia="Times New Roman" w:cs="Times New Roman"/>
                          <w:sz w:val="21"/>
                          <w:szCs w:val="21"/>
                          <w:lang w:val="en-US" w:bidi="ar-SA"/>
                        </w:rPr>
                        <w:t>”</w:t>
                      </w:r>
                      <w:r>
                        <w:rPr>
                          <w:rFonts w:ascii="Times New Roman" w:hAnsi="Times New Roman" w:cs="Times New Roman"/>
                          <w:sz w:val="21"/>
                          <w:szCs w:val="21"/>
                          <w:lang w:val="en-US" w:bidi="ar-SA"/>
                        </w:rPr>
                        <w:t>制度和认真落实各项环保措施的条件下，从环境保护角度分析，项目的建设是可行的。</w:t>
                      </w:r>
                    </w:p>
                    <w:p>
                      <w:pPr>
                        <w:pStyle w:val="10"/>
                        <w:rPr>
                          <w:color w:val="0000FF"/>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rPr>
                          <w:sz w:val="24"/>
                        </w:rPr>
                      </w:pPr>
                    </w:p>
                    <w:p>
                      <w:pPr>
                        <w:pStyle w:val="10"/>
                        <w:spacing w:before="12"/>
                        <w:rPr>
                          <w:sz w:val="17"/>
                        </w:rPr>
                      </w:pPr>
                    </w:p>
                    <w:p>
                      <w:pPr>
                        <w:ind w:left="98"/>
                        <w:rPr>
                          <w:sz w:val="24"/>
                        </w:rPr>
                      </w:pPr>
                      <w:r>
                        <w:rPr>
                          <w:sz w:val="24"/>
                        </w:rPr>
                        <w:t xml:space="preserve"> </w:t>
                      </w:r>
                    </w:p>
                  </w:txbxContent>
                </v:textbox>
                <w10:wrap type="topAndBottom"/>
              </v:shape>
            </w:pict>
          </mc:Fallback>
        </mc:AlternateContent>
      </w:r>
    </w:p>
    <w:p>
      <w:pPr>
        <w:rPr>
          <w:rFonts w:ascii="Times New Roman" w:hAnsi="Times New Roman" w:cs="Times New Roman"/>
          <w:color w:val="auto"/>
          <w:sz w:val="18"/>
        </w:rPr>
        <w:sectPr>
          <w:pgSz w:w="11910" w:h="16840"/>
          <w:pgMar w:top="1580" w:right="1320" w:bottom="1000" w:left="1340" w:header="0" w:footer="817" w:gutter="0"/>
          <w:cols w:space="720" w:num="1"/>
        </w:sectPr>
      </w:pPr>
    </w:p>
    <w:p>
      <w:pPr>
        <w:spacing w:before="55"/>
        <w:ind w:left="151"/>
        <w:rPr>
          <w:rFonts w:ascii="Times New Roman" w:hAnsi="Times New Roman" w:eastAsia="黑体" w:cs="Times New Roman"/>
          <w:color w:val="auto"/>
          <w:sz w:val="32"/>
        </w:rPr>
        <w:sectPr>
          <w:footerReference r:id="rId9" w:type="default"/>
          <w:footerReference r:id="rId10" w:type="even"/>
          <w:pgSz w:w="16840" w:h="11910" w:orient="landscape"/>
          <w:pgMar w:top="1300" w:right="1580" w:bottom="1300" w:left="1000" w:header="0" w:footer="817" w:gutter="0"/>
          <w:cols w:space="720" w:num="1"/>
        </w:sectPr>
      </w:pPr>
    </w:p>
    <w:p>
      <w:pPr>
        <w:spacing w:before="55"/>
        <w:ind w:left="151"/>
        <w:rPr>
          <w:rFonts w:ascii="Times New Roman" w:hAnsi="Times New Roman" w:eastAsia="黑体" w:cs="Times New Roman"/>
          <w:color w:val="auto"/>
          <w:sz w:val="32"/>
        </w:rPr>
      </w:pPr>
      <w:r>
        <w:rPr>
          <w:rFonts w:ascii="Times New Roman" w:hAnsi="Times New Roman" w:eastAsia="黑体" w:cs="Times New Roman"/>
          <w:color w:val="auto"/>
          <w:sz w:val="32"/>
        </w:rPr>
        <w:t>附表</w:t>
      </w:r>
    </w:p>
    <w:p>
      <w:pPr>
        <w:pStyle w:val="10"/>
        <w:rPr>
          <w:rFonts w:ascii="Times New Roman" w:hAnsi="Times New Roman" w:cs="Times New Roman"/>
          <w:color w:val="auto"/>
          <w:sz w:val="20"/>
        </w:rPr>
      </w:pPr>
    </w:p>
    <w:p>
      <w:pPr>
        <w:pStyle w:val="2"/>
        <w:spacing w:before="173"/>
        <w:ind w:left="4550" w:right="4510"/>
        <w:rPr>
          <w:rFonts w:ascii="Times New Roman" w:hAnsi="Times New Roman" w:cs="Times New Roman"/>
          <w:color w:val="auto"/>
        </w:rPr>
      </w:pPr>
      <w:r>
        <w:rPr>
          <w:rFonts w:ascii="Times New Roman" w:hAnsi="Times New Roman" w:cs="Times New Roman"/>
          <w:color w:val="auto"/>
        </w:rPr>
        <w:t>建设项目污染物排放量汇总表</w:t>
      </w:r>
    </w:p>
    <w:p>
      <w:pPr>
        <w:pStyle w:val="10"/>
        <w:spacing w:before="10"/>
        <w:rPr>
          <w:rFonts w:ascii="Times New Roman" w:hAnsi="Times New Roman" w:cs="Times New Roman"/>
          <w:color w:val="auto"/>
          <w:sz w:val="24"/>
        </w:rPr>
      </w:pPr>
    </w:p>
    <w:tbl>
      <w:tblPr>
        <w:tblStyle w:val="3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11"/>
        <w:gridCol w:w="1394"/>
        <w:gridCol w:w="1702"/>
        <w:gridCol w:w="1277"/>
        <w:gridCol w:w="1590"/>
        <w:gridCol w:w="1585"/>
        <w:gridCol w:w="1624"/>
        <w:gridCol w:w="1946"/>
        <w:gridCol w:w="10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tcBorders>
              <w:bottom w:val="single" w:color="000000" w:sz="8" w:space="0"/>
              <w:right w:val="single" w:color="000000" w:sz="8" w:space="0"/>
              <w:tl2br w:val="single" w:color="000000" w:sz="8" w:space="0"/>
            </w:tcBorders>
            <w:vAlign w:val="center"/>
          </w:tcPr>
          <w:p>
            <w:pPr>
              <w:pStyle w:val="52"/>
              <w:wordWrap w:val="0"/>
              <w:ind w:left="110" w:leftChars="50"/>
              <w:jc w:val="right"/>
              <w:rPr>
                <w:b/>
                <w:bCs/>
                <w:color w:val="auto"/>
                <w:sz w:val="21"/>
                <w:lang w:val="en-US"/>
              </w:rPr>
            </w:pPr>
            <w:r>
              <w:rPr>
                <w:rFonts w:hint="eastAsia"/>
                <w:b/>
                <w:bCs/>
                <w:color w:val="auto"/>
                <w:sz w:val="21"/>
              </w:rPr>
              <w:t>项目</w:t>
            </w:r>
            <w:r>
              <w:rPr>
                <w:rFonts w:hint="eastAsia"/>
                <w:b/>
                <w:bCs/>
                <w:color w:val="auto"/>
                <w:sz w:val="21"/>
                <w:lang w:val="en-US"/>
              </w:rPr>
              <w:t xml:space="preserve"> </w:t>
            </w:r>
          </w:p>
          <w:p>
            <w:pPr>
              <w:pStyle w:val="52"/>
              <w:jc w:val="center"/>
              <w:rPr>
                <w:b/>
                <w:bCs/>
                <w:color w:val="auto"/>
                <w:sz w:val="21"/>
              </w:rPr>
            </w:pPr>
          </w:p>
          <w:p>
            <w:pPr>
              <w:pStyle w:val="52"/>
              <w:ind w:firstLine="210" w:firstLineChars="100"/>
              <w:rPr>
                <w:b/>
                <w:bCs/>
                <w:color w:val="auto"/>
                <w:sz w:val="21"/>
              </w:rPr>
            </w:pPr>
            <w:r>
              <w:rPr>
                <w:rFonts w:hint="eastAsia"/>
                <w:b/>
                <w:bCs/>
                <w:color w:val="auto"/>
                <w:sz w:val="21"/>
              </w:rPr>
              <w:t>分类</w:t>
            </w:r>
          </w:p>
        </w:tc>
        <w:tc>
          <w:tcPr>
            <w:tcW w:w="1394" w:type="dxa"/>
            <w:tcBorders>
              <w:left w:val="single" w:color="000000" w:sz="8"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污染物名称</w:t>
            </w:r>
          </w:p>
        </w:tc>
        <w:tc>
          <w:tcPr>
            <w:tcW w:w="1702"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现有工程</w:t>
            </w:r>
          </w:p>
          <w:p>
            <w:pPr>
              <w:pStyle w:val="52"/>
              <w:jc w:val="center"/>
              <w:rPr>
                <w:b/>
                <w:bCs/>
                <w:color w:val="auto"/>
                <w:sz w:val="21"/>
              </w:rPr>
            </w:pPr>
            <w:r>
              <w:rPr>
                <w:rFonts w:hint="eastAsia"/>
                <w:b/>
                <w:bCs/>
                <w:color w:val="auto"/>
                <w:sz w:val="21"/>
              </w:rPr>
              <w:t>排放量（固体废物产生量）①</w:t>
            </w:r>
          </w:p>
        </w:tc>
        <w:tc>
          <w:tcPr>
            <w:tcW w:w="1277"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现有工程许可排放量</w:t>
            </w:r>
          </w:p>
          <w:p>
            <w:pPr>
              <w:pStyle w:val="52"/>
              <w:jc w:val="center"/>
              <w:rPr>
                <w:b/>
                <w:bCs/>
                <w:color w:val="auto"/>
                <w:sz w:val="21"/>
              </w:rPr>
            </w:pPr>
            <w:r>
              <w:rPr>
                <w:rFonts w:hint="eastAsia"/>
                <w:b/>
                <w:bCs/>
                <w:color w:val="auto"/>
                <w:sz w:val="21"/>
              </w:rPr>
              <w:t>②</w:t>
            </w:r>
          </w:p>
        </w:tc>
        <w:tc>
          <w:tcPr>
            <w:tcW w:w="1590"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在建工程</w:t>
            </w:r>
          </w:p>
          <w:p>
            <w:pPr>
              <w:pStyle w:val="52"/>
              <w:jc w:val="center"/>
              <w:rPr>
                <w:b/>
                <w:bCs/>
                <w:color w:val="auto"/>
                <w:sz w:val="21"/>
              </w:rPr>
            </w:pPr>
            <w:r>
              <w:rPr>
                <w:rFonts w:hint="eastAsia"/>
                <w:b/>
                <w:bCs/>
                <w:color w:val="auto"/>
                <w:sz w:val="21"/>
              </w:rPr>
              <w:t>排放量（固体废物产生量）③</w:t>
            </w:r>
          </w:p>
        </w:tc>
        <w:tc>
          <w:tcPr>
            <w:tcW w:w="1585"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本项目</w:t>
            </w:r>
          </w:p>
          <w:p>
            <w:pPr>
              <w:pStyle w:val="52"/>
              <w:jc w:val="center"/>
              <w:rPr>
                <w:b/>
                <w:bCs/>
                <w:color w:val="auto"/>
                <w:sz w:val="21"/>
              </w:rPr>
            </w:pPr>
            <w:r>
              <w:rPr>
                <w:rFonts w:hint="eastAsia"/>
                <w:b/>
                <w:bCs/>
                <w:color w:val="auto"/>
                <w:sz w:val="21"/>
              </w:rPr>
              <w:t>排放量（固体废物产生量）④</w:t>
            </w:r>
          </w:p>
        </w:tc>
        <w:tc>
          <w:tcPr>
            <w:tcW w:w="1624"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以新带老削减量</w:t>
            </w:r>
          </w:p>
          <w:p>
            <w:pPr>
              <w:pStyle w:val="52"/>
              <w:jc w:val="center"/>
              <w:rPr>
                <w:b/>
                <w:bCs/>
                <w:color w:val="auto"/>
                <w:sz w:val="21"/>
              </w:rPr>
            </w:pPr>
            <w:r>
              <w:rPr>
                <w:rFonts w:hint="eastAsia"/>
                <w:b/>
                <w:bCs/>
                <w:color w:val="auto"/>
                <w:sz w:val="21"/>
              </w:rPr>
              <w:t>（新建项目不填）⑤</w:t>
            </w:r>
          </w:p>
        </w:tc>
        <w:tc>
          <w:tcPr>
            <w:tcW w:w="1946" w:type="dxa"/>
            <w:tcBorders>
              <w:left w:val="single" w:color="000000" w:sz="4" w:space="0"/>
              <w:bottom w:val="single" w:color="000000" w:sz="4" w:space="0"/>
              <w:right w:val="single" w:color="000000" w:sz="4" w:space="0"/>
            </w:tcBorders>
            <w:vAlign w:val="center"/>
          </w:tcPr>
          <w:p>
            <w:pPr>
              <w:pStyle w:val="52"/>
              <w:jc w:val="center"/>
              <w:rPr>
                <w:b/>
                <w:bCs/>
                <w:color w:val="auto"/>
                <w:sz w:val="21"/>
              </w:rPr>
            </w:pPr>
            <w:r>
              <w:rPr>
                <w:rFonts w:hint="eastAsia"/>
                <w:b/>
                <w:bCs/>
                <w:color w:val="auto"/>
                <w:sz w:val="21"/>
              </w:rPr>
              <w:t>本项目建成后</w:t>
            </w:r>
          </w:p>
          <w:p>
            <w:pPr>
              <w:pStyle w:val="52"/>
              <w:jc w:val="center"/>
              <w:rPr>
                <w:b/>
                <w:bCs/>
                <w:color w:val="auto"/>
                <w:sz w:val="21"/>
              </w:rPr>
            </w:pPr>
            <w:r>
              <w:rPr>
                <w:rFonts w:hint="eastAsia"/>
                <w:b/>
                <w:bCs/>
                <w:color w:val="auto"/>
                <w:sz w:val="21"/>
              </w:rPr>
              <w:t>全厂排放量（固体废物产生量）⑥</w:t>
            </w:r>
          </w:p>
        </w:tc>
        <w:tc>
          <w:tcPr>
            <w:tcW w:w="1063" w:type="dxa"/>
            <w:tcBorders>
              <w:left w:val="single" w:color="000000" w:sz="4" w:space="0"/>
              <w:bottom w:val="single" w:color="000000" w:sz="4" w:space="0"/>
            </w:tcBorders>
            <w:vAlign w:val="center"/>
          </w:tcPr>
          <w:p>
            <w:pPr>
              <w:pStyle w:val="52"/>
              <w:jc w:val="center"/>
              <w:rPr>
                <w:b/>
                <w:bCs/>
                <w:color w:val="auto"/>
                <w:sz w:val="21"/>
              </w:rPr>
            </w:pPr>
            <w:r>
              <w:rPr>
                <w:rFonts w:hint="eastAsia"/>
                <w:b/>
                <w:bCs/>
                <w:color w:val="auto"/>
                <w:sz w:val="21"/>
              </w:rPr>
              <w:t>变化量</w:t>
            </w:r>
          </w:p>
          <w:p>
            <w:pPr>
              <w:pStyle w:val="52"/>
              <w:jc w:val="center"/>
              <w:rPr>
                <w:b/>
                <w:bCs/>
                <w:color w:val="auto"/>
                <w:sz w:val="21"/>
              </w:rPr>
            </w:pPr>
            <w:r>
              <w:rPr>
                <w:rFonts w:hint="eastAsia"/>
                <w:b/>
                <w:bCs/>
                <w:color w:val="auto"/>
                <w:sz w:val="21"/>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tcBorders>
              <w:top w:val="single" w:color="000000" w:sz="8" w:space="0"/>
              <w:right w:val="single" w:color="000000" w:sz="4" w:space="0"/>
            </w:tcBorders>
            <w:vAlign w:val="center"/>
          </w:tcPr>
          <w:p>
            <w:pPr>
              <w:pStyle w:val="52"/>
              <w:jc w:val="center"/>
              <w:rPr>
                <w:rFonts w:ascii="Times New Roman" w:hAnsi="Times New Roman" w:cs="Times New Roman"/>
                <w:color w:val="auto"/>
                <w:sz w:val="21"/>
              </w:rPr>
            </w:pPr>
            <w:r>
              <w:rPr>
                <w:rFonts w:ascii="Times New Roman" w:hAnsi="Times New Roman" w:cs="Times New Roman"/>
                <w:color w:val="auto"/>
                <w:sz w:val="21"/>
              </w:rPr>
              <w:t>废气</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rPr>
            </w:pPr>
            <w:r>
              <w:rPr>
                <w:rFonts w:hint="eastAsia" w:ascii="Times New Roman" w:hAnsi="Times New Roman" w:cs="Times New Roman"/>
                <w:color w:val="auto"/>
                <w:sz w:val="21"/>
                <w:szCs w:val="21"/>
              </w:rPr>
              <w:t>颗粒物</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szCs w:val="21"/>
                <w:lang w:val="en-US"/>
              </w:rPr>
              <w:t>0.5296t/a</w:t>
            </w:r>
          </w:p>
        </w:tc>
        <w:tc>
          <w:tcPr>
            <w:tcW w:w="12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szCs w:val="21"/>
                <w:lang w:val="en-US"/>
              </w:rPr>
              <w:t>0.6474t/a</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lang w:val="en-US"/>
              </w:rPr>
              <w:t>0.3296</w:t>
            </w:r>
            <w:r>
              <w:rPr>
                <w:rFonts w:ascii="Times New Roman" w:hAnsi="Times New Roman" w:cs="Times New Roman"/>
                <w:color w:val="auto"/>
                <w:kern w:val="2"/>
                <w:sz w:val="21"/>
                <w:szCs w:val="21"/>
                <w:lang w:val="en-US" w:bidi="ar-SA"/>
              </w:rPr>
              <w:t>t/a</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cs="Times New Roman"/>
                <w:color w:val="auto"/>
                <w:sz w:val="21"/>
                <w:lang w:val="en-US"/>
              </w:rPr>
            </w:pPr>
            <w:r>
              <w:rPr>
                <w:rFonts w:hint="eastAsia" w:ascii="Times New Roman" w:hAnsi="Times New Roman" w:cs="Times New Roman"/>
                <w:color w:val="auto"/>
                <w:sz w:val="21"/>
                <w:szCs w:val="21"/>
                <w:lang w:val="en-US"/>
              </w:rPr>
              <w:t>0.8474/a</w:t>
            </w:r>
          </w:p>
        </w:tc>
        <w:tc>
          <w:tcPr>
            <w:tcW w:w="1063" w:type="dxa"/>
            <w:tcBorders>
              <w:top w:val="single" w:color="000000" w:sz="4" w:space="0"/>
              <w:left w:val="single" w:color="000000" w:sz="4" w:space="0"/>
              <w:bottom w:val="single" w:color="000000" w:sz="4" w:space="0"/>
            </w:tcBorders>
            <w:shd w:val="clear" w:color="auto" w:fill="auto"/>
            <w:vAlign w:val="center"/>
          </w:tcPr>
          <w:p>
            <w:pPr>
              <w:widowControl/>
              <w:spacing w:line="240" w:lineRule="exact"/>
              <w:jc w:val="center"/>
              <w:rPr>
                <w:rFonts w:ascii="Times New Roman" w:hAnsi="Times New Roman" w:cs="Times New Roman"/>
                <w:color w:val="auto"/>
                <w:sz w:val="21"/>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0.3178t/a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restart"/>
            <w:tcBorders>
              <w:top w:val="single" w:color="000000" w:sz="8" w:space="0"/>
              <w:bottom w:val="single" w:color="000000" w:sz="8" w:space="0"/>
              <w:right w:val="single" w:color="000000" w:sz="4" w:space="0"/>
            </w:tcBorders>
            <w:vAlign w:val="center"/>
          </w:tcPr>
          <w:p>
            <w:pPr>
              <w:pStyle w:val="52"/>
              <w:jc w:val="center"/>
              <w:rPr>
                <w:rFonts w:ascii="Times New Roman" w:hAnsi="Times New Roman" w:cs="Times New Roman"/>
                <w:color w:val="auto"/>
                <w:sz w:val="21"/>
              </w:rPr>
            </w:pPr>
            <w:r>
              <w:rPr>
                <w:rFonts w:ascii="Times New Roman" w:hAnsi="Times New Roman" w:cs="Times New Roman"/>
                <w:color w:val="auto"/>
                <w:sz w:val="21"/>
              </w:rPr>
              <w:t>废水</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生活废水</w:t>
            </w:r>
          </w:p>
        </w:tc>
        <w:tc>
          <w:tcPr>
            <w:tcW w:w="170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063" w:type="dxa"/>
            <w:tcBorders>
              <w:top w:val="single" w:color="000000" w:sz="4" w:space="0"/>
              <w:left w:val="single" w:color="000000" w:sz="4" w:space="0"/>
              <w:bottom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top w:val="single" w:color="000000" w:sz="8" w:space="0"/>
              <w:bottom w:val="single" w:color="000000" w:sz="8" w:space="0"/>
              <w:right w:val="single" w:color="000000" w:sz="4" w:space="0"/>
            </w:tcBorders>
            <w:vAlign w:val="center"/>
          </w:tcPr>
          <w:p>
            <w:pPr>
              <w:jc w:val="center"/>
              <w:rPr>
                <w:rFonts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52"/>
              <w:jc w:val="center"/>
              <w:rPr>
                <w:rFonts w:ascii="Times New Roman" w:hAnsi="Times New Roman" w:cs="Times New Roman"/>
                <w:color w:val="auto"/>
                <w:sz w:val="21"/>
                <w:szCs w:val="21"/>
              </w:rPr>
            </w:pPr>
            <w:r>
              <w:rPr>
                <w:rFonts w:ascii="Times New Roman" w:hAnsi="Times New Roman" w:cs="Times New Roman"/>
                <w:color w:val="auto"/>
                <w:sz w:val="21"/>
                <w:szCs w:val="21"/>
                <w:lang w:val="en-US"/>
              </w:rPr>
              <w:t>生产废水</w:t>
            </w:r>
          </w:p>
        </w:tc>
        <w:tc>
          <w:tcPr>
            <w:tcW w:w="170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szCs w:val="21"/>
                <w:lang w:val="en-US"/>
              </w:rPr>
              <w:t>0t/a</w:t>
            </w:r>
          </w:p>
        </w:tc>
        <w:tc>
          <w:tcPr>
            <w:tcW w:w="1063" w:type="dxa"/>
            <w:tcBorders>
              <w:top w:val="single" w:color="000000" w:sz="4" w:space="0"/>
              <w:left w:val="single" w:color="000000" w:sz="4" w:space="0"/>
              <w:bottom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sz w:val="21"/>
                <w:lang w:val="en-US"/>
              </w:rPr>
              <w:t>+</w:t>
            </w:r>
            <w:r>
              <w:rPr>
                <w:rFonts w:hint="eastAsia" w:ascii="Times New Roman" w:hAnsi="Times New Roman" w:cs="Times New Roman"/>
                <w:color w:val="auto"/>
                <w:sz w:val="21"/>
                <w:szCs w:val="21"/>
                <w:lang w:val="en-US"/>
              </w:rPr>
              <w:t>0t/a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tcBorders>
              <w:top w:val="single" w:color="000000" w:sz="8" w:space="0"/>
              <w:right w:val="single" w:color="000000" w:sz="4" w:space="0"/>
            </w:tcBorders>
            <w:vAlign w:val="center"/>
          </w:tcPr>
          <w:p>
            <w:pPr>
              <w:pStyle w:val="52"/>
              <w:jc w:val="center"/>
              <w:rPr>
                <w:rFonts w:ascii="Times New Roman" w:hAnsi="Times New Roman" w:cs="Times New Roman"/>
                <w:color w:val="auto"/>
                <w:sz w:val="21"/>
              </w:rPr>
            </w:pPr>
            <w:r>
              <w:rPr>
                <w:rFonts w:ascii="Times New Roman" w:hAnsi="Times New Roman" w:cs="Times New Roman"/>
                <w:color w:val="auto"/>
                <w:sz w:val="21"/>
              </w:rPr>
              <w:t>一般工业固体废物</w:t>
            </w: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0" w:lineRule="atLeast"/>
              <w:ind w:left="-110" w:leftChars="-50" w:right="-110" w:rightChars="-50"/>
              <w:jc w:val="center"/>
              <w:rPr>
                <w:rFonts w:ascii="Times New Roman" w:hAnsi="Times New Roman" w:cs="Times New Roman"/>
                <w:color w:val="auto"/>
                <w:sz w:val="21"/>
              </w:rPr>
            </w:pPr>
            <w:r>
              <w:rPr>
                <w:rFonts w:hint="eastAsia" w:ascii="Times New Roman" w:hAnsi="Times New Roman" w:cs="Times New Roman"/>
                <w:color w:val="auto"/>
                <w:sz w:val="21"/>
                <w:szCs w:val="21"/>
              </w:rPr>
              <w:t>除尘灰</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cs="Times New Roman"/>
                <w:color w:val="auto"/>
                <w:sz w:val="21"/>
              </w:rPr>
            </w:pPr>
            <w:r>
              <w:rPr>
                <w:rFonts w:hint="eastAsia" w:ascii="Times New Roman" w:hAnsi="Times New Roman" w:cs="Times New Roman"/>
                <w:color w:val="auto"/>
                <w:sz w:val="21"/>
                <w:lang w:val="en-US"/>
              </w:rPr>
              <w:t>37.6881</w:t>
            </w:r>
            <w:r>
              <w:rPr>
                <w:rFonts w:ascii="Times New Roman" w:hAnsi="Times New Roman" w:cs="Times New Roman"/>
                <w:color w:val="auto"/>
                <w:sz w:val="21"/>
              </w:rPr>
              <w:t>t/a</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rPr>
            </w:pPr>
            <w:r>
              <w:rPr>
                <w:rFonts w:hint="eastAsia" w:ascii="Times New Roman" w:hAnsi="Times New Roman" w:cs="Times New Roman"/>
                <w:color w:val="auto"/>
                <w:kern w:val="2"/>
                <w:sz w:val="21"/>
                <w:szCs w:val="24"/>
                <w:lang w:val="en-US" w:bidi="ar-SA"/>
              </w:rPr>
              <w:t>37.4068</w:t>
            </w:r>
            <w:r>
              <w:rPr>
                <w:rFonts w:ascii="Times New Roman" w:hAnsi="Times New Roman" w:cs="Times New Roman"/>
                <w:color w:val="auto"/>
                <w:kern w:val="2"/>
                <w:sz w:val="21"/>
                <w:szCs w:val="21"/>
                <w:lang w:val="en-US" w:bidi="ar-SA"/>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rPr>
            </w:pPr>
            <w:r>
              <w:rPr>
                <w:rFonts w:hint="eastAsia" w:ascii="Times New Roman" w:hAnsi="Times New Roman" w:cs="Times New Roman"/>
                <w:color w:val="auto"/>
                <w:kern w:val="2"/>
                <w:sz w:val="21"/>
                <w:szCs w:val="24"/>
                <w:lang w:val="en-US" w:bidi="ar-SA"/>
              </w:rPr>
              <w:t>37.57</w:t>
            </w:r>
            <w:r>
              <w:rPr>
                <w:rFonts w:ascii="Times New Roman" w:hAnsi="Times New Roman" w:cs="Times New Roman"/>
                <w:color w:val="auto"/>
                <w:kern w:val="2"/>
                <w:sz w:val="21"/>
                <w:szCs w:val="21"/>
                <w:lang w:val="en-US" w:bidi="ar-SA"/>
              </w:rPr>
              <w:t>t/a</w:t>
            </w:r>
          </w:p>
        </w:tc>
        <w:tc>
          <w:tcPr>
            <w:tcW w:w="1946"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rPr>
            </w:pPr>
            <w:r>
              <w:rPr>
                <w:rFonts w:hint="eastAsia" w:ascii="Times New Roman" w:hAnsi="Times New Roman" w:cs="Times New Roman"/>
                <w:color w:val="auto"/>
                <w:kern w:val="2"/>
                <w:sz w:val="21"/>
                <w:szCs w:val="24"/>
                <w:lang w:val="en-US" w:bidi="ar-SA"/>
              </w:rPr>
              <w:t>37.5249</w:t>
            </w:r>
            <w:r>
              <w:rPr>
                <w:rFonts w:hint="eastAsia" w:ascii="Times New Roman" w:hAnsi="Times New Roman" w:cs="Times New Roman"/>
                <w:color w:val="auto"/>
                <w:sz w:val="21"/>
                <w:szCs w:val="21"/>
                <w:lang w:val="en-US"/>
              </w:rPr>
              <w:t>t/a</w:t>
            </w:r>
          </w:p>
        </w:tc>
        <w:tc>
          <w:tcPr>
            <w:tcW w:w="1063" w:type="dxa"/>
            <w:tcBorders>
              <w:top w:val="single" w:color="000000" w:sz="4" w:space="0"/>
              <w:left w:val="single" w:color="000000" w:sz="4" w:space="0"/>
              <w:bottom w:val="single" w:color="000000" w:sz="4" w:space="0"/>
            </w:tcBorders>
            <w:vAlign w:val="center"/>
          </w:tcPr>
          <w:p>
            <w:pPr>
              <w:autoSpaceDE/>
              <w:autoSpaceDN/>
              <w:jc w:val="center"/>
              <w:rPr>
                <w:rFonts w:ascii="Times New Roman" w:hAnsi="Times New Roman" w:cs="Times New Roman"/>
                <w:color w:val="auto"/>
                <w:sz w:val="21"/>
              </w:rPr>
            </w:pPr>
            <w:r>
              <w:rPr>
                <w:rFonts w:hint="eastAsia" w:ascii="Times New Roman" w:hAnsi="Times New Roman" w:cs="Times New Roman"/>
                <w:color w:val="auto"/>
                <w:kern w:val="2"/>
                <w:sz w:val="21"/>
                <w:szCs w:val="21"/>
                <w:lang w:val="en-US" w:bidi="ar-SA"/>
              </w:rPr>
              <w:t>-0.1632</w:t>
            </w:r>
            <w:r>
              <w:rPr>
                <w:rFonts w:ascii="Times New Roman" w:hAnsi="Times New Roman" w:cs="Times New Roman"/>
                <w:color w:val="auto"/>
                <w:kern w:val="2"/>
                <w:sz w:val="21"/>
                <w:szCs w:val="21"/>
                <w:lang w:val="en-US" w:bidi="ar-SA"/>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restart"/>
            <w:tcBorders>
              <w:right w:val="single" w:color="000000" w:sz="4" w:space="0"/>
            </w:tcBorders>
            <w:vAlign w:val="center"/>
          </w:tcPr>
          <w:p>
            <w:pPr>
              <w:jc w:val="center"/>
              <w:rPr>
                <w:rFonts w:ascii="Times New Roman" w:hAnsi="Times New Roman" w:cs="Times New Roman"/>
                <w:color w:val="auto"/>
                <w:sz w:val="2"/>
                <w:szCs w:val="2"/>
                <w:lang w:val="en-US"/>
              </w:rPr>
            </w:pPr>
            <w:r>
              <w:rPr>
                <w:rFonts w:hint="eastAsia" w:ascii="Times New Roman" w:hAnsi="Times New Roman" w:cs="Times New Roman"/>
                <w:color w:val="auto"/>
                <w:sz w:val="21"/>
              </w:rPr>
              <w:t>危险废物</w:t>
            </w:r>
          </w:p>
        </w:tc>
        <w:tc>
          <w:tcPr>
            <w:tcW w:w="1394" w:type="dxa"/>
            <w:tcBorders>
              <w:top w:val="single" w:color="000000" w:sz="4" w:space="0"/>
              <w:left w:val="single" w:color="000000" w:sz="4" w:space="0"/>
              <w:bottom w:val="single" w:color="000000" w:sz="4" w:space="0"/>
              <w:right w:val="single" w:color="000000" w:sz="4" w:space="0"/>
            </w:tcBorders>
            <w:vAlign w:val="center"/>
          </w:tcPr>
          <w:p>
            <w:pPr>
              <w:spacing w:line="0" w:lineRule="atLeast"/>
              <w:ind w:left="-110" w:leftChars="-50" w:right="-110" w:rightChars="-50"/>
              <w:jc w:val="center"/>
              <w:rPr>
                <w:color w:val="auto"/>
                <w:lang w:val="en-US"/>
              </w:rPr>
            </w:pPr>
            <w:r>
              <w:rPr>
                <w:rFonts w:hint="eastAsia" w:ascii="Times New Roman" w:hAnsi="Times New Roman" w:cs="Times New Roman"/>
                <w:color w:val="auto"/>
                <w:sz w:val="21"/>
                <w:szCs w:val="21"/>
                <w:lang w:val="en-US"/>
              </w:rPr>
              <w:t>废油桶</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0.05</w:t>
            </w:r>
            <w:r>
              <w:rPr>
                <w:rFonts w:hint="eastAsia" w:ascii="Times New Roman" w:hAnsi="Times New Roman" w:cs="Times New Roman"/>
                <w:color w:val="auto"/>
                <w:sz w:val="21"/>
                <w:szCs w:val="21"/>
                <w:lang w:val="en-US"/>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lang w:val="en-US"/>
              </w:rPr>
            </w:pPr>
            <w:r>
              <w:rPr>
                <w:rFonts w:hint="eastAsia" w:ascii="Times New Roman" w:hAnsi="Times New Roman" w:cs="Times New Roman"/>
                <w:color w:val="auto"/>
                <w:kern w:val="2"/>
                <w:sz w:val="21"/>
                <w:szCs w:val="21"/>
                <w:lang w:val="en-US" w:bidi="ar-SA"/>
              </w:rPr>
              <w:t>0.05</w:t>
            </w:r>
            <w:r>
              <w:rPr>
                <w:rFonts w:hint="eastAsia" w:ascii="Times New Roman" w:hAnsi="Times New Roman" w:cs="Times New Roman"/>
                <w:color w:val="auto"/>
                <w:sz w:val="21"/>
                <w:szCs w:val="21"/>
                <w:lang w:val="en-US"/>
              </w:rPr>
              <w:t>t/a</w:t>
            </w:r>
          </w:p>
        </w:tc>
        <w:tc>
          <w:tcPr>
            <w:tcW w:w="1063" w:type="dxa"/>
            <w:tcBorders>
              <w:top w:val="single" w:color="000000" w:sz="4" w:space="0"/>
              <w:left w:val="single" w:color="000000" w:sz="4" w:space="0"/>
              <w:bottom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lang w:val="en-US"/>
              </w:rPr>
            </w:pPr>
            <w:r>
              <w:rPr>
                <w:rFonts w:hint="eastAsia" w:ascii="Times New Roman" w:hAnsi="Times New Roman" w:cs="Times New Roman"/>
                <w:color w:val="auto"/>
                <w:kern w:val="2"/>
                <w:sz w:val="21"/>
                <w:szCs w:val="21"/>
                <w:lang w:val="en-US" w:bidi="ar-SA"/>
              </w:rPr>
              <w:t>+0.05</w:t>
            </w:r>
            <w:r>
              <w:rPr>
                <w:rFonts w:hint="eastAsia" w:ascii="Times New Roman" w:hAnsi="Times New Roman" w:cs="Times New Roman"/>
                <w:color w:val="auto"/>
                <w:sz w:val="21"/>
                <w:szCs w:val="21"/>
                <w:lang w:val="en-US"/>
              </w:rPr>
              <w:t>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1611" w:type="dxa"/>
            <w:vMerge w:val="continue"/>
            <w:tcBorders>
              <w:bottom w:val="single" w:color="000000" w:sz="8" w:space="0"/>
              <w:right w:val="single" w:color="000000" w:sz="4" w:space="0"/>
            </w:tcBorders>
            <w:vAlign w:val="center"/>
          </w:tcPr>
          <w:p>
            <w:pPr>
              <w:jc w:val="center"/>
              <w:rPr>
                <w:rFonts w:ascii="Times New Roman" w:hAnsi="Times New Roman" w:cs="Times New Roman"/>
                <w:color w:val="auto"/>
                <w:sz w:val="2"/>
                <w:szCs w:val="2"/>
              </w:rPr>
            </w:pPr>
          </w:p>
        </w:tc>
        <w:tc>
          <w:tcPr>
            <w:tcW w:w="1394" w:type="dxa"/>
            <w:tcBorders>
              <w:top w:val="single" w:color="000000" w:sz="4" w:space="0"/>
              <w:left w:val="single" w:color="000000" w:sz="4" w:space="0"/>
              <w:bottom w:val="single" w:color="000000" w:sz="4" w:space="0"/>
              <w:right w:val="single" w:color="000000" w:sz="4" w:space="0"/>
            </w:tcBorders>
            <w:vAlign w:val="center"/>
          </w:tcPr>
          <w:p>
            <w:pPr>
              <w:autoSpaceDE/>
              <w:autoSpaceDN/>
              <w:spacing w:line="0" w:lineRule="atLeast"/>
              <w:ind w:left="-110" w:leftChars="-50" w:right="-110" w:rightChars="-50"/>
              <w:jc w:val="center"/>
              <w:rPr>
                <w:color w:val="auto"/>
                <w:spacing w:val="-10"/>
                <w:szCs w:val="21"/>
                <w:lang w:val="en-US"/>
              </w:rPr>
            </w:pPr>
            <w:r>
              <w:rPr>
                <w:rFonts w:hint="eastAsia" w:ascii="Times New Roman" w:hAnsi="Times New Roman" w:cs="Times New Roman"/>
                <w:color w:val="auto"/>
                <w:sz w:val="21"/>
                <w:szCs w:val="21"/>
                <w:lang w:val="en-US"/>
              </w:rPr>
              <w:t>废机油</w:t>
            </w:r>
          </w:p>
        </w:tc>
        <w:tc>
          <w:tcPr>
            <w:tcW w:w="170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585"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szCs w:val="21"/>
                <w:lang w:val="en-US"/>
              </w:rPr>
            </w:pPr>
            <w:r>
              <w:rPr>
                <w:rFonts w:hint="eastAsia" w:ascii="Times New Roman" w:hAnsi="Times New Roman" w:cs="Times New Roman"/>
                <w:color w:val="auto"/>
                <w:kern w:val="2"/>
                <w:sz w:val="21"/>
                <w:szCs w:val="21"/>
                <w:lang w:val="en-US" w:bidi="ar-SA"/>
              </w:rPr>
              <w:t>0.2</w:t>
            </w:r>
            <w:r>
              <w:rPr>
                <w:rFonts w:hint="eastAsia" w:ascii="Times New Roman" w:hAnsi="Times New Roman" w:cs="Times New Roman"/>
                <w:color w:val="auto"/>
                <w:sz w:val="21"/>
                <w:szCs w:val="21"/>
                <w:lang w:val="en-US"/>
              </w:rPr>
              <w:t>t/a</w:t>
            </w: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color w:val="auto"/>
                <w:sz w:val="21"/>
                <w:lang w:val="en-US"/>
              </w:rPr>
            </w:pPr>
            <w:r>
              <w:rPr>
                <w:rFonts w:ascii="Times New Roman" w:hAnsi="Times New Roman" w:cs="Times New Roman"/>
                <w:color w:val="auto"/>
                <w:sz w:val="21"/>
                <w:lang w:val="en-US"/>
              </w:rPr>
              <w:t>/</w:t>
            </w:r>
          </w:p>
        </w:tc>
        <w:tc>
          <w:tcPr>
            <w:tcW w:w="1946" w:type="dxa"/>
            <w:tcBorders>
              <w:top w:val="single" w:color="000000" w:sz="4" w:space="0"/>
              <w:left w:val="single" w:color="000000" w:sz="4" w:space="0"/>
              <w:bottom w:val="single" w:color="000000" w:sz="4" w:space="0"/>
              <w:right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kern w:val="2"/>
                <w:sz w:val="21"/>
                <w:szCs w:val="21"/>
                <w:lang w:val="en-US" w:bidi="ar-SA"/>
              </w:rPr>
            </w:pPr>
            <w:r>
              <w:rPr>
                <w:rFonts w:hint="eastAsia" w:ascii="Times New Roman" w:hAnsi="Times New Roman" w:cs="Times New Roman"/>
                <w:color w:val="auto"/>
                <w:kern w:val="2"/>
                <w:sz w:val="21"/>
                <w:szCs w:val="21"/>
                <w:lang w:val="en-US" w:bidi="ar-SA"/>
              </w:rPr>
              <w:t>0.2</w:t>
            </w:r>
            <w:r>
              <w:rPr>
                <w:rFonts w:hint="eastAsia" w:ascii="Times New Roman" w:hAnsi="Times New Roman" w:cs="Times New Roman"/>
                <w:color w:val="auto"/>
                <w:sz w:val="21"/>
                <w:szCs w:val="21"/>
                <w:lang w:val="en-US"/>
              </w:rPr>
              <w:t>t/a</w:t>
            </w:r>
          </w:p>
        </w:tc>
        <w:tc>
          <w:tcPr>
            <w:tcW w:w="1063" w:type="dxa"/>
            <w:tcBorders>
              <w:top w:val="single" w:color="000000" w:sz="4" w:space="0"/>
              <w:left w:val="single" w:color="000000" w:sz="4" w:space="0"/>
              <w:bottom w:val="single" w:color="000000" w:sz="4" w:space="0"/>
            </w:tcBorders>
            <w:vAlign w:val="center"/>
          </w:tcPr>
          <w:p>
            <w:pPr>
              <w:tabs>
                <w:tab w:val="left" w:pos="6120"/>
                <w:tab w:val="left" w:pos="6840"/>
                <w:tab w:val="center" w:pos="8820"/>
              </w:tabs>
              <w:autoSpaceDE/>
              <w:autoSpaceDN/>
              <w:ind w:left="-110" w:leftChars="-50" w:right="-110" w:rightChars="-50"/>
              <w:jc w:val="center"/>
              <w:rPr>
                <w:rFonts w:ascii="Times New Roman" w:hAnsi="Times New Roman" w:cs="Times New Roman"/>
                <w:color w:val="auto"/>
                <w:sz w:val="21"/>
                <w:lang w:val="en-US"/>
              </w:rPr>
            </w:pPr>
            <w:r>
              <w:rPr>
                <w:rFonts w:hint="eastAsia" w:ascii="Times New Roman" w:hAnsi="Times New Roman" w:cs="Times New Roman"/>
                <w:color w:val="auto"/>
                <w:kern w:val="2"/>
                <w:sz w:val="21"/>
                <w:szCs w:val="21"/>
                <w:lang w:val="en-US" w:bidi="ar-SA"/>
              </w:rPr>
              <w:t>+0.2</w:t>
            </w:r>
            <w:r>
              <w:rPr>
                <w:rFonts w:hint="eastAsia" w:ascii="Times New Roman" w:hAnsi="Times New Roman" w:cs="Times New Roman"/>
                <w:color w:val="auto"/>
                <w:sz w:val="21"/>
                <w:szCs w:val="21"/>
                <w:lang w:val="en-US"/>
              </w:rPr>
              <w:t>t/a</w:t>
            </w:r>
          </w:p>
        </w:tc>
      </w:tr>
    </w:tbl>
    <w:p>
      <w:pPr>
        <w:pStyle w:val="10"/>
        <w:spacing w:before="11"/>
        <w:rPr>
          <w:rFonts w:ascii="Times New Roman" w:hAnsi="Times New Roman" w:cs="Times New Roman"/>
          <w:color w:val="auto"/>
          <w:sz w:val="6"/>
        </w:rPr>
      </w:pPr>
    </w:p>
    <w:p>
      <w:pPr>
        <w:pStyle w:val="18"/>
        <w:spacing w:line="360" w:lineRule="auto"/>
        <w:ind w:left="110" w:leftChars="50" w:right="110" w:rightChars="50" w:firstLine="420" w:firstLineChars="200"/>
        <w:jc w:val="both"/>
        <w:rPr>
          <w:rFonts w:ascii="Times New Roman" w:hAnsi="Times New Roman" w:cs="Times New Roman"/>
          <w:color w:val="auto"/>
          <w:sz w:val="21"/>
        </w:rPr>
      </w:pPr>
      <w:r>
        <w:rPr>
          <w:rFonts w:ascii="Times New Roman" w:hAnsi="Times New Roman" w:cs="Times New Roman"/>
          <w:color w:val="auto"/>
          <w:sz w:val="21"/>
        </w:rPr>
        <w:t>注：⑥=①+③+④-⑤；⑦=⑥-①</w:t>
      </w:r>
      <w:r>
        <w:rPr>
          <w:rFonts w:ascii="Times New Roman" w:hAnsi="Times New Roman" w:cs="Times New Roman"/>
          <w:color w:val="auto"/>
          <w:sz w:val="21"/>
          <w:lang w:val="en-US"/>
        </w:rPr>
        <w:t>.</w:t>
      </w:r>
    </w:p>
    <w:sectPr>
      <w:pgSz w:w="16840" w:h="11910" w:orient="landscape"/>
      <w:pgMar w:top="1300" w:right="1580" w:bottom="1300" w:left="1000" w:header="0" w:footer="8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Arial Unicode MS">
    <w:altName w:val="Times New Roman"/>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posOffset>2867025</wp:posOffset>
              </wp:positionH>
              <wp:positionV relativeFrom="paragraph">
                <wp:posOffset>0</wp:posOffset>
              </wp:positionV>
              <wp:extent cx="226060" cy="18796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226060" cy="187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23</w:t>
                          </w:r>
                          <w:r>
                            <w:rPr>
                              <w:rFonts w:hint="eastAsia"/>
                              <w:sz w:val="21"/>
                              <w:szCs w:val="22"/>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5.75pt;margin-top:0pt;height:14.8pt;width:17.8pt;mso-position-horizontal-relative:margin;z-index:251659264;mso-width-relative:page;mso-height-relative:page;" filled="f" stroked="f" coordsize="21600,21600" o:gfxdata="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Tf/P3dYAAAAHAQAADwAAAAAAAAABACAAAAA4AAAAZHJzL2Rvd25yZXYueG1sUEsB&#10;AhQAFAAAAAgAh07iQAuUgRIaAgAAGwQAAA4AAAAAAAAAAQAgAAAAOwEAAGRycy9lMm9Eb2MueG1s&#10;UEsFBgAAAAAGAAYAWQEAAMcFAAAAAA==&#10;">
              <v:fill on="f" focussize="0,0"/>
              <v:stroke on="f" weight="0.5pt"/>
              <v:imagedata o:title=""/>
              <o:lock v:ext="edit" aspectratio="f"/>
              <v:textbox inset="0mm,0mm,0mm,0mm">
                <w:txbxContent>
                  <w:p>
                    <w:pPr>
                      <w:pStyle w:val="22"/>
                      <w:rPr>
                        <w:sz w:val="21"/>
                        <w:szCs w:val="22"/>
                      </w:rPr>
                    </w:pPr>
                    <w:r>
                      <w:rPr>
                        <w:rFonts w:hint="eastAsia"/>
                        <w:sz w:val="21"/>
                        <w:szCs w:val="22"/>
                      </w:rPr>
                      <w:fldChar w:fldCharType="begin"/>
                    </w:r>
                    <w:r>
                      <w:rPr>
                        <w:rFonts w:hint="eastAsia"/>
                        <w:sz w:val="21"/>
                        <w:szCs w:val="22"/>
                      </w:rPr>
                      <w:instrText xml:space="preserve"> PAGE  \* MERGEFORMAT </w:instrText>
                    </w:r>
                    <w:r>
                      <w:rPr>
                        <w:rFonts w:hint="eastAsia"/>
                        <w:sz w:val="21"/>
                        <w:szCs w:val="22"/>
                      </w:rPr>
                      <w:fldChar w:fldCharType="separate"/>
                    </w:r>
                    <w:r>
                      <w:rPr>
                        <w:sz w:val="21"/>
                        <w:szCs w:val="22"/>
                      </w:rPr>
                      <w:t>23</w:t>
                    </w:r>
                    <w:r>
                      <w:rPr>
                        <w:rFonts w:hint="eastAsia"/>
                        <w:sz w:val="21"/>
                        <w:szCs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5ZCYFgIAABsEAAAOAAAAZHJz&#10;L2Uyb0RvYy54bWytU8uO0zAU3SPxD5b3NGlHDFX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V9dUWKYxo5OX7+cvv04ff9M&#10;YANArQszxK0dImP32nYVjX4vBleAPY3eSa/TF0MRhADt4wVh0UXCYRxPJ9NpCReHb1BQonj63fkQ&#10;3wirSRIq6rHCjCw73Id4Dh1CUjVjV41SeY3KkLai11cvy/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8OWQmBYCAAAbBAAADgAAAAAAAAABACAAAAA1AQAAZHJzL2Uyb0RvYy54bWxQSwUGAAAAAAYA&#10;BgBZAQAAvQ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Yn34rBYCAAAbBAAADgAAAAAAAAABACAAAAA1AQAAZHJzL2Uyb0RvYy54bWxQSwUGAAAAAAYA&#10;BgBZAQAAvQ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0kwWLBYCAAAbBAAADgAAAAAAAAABACAAAAA1AQAAZHJzL2Uyb0RvYy54bWxQSwUGAAAAAAYA&#10;BgBZAQAAvQU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9F4DFE38"/>
    <w:multiLevelType w:val="singleLevel"/>
    <w:tmpl w:val="9F4DFE38"/>
    <w:lvl w:ilvl="0" w:tentative="0">
      <w:start w:val="1"/>
      <w:numFmt w:val="decimal"/>
      <w:suff w:val="nothing"/>
      <w:lvlText w:val="（%1）"/>
      <w:lvlJc w:val="left"/>
    </w:lvl>
  </w:abstractNum>
  <w:abstractNum w:abstractNumId="2">
    <w:nsid w:val="C2ECEDA4"/>
    <w:multiLevelType w:val="singleLevel"/>
    <w:tmpl w:val="C2ECEDA4"/>
    <w:lvl w:ilvl="0" w:tentative="0">
      <w:start w:val="3"/>
      <w:numFmt w:val="decimal"/>
      <w:suff w:val="nothing"/>
      <w:lvlText w:val="%1、"/>
      <w:lvlJc w:val="left"/>
    </w:lvl>
  </w:abstractNum>
  <w:abstractNum w:abstractNumId="3">
    <w:nsid w:val="0000006C"/>
    <w:multiLevelType w:val="multilevel"/>
    <w:tmpl w:val="0000006C"/>
    <w:lvl w:ilvl="0" w:tentative="0">
      <w:start w:val="1"/>
      <w:numFmt w:val="decimal"/>
      <w:pStyle w:val="14"/>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EAA45AD"/>
    <w:multiLevelType w:val="singleLevel"/>
    <w:tmpl w:val="0EAA45AD"/>
    <w:lvl w:ilvl="0" w:tentative="0">
      <w:start w:val="1"/>
      <w:numFmt w:val="decimal"/>
      <w:suff w:val="nothing"/>
      <w:lvlText w:val="%1、"/>
      <w:lvlJc w:val="left"/>
    </w:lvl>
  </w:abstractNum>
  <w:abstractNum w:abstractNumId="5">
    <w:nsid w:val="1A2E4518"/>
    <w:multiLevelType w:val="singleLevel"/>
    <w:tmpl w:val="1A2E4518"/>
    <w:lvl w:ilvl="0" w:tentative="0">
      <w:start w:val="1"/>
      <w:numFmt w:val="lowerLetter"/>
      <w:lvlText w:val="%1."/>
      <w:lvlJc w:val="left"/>
      <w:pPr>
        <w:tabs>
          <w:tab w:val="left" w:pos="312"/>
        </w:tabs>
      </w:pPr>
    </w:lvl>
  </w:abstractNum>
  <w:abstractNum w:abstractNumId="6">
    <w:nsid w:val="5832E185"/>
    <w:multiLevelType w:val="singleLevel"/>
    <w:tmpl w:val="5832E185"/>
    <w:lvl w:ilvl="0" w:tentative="0">
      <w:start w:val="1"/>
      <w:numFmt w:val="decimal"/>
      <w:suff w:val="nothing"/>
      <w:lvlText w:val="（%1）"/>
      <w:lvlJc w:val="left"/>
      <w:pPr>
        <w:ind w:left="420" w:firstLine="0"/>
      </w:p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ZDRkOTU1OGFhOTI2ODFhNDdmNjIwYTk1NWI5YjMifQ=="/>
  </w:docVars>
  <w:rsids>
    <w:rsidRoot w:val="00172A27"/>
    <w:rsid w:val="00054DC4"/>
    <w:rsid w:val="00074B68"/>
    <w:rsid w:val="00083847"/>
    <w:rsid w:val="000D0552"/>
    <w:rsid w:val="0012089D"/>
    <w:rsid w:val="00172A27"/>
    <w:rsid w:val="001C5F73"/>
    <w:rsid w:val="002063DE"/>
    <w:rsid w:val="0023329A"/>
    <w:rsid w:val="0024672B"/>
    <w:rsid w:val="00246ECB"/>
    <w:rsid w:val="00265EE2"/>
    <w:rsid w:val="00281AC8"/>
    <w:rsid w:val="002C22BA"/>
    <w:rsid w:val="002D4F22"/>
    <w:rsid w:val="002E4041"/>
    <w:rsid w:val="00340BB0"/>
    <w:rsid w:val="004222DA"/>
    <w:rsid w:val="00441FA2"/>
    <w:rsid w:val="00491BFE"/>
    <w:rsid w:val="004B5AA9"/>
    <w:rsid w:val="0058199B"/>
    <w:rsid w:val="0059310F"/>
    <w:rsid w:val="005A2A20"/>
    <w:rsid w:val="005D4603"/>
    <w:rsid w:val="005F4523"/>
    <w:rsid w:val="00840C1E"/>
    <w:rsid w:val="008B4C00"/>
    <w:rsid w:val="0094205C"/>
    <w:rsid w:val="009449D2"/>
    <w:rsid w:val="00963BDE"/>
    <w:rsid w:val="009A2E7A"/>
    <w:rsid w:val="009E1356"/>
    <w:rsid w:val="00A44265"/>
    <w:rsid w:val="00BE4D4E"/>
    <w:rsid w:val="00C17F96"/>
    <w:rsid w:val="00CC0515"/>
    <w:rsid w:val="00CD6343"/>
    <w:rsid w:val="00E11262"/>
    <w:rsid w:val="00E50FE5"/>
    <w:rsid w:val="00ED3D6F"/>
    <w:rsid w:val="01172A03"/>
    <w:rsid w:val="01177305"/>
    <w:rsid w:val="012670EA"/>
    <w:rsid w:val="014D12BC"/>
    <w:rsid w:val="015A421B"/>
    <w:rsid w:val="016739AE"/>
    <w:rsid w:val="0199212C"/>
    <w:rsid w:val="019C475A"/>
    <w:rsid w:val="01A71FD9"/>
    <w:rsid w:val="01BC7C04"/>
    <w:rsid w:val="01C17AE1"/>
    <w:rsid w:val="01C27C15"/>
    <w:rsid w:val="01CD4289"/>
    <w:rsid w:val="01CE57B8"/>
    <w:rsid w:val="0200530E"/>
    <w:rsid w:val="02151639"/>
    <w:rsid w:val="021C2443"/>
    <w:rsid w:val="022E7E43"/>
    <w:rsid w:val="02360D5C"/>
    <w:rsid w:val="024F586D"/>
    <w:rsid w:val="02642C8E"/>
    <w:rsid w:val="027F321C"/>
    <w:rsid w:val="02812062"/>
    <w:rsid w:val="028E4FFD"/>
    <w:rsid w:val="029307AF"/>
    <w:rsid w:val="029A6AAF"/>
    <w:rsid w:val="02A77236"/>
    <w:rsid w:val="02D36977"/>
    <w:rsid w:val="03081DC3"/>
    <w:rsid w:val="0313578C"/>
    <w:rsid w:val="03161459"/>
    <w:rsid w:val="031A3015"/>
    <w:rsid w:val="032520B4"/>
    <w:rsid w:val="03394168"/>
    <w:rsid w:val="034321D6"/>
    <w:rsid w:val="036518C5"/>
    <w:rsid w:val="03712CD2"/>
    <w:rsid w:val="037543A0"/>
    <w:rsid w:val="039A522B"/>
    <w:rsid w:val="03BA5956"/>
    <w:rsid w:val="03BF38CE"/>
    <w:rsid w:val="03C97750"/>
    <w:rsid w:val="03D1333D"/>
    <w:rsid w:val="03F624FD"/>
    <w:rsid w:val="03F8238D"/>
    <w:rsid w:val="03F82FC0"/>
    <w:rsid w:val="03FE7AF4"/>
    <w:rsid w:val="040012AE"/>
    <w:rsid w:val="040A4AA1"/>
    <w:rsid w:val="043E1C1C"/>
    <w:rsid w:val="0444297A"/>
    <w:rsid w:val="04543120"/>
    <w:rsid w:val="0466688F"/>
    <w:rsid w:val="0473446B"/>
    <w:rsid w:val="04854128"/>
    <w:rsid w:val="04A2327F"/>
    <w:rsid w:val="04A66CFB"/>
    <w:rsid w:val="04AB1EC7"/>
    <w:rsid w:val="04B50EB1"/>
    <w:rsid w:val="04B932DD"/>
    <w:rsid w:val="04C31F03"/>
    <w:rsid w:val="04DD5D12"/>
    <w:rsid w:val="04E85C80"/>
    <w:rsid w:val="04EA536B"/>
    <w:rsid w:val="04FB3169"/>
    <w:rsid w:val="05065C6F"/>
    <w:rsid w:val="05092FAB"/>
    <w:rsid w:val="05111952"/>
    <w:rsid w:val="051762EB"/>
    <w:rsid w:val="051C3591"/>
    <w:rsid w:val="051E244E"/>
    <w:rsid w:val="052D30F8"/>
    <w:rsid w:val="052D7267"/>
    <w:rsid w:val="05476AA0"/>
    <w:rsid w:val="054A1A7C"/>
    <w:rsid w:val="054A296D"/>
    <w:rsid w:val="054F6A7F"/>
    <w:rsid w:val="055C69EA"/>
    <w:rsid w:val="05633D80"/>
    <w:rsid w:val="056C3181"/>
    <w:rsid w:val="05721FF6"/>
    <w:rsid w:val="058B29BF"/>
    <w:rsid w:val="058D1570"/>
    <w:rsid w:val="058F5157"/>
    <w:rsid w:val="05C02764"/>
    <w:rsid w:val="05D9734C"/>
    <w:rsid w:val="05E638D1"/>
    <w:rsid w:val="05EA4BBF"/>
    <w:rsid w:val="05EC0902"/>
    <w:rsid w:val="05F01E78"/>
    <w:rsid w:val="06277B8D"/>
    <w:rsid w:val="06552EC7"/>
    <w:rsid w:val="06554664"/>
    <w:rsid w:val="0661744D"/>
    <w:rsid w:val="066C1A43"/>
    <w:rsid w:val="066F433A"/>
    <w:rsid w:val="067035D8"/>
    <w:rsid w:val="068B0F4C"/>
    <w:rsid w:val="06A85A15"/>
    <w:rsid w:val="06B651B6"/>
    <w:rsid w:val="06B81839"/>
    <w:rsid w:val="06BE0A8F"/>
    <w:rsid w:val="06C52B80"/>
    <w:rsid w:val="06CD525F"/>
    <w:rsid w:val="06E9015D"/>
    <w:rsid w:val="06F6447F"/>
    <w:rsid w:val="07142861"/>
    <w:rsid w:val="071464FC"/>
    <w:rsid w:val="071E704D"/>
    <w:rsid w:val="0726229A"/>
    <w:rsid w:val="07490D28"/>
    <w:rsid w:val="076E727B"/>
    <w:rsid w:val="077730AA"/>
    <w:rsid w:val="07815AB6"/>
    <w:rsid w:val="078C3831"/>
    <w:rsid w:val="079A613C"/>
    <w:rsid w:val="079C6D33"/>
    <w:rsid w:val="079D203B"/>
    <w:rsid w:val="07AC3217"/>
    <w:rsid w:val="07DD7299"/>
    <w:rsid w:val="07EA1A94"/>
    <w:rsid w:val="08053EFD"/>
    <w:rsid w:val="08062B4A"/>
    <w:rsid w:val="08110276"/>
    <w:rsid w:val="08125054"/>
    <w:rsid w:val="081A6E86"/>
    <w:rsid w:val="08203678"/>
    <w:rsid w:val="08320A23"/>
    <w:rsid w:val="0848156D"/>
    <w:rsid w:val="08722EA5"/>
    <w:rsid w:val="0872621A"/>
    <w:rsid w:val="0878602C"/>
    <w:rsid w:val="087C4426"/>
    <w:rsid w:val="08872A6F"/>
    <w:rsid w:val="088B0F51"/>
    <w:rsid w:val="089376BB"/>
    <w:rsid w:val="089954DF"/>
    <w:rsid w:val="089D2BFA"/>
    <w:rsid w:val="08A261AA"/>
    <w:rsid w:val="08A6126A"/>
    <w:rsid w:val="08B40DB1"/>
    <w:rsid w:val="08C43471"/>
    <w:rsid w:val="08D12F2C"/>
    <w:rsid w:val="08D97F72"/>
    <w:rsid w:val="08E5377B"/>
    <w:rsid w:val="08EC5465"/>
    <w:rsid w:val="092865C4"/>
    <w:rsid w:val="0934719A"/>
    <w:rsid w:val="094A58B9"/>
    <w:rsid w:val="095B46A2"/>
    <w:rsid w:val="096661BA"/>
    <w:rsid w:val="0969226A"/>
    <w:rsid w:val="096949FC"/>
    <w:rsid w:val="09713FC0"/>
    <w:rsid w:val="09800473"/>
    <w:rsid w:val="09974B3C"/>
    <w:rsid w:val="09A841C2"/>
    <w:rsid w:val="09B61917"/>
    <w:rsid w:val="09BF1E8A"/>
    <w:rsid w:val="09D41DD9"/>
    <w:rsid w:val="09E6402C"/>
    <w:rsid w:val="09EF4469"/>
    <w:rsid w:val="09FC4824"/>
    <w:rsid w:val="0A0501E5"/>
    <w:rsid w:val="0A104E9E"/>
    <w:rsid w:val="0A152D7A"/>
    <w:rsid w:val="0A335ED5"/>
    <w:rsid w:val="0A3C6439"/>
    <w:rsid w:val="0A44720C"/>
    <w:rsid w:val="0A4A6843"/>
    <w:rsid w:val="0A5151D8"/>
    <w:rsid w:val="0A5805FE"/>
    <w:rsid w:val="0A5C4953"/>
    <w:rsid w:val="0A5C671C"/>
    <w:rsid w:val="0A774D36"/>
    <w:rsid w:val="0A905886"/>
    <w:rsid w:val="0AB26E31"/>
    <w:rsid w:val="0AC37052"/>
    <w:rsid w:val="0AE01D11"/>
    <w:rsid w:val="0AEA6A2B"/>
    <w:rsid w:val="0AED7D6C"/>
    <w:rsid w:val="0AFD0FF7"/>
    <w:rsid w:val="0B1A20D0"/>
    <w:rsid w:val="0B1A4C2F"/>
    <w:rsid w:val="0B1E2E6A"/>
    <w:rsid w:val="0B480134"/>
    <w:rsid w:val="0B602D4D"/>
    <w:rsid w:val="0B631D54"/>
    <w:rsid w:val="0B876D30"/>
    <w:rsid w:val="0BC419DA"/>
    <w:rsid w:val="0BC72B31"/>
    <w:rsid w:val="0BD12665"/>
    <w:rsid w:val="0C000A9E"/>
    <w:rsid w:val="0C0716BF"/>
    <w:rsid w:val="0C091991"/>
    <w:rsid w:val="0C50326D"/>
    <w:rsid w:val="0C52035E"/>
    <w:rsid w:val="0C5A14B0"/>
    <w:rsid w:val="0C5E7147"/>
    <w:rsid w:val="0C5F37F9"/>
    <w:rsid w:val="0C7313BD"/>
    <w:rsid w:val="0C772C0C"/>
    <w:rsid w:val="0C7D55A8"/>
    <w:rsid w:val="0C813A99"/>
    <w:rsid w:val="0C864621"/>
    <w:rsid w:val="0CA02FA1"/>
    <w:rsid w:val="0CC35813"/>
    <w:rsid w:val="0CC71781"/>
    <w:rsid w:val="0CD83DED"/>
    <w:rsid w:val="0CDA596F"/>
    <w:rsid w:val="0CDB4804"/>
    <w:rsid w:val="0CF15662"/>
    <w:rsid w:val="0CF81AA0"/>
    <w:rsid w:val="0CFF35C5"/>
    <w:rsid w:val="0D0F6A64"/>
    <w:rsid w:val="0D2730C3"/>
    <w:rsid w:val="0D277652"/>
    <w:rsid w:val="0D441024"/>
    <w:rsid w:val="0D4C03E5"/>
    <w:rsid w:val="0D547D88"/>
    <w:rsid w:val="0D591E95"/>
    <w:rsid w:val="0D697444"/>
    <w:rsid w:val="0D7E7A46"/>
    <w:rsid w:val="0D9C10D6"/>
    <w:rsid w:val="0D9D55D6"/>
    <w:rsid w:val="0DAE044F"/>
    <w:rsid w:val="0DB9450A"/>
    <w:rsid w:val="0DBF06AB"/>
    <w:rsid w:val="0DCD2DC7"/>
    <w:rsid w:val="0DD84401"/>
    <w:rsid w:val="0E0343C6"/>
    <w:rsid w:val="0E1104FD"/>
    <w:rsid w:val="0E197A9D"/>
    <w:rsid w:val="0E374471"/>
    <w:rsid w:val="0E7474B5"/>
    <w:rsid w:val="0E767BA5"/>
    <w:rsid w:val="0E8024A4"/>
    <w:rsid w:val="0E877DAD"/>
    <w:rsid w:val="0E95666F"/>
    <w:rsid w:val="0EA53C62"/>
    <w:rsid w:val="0EA96F5A"/>
    <w:rsid w:val="0EB1214C"/>
    <w:rsid w:val="0EB8287A"/>
    <w:rsid w:val="0EC64EB0"/>
    <w:rsid w:val="0ECF0DC1"/>
    <w:rsid w:val="0ED87C76"/>
    <w:rsid w:val="0EDB3047"/>
    <w:rsid w:val="0EED613D"/>
    <w:rsid w:val="0EF24CD4"/>
    <w:rsid w:val="0EF32D02"/>
    <w:rsid w:val="0F072309"/>
    <w:rsid w:val="0F0F366F"/>
    <w:rsid w:val="0F134CCE"/>
    <w:rsid w:val="0F216247"/>
    <w:rsid w:val="0F350758"/>
    <w:rsid w:val="0F512918"/>
    <w:rsid w:val="0F797515"/>
    <w:rsid w:val="0F837E14"/>
    <w:rsid w:val="0F9A41FC"/>
    <w:rsid w:val="0FAD31A7"/>
    <w:rsid w:val="0FB23975"/>
    <w:rsid w:val="0FB81E9B"/>
    <w:rsid w:val="0FC5414A"/>
    <w:rsid w:val="0FCF3084"/>
    <w:rsid w:val="0FEF33D0"/>
    <w:rsid w:val="0FF330A1"/>
    <w:rsid w:val="0FFB3284"/>
    <w:rsid w:val="10001761"/>
    <w:rsid w:val="10115DD7"/>
    <w:rsid w:val="101E5B5C"/>
    <w:rsid w:val="1032785A"/>
    <w:rsid w:val="1037061D"/>
    <w:rsid w:val="103E3AB5"/>
    <w:rsid w:val="10733E42"/>
    <w:rsid w:val="107C6981"/>
    <w:rsid w:val="1087332A"/>
    <w:rsid w:val="108D1558"/>
    <w:rsid w:val="1094752B"/>
    <w:rsid w:val="10A01ADF"/>
    <w:rsid w:val="10A827A3"/>
    <w:rsid w:val="10B34CB4"/>
    <w:rsid w:val="10B535D1"/>
    <w:rsid w:val="10D07C4F"/>
    <w:rsid w:val="10FF7241"/>
    <w:rsid w:val="110411F6"/>
    <w:rsid w:val="112D7533"/>
    <w:rsid w:val="1131366D"/>
    <w:rsid w:val="11630DAF"/>
    <w:rsid w:val="1168578E"/>
    <w:rsid w:val="118A6210"/>
    <w:rsid w:val="11952271"/>
    <w:rsid w:val="119C4873"/>
    <w:rsid w:val="119F6616"/>
    <w:rsid w:val="11DF7CCB"/>
    <w:rsid w:val="11FE08A0"/>
    <w:rsid w:val="120C76CC"/>
    <w:rsid w:val="121A0426"/>
    <w:rsid w:val="121B057C"/>
    <w:rsid w:val="122A1DAD"/>
    <w:rsid w:val="12312488"/>
    <w:rsid w:val="123B2BDE"/>
    <w:rsid w:val="124714B6"/>
    <w:rsid w:val="124928F9"/>
    <w:rsid w:val="12546DDF"/>
    <w:rsid w:val="1258556A"/>
    <w:rsid w:val="12653A22"/>
    <w:rsid w:val="126A60C3"/>
    <w:rsid w:val="126C407F"/>
    <w:rsid w:val="12706417"/>
    <w:rsid w:val="12745F08"/>
    <w:rsid w:val="12972F3E"/>
    <w:rsid w:val="12A85DF8"/>
    <w:rsid w:val="12B5405D"/>
    <w:rsid w:val="12D40590"/>
    <w:rsid w:val="12E61A24"/>
    <w:rsid w:val="12E76687"/>
    <w:rsid w:val="130B7EEE"/>
    <w:rsid w:val="13147C24"/>
    <w:rsid w:val="13170F02"/>
    <w:rsid w:val="131B6620"/>
    <w:rsid w:val="13250652"/>
    <w:rsid w:val="13313575"/>
    <w:rsid w:val="13347592"/>
    <w:rsid w:val="13511DA5"/>
    <w:rsid w:val="13533D6F"/>
    <w:rsid w:val="1379745A"/>
    <w:rsid w:val="137E50ED"/>
    <w:rsid w:val="138F5527"/>
    <w:rsid w:val="139E5948"/>
    <w:rsid w:val="13AB0F44"/>
    <w:rsid w:val="13AB179E"/>
    <w:rsid w:val="13AE3D77"/>
    <w:rsid w:val="13C133CE"/>
    <w:rsid w:val="13C32D67"/>
    <w:rsid w:val="13D83F4A"/>
    <w:rsid w:val="13D84274"/>
    <w:rsid w:val="13DE4457"/>
    <w:rsid w:val="13E175CD"/>
    <w:rsid w:val="13ED5D50"/>
    <w:rsid w:val="13EE414B"/>
    <w:rsid w:val="13F071B2"/>
    <w:rsid w:val="13FA0C91"/>
    <w:rsid w:val="14033DD2"/>
    <w:rsid w:val="140F2D98"/>
    <w:rsid w:val="141D612B"/>
    <w:rsid w:val="14257F26"/>
    <w:rsid w:val="144F2C25"/>
    <w:rsid w:val="145E6E6F"/>
    <w:rsid w:val="146A26EA"/>
    <w:rsid w:val="14724FAA"/>
    <w:rsid w:val="14A3596D"/>
    <w:rsid w:val="14A44CEC"/>
    <w:rsid w:val="14D47131"/>
    <w:rsid w:val="14EE6617"/>
    <w:rsid w:val="14F3116A"/>
    <w:rsid w:val="14F53D8D"/>
    <w:rsid w:val="14F66F10"/>
    <w:rsid w:val="150762C3"/>
    <w:rsid w:val="15282F06"/>
    <w:rsid w:val="152D3A0E"/>
    <w:rsid w:val="154B2870"/>
    <w:rsid w:val="1553598B"/>
    <w:rsid w:val="15673688"/>
    <w:rsid w:val="156A0D83"/>
    <w:rsid w:val="156F0CA4"/>
    <w:rsid w:val="15747FCD"/>
    <w:rsid w:val="15767B32"/>
    <w:rsid w:val="15781B27"/>
    <w:rsid w:val="157A327C"/>
    <w:rsid w:val="157C51F5"/>
    <w:rsid w:val="15821C7F"/>
    <w:rsid w:val="1585667E"/>
    <w:rsid w:val="15961781"/>
    <w:rsid w:val="159B223A"/>
    <w:rsid w:val="15B406CD"/>
    <w:rsid w:val="15B85BF3"/>
    <w:rsid w:val="15BA6504"/>
    <w:rsid w:val="15C745A0"/>
    <w:rsid w:val="15CA22E2"/>
    <w:rsid w:val="15DC559B"/>
    <w:rsid w:val="15F261A6"/>
    <w:rsid w:val="15F501C0"/>
    <w:rsid w:val="15F5735F"/>
    <w:rsid w:val="16286A23"/>
    <w:rsid w:val="162C03E4"/>
    <w:rsid w:val="16357F26"/>
    <w:rsid w:val="163800C9"/>
    <w:rsid w:val="16467D07"/>
    <w:rsid w:val="1662772A"/>
    <w:rsid w:val="166E3FF9"/>
    <w:rsid w:val="167F30CD"/>
    <w:rsid w:val="1682754F"/>
    <w:rsid w:val="168D6D32"/>
    <w:rsid w:val="16961396"/>
    <w:rsid w:val="16A03D9D"/>
    <w:rsid w:val="16B11417"/>
    <w:rsid w:val="16B20DAC"/>
    <w:rsid w:val="16E00F08"/>
    <w:rsid w:val="16EF4171"/>
    <w:rsid w:val="17074409"/>
    <w:rsid w:val="17216C63"/>
    <w:rsid w:val="17226E89"/>
    <w:rsid w:val="1734780A"/>
    <w:rsid w:val="174755BB"/>
    <w:rsid w:val="174B610B"/>
    <w:rsid w:val="1759391E"/>
    <w:rsid w:val="175B34DB"/>
    <w:rsid w:val="179367D9"/>
    <w:rsid w:val="179700E4"/>
    <w:rsid w:val="17CC0594"/>
    <w:rsid w:val="17CF450B"/>
    <w:rsid w:val="17DB66EF"/>
    <w:rsid w:val="17DE1AAC"/>
    <w:rsid w:val="17E31467"/>
    <w:rsid w:val="17EE62A7"/>
    <w:rsid w:val="17EF1281"/>
    <w:rsid w:val="17EF6EF0"/>
    <w:rsid w:val="17F67569"/>
    <w:rsid w:val="17F841EE"/>
    <w:rsid w:val="18185C8A"/>
    <w:rsid w:val="18282AE9"/>
    <w:rsid w:val="182D03A5"/>
    <w:rsid w:val="182F1DCD"/>
    <w:rsid w:val="18334389"/>
    <w:rsid w:val="18392316"/>
    <w:rsid w:val="1844637C"/>
    <w:rsid w:val="18467D3F"/>
    <w:rsid w:val="184C177B"/>
    <w:rsid w:val="186373E7"/>
    <w:rsid w:val="186B3A8D"/>
    <w:rsid w:val="18712AE0"/>
    <w:rsid w:val="18724487"/>
    <w:rsid w:val="187F1BF8"/>
    <w:rsid w:val="18807FB3"/>
    <w:rsid w:val="18850BC0"/>
    <w:rsid w:val="188C3C8D"/>
    <w:rsid w:val="189A5F9C"/>
    <w:rsid w:val="18A160ED"/>
    <w:rsid w:val="18A26283"/>
    <w:rsid w:val="18A56233"/>
    <w:rsid w:val="18A9095C"/>
    <w:rsid w:val="18D54326"/>
    <w:rsid w:val="18E616B6"/>
    <w:rsid w:val="18EA3C7E"/>
    <w:rsid w:val="18F4030C"/>
    <w:rsid w:val="18F97167"/>
    <w:rsid w:val="19123950"/>
    <w:rsid w:val="19206CE1"/>
    <w:rsid w:val="193D0318"/>
    <w:rsid w:val="194E6928"/>
    <w:rsid w:val="19520625"/>
    <w:rsid w:val="195D31A5"/>
    <w:rsid w:val="19743020"/>
    <w:rsid w:val="197B44BD"/>
    <w:rsid w:val="199C7AF2"/>
    <w:rsid w:val="19BB45FB"/>
    <w:rsid w:val="19CF6A35"/>
    <w:rsid w:val="19D13DEF"/>
    <w:rsid w:val="19D63004"/>
    <w:rsid w:val="19F02457"/>
    <w:rsid w:val="19F16090"/>
    <w:rsid w:val="19F33BB6"/>
    <w:rsid w:val="19FC00DE"/>
    <w:rsid w:val="1A06744C"/>
    <w:rsid w:val="1A131FB4"/>
    <w:rsid w:val="1A1E3766"/>
    <w:rsid w:val="1A284A8B"/>
    <w:rsid w:val="1A4F2D4D"/>
    <w:rsid w:val="1A566BE0"/>
    <w:rsid w:val="1A597A4F"/>
    <w:rsid w:val="1A6028A0"/>
    <w:rsid w:val="1A6C52B9"/>
    <w:rsid w:val="1A705206"/>
    <w:rsid w:val="1A98475D"/>
    <w:rsid w:val="1AAC43A1"/>
    <w:rsid w:val="1AC146BD"/>
    <w:rsid w:val="1AD956D6"/>
    <w:rsid w:val="1AE134F4"/>
    <w:rsid w:val="1AF22982"/>
    <w:rsid w:val="1B262667"/>
    <w:rsid w:val="1B813443"/>
    <w:rsid w:val="1B853028"/>
    <w:rsid w:val="1B863114"/>
    <w:rsid w:val="1B8F02AB"/>
    <w:rsid w:val="1B996AB5"/>
    <w:rsid w:val="1B9C1C3C"/>
    <w:rsid w:val="1BA14B49"/>
    <w:rsid w:val="1BA15893"/>
    <w:rsid w:val="1BBC065F"/>
    <w:rsid w:val="1BCC521B"/>
    <w:rsid w:val="1BCE6CE1"/>
    <w:rsid w:val="1BDD0CF0"/>
    <w:rsid w:val="1BDD344A"/>
    <w:rsid w:val="1BDF1392"/>
    <w:rsid w:val="1BE00FF8"/>
    <w:rsid w:val="1BF34458"/>
    <w:rsid w:val="1BF370D2"/>
    <w:rsid w:val="1BFB5471"/>
    <w:rsid w:val="1C190814"/>
    <w:rsid w:val="1C205746"/>
    <w:rsid w:val="1C305032"/>
    <w:rsid w:val="1C4E4299"/>
    <w:rsid w:val="1C4E5A1B"/>
    <w:rsid w:val="1C5B3FD2"/>
    <w:rsid w:val="1C5D3EA5"/>
    <w:rsid w:val="1C6D307A"/>
    <w:rsid w:val="1C705992"/>
    <w:rsid w:val="1C8925AF"/>
    <w:rsid w:val="1C9C5640"/>
    <w:rsid w:val="1CA5659C"/>
    <w:rsid w:val="1CAA721C"/>
    <w:rsid w:val="1CB05CE8"/>
    <w:rsid w:val="1CC04B5D"/>
    <w:rsid w:val="1CC715E3"/>
    <w:rsid w:val="1CCF348E"/>
    <w:rsid w:val="1CDA78FB"/>
    <w:rsid w:val="1CDD6D9F"/>
    <w:rsid w:val="1CE4012E"/>
    <w:rsid w:val="1CE419C9"/>
    <w:rsid w:val="1CFF7868"/>
    <w:rsid w:val="1D023ADB"/>
    <w:rsid w:val="1D1D324B"/>
    <w:rsid w:val="1D1E044A"/>
    <w:rsid w:val="1D321938"/>
    <w:rsid w:val="1D384FE2"/>
    <w:rsid w:val="1D3A5FA0"/>
    <w:rsid w:val="1D44297A"/>
    <w:rsid w:val="1D5379F1"/>
    <w:rsid w:val="1D5D57EA"/>
    <w:rsid w:val="1D64114E"/>
    <w:rsid w:val="1D651089"/>
    <w:rsid w:val="1D6A21E0"/>
    <w:rsid w:val="1D6A2CA4"/>
    <w:rsid w:val="1D7810D6"/>
    <w:rsid w:val="1D903E12"/>
    <w:rsid w:val="1DC2393D"/>
    <w:rsid w:val="1DCA0A85"/>
    <w:rsid w:val="1DE5454A"/>
    <w:rsid w:val="1E2404F5"/>
    <w:rsid w:val="1E4F5A7B"/>
    <w:rsid w:val="1E6432D4"/>
    <w:rsid w:val="1E6D251A"/>
    <w:rsid w:val="1E6D60B2"/>
    <w:rsid w:val="1E7B6E4A"/>
    <w:rsid w:val="1E9263A1"/>
    <w:rsid w:val="1E970EA5"/>
    <w:rsid w:val="1EA71AA9"/>
    <w:rsid w:val="1EAB32AE"/>
    <w:rsid w:val="1EB267AD"/>
    <w:rsid w:val="1EDC1EFC"/>
    <w:rsid w:val="1EE07027"/>
    <w:rsid w:val="1F035B57"/>
    <w:rsid w:val="1F135883"/>
    <w:rsid w:val="1F245255"/>
    <w:rsid w:val="1F2F1C7B"/>
    <w:rsid w:val="1F3A1691"/>
    <w:rsid w:val="1F416BF7"/>
    <w:rsid w:val="1F526B6B"/>
    <w:rsid w:val="1F5D1588"/>
    <w:rsid w:val="1F662024"/>
    <w:rsid w:val="1F930AD2"/>
    <w:rsid w:val="1FA140B4"/>
    <w:rsid w:val="1FA73FFF"/>
    <w:rsid w:val="1FAC34B0"/>
    <w:rsid w:val="1FAC7D66"/>
    <w:rsid w:val="1FAF4A23"/>
    <w:rsid w:val="1FE23785"/>
    <w:rsid w:val="200F4B1A"/>
    <w:rsid w:val="202023F7"/>
    <w:rsid w:val="204A3EE8"/>
    <w:rsid w:val="204C04C4"/>
    <w:rsid w:val="20657245"/>
    <w:rsid w:val="206815A5"/>
    <w:rsid w:val="207D242B"/>
    <w:rsid w:val="208665C1"/>
    <w:rsid w:val="208C66F2"/>
    <w:rsid w:val="20A07428"/>
    <w:rsid w:val="20D3703E"/>
    <w:rsid w:val="20D864B4"/>
    <w:rsid w:val="20E7468A"/>
    <w:rsid w:val="20EB1A8B"/>
    <w:rsid w:val="20F52909"/>
    <w:rsid w:val="21042B40"/>
    <w:rsid w:val="21226E3D"/>
    <w:rsid w:val="21235867"/>
    <w:rsid w:val="2131174C"/>
    <w:rsid w:val="21345EF1"/>
    <w:rsid w:val="215370E2"/>
    <w:rsid w:val="2165050E"/>
    <w:rsid w:val="217324D3"/>
    <w:rsid w:val="217C2F96"/>
    <w:rsid w:val="21935BAC"/>
    <w:rsid w:val="21965474"/>
    <w:rsid w:val="21A0659D"/>
    <w:rsid w:val="21BD5BC0"/>
    <w:rsid w:val="21C97B19"/>
    <w:rsid w:val="21CD6877"/>
    <w:rsid w:val="21DB0AE1"/>
    <w:rsid w:val="221C384E"/>
    <w:rsid w:val="22230C19"/>
    <w:rsid w:val="224376A4"/>
    <w:rsid w:val="2250303F"/>
    <w:rsid w:val="2288699E"/>
    <w:rsid w:val="228B192B"/>
    <w:rsid w:val="22A872F6"/>
    <w:rsid w:val="22A94DD3"/>
    <w:rsid w:val="22AF614A"/>
    <w:rsid w:val="22BC2786"/>
    <w:rsid w:val="22C21270"/>
    <w:rsid w:val="22F32E79"/>
    <w:rsid w:val="22F917A3"/>
    <w:rsid w:val="22FC7A9A"/>
    <w:rsid w:val="2321502D"/>
    <w:rsid w:val="23282941"/>
    <w:rsid w:val="23296A3A"/>
    <w:rsid w:val="23475F70"/>
    <w:rsid w:val="236C4F9C"/>
    <w:rsid w:val="23775858"/>
    <w:rsid w:val="23864E25"/>
    <w:rsid w:val="238D5BF4"/>
    <w:rsid w:val="23A578DC"/>
    <w:rsid w:val="23AC4F61"/>
    <w:rsid w:val="23B32608"/>
    <w:rsid w:val="23B46070"/>
    <w:rsid w:val="23C52CA5"/>
    <w:rsid w:val="24063240"/>
    <w:rsid w:val="241364D7"/>
    <w:rsid w:val="241E2177"/>
    <w:rsid w:val="242157C3"/>
    <w:rsid w:val="24247EA2"/>
    <w:rsid w:val="242C2995"/>
    <w:rsid w:val="243A2EF4"/>
    <w:rsid w:val="244701E6"/>
    <w:rsid w:val="244A2FC1"/>
    <w:rsid w:val="244A440B"/>
    <w:rsid w:val="244A4D1A"/>
    <w:rsid w:val="245C5FE8"/>
    <w:rsid w:val="2489082C"/>
    <w:rsid w:val="248B77AF"/>
    <w:rsid w:val="248F28CF"/>
    <w:rsid w:val="24A8119C"/>
    <w:rsid w:val="24B07945"/>
    <w:rsid w:val="24BD0CA7"/>
    <w:rsid w:val="24C73AA1"/>
    <w:rsid w:val="24CA49CD"/>
    <w:rsid w:val="24CD0B0D"/>
    <w:rsid w:val="24D31C46"/>
    <w:rsid w:val="24D96809"/>
    <w:rsid w:val="24E104AA"/>
    <w:rsid w:val="24ED2448"/>
    <w:rsid w:val="24F93FF3"/>
    <w:rsid w:val="254A15C7"/>
    <w:rsid w:val="25501288"/>
    <w:rsid w:val="25785971"/>
    <w:rsid w:val="257A506D"/>
    <w:rsid w:val="257B660C"/>
    <w:rsid w:val="258014C9"/>
    <w:rsid w:val="25867D5B"/>
    <w:rsid w:val="25886807"/>
    <w:rsid w:val="25903F70"/>
    <w:rsid w:val="25C820DE"/>
    <w:rsid w:val="25CB36F9"/>
    <w:rsid w:val="25DB7CB8"/>
    <w:rsid w:val="25FF7D86"/>
    <w:rsid w:val="26025181"/>
    <w:rsid w:val="260569DF"/>
    <w:rsid w:val="260571E5"/>
    <w:rsid w:val="260A3C16"/>
    <w:rsid w:val="26140958"/>
    <w:rsid w:val="26216CAA"/>
    <w:rsid w:val="2652435A"/>
    <w:rsid w:val="26534C4C"/>
    <w:rsid w:val="26551754"/>
    <w:rsid w:val="266149CA"/>
    <w:rsid w:val="266B3CBC"/>
    <w:rsid w:val="266D785C"/>
    <w:rsid w:val="26727273"/>
    <w:rsid w:val="26802C75"/>
    <w:rsid w:val="26827E17"/>
    <w:rsid w:val="26992F49"/>
    <w:rsid w:val="26A5448A"/>
    <w:rsid w:val="26A96190"/>
    <w:rsid w:val="26AD5E06"/>
    <w:rsid w:val="26C071F2"/>
    <w:rsid w:val="26C377F3"/>
    <w:rsid w:val="26C56D34"/>
    <w:rsid w:val="26F27042"/>
    <w:rsid w:val="26FD5049"/>
    <w:rsid w:val="2701118A"/>
    <w:rsid w:val="27033146"/>
    <w:rsid w:val="27336795"/>
    <w:rsid w:val="27340060"/>
    <w:rsid w:val="27376C5A"/>
    <w:rsid w:val="273D230F"/>
    <w:rsid w:val="273E38EE"/>
    <w:rsid w:val="27402404"/>
    <w:rsid w:val="274C78EA"/>
    <w:rsid w:val="27543827"/>
    <w:rsid w:val="277474B4"/>
    <w:rsid w:val="2779419F"/>
    <w:rsid w:val="279004D9"/>
    <w:rsid w:val="27992B54"/>
    <w:rsid w:val="279A5D8C"/>
    <w:rsid w:val="27AC5069"/>
    <w:rsid w:val="27B15CC8"/>
    <w:rsid w:val="27C26894"/>
    <w:rsid w:val="27D54A4B"/>
    <w:rsid w:val="27EC2A9F"/>
    <w:rsid w:val="27EE1E60"/>
    <w:rsid w:val="27F5137F"/>
    <w:rsid w:val="280451E0"/>
    <w:rsid w:val="280871F0"/>
    <w:rsid w:val="28111961"/>
    <w:rsid w:val="281B2B62"/>
    <w:rsid w:val="281B7B3D"/>
    <w:rsid w:val="282835C4"/>
    <w:rsid w:val="28373807"/>
    <w:rsid w:val="284205CD"/>
    <w:rsid w:val="285D6E19"/>
    <w:rsid w:val="28604B36"/>
    <w:rsid w:val="286D2403"/>
    <w:rsid w:val="286E0934"/>
    <w:rsid w:val="28707081"/>
    <w:rsid w:val="288020AF"/>
    <w:rsid w:val="28805747"/>
    <w:rsid w:val="288954B3"/>
    <w:rsid w:val="288E001C"/>
    <w:rsid w:val="28A27AE2"/>
    <w:rsid w:val="28BB0BA3"/>
    <w:rsid w:val="28EE2D47"/>
    <w:rsid w:val="28F77393"/>
    <w:rsid w:val="2917144F"/>
    <w:rsid w:val="29183CAB"/>
    <w:rsid w:val="29283150"/>
    <w:rsid w:val="29534614"/>
    <w:rsid w:val="295865A8"/>
    <w:rsid w:val="29634188"/>
    <w:rsid w:val="29637000"/>
    <w:rsid w:val="29727071"/>
    <w:rsid w:val="29916C1B"/>
    <w:rsid w:val="29B73BA1"/>
    <w:rsid w:val="29BA67E3"/>
    <w:rsid w:val="29EA4B44"/>
    <w:rsid w:val="29F50BD9"/>
    <w:rsid w:val="29F83596"/>
    <w:rsid w:val="2A15025F"/>
    <w:rsid w:val="2A1515C6"/>
    <w:rsid w:val="2A465F84"/>
    <w:rsid w:val="2A57420F"/>
    <w:rsid w:val="2A694CCE"/>
    <w:rsid w:val="2A7004E9"/>
    <w:rsid w:val="2A771722"/>
    <w:rsid w:val="2A821294"/>
    <w:rsid w:val="2A94279E"/>
    <w:rsid w:val="2A9E2D79"/>
    <w:rsid w:val="2ABE203E"/>
    <w:rsid w:val="2AC85DA4"/>
    <w:rsid w:val="2ADB491E"/>
    <w:rsid w:val="2B0022FD"/>
    <w:rsid w:val="2B1C6141"/>
    <w:rsid w:val="2B2329E8"/>
    <w:rsid w:val="2B27386A"/>
    <w:rsid w:val="2B315846"/>
    <w:rsid w:val="2B345C9C"/>
    <w:rsid w:val="2B372E62"/>
    <w:rsid w:val="2B5854BF"/>
    <w:rsid w:val="2B5B5851"/>
    <w:rsid w:val="2B5F7BE7"/>
    <w:rsid w:val="2B627336"/>
    <w:rsid w:val="2B744A61"/>
    <w:rsid w:val="2B87497C"/>
    <w:rsid w:val="2B8D62E3"/>
    <w:rsid w:val="2B932EC4"/>
    <w:rsid w:val="2B9859C1"/>
    <w:rsid w:val="2BCA4992"/>
    <w:rsid w:val="2BEE68D3"/>
    <w:rsid w:val="2BF25DE4"/>
    <w:rsid w:val="2BF37A45"/>
    <w:rsid w:val="2BF47D02"/>
    <w:rsid w:val="2C206CAE"/>
    <w:rsid w:val="2C4338DF"/>
    <w:rsid w:val="2C445DE2"/>
    <w:rsid w:val="2C4C4499"/>
    <w:rsid w:val="2C6B5435"/>
    <w:rsid w:val="2C6D5A4A"/>
    <w:rsid w:val="2C7C15D3"/>
    <w:rsid w:val="2C961D95"/>
    <w:rsid w:val="2C9C00DD"/>
    <w:rsid w:val="2CB25B52"/>
    <w:rsid w:val="2CB25D79"/>
    <w:rsid w:val="2CB71316"/>
    <w:rsid w:val="2CB731FA"/>
    <w:rsid w:val="2CCD64E8"/>
    <w:rsid w:val="2CCE29CF"/>
    <w:rsid w:val="2CD0169D"/>
    <w:rsid w:val="2CF512F3"/>
    <w:rsid w:val="2CF55A3F"/>
    <w:rsid w:val="2D095047"/>
    <w:rsid w:val="2D1149B2"/>
    <w:rsid w:val="2D1A79E2"/>
    <w:rsid w:val="2D2119EE"/>
    <w:rsid w:val="2D2F7FFF"/>
    <w:rsid w:val="2D327F88"/>
    <w:rsid w:val="2D3378B9"/>
    <w:rsid w:val="2D5432E0"/>
    <w:rsid w:val="2D650DBB"/>
    <w:rsid w:val="2D663A76"/>
    <w:rsid w:val="2D67011C"/>
    <w:rsid w:val="2D7317D2"/>
    <w:rsid w:val="2D753BE3"/>
    <w:rsid w:val="2D822FED"/>
    <w:rsid w:val="2D892A88"/>
    <w:rsid w:val="2D8B5DE2"/>
    <w:rsid w:val="2D8D21DF"/>
    <w:rsid w:val="2DAA75E9"/>
    <w:rsid w:val="2DAB1B27"/>
    <w:rsid w:val="2DB07108"/>
    <w:rsid w:val="2DB25C5B"/>
    <w:rsid w:val="2DB43204"/>
    <w:rsid w:val="2DB64413"/>
    <w:rsid w:val="2DCE3661"/>
    <w:rsid w:val="2DD80B22"/>
    <w:rsid w:val="2DEC5D58"/>
    <w:rsid w:val="2DED3581"/>
    <w:rsid w:val="2E042D30"/>
    <w:rsid w:val="2E0B4045"/>
    <w:rsid w:val="2E0E500A"/>
    <w:rsid w:val="2E0E79BA"/>
    <w:rsid w:val="2E157F00"/>
    <w:rsid w:val="2E16672E"/>
    <w:rsid w:val="2E1E2880"/>
    <w:rsid w:val="2E24336C"/>
    <w:rsid w:val="2E271C28"/>
    <w:rsid w:val="2E3D4C24"/>
    <w:rsid w:val="2E5D73CF"/>
    <w:rsid w:val="2E647B9A"/>
    <w:rsid w:val="2E870919"/>
    <w:rsid w:val="2EA116ED"/>
    <w:rsid w:val="2EA25753"/>
    <w:rsid w:val="2EAE7CAE"/>
    <w:rsid w:val="2ECC47CE"/>
    <w:rsid w:val="2EE63891"/>
    <w:rsid w:val="2EED3B2F"/>
    <w:rsid w:val="2EF63B77"/>
    <w:rsid w:val="2EF868EE"/>
    <w:rsid w:val="2EFA3C8C"/>
    <w:rsid w:val="2EFB0718"/>
    <w:rsid w:val="2F0A33B4"/>
    <w:rsid w:val="2F0A3A24"/>
    <w:rsid w:val="2F1D7F01"/>
    <w:rsid w:val="2F4C5F7E"/>
    <w:rsid w:val="2F5E3531"/>
    <w:rsid w:val="2F601D5F"/>
    <w:rsid w:val="2F685B5E"/>
    <w:rsid w:val="2FA21EAE"/>
    <w:rsid w:val="2FAB1AF2"/>
    <w:rsid w:val="2FB00615"/>
    <w:rsid w:val="2FB60C2B"/>
    <w:rsid w:val="2FCC10DF"/>
    <w:rsid w:val="2FD65AF7"/>
    <w:rsid w:val="2FF6354A"/>
    <w:rsid w:val="301C32EE"/>
    <w:rsid w:val="30204528"/>
    <w:rsid w:val="30316C11"/>
    <w:rsid w:val="303B19BB"/>
    <w:rsid w:val="304A70EF"/>
    <w:rsid w:val="304D5589"/>
    <w:rsid w:val="30520140"/>
    <w:rsid w:val="3055473D"/>
    <w:rsid w:val="306E485B"/>
    <w:rsid w:val="30782B8D"/>
    <w:rsid w:val="3088716F"/>
    <w:rsid w:val="308B7D56"/>
    <w:rsid w:val="3095731D"/>
    <w:rsid w:val="30B76860"/>
    <w:rsid w:val="30BC0D4E"/>
    <w:rsid w:val="30CF13DD"/>
    <w:rsid w:val="30EF55D4"/>
    <w:rsid w:val="311E1C1A"/>
    <w:rsid w:val="312C3607"/>
    <w:rsid w:val="314B4EB3"/>
    <w:rsid w:val="316D1109"/>
    <w:rsid w:val="31704316"/>
    <w:rsid w:val="317163EE"/>
    <w:rsid w:val="31771014"/>
    <w:rsid w:val="31853DA4"/>
    <w:rsid w:val="3189543A"/>
    <w:rsid w:val="319040EC"/>
    <w:rsid w:val="319A1CD0"/>
    <w:rsid w:val="31B13D75"/>
    <w:rsid w:val="31B23F96"/>
    <w:rsid w:val="31BE4652"/>
    <w:rsid w:val="31CA696E"/>
    <w:rsid w:val="31CD0D39"/>
    <w:rsid w:val="31D156CA"/>
    <w:rsid w:val="31DD7616"/>
    <w:rsid w:val="31E13CEA"/>
    <w:rsid w:val="320C7B09"/>
    <w:rsid w:val="321E627C"/>
    <w:rsid w:val="32314E56"/>
    <w:rsid w:val="32560D2E"/>
    <w:rsid w:val="325B4596"/>
    <w:rsid w:val="325D691A"/>
    <w:rsid w:val="32694104"/>
    <w:rsid w:val="326B3608"/>
    <w:rsid w:val="326F3543"/>
    <w:rsid w:val="3281224F"/>
    <w:rsid w:val="328D7DD9"/>
    <w:rsid w:val="328F5FEE"/>
    <w:rsid w:val="32AB3B45"/>
    <w:rsid w:val="32C22CE5"/>
    <w:rsid w:val="32C953FB"/>
    <w:rsid w:val="32D83570"/>
    <w:rsid w:val="32F26A71"/>
    <w:rsid w:val="32F37EFD"/>
    <w:rsid w:val="32F97276"/>
    <w:rsid w:val="32FC74A7"/>
    <w:rsid w:val="32FD0B73"/>
    <w:rsid w:val="32FD7DAC"/>
    <w:rsid w:val="33031753"/>
    <w:rsid w:val="33175478"/>
    <w:rsid w:val="3340561C"/>
    <w:rsid w:val="33433DB0"/>
    <w:rsid w:val="3353526D"/>
    <w:rsid w:val="33542B8B"/>
    <w:rsid w:val="33605869"/>
    <w:rsid w:val="33795EC8"/>
    <w:rsid w:val="337C0132"/>
    <w:rsid w:val="33831A06"/>
    <w:rsid w:val="3386256A"/>
    <w:rsid w:val="33A855B9"/>
    <w:rsid w:val="33AA32F4"/>
    <w:rsid w:val="33B71CA0"/>
    <w:rsid w:val="33C81979"/>
    <w:rsid w:val="33CB74FA"/>
    <w:rsid w:val="33CF3F73"/>
    <w:rsid w:val="33D22AE6"/>
    <w:rsid w:val="33E25711"/>
    <w:rsid w:val="33EA7980"/>
    <w:rsid w:val="33EF2BA7"/>
    <w:rsid w:val="33F16F60"/>
    <w:rsid w:val="33F60CD4"/>
    <w:rsid w:val="33FA0882"/>
    <w:rsid w:val="33FB1BDC"/>
    <w:rsid w:val="340847C1"/>
    <w:rsid w:val="34192103"/>
    <w:rsid w:val="34366CFC"/>
    <w:rsid w:val="343D7FA9"/>
    <w:rsid w:val="34415C33"/>
    <w:rsid w:val="34432BC6"/>
    <w:rsid w:val="344E4DDB"/>
    <w:rsid w:val="3458076F"/>
    <w:rsid w:val="345A2D11"/>
    <w:rsid w:val="345D10BC"/>
    <w:rsid w:val="346062B6"/>
    <w:rsid w:val="34AA5361"/>
    <w:rsid w:val="34AB56E0"/>
    <w:rsid w:val="34B34D4E"/>
    <w:rsid w:val="34B7513D"/>
    <w:rsid w:val="34B75D0C"/>
    <w:rsid w:val="34BD6ADA"/>
    <w:rsid w:val="34CA494D"/>
    <w:rsid w:val="34CC486F"/>
    <w:rsid w:val="34E33962"/>
    <w:rsid w:val="34E6679B"/>
    <w:rsid w:val="34E86EC5"/>
    <w:rsid w:val="34EC6215"/>
    <w:rsid w:val="35072852"/>
    <w:rsid w:val="350A44D8"/>
    <w:rsid w:val="350E5F27"/>
    <w:rsid w:val="35140D72"/>
    <w:rsid w:val="35164E77"/>
    <w:rsid w:val="351A592A"/>
    <w:rsid w:val="35367D3B"/>
    <w:rsid w:val="35407DCD"/>
    <w:rsid w:val="355552CD"/>
    <w:rsid w:val="357A031E"/>
    <w:rsid w:val="358766C4"/>
    <w:rsid w:val="35926B91"/>
    <w:rsid w:val="35A40D5E"/>
    <w:rsid w:val="35AA37F8"/>
    <w:rsid w:val="35B62ADC"/>
    <w:rsid w:val="35B70130"/>
    <w:rsid w:val="35CC2728"/>
    <w:rsid w:val="35FE7E71"/>
    <w:rsid w:val="360B0081"/>
    <w:rsid w:val="360E51F2"/>
    <w:rsid w:val="361431B3"/>
    <w:rsid w:val="36230BEA"/>
    <w:rsid w:val="363269B9"/>
    <w:rsid w:val="363A480D"/>
    <w:rsid w:val="365C3AC2"/>
    <w:rsid w:val="365F0898"/>
    <w:rsid w:val="366D0431"/>
    <w:rsid w:val="36A116D4"/>
    <w:rsid w:val="36AA7C28"/>
    <w:rsid w:val="36B87DC9"/>
    <w:rsid w:val="36F82414"/>
    <w:rsid w:val="371D6F9A"/>
    <w:rsid w:val="371E7EC5"/>
    <w:rsid w:val="372A625A"/>
    <w:rsid w:val="37460808"/>
    <w:rsid w:val="374E7FC5"/>
    <w:rsid w:val="376C5D44"/>
    <w:rsid w:val="379A3C3C"/>
    <w:rsid w:val="379B1C19"/>
    <w:rsid w:val="37A22CB9"/>
    <w:rsid w:val="37A53B92"/>
    <w:rsid w:val="37D40785"/>
    <w:rsid w:val="37D41491"/>
    <w:rsid w:val="37D4658F"/>
    <w:rsid w:val="37D70E6B"/>
    <w:rsid w:val="37EE5F70"/>
    <w:rsid w:val="37F16D90"/>
    <w:rsid w:val="37F7266B"/>
    <w:rsid w:val="38012EF7"/>
    <w:rsid w:val="38046D23"/>
    <w:rsid w:val="381F6789"/>
    <w:rsid w:val="38300FDF"/>
    <w:rsid w:val="38316130"/>
    <w:rsid w:val="38383CED"/>
    <w:rsid w:val="383B424A"/>
    <w:rsid w:val="38411EDB"/>
    <w:rsid w:val="38617CC8"/>
    <w:rsid w:val="388333F7"/>
    <w:rsid w:val="388B6912"/>
    <w:rsid w:val="388B7525"/>
    <w:rsid w:val="388D0775"/>
    <w:rsid w:val="38AD3074"/>
    <w:rsid w:val="38BA2FB1"/>
    <w:rsid w:val="38C944C2"/>
    <w:rsid w:val="38DE0A0E"/>
    <w:rsid w:val="38FC47BB"/>
    <w:rsid w:val="39040657"/>
    <w:rsid w:val="39083348"/>
    <w:rsid w:val="391D1835"/>
    <w:rsid w:val="393011DF"/>
    <w:rsid w:val="393F6939"/>
    <w:rsid w:val="39531681"/>
    <w:rsid w:val="395773D7"/>
    <w:rsid w:val="395776C2"/>
    <w:rsid w:val="395A2432"/>
    <w:rsid w:val="39674D74"/>
    <w:rsid w:val="396F44E1"/>
    <w:rsid w:val="398D7C0E"/>
    <w:rsid w:val="399A104D"/>
    <w:rsid w:val="39A12A7F"/>
    <w:rsid w:val="39AB195F"/>
    <w:rsid w:val="39B3565F"/>
    <w:rsid w:val="39D87C3D"/>
    <w:rsid w:val="39DC7D6B"/>
    <w:rsid w:val="39F258C3"/>
    <w:rsid w:val="39FA7523"/>
    <w:rsid w:val="3A032443"/>
    <w:rsid w:val="3A093B89"/>
    <w:rsid w:val="3A1C6436"/>
    <w:rsid w:val="3A213653"/>
    <w:rsid w:val="3A2F2EE2"/>
    <w:rsid w:val="3A306D3E"/>
    <w:rsid w:val="3A3978D4"/>
    <w:rsid w:val="3A3A4E59"/>
    <w:rsid w:val="3A4413D9"/>
    <w:rsid w:val="3A52116A"/>
    <w:rsid w:val="3A5E51DB"/>
    <w:rsid w:val="3A814599"/>
    <w:rsid w:val="3A867EF3"/>
    <w:rsid w:val="3A9A1B49"/>
    <w:rsid w:val="3A9C08C9"/>
    <w:rsid w:val="3A9E45E8"/>
    <w:rsid w:val="3AA4461C"/>
    <w:rsid w:val="3AB54F10"/>
    <w:rsid w:val="3AB812D4"/>
    <w:rsid w:val="3ABD07CA"/>
    <w:rsid w:val="3ABF173A"/>
    <w:rsid w:val="3ACB4575"/>
    <w:rsid w:val="3AE16670"/>
    <w:rsid w:val="3B0672D5"/>
    <w:rsid w:val="3B09279E"/>
    <w:rsid w:val="3B0F5F1E"/>
    <w:rsid w:val="3B152D72"/>
    <w:rsid w:val="3B167265"/>
    <w:rsid w:val="3B1F4E29"/>
    <w:rsid w:val="3B251BE5"/>
    <w:rsid w:val="3B381373"/>
    <w:rsid w:val="3B532EF7"/>
    <w:rsid w:val="3B5A66B7"/>
    <w:rsid w:val="3B794C82"/>
    <w:rsid w:val="3B81506E"/>
    <w:rsid w:val="3B841288"/>
    <w:rsid w:val="3B933C28"/>
    <w:rsid w:val="3B936B7F"/>
    <w:rsid w:val="3BA3661A"/>
    <w:rsid w:val="3BA47E26"/>
    <w:rsid w:val="3BAB6604"/>
    <w:rsid w:val="3BAD5F86"/>
    <w:rsid w:val="3BD056AD"/>
    <w:rsid w:val="3BE14396"/>
    <w:rsid w:val="3BFF22D8"/>
    <w:rsid w:val="3C051945"/>
    <w:rsid w:val="3C053819"/>
    <w:rsid w:val="3C0647FE"/>
    <w:rsid w:val="3C0F58B3"/>
    <w:rsid w:val="3C1C3B1D"/>
    <w:rsid w:val="3C1D3ACE"/>
    <w:rsid w:val="3C3A6FCB"/>
    <w:rsid w:val="3C3C3739"/>
    <w:rsid w:val="3C501295"/>
    <w:rsid w:val="3C577D9A"/>
    <w:rsid w:val="3C5C5CD9"/>
    <w:rsid w:val="3C6014BB"/>
    <w:rsid w:val="3C6767B1"/>
    <w:rsid w:val="3C6C2404"/>
    <w:rsid w:val="3C6E75F8"/>
    <w:rsid w:val="3C794DBC"/>
    <w:rsid w:val="3C9B215F"/>
    <w:rsid w:val="3C9B6632"/>
    <w:rsid w:val="3CB45269"/>
    <w:rsid w:val="3CBD176B"/>
    <w:rsid w:val="3CC77072"/>
    <w:rsid w:val="3CCB3EC8"/>
    <w:rsid w:val="3CD52D43"/>
    <w:rsid w:val="3CF9310E"/>
    <w:rsid w:val="3D01656E"/>
    <w:rsid w:val="3D0A565D"/>
    <w:rsid w:val="3D1F1D1A"/>
    <w:rsid w:val="3D3562F8"/>
    <w:rsid w:val="3D3A1978"/>
    <w:rsid w:val="3D3B3C1C"/>
    <w:rsid w:val="3D461658"/>
    <w:rsid w:val="3D5664CD"/>
    <w:rsid w:val="3D601390"/>
    <w:rsid w:val="3D626C48"/>
    <w:rsid w:val="3D65276D"/>
    <w:rsid w:val="3D67598A"/>
    <w:rsid w:val="3D695CB9"/>
    <w:rsid w:val="3D766BC9"/>
    <w:rsid w:val="3D7A73F8"/>
    <w:rsid w:val="3D8E75CE"/>
    <w:rsid w:val="3D9415E6"/>
    <w:rsid w:val="3D9468D9"/>
    <w:rsid w:val="3D9846DB"/>
    <w:rsid w:val="3DA51A1A"/>
    <w:rsid w:val="3DC26234"/>
    <w:rsid w:val="3DC85234"/>
    <w:rsid w:val="3DD16A04"/>
    <w:rsid w:val="3DD6719E"/>
    <w:rsid w:val="3DE64143"/>
    <w:rsid w:val="3DEC19A3"/>
    <w:rsid w:val="3DF75D5C"/>
    <w:rsid w:val="3DFA1107"/>
    <w:rsid w:val="3E0A1A59"/>
    <w:rsid w:val="3E1668CE"/>
    <w:rsid w:val="3E1A5082"/>
    <w:rsid w:val="3E2B13CF"/>
    <w:rsid w:val="3E31538C"/>
    <w:rsid w:val="3E444967"/>
    <w:rsid w:val="3E496DEB"/>
    <w:rsid w:val="3E4B369C"/>
    <w:rsid w:val="3E5C3729"/>
    <w:rsid w:val="3E5C591E"/>
    <w:rsid w:val="3E802756"/>
    <w:rsid w:val="3E8A248B"/>
    <w:rsid w:val="3E8D412D"/>
    <w:rsid w:val="3E8D61D1"/>
    <w:rsid w:val="3EB20C6F"/>
    <w:rsid w:val="3EB47508"/>
    <w:rsid w:val="3EBE3EE3"/>
    <w:rsid w:val="3EC040FF"/>
    <w:rsid w:val="3ECA0F53"/>
    <w:rsid w:val="3ECF3D01"/>
    <w:rsid w:val="3ED91991"/>
    <w:rsid w:val="3EE002FD"/>
    <w:rsid w:val="3EE63D24"/>
    <w:rsid w:val="3EE666D5"/>
    <w:rsid w:val="3EEE23EA"/>
    <w:rsid w:val="3F014A9E"/>
    <w:rsid w:val="3F045C1B"/>
    <w:rsid w:val="3F0809F2"/>
    <w:rsid w:val="3F094D32"/>
    <w:rsid w:val="3F141D55"/>
    <w:rsid w:val="3F240C89"/>
    <w:rsid w:val="3F290F59"/>
    <w:rsid w:val="3F3651F6"/>
    <w:rsid w:val="3F3C1640"/>
    <w:rsid w:val="3F400B4F"/>
    <w:rsid w:val="3F455F0A"/>
    <w:rsid w:val="3F632CDC"/>
    <w:rsid w:val="3F6C1C22"/>
    <w:rsid w:val="3F725B37"/>
    <w:rsid w:val="3F7A7A9C"/>
    <w:rsid w:val="3F8922C5"/>
    <w:rsid w:val="3FAC4683"/>
    <w:rsid w:val="3FBF39B8"/>
    <w:rsid w:val="3FBF4B13"/>
    <w:rsid w:val="3FBF51ED"/>
    <w:rsid w:val="3FC05CD3"/>
    <w:rsid w:val="3FC61B7D"/>
    <w:rsid w:val="3FCA44AC"/>
    <w:rsid w:val="3FCA68B7"/>
    <w:rsid w:val="3FCE7C87"/>
    <w:rsid w:val="3FE67B95"/>
    <w:rsid w:val="40083967"/>
    <w:rsid w:val="4028738E"/>
    <w:rsid w:val="402F4C19"/>
    <w:rsid w:val="403976D9"/>
    <w:rsid w:val="4043337C"/>
    <w:rsid w:val="404B4255"/>
    <w:rsid w:val="404F3DF0"/>
    <w:rsid w:val="40526114"/>
    <w:rsid w:val="40583EC3"/>
    <w:rsid w:val="4063599D"/>
    <w:rsid w:val="406B38BC"/>
    <w:rsid w:val="406B6741"/>
    <w:rsid w:val="407C6C62"/>
    <w:rsid w:val="40971974"/>
    <w:rsid w:val="40A5438E"/>
    <w:rsid w:val="40A72052"/>
    <w:rsid w:val="40AC57FF"/>
    <w:rsid w:val="40B97058"/>
    <w:rsid w:val="40DC52B9"/>
    <w:rsid w:val="40DF3F04"/>
    <w:rsid w:val="41004653"/>
    <w:rsid w:val="411221D8"/>
    <w:rsid w:val="411D073E"/>
    <w:rsid w:val="413E6AB0"/>
    <w:rsid w:val="41522586"/>
    <w:rsid w:val="41616E84"/>
    <w:rsid w:val="41646016"/>
    <w:rsid w:val="41705A91"/>
    <w:rsid w:val="417143B7"/>
    <w:rsid w:val="417B190A"/>
    <w:rsid w:val="418350E8"/>
    <w:rsid w:val="418D12FC"/>
    <w:rsid w:val="41CA2B9F"/>
    <w:rsid w:val="41D14914"/>
    <w:rsid w:val="41DB33A1"/>
    <w:rsid w:val="41FB5149"/>
    <w:rsid w:val="42013C8D"/>
    <w:rsid w:val="420E3FC4"/>
    <w:rsid w:val="421437F3"/>
    <w:rsid w:val="421F1CFC"/>
    <w:rsid w:val="42206E95"/>
    <w:rsid w:val="42313FFC"/>
    <w:rsid w:val="42356019"/>
    <w:rsid w:val="423F533B"/>
    <w:rsid w:val="424B6771"/>
    <w:rsid w:val="424B7EBF"/>
    <w:rsid w:val="424E4D53"/>
    <w:rsid w:val="4256677E"/>
    <w:rsid w:val="42576EE8"/>
    <w:rsid w:val="426C3C56"/>
    <w:rsid w:val="42796810"/>
    <w:rsid w:val="427E5F7E"/>
    <w:rsid w:val="429453D8"/>
    <w:rsid w:val="429B7258"/>
    <w:rsid w:val="42AB3D55"/>
    <w:rsid w:val="42C1358B"/>
    <w:rsid w:val="42C2426D"/>
    <w:rsid w:val="42C543D2"/>
    <w:rsid w:val="42C91E4B"/>
    <w:rsid w:val="43121EAE"/>
    <w:rsid w:val="432F66BA"/>
    <w:rsid w:val="4341194E"/>
    <w:rsid w:val="43467949"/>
    <w:rsid w:val="43517FCA"/>
    <w:rsid w:val="43521258"/>
    <w:rsid w:val="43570955"/>
    <w:rsid w:val="435A05AE"/>
    <w:rsid w:val="437B7BC6"/>
    <w:rsid w:val="43884A4E"/>
    <w:rsid w:val="43AB0B91"/>
    <w:rsid w:val="43B519E3"/>
    <w:rsid w:val="43BE69AD"/>
    <w:rsid w:val="43D57E9E"/>
    <w:rsid w:val="43DF7007"/>
    <w:rsid w:val="43F1079E"/>
    <w:rsid w:val="440A47BE"/>
    <w:rsid w:val="44164E8F"/>
    <w:rsid w:val="442C00F5"/>
    <w:rsid w:val="44333D28"/>
    <w:rsid w:val="44553FC6"/>
    <w:rsid w:val="44703ED1"/>
    <w:rsid w:val="447B1B0C"/>
    <w:rsid w:val="44801C3A"/>
    <w:rsid w:val="44857C98"/>
    <w:rsid w:val="448E33B8"/>
    <w:rsid w:val="44C61EA0"/>
    <w:rsid w:val="44CF1560"/>
    <w:rsid w:val="44DB5BE4"/>
    <w:rsid w:val="44DC072C"/>
    <w:rsid w:val="44E4390D"/>
    <w:rsid w:val="450125FC"/>
    <w:rsid w:val="45084DBB"/>
    <w:rsid w:val="450E2826"/>
    <w:rsid w:val="450E47A6"/>
    <w:rsid w:val="450F72DA"/>
    <w:rsid w:val="451E0AE6"/>
    <w:rsid w:val="45205ED5"/>
    <w:rsid w:val="4538531F"/>
    <w:rsid w:val="455C454F"/>
    <w:rsid w:val="456A61E5"/>
    <w:rsid w:val="456B5DF1"/>
    <w:rsid w:val="458351B5"/>
    <w:rsid w:val="45836C6E"/>
    <w:rsid w:val="45902834"/>
    <w:rsid w:val="45A6698F"/>
    <w:rsid w:val="45AF0BD2"/>
    <w:rsid w:val="45BC6CA2"/>
    <w:rsid w:val="45D608E4"/>
    <w:rsid w:val="45E7164D"/>
    <w:rsid w:val="460D6E88"/>
    <w:rsid w:val="460F384E"/>
    <w:rsid w:val="4618037D"/>
    <w:rsid w:val="461941FA"/>
    <w:rsid w:val="461B0FB0"/>
    <w:rsid w:val="4623640A"/>
    <w:rsid w:val="4628120E"/>
    <w:rsid w:val="463B744B"/>
    <w:rsid w:val="464B2BE5"/>
    <w:rsid w:val="46593066"/>
    <w:rsid w:val="46734B2F"/>
    <w:rsid w:val="467C71F6"/>
    <w:rsid w:val="467F664E"/>
    <w:rsid w:val="46841DAD"/>
    <w:rsid w:val="46850148"/>
    <w:rsid w:val="46A00C25"/>
    <w:rsid w:val="46A00E98"/>
    <w:rsid w:val="46A82A5C"/>
    <w:rsid w:val="46B51F9D"/>
    <w:rsid w:val="46BE4B6D"/>
    <w:rsid w:val="46C9474D"/>
    <w:rsid w:val="46CA3BAA"/>
    <w:rsid w:val="46F5239B"/>
    <w:rsid w:val="47021A6D"/>
    <w:rsid w:val="471264E6"/>
    <w:rsid w:val="47182548"/>
    <w:rsid w:val="47363AB2"/>
    <w:rsid w:val="47397970"/>
    <w:rsid w:val="47406AD6"/>
    <w:rsid w:val="4745728D"/>
    <w:rsid w:val="47662B33"/>
    <w:rsid w:val="47665118"/>
    <w:rsid w:val="4779309D"/>
    <w:rsid w:val="478D27C5"/>
    <w:rsid w:val="47A7358C"/>
    <w:rsid w:val="47BB1907"/>
    <w:rsid w:val="47DD5E3B"/>
    <w:rsid w:val="47E44AE7"/>
    <w:rsid w:val="47E91279"/>
    <w:rsid w:val="47F10A2F"/>
    <w:rsid w:val="47FA1658"/>
    <w:rsid w:val="48153ADF"/>
    <w:rsid w:val="48191D1B"/>
    <w:rsid w:val="481B6CE8"/>
    <w:rsid w:val="481B6F6A"/>
    <w:rsid w:val="481E4553"/>
    <w:rsid w:val="48394A06"/>
    <w:rsid w:val="483F7FF4"/>
    <w:rsid w:val="485C735E"/>
    <w:rsid w:val="48706589"/>
    <w:rsid w:val="487B78BB"/>
    <w:rsid w:val="489766FE"/>
    <w:rsid w:val="489839F7"/>
    <w:rsid w:val="48DE6CFF"/>
    <w:rsid w:val="48E22519"/>
    <w:rsid w:val="48EE505E"/>
    <w:rsid w:val="48F36E7F"/>
    <w:rsid w:val="48F70838"/>
    <w:rsid w:val="490A5EFA"/>
    <w:rsid w:val="49254209"/>
    <w:rsid w:val="492D336C"/>
    <w:rsid w:val="49307D02"/>
    <w:rsid w:val="49442157"/>
    <w:rsid w:val="4949787E"/>
    <w:rsid w:val="49497FB0"/>
    <w:rsid w:val="4950084E"/>
    <w:rsid w:val="49505B79"/>
    <w:rsid w:val="49525A84"/>
    <w:rsid w:val="496D4254"/>
    <w:rsid w:val="498D259F"/>
    <w:rsid w:val="49905125"/>
    <w:rsid w:val="499406C3"/>
    <w:rsid w:val="49A766F0"/>
    <w:rsid w:val="49AA1C33"/>
    <w:rsid w:val="49AC0F2C"/>
    <w:rsid w:val="49B50FFC"/>
    <w:rsid w:val="49B96F74"/>
    <w:rsid w:val="49C6777F"/>
    <w:rsid w:val="49CE4B34"/>
    <w:rsid w:val="49D047E3"/>
    <w:rsid w:val="4A096F32"/>
    <w:rsid w:val="4A0A1939"/>
    <w:rsid w:val="4A17094B"/>
    <w:rsid w:val="4A1C2405"/>
    <w:rsid w:val="4A1F48EF"/>
    <w:rsid w:val="4A3903FC"/>
    <w:rsid w:val="4A3E033F"/>
    <w:rsid w:val="4A626327"/>
    <w:rsid w:val="4A697A4F"/>
    <w:rsid w:val="4A6E4770"/>
    <w:rsid w:val="4A8074DC"/>
    <w:rsid w:val="4A8426C4"/>
    <w:rsid w:val="4AA16F16"/>
    <w:rsid w:val="4AA70E45"/>
    <w:rsid w:val="4AA712E4"/>
    <w:rsid w:val="4ADA02F6"/>
    <w:rsid w:val="4AE23732"/>
    <w:rsid w:val="4AEA3325"/>
    <w:rsid w:val="4B001A50"/>
    <w:rsid w:val="4B0C1B65"/>
    <w:rsid w:val="4B287AD3"/>
    <w:rsid w:val="4B350CF8"/>
    <w:rsid w:val="4B365F2A"/>
    <w:rsid w:val="4B4775D5"/>
    <w:rsid w:val="4B4F0969"/>
    <w:rsid w:val="4B5B166A"/>
    <w:rsid w:val="4B6953A5"/>
    <w:rsid w:val="4B6B3D60"/>
    <w:rsid w:val="4B7D1212"/>
    <w:rsid w:val="4B910BCA"/>
    <w:rsid w:val="4B9C3D29"/>
    <w:rsid w:val="4BA777B2"/>
    <w:rsid w:val="4BA9441E"/>
    <w:rsid w:val="4BAE1092"/>
    <w:rsid w:val="4BB6256B"/>
    <w:rsid w:val="4BCB5E91"/>
    <w:rsid w:val="4BD75C31"/>
    <w:rsid w:val="4BD808A2"/>
    <w:rsid w:val="4BE312F6"/>
    <w:rsid w:val="4BEA5AAE"/>
    <w:rsid w:val="4BF72BD1"/>
    <w:rsid w:val="4BFB26A0"/>
    <w:rsid w:val="4BFF2BEE"/>
    <w:rsid w:val="4C0373D9"/>
    <w:rsid w:val="4C192192"/>
    <w:rsid w:val="4C267D14"/>
    <w:rsid w:val="4C2E30BD"/>
    <w:rsid w:val="4C4621D7"/>
    <w:rsid w:val="4C4D59EB"/>
    <w:rsid w:val="4C5133AE"/>
    <w:rsid w:val="4C5A4D92"/>
    <w:rsid w:val="4C6A3EFA"/>
    <w:rsid w:val="4C6D5E8C"/>
    <w:rsid w:val="4C73127D"/>
    <w:rsid w:val="4C8D4C15"/>
    <w:rsid w:val="4C9C191F"/>
    <w:rsid w:val="4CB44B77"/>
    <w:rsid w:val="4CCD7B11"/>
    <w:rsid w:val="4CD33736"/>
    <w:rsid w:val="4CD34064"/>
    <w:rsid w:val="4CD4213C"/>
    <w:rsid w:val="4CD56D0B"/>
    <w:rsid w:val="4D037FFD"/>
    <w:rsid w:val="4D0B0C3B"/>
    <w:rsid w:val="4D0C42FE"/>
    <w:rsid w:val="4D112D9D"/>
    <w:rsid w:val="4D112E97"/>
    <w:rsid w:val="4D1B275A"/>
    <w:rsid w:val="4D1F1ED3"/>
    <w:rsid w:val="4D3E0F77"/>
    <w:rsid w:val="4D44121F"/>
    <w:rsid w:val="4D447CA9"/>
    <w:rsid w:val="4D49642D"/>
    <w:rsid w:val="4D4A4A1F"/>
    <w:rsid w:val="4D5F5AE6"/>
    <w:rsid w:val="4D623C7C"/>
    <w:rsid w:val="4D6E04B4"/>
    <w:rsid w:val="4D731CC3"/>
    <w:rsid w:val="4D7C0AFF"/>
    <w:rsid w:val="4D7D10D1"/>
    <w:rsid w:val="4D7F3B64"/>
    <w:rsid w:val="4D834F92"/>
    <w:rsid w:val="4DD06867"/>
    <w:rsid w:val="4DD21759"/>
    <w:rsid w:val="4DF73CFF"/>
    <w:rsid w:val="4DF8460E"/>
    <w:rsid w:val="4E0A11FB"/>
    <w:rsid w:val="4E28581D"/>
    <w:rsid w:val="4E314FA6"/>
    <w:rsid w:val="4E475BE8"/>
    <w:rsid w:val="4E52608A"/>
    <w:rsid w:val="4E5E4194"/>
    <w:rsid w:val="4E6224A9"/>
    <w:rsid w:val="4E684148"/>
    <w:rsid w:val="4E801C1F"/>
    <w:rsid w:val="4E86609F"/>
    <w:rsid w:val="4E996FEF"/>
    <w:rsid w:val="4EA16178"/>
    <w:rsid w:val="4EC1405C"/>
    <w:rsid w:val="4ECB257C"/>
    <w:rsid w:val="4ECC1985"/>
    <w:rsid w:val="4EF91CD9"/>
    <w:rsid w:val="4F0C0A3A"/>
    <w:rsid w:val="4F130E5A"/>
    <w:rsid w:val="4F227A85"/>
    <w:rsid w:val="4F241FA6"/>
    <w:rsid w:val="4F613A78"/>
    <w:rsid w:val="4F675763"/>
    <w:rsid w:val="4F7F0A92"/>
    <w:rsid w:val="4F894B0F"/>
    <w:rsid w:val="4F8D7DFF"/>
    <w:rsid w:val="4F922537"/>
    <w:rsid w:val="4F9F38BD"/>
    <w:rsid w:val="4FA61FF4"/>
    <w:rsid w:val="4FB530E0"/>
    <w:rsid w:val="4FB64093"/>
    <w:rsid w:val="4FB97304"/>
    <w:rsid w:val="4FBA4253"/>
    <w:rsid w:val="4FC15BF4"/>
    <w:rsid w:val="4FEC78D2"/>
    <w:rsid w:val="4FFF25AD"/>
    <w:rsid w:val="4FFF6109"/>
    <w:rsid w:val="50521620"/>
    <w:rsid w:val="50610244"/>
    <w:rsid w:val="506C27EE"/>
    <w:rsid w:val="508D1E50"/>
    <w:rsid w:val="509D1A11"/>
    <w:rsid w:val="50B35364"/>
    <w:rsid w:val="50BA7FE1"/>
    <w:rsid w:val="50C20DBE"/>
    <w:rsid w:val="50C81DAD"/>
    <w:rsid w:val="50D465B2"/>
    <w:rsid w:val="50E73035"/>
    <w:rsid w:val="50F12241"/>
    <w:rsid w:val="50F7133E"/>
    <w:rsid w:val="50F907D1"/>
    <w:rsid w:val="5100307C"/>
    <w:rsid w:val="510323AF"/>
    <w:rsid w:val="510E0CFA"/>
    <w:rsid w:val="51120799"/>
    <w:rsid w:val="5121043D"/>
    <w:rsid w:val="512545E8"/>
    <w:rsid w:val="512A78F9"/>
    <w:rsid w:val="5134567A"/>
    <w:rsid w:val="51474FB8"/>
    <w:rsid w:val="514C35D0"/>
    <w:rsid w:val="51547B7A"/>
    <w:rsid w:val="516C3C72"/>
    <w:rsid w:val="516E6D39"/>
    <w:rsid w:val="51A62F31"/>
    <w:rsid w:val="51A766BA"/>
    <w:rsid w:val="51AA19E6"/>
    <w:rsid w:val="51B32563"/>
    <w:rsid w:val="51B40ABA"/>
    <w:rsid w:val="51BA3947"/>
    <w:rsid w:val="51C07729"/>
    <w:rsid w:val="51C0798A"/>
    <w:rsid w:val="51D57A6A"/>
    <w:rsid w:val="51E246CB"/>
    <w:rsid w:val="51F2634E"/>
    <w:rsid w:val="51F30CC1"/>
    <w:rsid w:val="520018FE"/>
    <w:rsid w:val="52157E66"/>
    <w:rsid w:val="522751B2"/>
    <w:rsid w:val="522C2FE0"/>
    <w:rsid w:val="52343375"/>
    <w:rsid w:val="523B5602"/>
    <w:rsid w:val="523E07C2"/>
    <w:rsid w:val="524455C5"/>
    <w:rsid w:val="52546CFC"/>
    <w:rsid w:val="525B7AEE"/>
    <w:rsid w:val="52682A99"/>
    <w:rsid w:val="526C3077"/>
    <w:rsid w:val="52734033"/>
    <w:rsid w:val="527C653A"/>
    <w:rsid w:val="527F3531"/>
    <w:rsid w:val="5292215D"/>
    <w:rsid w:val="52A61A84"/>
    <w:rsid w:val="52B44F30"/>
    <w:rsid w:val="52B53444"/>
    <w:rsid w:val="52C2198F"/>
    <w:rsid w:val="52DB7FBB"/>
    <w:rsid w:val="52E77A54"/>
    <w:rsid w:val="52F2791E"/>
    <w:rsid w:val="52F34E1B"/>
    <w:rsid w:val="52F922F5"/>
    <w:rsid w:val="52FC07A5"/>
    <w:rsid w:val="52FE3D97"/>
    <w:rsid w:val="53001838"/>
    <w:rsid w:val="53092A3F"/>
    <w:rsid w:val="5320106E"/>
    <w:rsid w:val="53271357"/>
    <w:rsid w:val="532B76E2"/>
    <w:rsid w:val="53312A7E"/>
    <w:rsid w:val="534F55FA"/>
    <w:rsid w:val="536F18D6"/>
    <w:rsid w:val="53883286"/>
    <w:rsid w:val="539407B9"/>
    <w:rsid w:val="53A12E5B"/>
    <w:rsid w:val="53A37EAF"/>
    <w:rsid w:val="53C03E02"/>
    <w:rsid w:val="53D31D87"/>
    <w:rsid w:val="53DA65A2"/>
    <w:rsid w:val="53DD3F3B"/>
    <w:rsid w:val="53E237EB"/>
    <w:rsid w:val="53EB0AC0"/>
    <w:rsid w:val="53F35EC6"/>
    <w:rsid w:val="53F84B92"/>
    <w:rsid w:val="53FB1AC7"/>
    <w:rsid w:val="54093EF2"/>
    <w:rsid w:val="540B4DEB"/>
    <w:rsid w:val="54103174"/>
    <w:rsid w:val="54194021"/>
    <w:rsid w:val="541F6D7A"/>
    <w:rsid w:val="54230B78"/>
    <w:rsid w:val="54266CE3"/>
    <w:rsid w:val="54295B69"/>
    <w:rsid w:val="54332825"/>
    <w:rsid w:val="54336A49"/>
    <w:rsid w:val="543547EF"/>
    <w:rsid w:val="54486D3C"/>
    <w:rsid w:val="544A4E78"/>
    <w:rsid w:val="545D613B"/>
    <w:rsid w:val="5483295E"/>
    <w:rsid w:val="54840A85"/>
    <w:rsid w:val="548C784D"/>
    <w:rsid w:val="54992FD0"/>
    <w:rsid w:val="549C78A5"/>
    <w:rsid w:val="549F41F8"/>
    <w:rsid w:val="54A14AFF"/>
    <w:rsid w:val="54A37B6E"/>
    <w:rsid w:val="54AE4039"/>
    <w:rsid w:val="54C2624A"/>
    <w:rsid w:val="54C93390"/>
    <w:rsid w:val="54ED1084"/>
    <w:rsid w:val="54F94E0B"/>
    <w:rsid w:val="55136283"/>
    <w:rsid w:val="55344721"/>
    <w:rsid w:val="55375206"/>
    <w:rsid w:val="554546A3"/>
    <w:rsid w:val="554F01D4"/>
    <w:rsid w:val="555869E6"/>
    <w:rsid w:val="55626B8A"/>
    <w:rsid w:val="55732745"/>
    <w:rsid w:val="55747599"/>
    <w:rsid w:val="55752A7C"/>
    <w:rsid w:val="55912685"/>
    <w:rsid w:val="55933E10"/>
    <w:rsid w:val="5595676A"/>
    <w:rsid w:val="55974804"/>
    <w:rsid w:val="55AD03B6"/>
    <w:rsid w:val="55CC73D2"/>
    <w:rsid w:val="55D37750"/>
    <w:rsid w:val="55F241B7"/>
    <w:rsid w:val="55F3162F"/>
    <w:rsid w:val="55F948BF"/>
    <w:rsid w:val="55FF559A"/>
    <w:rsid w:val="562D691C"/>
    <w:rsid w:val="563015F5"/>
    <w:rsid w:val="563739E0"/>
    <w:rsid w:val="563C6200"/>
    <w:rsid w:val="565232B5"/>
    <w:rsid w:val="565667A1"/>
    <w:rsid w:val="565B13F8"/>
    <w:rsid w:val="56805E78"/>
    <w:rsid w:val="568173D7"/>
    <w:rsid w:val="56B406F7"/>
    <w:rsid w:val="56BF01D0"/>
    <w:rsid w:val="56C64A72"/>
    <w:rsid w:val="56D204A9"/>
    <w:rsid w:val="56D55E16"/>
    <w:rsid w:val="56DB7934"/>
    <w:rsid w:val="56ED41F4"/>
    <w:rsid w:val="56EF070D"/>
    <w:rsid w:val="570606C5"/>
    <w:rsid w:val="570B4191"/>
    <w:rsid w:val="5715459E"/>
    <w:rsid w:val="5718212E"/>
    <w:rsid w:val="571E77BD"/>
    <w:rsid w:val="573349D5"/>
    <w:rsid w:val="57413FBB"/>
    <w:rsid w:val="575B6E14"/>
    <w:rsid w:val="575E7AAD"/>
    <w:rsid w:val="5764454B"/>
    <w:rsid w:val="57713BBE"/>
    <w:rsid w:val="578074C0"/>
    <w:rsid w:val="578D61C5"/>
    <w:rsid w:val="57950DB9"/>
    <w:rsid w:val="5797066A"/>
    <w:rsid w:val="57A1181C"/>
    <w:rsid w:val="57AD787A"/>
    <w:rsid w:val="57AF6C7A"/>
    <w:rsid w:val="57BB095D"/>
    <w:rsid w:val="57CC4F2E"/>
    <w:rsid w:val="57CD5299"/>
    <w:rsid w:val="57D159BF"/>
    <w:rsid w:val="57D6796F"/>
    <w:rsid w:val="57DE7A31"/>
    <w:rsid w:val="57E360F0"/>
    <w:rsid w:val="57ED221D"/>
    <w:rsid w:val="580E65FD"/>
    <w:rsid w:val="581501AB"/>
    <w:rsid w:val="5826590F"/>
    <w:rsid w:val="583A63D7"/>
    <w:rsid w:val="584D3069"/>
    <w:rsid w:val="585413EB"/>
    <w:rsid w:val="58576C21"/>
    <w:rsid w:val="585D7196"/>
    <w:rsid w:val="586B7B49"/>
    <w:rsid w:val="58725C9A"/>
    <w:rsid w:val="58774213"/>
    <w:rsid w:val="587A69BA"/>
    <w:rsid w:val="58A176EB"/>
    <w:rsid w:val="58A832FF"/>
    <w:rsid w:val="58D470BE"/>
    <w:rsid w:val="58D75E75"/>
    <w:rsid w:val="59013F91"/>
    <w:rsid w:val="59260BFD"/>
    <w:rsid w:val="593A2C41"/>
    <w:rsid w:val="59480568"/>
    <w:rsid w:val="595A7612"/>
    <w:rsid w:val="59617780"/>
    <w:rsid w:val="598D4786"/>
    <w:rsid w:val="598F6769"/>
    <w:rsid w:val="59997B39"/>
    <w:rsid w:val="599A0029"/>
    <w:rsid w:val="59C0433F"/>
    <w:rsid w:val="59C06AC3"/>
    <w:rsid w:val="59C14CFB"/>
    <w:rsid w:val="59CE14DB"/>
    <w:rsid w:val="59E23230"/>
    <w:rsid w:val="59EC5A68"/>
    <w:rsid w:val="59FF1181"/>
    <w:rsid w:val="5A172436"/>
    <w:rsid w:val="5A68473E"/>
    <w:rsid w:val="5A843B88"/>
    <w:rsid w:val="5A8F4CE7"/>
    <w:rsid w:val="5A9778B5"/>
    <w:rsid w:val="5A9E1775"/>
    <w:rsid w:val="5AA93800"/>
    <w:rsid w:val="5AAC7F9D"/>
    <w:rsid w:val="5AC021B2"/>
    <w:rsid w:val="5AC025E4"/>
    <w:rsid w:val="5AC74C4F"/>
    <w:rsid w:val="5AC854E8"/>
    <w:rsid w:val="5ACA0CD9"/>
    <w:rsid w:val="5ADD68E8"/>
    <w:rsid w:val="5AFE4F57"/>
    <w:rsid w:val="5B125E36"/>
    <w:rsid w:val="5B153C0F"/>
    <w:rsid w:val="5B1C4D20"/>
    <w:rsid w:val="5B254D67"/>
    <w:rsid w:val="5B416145"/>
    <w:rsid w:val="5B4B2ACF"/>
    <w:rsid w:val="5B4F6D82"/>
    <w:rsid w:val="5B5D22CB"/>
    <w:rsid w:val="5B6D5390"/>
    <w:rsid w:val="5B6F0BAC"/>
    <w:rsid w:val="5B936881"/>
    <w:rsid w:val="5B956ACC"/>
    <w:rsid w:val="5BA54009"/>
    <w:rsid w:val="5BB13615"/>
    <w:rsid w:val="5BD366CB"/>
    <w:rsid w:val="5BD45E1E"/>
    <w:rsid w:val="5BD90707"/>
    <w:rsid w:val="5BDB5A82"/>
    <w:rsid w:val="5BDC409E"/>
    <w:rsid w:val="5BE56D11"/>
    <w:rsid w:val="5BEC74D5"/>
    <w:rsid w:val="5BF65BE9"/>
    <w:rsid w:val="5C013209"/>
    <w:rsid w:val="5C1A3D47"/>
    <w:rsid w:val="5C2D4BD5"/>
    <w:rsid w:val="5C484BB0"/>
    <w:rsid w:val="5C4D206B"/>
    <w:rsid w:val="5C633EEB"/>
    <w:rsid w:val="5C767D0C"/>
    <w:rsid w:val="5C8B232B"/>
    <w:rsid w:val="5CAA0D70"/>
    <w:rsid w:val="5CBB6631"/>
    <w:rsid w:val="5CC9022C"/>
    <w:rsid w:val="5CF70ACB"/>
    <w:rsid w:val="5CFB0B39"/>
    <w:rsid w:val="5CFC2B52"/>
    <w:rsid w:val="5D0223B2"/>
    <w:rsid w:val="5D0F0B02"/>
    <w:rsid w:val="5D0F6F74"/>
    <w:rsid w:val="5D163E83"/>
    <w:rsid w:val="5D1711DE"/>
    <w:rsid w:val="5D1B346C"/>
    <w:rsid w:val="5D205136"/>
    <w:rsid w:val="5D220DB3"/>
    <w:rsid w:val="5D2250FE"/>
    <w:rsid w:val="5D337CE1"/>
    <w:rsid w:val="5D3E6250"/>
    <w:rsid w:val="5D6677C8"/>
    <w:rsid w:val="5D69082B"/>
    <w:rsid w:val="5D7178AC"/>
    <w:rsid w:val="5D79399F"/>
    <w:rsid w:val="5D814191"/>
    <w:rsid w:val="5D8D2FA6"/>
    <w:rsid w:val="5DAA6273"/>
    <w:rsid w:val="5DCA273B"/>
    <w:rsid w:val="5DD03BF7"/>
    <w:rsid w:val="5DD41E06"/>
    <w:rsid w:val="5DD705BC"/>
    <w:rsid w:val="5DDF2273"/>
    <w:rsid w:val="5DE60277"/>
    <w:rsid w:val="5DE65739"/>
    <w:rsid w:val="5DF12ACB"/>
    <w:rsid w:val="5DFC5048"/>
    <w:rsid w:val="5E004B0E"/>
    <w:rsid w:val="5E0750ED"/>
    <w:rsid w:val="5E121C99"/>
    <w:rsid w:val="5E133B2D"/>
    <w:rsid w:val="5E296815"/>
    <w:rsid w:val="5E327DFC"/>
    <w:rsid w:val="5E404CF3"/>
    <w:rsid w:val="5E4B16FA"/>
    <w:rsid w:val="5E4D336F"/>
    <w:rsid w:val="5E630803"/>
    <w:rsid w:val="5E9A1E1F"/>
    <w:rsid w:val="5EB95F38"/>
    <w:rsid w:val="5EBB3C07"/>
    <w:rsid w:val="5EC964BF"/>
    <w:rsid w:val="5EEF7EBC"/>
    <w:rsid w:val="5EF76065"/>
    <w:rsid w:val="5F01083B"/>
    <w:rsid w:val="5F0955DE"/>
    <w:rsid w:val="5F096FA4"/>
    <w:rsid w:val="5F107F90"/>
    <w:rsid w:val="5F2446EC"/>
    <w:rsid w:val="5F396E05"/>
    <w:rsid w:val="5F3E2326"/>
    <w:rsid w:val="5F775BA8"/>
    <w:rsid w:val="5F786FE1"/>
    <w:rsid w:val="5F844CB6"/>
    <w:rsid w:val="5F9610B5"/>
    <w:rsid w:val="5F994DC7"/>
    <w:rsid w:val="5F9F171B"/>
    <w:rsid w:val="5FD8234F"/>
    <w:rsid w:val="5FE01604"/>
    <w:rsid w:val="5FE81340"/>
    <w:rsid w:val="5FEA3943"/>
    <w:rsid w:val="5FEF2663"/>
    <w:rsid w:val="5FF71D11"/>
    <w:rsid w:val="5FF76DFD"/>
    <w:rsid w:val="60021C23"/>
    <w:rsid w:val="60023A4D"/>
    <w:rsid w:val="6011735D"/>
    <w:rsid w:val="601B0221"/>
    <w:rsid w:val="601E31A8"/>
    <w:rsid w:val="602D5175"/>
    <w:rsid w:val="604D762F"/>
    <w:rsid w:val="605204D7"/>
    <w:rsid w:val="60547127"/>
    <w:rsid w:val="6060551A"/>
    <w:rsid w:val="6062067B"/>
    <w:rsid w:val="6062565B"/>
    <w:rsid w:val="606B16ED"/>
    <w:rsid w:val="607B71E6"/>
    <w:rsid w:val="609B34F1"/>
    <w:rsid w:val="60A10F9E"/>
    <w:rsid w:val="60AF70F2"/>
    <w:rsid w:val="60C4222D"/>
    <w:rsid w:val="60C747D0"/>
    <w:rsid w:val="60C969EB"/>
    <w:rsid w:val="60D02C5F"/>
    <w:rsid w:val="60E45356"/>
    <w:rsid w:val="60E8471D"/>
    <w:rsid w:val="60EE1D70"/>
    <w:rsid w:val="60FD112E"/>
    <w:rsid w:val="610D18AA"/>
    <w:rsid w:val="6113320C"/>
    <w:rsid w:val="61190C6A"/>
    <w:rsid w:val="61245FAF"/>
    <w:rsid w:val="61394D19"/>
    <w:rsid w:val="614148B9"/>
    <w:rsid w:val="6144015D"/>
    <w:rsid w:val="614F78C2"/>
    <w:rsid w:val="61663D02"/>
    <w:rsid w:val="61675B66"/>
    <w:rsid w:val="617B2E1D"/>
    <w:rsid w:val="61867CAF"/>
    <w:rsid w:val="618822DD"/>
    <w:rsid w:val="618C6276"/>
    <w:rsid w:val="61963666"/>
    <w:rsid w:val="619817DB"/>
    <w:rsid w:val="61A22D98"/>
    <w:rsid w:val="61A61727"/>
    <w:rsid w:val="61A75BB1"/>
    <w:rsid w:val="61AC42C2"/>
    <w:rsid w:val="61CC0AFB"/>
    <w:rsid w:val="61D07906"/>
    <w:rsid w:val="61DA6B66"/>
    <w:rsid w:val="61E11B0F"/>
    <w:rsid w:val="61ED2765"/>
    <w:rsid w:val="61F32928"/>
    <w:rsid w:val="620541FB"/>
    <w:rsid w:val="620F4FB2"/>
    <w:rsid w:val="622870D1"/>
    <w:rsid w:val="622C05BC"/>
    <w:rsid w:val="622E0C4B"/>
    <w:rsid w:val="624D2690"/>
    <w:rsid w:val="62503D29"/>
    <w:rsid w:val="62620EA5"/>
    <w:rsid w:val="627043D4"/>
    <w:rsid w:val="62743107"/>
    <w:rsid w:val="62776BF7"/>
    <w:rsid w:val="62A06F0B"/>
    <w:rsid w:val="62A747DB"/>
    <w:rsid w:val="62B15A3C"/>
    <w:rsid w:val="62B44897"/>
    <w:rsid w:val="62BB1B16"/>
    <w:rsid w:val="62BB7C17"/>
    <w:rsid w:val="62C918FF"/>
    <w:rsid w:val="62E40955"/>
    <w:rsid w:val="62E713AB"/>
    <w:rsid w:val="62FC3944"/>
    <w:rsid w:val="630174AF"/>
    <w:rsid w:val="63035366"/>
    <w:rsid w:val="63067C81"/>
    <w:rsid w:val="6307712A"/>
    <w:rsid w:val="63147832"/>
    <w:rsid w:val="634D655E"/>
    <w:rsid w:val="636863E4"/>
    <w:rsid w:val="636C5DB1"/>
    <w:rsid w:val="63747D10"/>
    <w:rsid w:val="63823A38"/>
    <w:rsid w:val="638A01A3"/>
    <w:rsid w:val="638E6162"/>
    <w:rsid w:val="639815B5"/>
    <w:rsid w:val="639A0B42"/>
    <w:rsid w:val="63D15B25"/>
    <w:rsid w:val="63D61972"/>
    <w:rsid w:val="63DA1443"/>
    <w:rsid w:val="640333DA"/>
    <w:rsid w:val="641A349A"/>
    <w:rsid w:val="64550596"/>
    <w:rsid w:val="645E569D"/>
    <w:rsid w:val="64754794"/>
    <w:rsid w:val="64911090"/>
    <w:rsid w:val="649B30D3"/>
    <w:rsid w:val="64A3523C"/>
    <w:rsid w:val="64A42877"/>
    <w:rsid w:val="64B74BA4"/>
    <w:rsid w:val="64BB664B"/>
    <w:rsid w:val="64BD0615"/>
    <w:rsid w:val="64C626D7"/>
    <w:rsid w:val="64E43619"/>
    <w:rsid w:val="64E536C8"/>
    <w:rsid w:val="64EC50EB"/>
    <w:rsid w:val="64F1206D"/>
    <w:rsid w:val="64F20674"/>
    <w:rsid w:val="64F4666B"/>
    <w:rsid w:val="65264848"/>
    <w:rsid w:val="653E3F30"/>
    <w:rsid w:val="653F7E64"/>
    <w:rsid w:val="65403B7E"/>
    <w:rsid w:val="654927CA"/>
    <w:rsid w:val="65533405"/>
    <w:rsid w:val="655950A0"/>
    <w:rsid w:val="65670462"/>
    <w:rsid w:val="656B0071"/>
    <w:rsid w:val="65706965"/>
    <w:rsid w:val="657E7C4B"/>
    <w:rsid w:val="657F532C"/>
    <w:rsid w:val="658350D5"/>
    <w:rsid w:val="658512C6"/>
    <w:rsid w:val="659B5369"/>
    <w:rsid w:val="659E4166"/>
    <w:rsid w:val="65A600D4"/>
    <w:rsid w:val="65B44FAA"/>
    <w:rsid w:val="65D36C75"/>
    <w:rsid w:val="65E60204"/>
    <w:rsid w:val="66114029"/>
    <w:rsid w:val="662E0FC6"/>
    <w:rsid w:val="663568D1"/>
    <w:rsid w:val="6638713E"/>
    <w:rsid w:val="663B7A3A"/>
    <w:rsid w:val="66445874"/>
    <w:rsid w:val="66476B75"/>
    <w:rsid w:val="66816A08"/>
    <w:rsid w:val="66884328"/>
    <w:rsid w:val="669D7EF7"/>
    <w:rsid w:val="669F3D81"/>
    <w:rsid w:val="66A97248"/>
    <w:rsid w:val="66B15F58"/>
    <w:rsid w:val="66C22987"/>
    <w:rsid w:val="66D34CB7"/>
    <w:rsid w:val="66F66060"/>
    <w:rsid w:val="66F957FF"/>
    <w:rsid w:val="66FC47BC"/>
    <w:rsid w:val="673D4464"/>
    <w:rsid w:val="675E3509"/>
    <w:rsid w:val="67656900"/>
    <w:rsid w:val="6793498E"/>
    <w:rsid w:val="67A07D7A"/>
    <w:rsid w:val="67B62E41"/>
    <w:rsid w:val="67BE626A"/>
    <w:rsid w:val="67BF46A4"/>
    <w:rsid w:val="67F037C7"/>
    <w:rsid w:val="67F97282"/>
    <w:rsid w:val="67FB479D"/>
    <w:rsid w:val="6808604B"/>
    <w:rsid w:val="680970B9"/>
    <w:rsid w:val="682B1D3A"/>
    <w:rsid w:val="68336E0E"/>
    <w:rsid w:val="685748DD"/>
    <w:rsid w:val="6861285B"/>
    <w:rsid w:val="68935752"/>
    <w:rsid w:val="689C0EE5"/>
    <w:rsid w:val="68A8135C"/>
    <w:rsid w:val="68B00491"/>
    <w:rsid w:val="68B31D7C"/>
    <w:rsid w:val="68B7181F"/>
    <w:rsid w:val="68D71AE6"/>
    <w:rsid w:val="68EB12D2"/>
    <w:rsid w:val="68EF4FB1"/>
    <w:rsid w:val="69002CA6"/>
    <w:rsid w:val="690336DE"/>
    <w:rsid w:val="69123407"/>
    <w:rsid w:val="6922601E"/>
    <w:rsid w:val="69302794"/>
    <w:rsid w:val="69433902"/>
    <w:rsid w:val="694F1A58"/>
    <w:rsid w:val="695347A3"/>
    <w:rsid w:val="695420E3"/>
    <w:rsid w:val="6954706E"/>
    <w:rsid w:val="695D70C6"/>
    <w:rsid w:val="69636AC2"/>
    <w:rsid w:val="697A4C80"/>
    <w:rsid w:val="6981108B"/>
    <w:rsid w:val="698C2586"/>
    <w:rsid w:val="698F1C3B"/>
    <w:rsid w:val="69A73822"/>
    <w:rsid w:val="69B02F3B"/>
    <w:rsid w:val="69CC62FE"/>
    <w:rsid w:val="69CE3951"/>
    <w:rsid w:val="69F65C2D"/>
    <w:rsid w:val="6A0557BB"/>
    <w:rsid w:val="6A08163E"/>
    <w:rsid w:val="6A087466"/>
    <w:rsid w:val="6A1E1A12"/>
    <w:rsid w:val="6A1E4386"/>
    <w:rsid w:val="6A4B1615"/>
    <w:rsid w:val="6A513574"/>
    <w:rsid w:val="6A54703E"/>
    <w:rsid w:val="6A5E3FAF"/>
    <w:rsid w:val="6A6B7D02"/>
    <w:rsid w:val="6A8F6798"/>
    <w:rsid w:val="6AA27F81"/>
    <w:rsid w:val="6AD02ECE"/>
    <w:rsid w:val="6AD338A1"/>
    <w:rsid w:val="6ADB60A0"/>
    <w:rsid w:val="6ADE7537"/>
    <w:rsid w:val="6B120DF4"/>
    <w:rsid w:val="6B1548EE"/>
    <w:rsid w:val="6B1B4061"/>
    <w:rsid w:val="6B3473B6"/>
    <w:rsid w:val="6B4C44A1"/>
    <w:rsid w:val="6B543355"/>
    <w:rsid w:val="6B6A4927"/>
    <w:rsid w:val="6B743CB7"/>
    <w:rsid w:val="6B794C44"/>
    <w:rsid w:val="6B824366"/>
    <w:rsid w:val="6B8B1626"/>
    <w:rsid w:val="6B983E66"/>
    <w:rsid w:val="6B9F3C6D"/>
    <w:rsid w:val="6BB00968"/>
    <w:rsid w:val="6BBE2391"/>
    <w:rsid w:val="6BD11C33"/>
    <w:rsid w:val="6BD22BF1"/>
    <w:rsid w:val="6BD9736E"/>
    <w:rsid w:val="6C0A1E7C"/>
    <w:rsid w:val="6C0A54C7"/>
    <w:rsid w:val="6C0E60CE"/>
    <w:rsid w:val="6C270419"/>
    <w:rsid w:val="6C3F3551"/>
    <w:rsid w:val="6C4F33C5"/>
    <w:rsid w:val="6C5939BA"/>
    <w:rsid w:val="6C5F282A"/>
    <w:rsid w:val="6C61601B"/>
    <w:rsid w:val="6C6B5C01"/>
    <w:rsid w:val="6C725D32"/>
    <w:rsid w:val="6C74500E"/>
    <w:rsid w:val="6CC25798"/>
    <w:rsid w:val="6CE8644B"/>
    <w:rsid w:val="6CE9675F"/>
    <w:rsid w:val="6CFF5543"/>
    <w:rsid w:val="6D034800"/>
    <w:rsid w:val="6D0B5D0C"/>
    <w:rsid w:val="6D236C53"/>
    <w:rsid w:val="6D2C637A"/>
    <w:rsid w:val="6D336E38"/>
    <w:rsid w:val="6D45347F"/>
    <w:rsid w:val="6D513FF0"/>
    <w:rsid w:val="6D52286B"/>
    <w:rsid w:val="6D5B146F"/>
    <w:rsid w:val="6D5B4E6F"/>
    <w:rsid w:val="6D5B50C8"/>
    <w:rsid w:val="6D5D3E2A"/>
    <w:rsid w:val="6D6E664D"/>
    <w:rsid w:val="6D6F08FA"/>
    <w:rsid w:val="6D8D0DA1"/>
    <w:rsid w:val="6D9D1563"/>
    <w:rsid w:val="6DA97875"/>
    <w:rsid w:val="6DD7189D"/>
    <w:rsid w:val="6DD827BD"/>
    <w:rsid w:val="6DDA0212"/>
    <w:rsid w:val="6DDD70BC"/>
    <w:rsid w:val="6DE439AB"/>
    <w:rsid w:val="6DEF3809"/>
    <w:rsid w:val="6DEF44AC"/>
    <w:rsid w:val="6E093055"/>
    <w:rsid w:val="6E0E7CF3"/>
    <w:rsid w:val="6E185442"/>
    <w:rsid w:val="6E1E7054"/>
    <w:rsid w:val="6E354DDA"/>
    <w:rsid w:val="6E3902CB"/>
    <w:rsid w:val="6E5C2D2B"/>
    <w:rsid w:val="6E624948"/>
    <w:rsid w:val="6E6F226A"/>
    <w:rsid w:val="6E772F07"/>
    <w:rsid w:val="6E843F52"/>
    <w:rsid w:val="6E894508"/>
    <w:rsid w:val="6E8E2934"/>
    <w:rsid w:val="6E970500"/>
    <w:rsid w:val="6E9A0664"/>
    <w:rsid w:val="6EA16DCE"/>
    <w:rsid w:val="6EC36B67"/>
    <w:rsid w:val="6EE028CF"/>
    <w:rsid w:val="6EE938E8"/>
    <w:rsid w:val="6F045092"/>
    <w:rsid w:val="6F086931"/>
    <w:rsid w:val="6F0B6B34"/>
    <w:rsid w:val="6F100008"/>
    <w:rsid w:val="6F143F4C"/>
    <w:rsid w:val="6F1D135C"/>
    <w:rsid w:val="6F360B28"/>
    <w:rsid w:val="6F463F1E"/>
    <w:rsid w:val="6F4A2FD6"/>
    <w:rsid w:val="6F4D4002"/>
    <w:rsid w:val="6F5920C8"/>
    <w:rsid w:val="6F767432"/>
    <w:rsid w:val="6F7C6444"/>
    <w:rsid w:val="6FA74C0B"/>
    <w:rsid w:val="6FB4729C"/>
    <w:rsid w:val="6FB511B3"/>
    <w:rsid w:val="6FB51BC2"/>
    <w:rsid w:val="6FB552EF"/>
    <w:rsid w:val="6FB971B5"/>
    <w:rsid w:val="6FBD0FFB"/>
    <w:rsid w:val="6FC1179F"/>
    <w:rsid w:val="6FCE00B5"/>
    <w:rsid w:val="6FD20A76"/>
    <w:rsid w:val="6FD72CE6"/>
    <w:rsid w:val="6FE95BCD"/>
    <w:rsid w:val="6FF60E06"/>
    <w:rsid w:val="6FF7640B"/>
    <w:rsid w:val="700F5BE3"/>
    <w:rsid w:val="7018085B"/>
    <w:rsid w:val="7044674A"/>
    <w:rsid w:val="70581653"/>
    <w:rsid w:val="707C0344"/>
    <w:rsid w:val="707F0E75"/>
    <w:rsid w:val="708B1B63"/>
    <w:rsid w:val="70907518"/>
    <w:rsid w:val="70AC4A2C"/>
    <w:rsid w:val="70D74111"/>
    <w:rsid w:val="70F410A9"/>
    <w:rsid w:val="7101455D"/>
    <w:rsid w:val="71066EA0"/>
    <w:rsid w:val="711A4EC6"/>
    <w:rsid w:val="714342B1"/>
    <w:rsid w:val="7144033B"/>
    <w:rsid w:val="714C0205"/>
    <w:rsid w:val="71715101"/>
    <w:rsid w:val="71777E63"/>
    <w:rsid w:val="717B788E"/>
    <w:rsid w:val="718029BA"/>
    <w:rsid w:val="71850575"/>
    <w:rsid w:val="719204ED"/>
    <w:rsid w:val="71997279"/>
    <w:rsid w:val="71997EA0"/>
    <w:rsid w:val="71A4203A"/>
    <w:rsid w:val="71C32FE3"/>
    <w:rsid w:val="71C5276A"/>
    <w:rsid w:val="71D64AC4"/>
    <w:rsid w:val="71E25CFA"/>
    <w:rsid w:val="720F1394"/>
    <w:rsid w:val="720F60A5"/>
    <w:rsid w:val="72411491"/>
    <w:rsid w:val="7250576C"/>
    <w:rsid w:val="72630A11"/>
    <w:rsid w:val="7264100D"/>
    <w:rsid w:val="726447C6"/>
    <w:rsid w:val="729A0448"/>
    <w:rsid w:val="72A23FF5"/>
    <w:rsid w:val="72A42E14"/>
    <w:rsid w:val="72AB2F2F"/>
    <w:rsid w:val="72AB74A5"/>
    <w:rsid w:val="72B05E34"/>
    <w:rsid w:val="72BB6148"/>
    <w:rsid w:val="72D05CDA"/>
    <w:rsid w:val="73122239"/>
    <w:rsid w:val="731F01D0"/>
    <w:rsid w:val="732C117C"/>
    <w:rsid w:val="732C2829"/>
    <w:rsid w:val="732F545C"/>
    <w:rsid w:val="73320E54"/>
    <w:rsid w:val="73335F46"/>
    <w:rsid w:val="73353C08"/>
    <w:rsid w:val="73362791"/>
    <w:rsid w:val="733852DC"/>
    <w:rsid w:val="734939BC"/>
    <w:rsid w:val="73531895"/>
    <w:rsid w:val="735C6CFA"/>
    <w:rsid w:val="736221F9"/>
    <w:rsid w:val="73695081"/>
    <w:rsid w:val="737E646B"/>
    <w:rsid w:val="738323FE"/>
    <w:rsid w:val="73936124"/>
    <w:rsid w:val="73974E6C"/>
    <w:rsid w:val="73B5217F"/>
    <w:rsid w:val="73D2329F"/>
    <w:rsid w:val="73DD4830"/>
    <w:rsid w:val="74030ADF"/>
    <w:rsid w:val="741A37FA"/>
    <w:rsid w:val="741F0350"/>
    <w:rsid w:val="742571EB"/>
    <w:rsid w:val="743665C5"/>
    <w:rsid w:val="74377F75"/>
    <w:rsid w:val="743E1CD1"/>
    <w:rsid w:val="74422E57"/>
    <w:rsid w:val="74720CA0"/>
    <w:rsid w:val="747C3921"/>
    <w:rsid w:val="748E5B2A"/>
    <w:rsid w:val="74910E9D"/>
    <w:rsid w:val="74980757"/>
    <w:rsid w:val="749D1207"/>
    <w:rsid w:val="74A92964"/>
    <w:rsid w:val="74AD0101"/>
    <w:rsid w:val="74CF15D7"/>
    <w:rsid w:val="74D53759"/>
    <w:rsid w:val="74DD7C41"/>
    <w:rsid w:val="74EC2851"/>
    <w:rsid w:val="750B6409"/>
    <w:rsid w:val="750C4CA1"/>
    <w:rsid w:val="751A198C"/>
    <w:rsid w:val="751C1388"/>
    <w:rsid w:val="75326AFD"/>
    <w:rsid w:val="755C33D3"/>
    <w:rsid w:val="75680D5C"/>
    <w:rsid w:val="75755407"/>
    <w:rsid w:val="75791EE4"/>
    <w:rsid w:val="75851C01"/>
    <w:rsid w:val="758728EE"/>
    <w:rsid w:val="75986535"/>
    <w:rsid w:val="75B97B95"/>
    <w:rsid w:val="75BE243F"/>
    <w:rsid w:val="75C257C3"/>
    <w:rsid w:val="75C86E78"/>
    <w:rsid w:val="75E56B25"/>
    <w:rsid w:val="762A0F19"/>
    <w:rsid w:val="762D61C2"/>
    <w:rsid w:val="764640EF"/>
    <w:rsid w:val="765D779D"/>
    <w:rsid w:val="766340A7"/>
    <w:rsid w:val="766A025C"/>
    <w:rsid w:val="766A5702"/>
    <w:rsid w:val="76713D6A"/>
    <w:rsid w:val="767355B8"/>
    <w:rsid w:val="76786491"/>
    <w:rsid w:val="76853FA0"/>
    <w:rsid w:val="76855262"/>
    <w:rsid w:val="76872CCD"/>
    <w:rsid w:val="76A214C2"/>
    <w:rsid w:val="76A55AC8"/>
    <w:rsid w:val="76C60D84"/>
    <w:rsid w:val="76C80BA1"/>
    <w:rsid w:val="76D20B9E"/>
    <w:rsid w:val="76DC0905"/>
    <w:rsid w:val="76DD68F5"/>
    <w:rsid w:val="76E32679"/>
    <w:rsid w:val="76FD2485"/>
    <w:rsid w:val="77040325"/>
    <w:rsid w:val="770859DF"/>
    <w:rsid w:val="770A345C"/>
    <w:rsid w:val="770E4444"/>
    <w:rsid w:val="771A0386"/>
    <w:rsid w:val="773E7BDE"/>
    <w:rsid w:val="77467050"/>
    <w:rsid w:val="774C346C"/>
    <w:rsid w:val="77505319"/>
    <w:rsid w:val="77683CFD"/>
    <w:rsid w:val="77684544"/>
    <w:rsid w:val="77694171"/>
    <w:rsid w:val="77877844"/>
    <w:rsid w:val="77913203"/>
    <w:rsid w:val="7793689B"/>
    <w:rsid w:val="77955421"/>
    <w:rsid w:val="77975957"/>
    <w:rsid w:val="779B2FB5"/>
    <w:rsid w:val="77A12DF7"/>
    <w:rsid w:val="77A23485"/>
    <w:rsid w:val="77B21226"/>
    <w:rsid w:val="77B73F4B"/>
    <w:rsid w:val="77C26BCE"/>
    <w:rsid w:val="77D14165"/>
    <w:rsid w:val="77E8183C"/>
    <w:rsid w:val="77EC26F0"/>
    <w:rsid w:val="77FF801D"/>
    <w:rsid w:val="780671F2"/>
    <w:rsid w:val="781D6CC2"/>
    <w:rsid w:val="78285032"/>
    <w:rsid w:val="782C7042"/>
    <w:rsid w:val="783B5319"/>
    <w:rsid w:val="78471162"/>
    <w:rsid w:val="78616576"/>
    <w:rsid w:val="78644E2C"/>
    <w:rsid w:val="78750126"/>
    <w:rsid w:val="78797719"/>
    <w:rsid w:val="788B17C0"/>
    <w:rsid w:val="78986460"/>
    <w:rsid w:val="78AB1048"/>
    <w:rsid w:val="78AC7511"/>
    <w:rsid w:val="78B5509D"/>
    <w:rsid w:val="78C842A7"/>
    <w:rsid w:val="78D4319D"/>
    <w:rsid w:val="78E06ACF"/>
    <w:rsid w:val="78FE027A"/>
    <w:rsid w:val="7900364D"/>
    <w:rsid w:val="79037DA4"/>
    <w:rsid w:val="790A793F"/>
    <w:rsid w:val="791056D1"/>
    <w:rsid w:val="791E4914"/>
    <w:rsid w:val="795A5FDB"/>
    <w:rsid w:val="796878A9"/>
    <w:rsid w:val="797B66BB"/>
    <w:rsid w:val="7988058F"/>
    <w:rsid w:val="798B6ADC"/>
    <w:rsid w:val="79963B90"/>
    <w:rsid w:val="799874A4"/>
    <w:rsid w:val="79A17C4B"/>
    <w:rsid w:val="79BC6ABE"/>
    <w:rsid w:val="79BE5789"/>
    <w:rsid w:val="79C852C7"/>
    <w:rsid w:val="79CF1D96"/>
    <w:rsid w:val="79D22617"/>
    <w:rsid w:val="79EB30D7"/>
    <w:rsid w:val="79FE3935"/>
    <w:rsid w:val="7A0B68A7"/>
    <w:rsid w:val="7A116CCF"/>
    <w:rsid w:val="7A1E6432"/>
    <w:rsid w:val="7A2210E3"/>
    <w:rsid w:val="7A273050"/>
    <w:rsid w:val="7A2F7B0F"/>
    <w:rsid w:val="7A526F79"/>
    <w:rsid w:val="7A574434"/>
    <w:rsid w:val="7A6435E9"/>
    <w:rsid w:val="7A651692"/>
    <w:rsid w:val="7A7B4BC6"/>
    <w:rsid w:val="7A7D4266"/>
    <w:rsid w:val="7A8712FC"/>
    <w:rsid w:val="7A911CF9"/>
    <w:rsid w:val="7A962B36"/>
    <w:rsid w:val="7AAE3291"/>
    <w:rsid w:val="7ABF693E"/>
    <w:rsid w:val="7ADC34DA"/>
    <w:rsid w:val="7AE139ED"/>
    <w:rsid w:val="7AE90622"/>
    <w:rsid w:val="7AEA4231"/>
    <w:rsid w:val="7AF12EF3"/>
    <w:rsid w:val="7B0E2E1E"/>
    <w:rsid w:val="7B145C2D"/>
    <w:rsid w:val="7B1F1B0E"/>
    <w:rsid w:val="7B2B1E1B"/>
    <w:rsid w:val="7B2D5922"/>
    <w:rsid w:val="7B2E771F"/>
    <w:rsid w:val="7B2F16E9"/>
    <w:rsid w:val="7B3B1369"/>
    <w:rsid w:val="7B5502E1"/>
    <w:rsid w:val="7B552979"/>
    <w:rsid w:val="7B5C4D26"/>
    <w:rsid w:val="7B7339C1"/>
    <w:rsid w:val="7B8557C4"/>
    <w:rsid w:val="7B874A72"/>
    <w:rsid w:val="7B8951C2"/>
    <w:rsid w:val="7B911723"/>
    <w:rsid w:val="7B9604B1"/>
    <w:rsid w:val="7BA774D1"/>
    <w:rsid w:val="7BBA79BE"/>
    <w:rsid w:val="7BD01FA0"/>
    <w:rsid w:val="7BD02C9E"/>
    <w:rsid w:val="7BF40123"/>
    <w:rsid w:val="7BF4736E"/>
    <w:rsid w:val="7BF66352"/>
    <w:rsid w:val="7BF968ED"/>
    <w:rsid w:val="7C034C22"/>
    <w:rsid w:val="7C0B168B"/>
    <w:rsid w:val="7C21353E"/>
    <w:rsid w:val="7C252297"/>
    <w:rsid w:val="7C2B5337"/>
    <w:rsid w:val="7C344764"/>
    <w:rsid w:val="7C35367A"/>
    <w:rsid w:val="7C36503B"/>
    <w:rsid w:val="7C5B390F"/>
    <w:rsid w:val="7C635D24"/>
    <w:rsid w:val="7C6E2AEC"/>
    <w:rsid w:val="7C8810B1"/>
    <w:rsid w:val="7C8A2ACB"/>
    <w:rsid w:val="7C8E4BF3"/>
    <w:rsid w:val="7CA30C50"/>
    <w:rsid w:val="7CA345C3"/>
    <w:rsid w:val="7CB023B6"/>
    <w:rsid w:val="7CCF2F6A"/>
    <w:rsid w:val="7CD57FAB"/>
    <w:rsid w:val="7CD753F4"/>
    <w:rsid w:val="7CD91F98"/>
    <w:rsid w:val="7CDA6FE2"/>
    <w:rsid w:val="7CDF7939"/>
    <w:rsid w:val="7CF56D0C"/>
    <w:rsid w:val="7D2615A1"/>
    <w:rsid w:val="7D2A660C"/>
    <w:rsid w:val="7D300DE3"/>
    <w:rsid w:val="7D3501DD"/>
    <w:rsid w:val="7D365262"/>
    <w:rsid w:val="7D414E36"/>
    <w:rsid w:val="7D4260FA"/>
    <w:rsid w:val="7D536852"/>
    <w:rsid w:val="7D617D4D"/>
    <w:rsid w:val="7D691FC0"/>
    <w:rsid w:val="7D786F75"/>
    <w:rsid w:val="7D974B80"/>
    <w:rsid w:val="7D9F6F28"/>
    <w:rsid w:val="7DA46AEC"/>
    <w:rsid w:val="7DB47A06"/>
    <w:rsid w:val="7DC4072B"/>
    <w:rsid w:val="7DC66033"/>
    <w:rsid w:val="7DD24FDA"/>
    <w:rsid w:val="7DD84FA9"/>
    <w:rsid w:val="7DDB73AF"/>
    <w:rsid w:val="7DE04732"/>
    <w:rsid w:val="7DE80974"/>
    <w:rsid w:val="7E014D71"/>
    <w:rsid w:val="7E0F4253"/>
    <w:rsid w:val="7E1D45DD"/>
    <w:rsid w:val="7E244E09"/>
    <w:rsid w:val="7E2E216C"/>
    <w:rsid w:val="7E3C4CB0"/>
    <w:rsid w:val="7E3F42AD"/>
    <w:rsid w:val="7E4427FE"/>
    <w:rsid w:val="7E4C33F3"/>
    <w:rsid w:val="7E7712D2"/>
    <w:rsid w:val="7E782336"/>
    <w:rsid w:val="7E900926"/>
    <w:rsid w:val="7E931FE6"/>
    <w:rsid w:val="7E951311"/>
    <w:rsid w:val="7E9C52E7"/>
    <w:rsid w:val="7EAD3051"/>
    <w:rsid w:val="7EC65A3B"/>
    <w:rsid w:val="7EC74254"/>
    <w:rsid w:val="7ECD0FB9"/>
    <w:rsid w:val="7ED9391D"/>
    <w:rsid w:val="7EE26DB3"/>
    <w:rsid w:val="7EF64443"/>
    <w:rsid w:val="7EF95D6D"/>
    <w:rsid w:val="7F2E294B"/>
    <w:rsid w:val="7F3A13B2"/>
    <w:rsid w:val="7F437380"/>
    <w:rsid w:val="7F4409F2"/>
    <w:rsid w:val="7F4755F1"/>
    <w:rsid w:val="7F4A58FD"/>
    <w:rsid w:val="7F4D25D6"/>
    <w:rsid w:val="7F5F7D05"/>
    <w:rsid w:val="7F647489"/>
    <w:rsid w:val="7F6575FA"/>
    <w:rsid w:val="7F6709CC"/>
    <w:rsid w:val="7F8F2D97"/>
    <w:rsid w:val="7F9F508F"/>
    <w:rsid w:val="7FC4780F"/>
    <w:rsid w:val="7FD248F6"/>
    <w:rsid w:val="7FD96F42"/>
    <w:rsid w:val="7FE65941"/>
    <w:rsid w:val="7FEE79AC"/>
    <w:rsid w:val="9FF3F349"/>
    <w:rsid w:val="BF7E9858"/>
    <w:rsid w:val="F7EFB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53" w:right="2356"/>
      <w:jc w:val="center"/>
      <w:outlineLvl w:val="0"/>
    </w:pPr>
    <w:rPr>
      <w:rFonts w:ascii="微软雅黑" w:hAnsi="微软雅黑" w:eastAsia="微软雅黑" w:cs="微软雅黑"/>
      <w:sz w:val="38"/>
      <w:szCs w:val="38"/>
    </w:rPr>
  </w:style>
  <w:style w:type="paragraph" w:styleId="3">
    <w:name w:val="heading 2"/>
    <w:basedOn w:val="1"/>
    <w:next w:val="1"/>
    <w:qFormat/>
    <w:uiPriority w:val="1"/>
    <w:pPr>
      <w:ind w:left="635" w:right="654"/>
      <w:jc w:val="center"/>
      <w:outlineLvl w:val="1"/>
    </w:pPr>
    <w:rPr>
      <w:rFonts w:ascii="微软雅黑" w:hAnsi="微软雅黑" w:eastAsia="微软雅黑" w:cs="微软雅黑"/>
      <w:sz w:val="36"/>
      <w:szCs w:val="36"/>
    </w:rPr>
  </w:style>
  <w:style w:type="paragraph" w:styleId="4">
    <w:name w:val="heading 3"/>
    <w:basedOn w:val="1"/>
    <w:next w:val="1"/>
    <w:link w:val="76"/>
    <w:semiHidden/>
    <w:unhideWhenUsed/>
    <w:qFormat/>
    <w:uiPriority w:val="0"/>
    <w:pPr>
      <w:spacing w:beforeAutospacing="1" w:afterAutospacing="1"/>
      <w:outlineLvl w:val="2"/>
    </w:pPr>
    <w:rPr>
      <w:rFonts w:hint="eastAsia" w:cs="Times New Roman"/>
      <w:b/>
      <w:bCs/>
      <w:sz w:val="27"/>
      <w:szCs w:val="27"/>
      <w:lang w:val="en-US" w:bidi="ar-SA"/>
    </w:rPr>
  </w:style>
  <w:style w:type="paragraph" w:styleId="5">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0"/>
    <w:pPr>
      <w:jc w:val="center"/>
    </w:pPr>
    <w:rPr>
      <w:szCs w:val="20"/>
    </w:rPr>
  </w:style>
  <w:style w:type="paragraph" w:styleId="7">
    <w:name w:val="Normal Indent"/>
    <w:basedOn w:val="1"/>
    <w:next w:val="5"/>
    <w:qFormat/>
    <w:uiPriority w:val="0"/>
    <w:pPr>
      <w:adjustRightInd w:val="0"/>
      <w:snapToGrid w:val="0"/>
      <w:spacing w:line="460" w:lineRule="atLeast"/>
      <w:ind w:firstLine="200" w:firstLineChars="200"/>
    </w:pPr>
    <w:rPr>
      <w:sz w:val="28"/>
    </w:rPr>
  </w:style>
  <w:style w:type="paragraph" w:styleId="8">
    <w:name w:val="caption"/>
    <w:basedOn w:val="1"/>
    <w:next w:val="1"/>
    <w:qFormat/>
    <w:uiPriority w:val="0"/>
    <w:rPr>
      <w:rFonts w:ascii="Arial" w:hAnsi="Arial" w:eastAsia="黑体" w:cs="Arial"/>
      <w:sz w:val="20"/>
    </w:rPr>
  </w:style>
  <w:style w:type="paragraph" w:styleId="9">
    <w:name w:val="annotation text"/>
    <w:basedOn w:val="1"/>
    <w:link w:val="90"/>
    <w:qFormat/>
    <w:uiPriority w:val="0"/>
  </w:style>
  <w:style w:type="paragraph" w:styleId="10">
    <w:name w:val="Body Text"/>
    <w:basedOn w:val="1"/>
    <w:next w:val="1"/>
    <w:qFormat/>
    <w:uiPriority w:val="1"/>
    <w:rPr>
      <w:rFonts w:ascii="黑体" w:hAnsi="黑体" w:eastAsia="黑体" w:cs="黑体"/>
      <w:sz w:val="30"/>
      <w:szCs w:val="30"/>
    </w:rPr>
  </w:style>
  <w:style w:type="paragraph" w:styleId="11">
    <w:name w:val="Body Text Indent"/>
    <w:basedOn w:val="1"/>
    <w:next w:val="12"/>
    <w:qFormat/>
    <w:uiPriority w:val="0"/>
    <w:pPr>
      <w:spacing w:line="340" w:lineRule="exact"/>
      <w:ind w:firstLine="522"/>
    </w:pPr>
    <w:rPr>
      <w:color w:val="000000"/>
      <w:sz w:val="2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13">
    <w:name w:val="样式5"/>
    <w:basedOn w:val="14"/>
    <w:qFormat/>
    <w:uiPriority w:val="0"/>
    <w:pPr>
      <w:keepNext/>
      <w:tabs>
        <w:tab w:val="center" w:pos="4153"/>
        <w:tab w:val="right" w:pos="8306"/>
      </w:tabs>
      <w:spacing w:line="240" w:lineRule="auto"/>
      <w:outlineLvl w:val="0"/>
    </w:pPr>
    <w:rPr>
      <w:rFonts w:ascii="黑体" w:hAnsi="黑体"/>
      <w:spacing w:val="5"/>
      <w:sz w:val="25"/>
      <w:szCs w:val="25"/>
    </w:rPr>
  </w:style>
  <w:style w:type="paragraph" w:customStyle="1" w:styleId="14">
    <w:name w:val="我的标题3"/>
    <w:basedOn w:val="4"/>
    <w:qFormat/>
    <w:uiPriority w:val="0"/>
    <w:pPr>
      <w:numPr>
        <w:ilvl w:val="0"/>
        <w:numId w:val="1"/>
      </w:numPr>
      <w:spacing w:line="360" w:lineRule="auto"/>
    </w:pPr>
    <w:rPr>
      <w:rFonts w:eastAsia="黑体"/>
      <w:color w:val="000000"/>
      <w:sz w:val="24"/>
      <w:szCs w:val="24"/>
      <w:lang w:val="zh-CN"/>
    </w:rPr>
  </w:style>
  <w:style w:type="paragraph" w:styleId="15">
    <w:name w:val="Block Text"/>
    <w:basedOn w:val="1"/>
    <w:next w:val="1"/>
    <w:qFormat/>
    <w:uiPriority w:val="0"/>
    <w:pPr>
      <w:ind w:left="137" w:right="116" w:firstLine="317"/>
    </w:pPr>
    <w:rPr>
      <w:rFonts w:ascii="Calibri" w:hAnsi="Calibri"/>
      <w:sz w:val="28"/>
    </w:rPr>
  </w:style>
  <w:style w:type="paragraph" w:styleId="16">
    <w:name w:val="Plain Text"/>
    <w:basedOn w:val="1"/>
    <w:next w:val="17"/>
    <w:qFormat/>
    <w:uiPriority w:val="0"/>
    <w:rPr>
      <w:rFonts w:hAnsi="Courier New"/>
      <w:kern w:val="2"/>
    </w:rPr>
  </w:style>
  <w:style w:type="paragraph" w:styleId="17">
    <w:name w:val="toc 1"/>
    <w:basedOn w:val="1"/>
    <w:next w:val="1"/>
    <w:qFormat/>
    <w:uiPriority w:val="0"/>
    <w:pPr>
      <w:adjustRightInd w:val="0"/>
      <w:snapToGrid w:val="0"/>
      <w:spacing w:line="280" w:lineRule="exact"/>
      <w:jc w:val="center"/>
    </w:pPr>
    <w:rPr>
      <w:sz w:val="24"/>
      <w:szCs w:val="20"/>
    </w:rPr>
  </w:style>
  <w:style w:type="paragraph" w:styleId="18">
    <w:name w:val="Body Text Indent 2"/>
    <w:basedOn w:val="1"/>
    <w:next w:val="19"/>
    <w:qFormat/>
    <w:uiPriority w:val="0"/>
    <w:pPr>
      <w:spacing w:line="480" w:lineRule="exact"/>
      <w:ind w:firstLine="570"/>
    </w:pPr>
    <w:rPr>
      <w:sz w:val="28"/>
    </w:rPr>
  </w:style>
  <w:style w:type="paragraph" w:customStyle="1" w:styleId="19">
    <w:name w:val="reader-word-layer reader-word-s46-2"/>
    <w:basedOn w:val="1"/>
    <w:next w:val="20"/>
    <w:qFormat/>
    <w:uiPriority w:val="0"/>
    <w:pPr>
      <w:widowControl/>
      <w:spacing w:before="280" w:after="280"/>
    </w:pPr>
  </w:style>
  <w:style w:type="paragraph" w:customStyle="1" w:styleId="20">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sz w:val="16"/>
      <w:szCs w:val="16"/>
    </w:rPr>
  </w:style>
  <w:style w:type="paragraph" w:styleId="21">
    <w:name w:val="Balloon Text"/>
    <w:basedOn w:val="1"/>
    <w:link w:val="92"/>
    <w:qFormat/>
    <w:uiPriority w:val="0"/>
    <w:rPr>
      <w:sz w:val="18"/>
      <w:szCs w:val="18"/>
    </w:rPr>
  </w:style>
  <w:style w:type="paragraph" w:styleId="22">
    <w:name w:val="footer"/>
    <w:basedOn w:val="1"/>
    <w:qFormat/>
    <w:uiPriority w:val="99"/>
    <w:pPr>
      <w:tabs>
        <w:tab w:val="center" w:pos="4153"/>
        <w:tab w:val="right" w:pos="8306"/>
      </w:tabs>
      <w:snapToGrid w:val="0"/>
    </w:pPr>
    <w:rPr>
      <w:sz w:val="18"/>
      <w:szCs w:val="20"/>
    </w:rPr>
  </w:style>
  <w:style w:type="paragraph" w:styleId="23">
    <w:name w:val="envelope return"/>
    <w:basedOn w:val="1"/>
    <w:qFormat/>
    <w:uiPriority w:val="0"/>
    <w:pPr>
      <w:snapToGrid w:val="0"/>
    </w:pPr>
    <w:rPr>
      <w:rFonts w:ascii="Arial" w:hAnsi="Arial"/>
    </w:rPr>
  </w:style>
  <w:style w:type="paragraph" w:styleId="24">
    <w:name w:val="Subtitle"/>
    <w:basedOn w:val="1"/>
    <w:next w:val="1"/>
    <w:qFormat/>
    <w:uiPriority w:val="0"/>
    <w:pPr>
      <w:widowControl/>
      <w:adjustRightInd w:val="0"/>
      <w:snapToGrid w:val="0"/>
      <w:jc w:val="center"/>
      <w:textAlignment w:val="center"/>
    </w:pPr>
    <w:rPr>
      <w:color w:val="000000"/>
      <w:szCs w:val="21"/>
    </w:rPr>
  </w:style>
  <w:style w:type="paragraph" w:styleId="25">
    <w:name w:val="toc 2"/>
    <w:basedOn w:val="1"/>
    <w:next w:val="1"/>
    <w:qFormat/>
    <w:uiPriority w:val="0"/>
    <w:pPr>
      <w:ind w:left="420" w:leftChars="200"/>
    </w:pPr>
  </w:style>
  <w:style w:type="paragraph" w:styleId="26">
    <w:name w:val="Body Text 2"/>
    <w:basedOn w:val="1"/>
    <w:qFormat/>
    <w:uiPriority w:val="0"/>
    <w:pPr>
      <w:spacing w:after="120" w:line="480" w:lineRule="auto"/>
    </w:pPr>
  </w:style>
  <w:style w:type="paragraph" w:styleId="27">
    <w:name w:val="Normal (Web)"/>
    <w:basedOn w:val="1"/>
    <w:qFormat/>
    <w:uiPriority w:val="0"/>
    <w:pPr>
      <w:widowControl/>
      <w:autoSpaceDE/>
      <w:autoSpaceDN/>
      <w:spacing w:beforeAutospacing="1" w:afterAutospacing="1"/>
    </w:pPr>
    <w:rPr>
      <w:rFonts w:cs="Times New Roman"/>
      <w:sz w:val="24"/>
      <w:szCs w:val="24"/>
      <w:lang w:val="en-US" w:bidi="ar-SA"/>
    </w:rPr>
  </w:style>
  <w:style w:type="paragraph" w:styleId="28">
    <w:name w:val="Title"/>
    <w:basedOn w:val="1"/>
    <w:next w:val="1"/>
    <w:qFormat/>
    <w:uiPriority w:val="10"/>
    <w:pPr>
      <w:spacing w:line="360" w:lineRule="exact"/>
      <w:jc w:val="center"/>
    </w:pPr>
    <w:rPr>
      <w:bCs/>
      <w:sz w:val="20"/>
      <w:szCs w:val="32"/>
    </w:rPr>
  </w:style>
  <w:style w:type="paragraph" w:styleId="29">
    <w:name w:val="annotation subject"/>
    <w:basedOn w:val="9"/>
    <w:next w:val="9"/>
    <w:link w:val="91"/>
    <w:qFormat/>
    <w:uiPriority w:val="0"/>
    <w:rPr>
      <w:b/>
      <w:bCs/>
    </w:rPr>
  </w:style>
  <w:style w:type="paragraph" w:styleId="30">
    <w:name w:val="Body Text First Indent"/>
    <w:basedOn w:val="10"/>
    <w:next w:val="1"/>
    <w:qFormat/>
    <w:uiPriority w:val="0"/>
    <w:pPr>
      <w:ind w:firstLine="420" w:firstLineChars="100"/>
    </w:pPr>
    <w:rPr>
      <w:szCs w:val="24"/>
    </w:rPr>
  </w:style>
  <w:style w:type="paragraph" w:styleId="31">
    <w:name w:val="Body Text First Indent 2"/>
    <w:basedOn w:val="11"/>
    <w:next w:val="1"/>
    <w:qFormat/>
    <w:uiPriority w:val="0"/>
    <w:pPr>
      <w:spacing w:after="120" w:line="240" w:lineRule="auto"/>
      <w:ind w:left="420" w:leftChars="200" w:firstLine="420" w:firstLineChars="200"/>
    </w:pPr>
    <w:rPr>
      <w:sz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5">
    <w:name w:val="Strong"/>
    <w:basedOn w:val="34"/>
    <w:qFormat/>
    <w:uiPriority w:val="0"/>
    <w:rPr>
      <w:b/>
    </w:rPr>
  </w:style>
  <w:style w:type="character" w:styleId="36">
    <w:name w:val="page number"/>
    <w:basedOn w:val="34"/>
    <w:qFormat/>
    <w:uiPriority w:val="0"/>
  </w:style>
  <w:style w:type="character" w:styleId="37">
    <w:name w:val="Emphasis"/>
    <w:basedOn w:val="34"/>
    <w:qFormat/>
    <w:uiPriority w:val="0"/>
    <w:rPr>
      <w:i/>
    </w:rPr>
  </w:style>
  <w:style w:type="character" w:styleId="38">
    <w:name w:val="Hyperlink"/>
    <w:basedOn w:val="34"/>
    <w:qFormat/>
    <w:uiPriority w:val="0"/>
    <w:rPr>
      <w:color w:val="0000FF"/>
      <w:u w:val="single"/>
    </w:rPr>
  </w:style>
  <w:style w:type="character" w:styleId="39">
    <w:name w:val="annotation reference"/>
    <w:basedOn w:val="34"/>
    <w:qFormat/>
    <w:uiPriority w:val="0"/>
    <w:rPr>
      <w:sz w:val="21"/>
      <w:szCs w:val="21"/>
    </w:rPr>
  </w:style>
  <w:style w:type="paragraph" w:customStyle="1" w:styleId="40">
    <w:name w:val="表"/>
    <w:basedOn w:val="41"/>
    <w:qFormat/>
    <w:uiPriority w:val="0"/>
    <w:pPr>
      <w:spacing w:line="440" w:lineRule="exact"/>
      <w:ind w:firstLine="200" w:firstLineChars="200"/>
      <w:jc w:val="both"/>
    </w:pPr>
    <w:rPr>
      <w:rFonts w:ascii="Times New Roman" w:hAnsi="Times New Roman" w:cs="Times New Roman"/>
      <w:sz w:val="24"/>
      <w:lang w:val="en-US" w:bidi="ar-SA"/>
    </w:rPr>
  </w:style>
  <w:style w:type="paragraph" w:customStyle="1" w:styleId="41">
    <w:name w:val="1.1"/>
    <w:basedOn w:val="1"/>
    <w:qFormat/>
    <w:uiPriority w:val="0"/>
    <w:rPr>
      <w:rFonts w:ascii="黑体"/>
      <w:sz w:val="30"/>
    </w:rPr>
  </w:style>
  <w:style w:type="paragraph" w:customStyle="1" w:styleId="42">
    <w:name w:val="_Style 632"/>
    <w:basedOn w:val="1"/>
    <w:qFormat/>
    <w:uiPriority w:val="0"/>
    <w:pPr>
      <w:adjustRightInd w:val="0"/>
      <w:snapToGrid w:val="0"/>
      <w:spacing w:line="360" w:lineRule="auto"/>
      <w:ind w:firstLine="200" w:firstLineChars="200"/>
    </w:pPr>
    <w:rPr>
      <w:sz w:val="21"/>
      <w:szCs w:val="24"/>
    </w:rPr>
  </w:style>
  <w:style w:type="paragraph" w:customStyle="1" w:styleId="43">
    <w:name w:val="Normal Indent1"/>
    <w:basedOn w:val="1"/>
    <w:next w:val="1"/>
    <w:qFormat/>
    <w:uiPriority w:val="0"/>
    <w:pPr>
      <w:adjustRightInd w:val="0"/>
      <w:snapToGrid w:val="0"/>
      <w:spacing w:line="460" w:lineRule="atLeast"/>
      <w:ind w:firstLine="200" w:firstLineChars="200"/>
    </w:pPr>
    <w:rPr>
      <w:kern w:val="2"/>
      <w:sz w:val="28"/>
      <w:lang w:val="en-US"/>
    </w:rPr>
  </w:style>
  <w:style w:type="paragraph" w:customStyle="1" w:styleId="44">
    <w:name w:val="正文1"/>
    <w:basedOn w:val="26"/>
    <w:next w:val="1"/>
    <w:qFormat/>
    <w:uiPriority w:val="0"/>
    <w:pPr>
      <w:tabs>
        <w:tab w:val="center" w:pos="4153"/>
        <w:tab w:val="right" w:pos="8306"/>
      </w:tabs>
      <w:adjustRightInd w:val="0"/>
      <w:snapToGrid w:val="0"/>
      <w:spacing w:line="480" w:lineRule="exact"/>
      <w:ind w:firstLine="200" w:firstLineChars="200"/>
    </w:pPr>
    <w:rPr>
      <w:sz w:val="24"/>
    </w:rPr>
  </w:style>
  <w:style w:type="paragraph" w:customStyle="1" w:styleId="45">
    <w:name w:val="Default"/>
    <w:basedOn w:val="46"/>
    <w:qFormat/>
    <w:uiPriority w:val="0"/>
    <w:pPr>
      <w:autoSpaceDE w:val="0"/>
      <w:autoSpaceDN w:val="0"/>
      <w:adjustRightInd w:val="0"/>
    </w:pPr>
    <w:rPr>
      <w:rFonts w:ascii="Times New Roman" w:hAnsi="Times New Roman" w:eastAsia="宋体"/>
      <w:color w:val="000000"/>
      <w:sz w:val="24"/>
      <w:szCs w:val="24"/>
    </w:rPr>
  </w:style>
  <w:style w:type="paragraph" w:customStyle="1" w:styleId="46">
    <w:name w:val="纯文本1"/>
    <w:basedOn w:val="47"/>
    <w:qFormat/>
    <w:uiPriority w:val="0"/>
    <w:rPr>
      <w:rFonts w:ascii="宋体" w:hAnsi="Courier New"/>
      <w:szCs w:val="21"/>
    </w:rPr>
  </w:style>
  <w:style w:type="paragraph" w:customStyle="1" w:styleId="47">
    <w:name w:val="正文_0"/>
    <w:next w:val="46"/>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48">
    <w:name w:val="index 51"/>
    <w:basedOn w:val="1"/>
    <w:next w:val="1"/>
    <w:qFormat/>
    <w:uiPriority w:val="0"/>
    <w:pPr>
      <w:ind w:left="1680"/>
    </w:pPr>
    <w:rPr>
      <w:rFonts w:ascii="Calibri" w:hAnsi="Calibri"/>
    </w:rPr>
  </w:style>
  <w:style w:type="paragraph" w:customStyle="1" w:styleId="49">
    <w:name w:val="样式 正文文本 + 首行缩进:  2 字符"/>
    <w:basedOn w:val="10"/>
    <w:qFormat/>
    <w:uiPriority w:val="99"/>
    <w:pPr>
      <w:spacing w:after="200" w:line="480" w:lineRule="exact"/>
      <w:ind w:firstLine="480" w:firstLineChars="200"/>
    </w:pPr>
    <w:rPr>
      <w:rFonts w:ascii="宋体" w:hAnsi="宋体" w:eastAsia="宋体" w:cs="Times New Roman"/>
      <w:sz w:val="24"/>
      <w:lang w:val="en-US" w:bidi="ar-SA"/>
    </w:rPr>
  </w:style>
  <w:style w:type="table" w:customStyle="1" w:styleId="50">
    <w:name w:val="Table Normal"/>
    <w:semiHidden/>
    <w:unhideWhenUsed/>
    <w:qFormat/>
    <w:uiPriority w:val="2"/>
    <w:tblPr>
      <w:tblCellMar>
        <w:top w:w="0" w:type="dxa"/>
        <w:left w:w="0" w:type="dxa"/>
        <w:bottom w:w="0" w:type="dxa"/>
        <w:right w:w="0" w:type="dxa"/>
      </w:tblCellMar>
    </w:tblPr>
  </w:style>
  <w:style w:type="paragraph" w:styleId="51">
    <w:name w:val="List Paragraph"/>
    <w:basedOn w:val="1"/>
    <w:qFormat/>
    <w:uiPriority w:val="1"/>
  </w:style>
  <w:style w:type="paragraph" w:customStyle="1" w:styleId="52">
    <w:name w:val="Table Paragraph"/>
    <w:basedOn w:val="1"/>
    <w:qFormat/>
    <w:uiPriority w:val="1"/>
  </w:style>
  <w:style w:type="paragraph" w:customStyle="1" w:styleId="53">
    <w:name w:val="Char Char Char Char"/>
    <w:basedOn w:val="1"/>
    <w:qFormat/>
    <w:uiPriority w:val="0"/>
  </w:style>
  <w:style w:type="paragraph" w:customStyle="1" w:styleId="54">
    <w:name w:val="表文"/>
    <w:basedOn w:val="1"/>
    <w:qFormat/>
    <w:uiPriority w:val="0"/>
    <w:pPr>
      <w:widowControl/>
      <w:adjustRightInd w:val="0"/>
      <w:snapToGrid w:val="0"/>
      <w:spacing w:line="240" w:lineRule="atLeast"/>
      <w:jc w:val="center"/>
    </w:pPr>
    <w:rPr>
      <w:rFonts w:ascii="Times New Roman" w:hAnsi="Times New Roman" w:cs="Times New Roman"/>
      <w:spacing w:val="-12"/>
      <w:sz w:val="21"/>
      <w:szCs w:val="21"/>
      <w:lang w:val="en-US" w:bidi="ar-SA"/>
    </w:rPr>
  </w:style>
  <w:style w:type="paragraph" w:customStyle="1" w:styleId="55">
    <w:name w:val="表头"/>
    <w:qFormat/>
    <w:uiPriority w:val="0"/>
    <w:pPr>
      <w:spacing w:line="480" w:lineRule="exact"/>
      <w:jc w:val="center"/>
    </w:pPr>
    <w:rPr>
      <w:rFonts w:ascii="Times New Roman" w:hAnsi="Times New Roman" w:eastAsia="宋体" w:cs="Times New Roman"/>
      <w:b/>
      <w:snapToGrid w:val="0"/>
      <w:sz w:val="24"/>
      <w:lang w:val="en-US" w:eastAsia="zh-CN" w:bidi="ar-SA"/>
    </w:rPr>
  </w:style>
  <w:style w:type="paragraph" w:customStyle="1" w:styleId="56">
    <w:name w:val="表格"/>
    <w:basedOn w:val="10"/>
    <w:next w:val="1"/>
    <w:qFormat/>
    <w:uiPriority w:val="0"/>
    <w:pPr>
      <w:adjustRightInd w:val="0"/>
      <w:snapToGrid w:val="0"/>
      <w:spacing w:line="360" w:lineRule="exact"/>
      <w:jc w:val="center"/>
      <w:textAlignment w:val="baseline"/>
    </w:pPr>
  </w:style>
  <w:style w:type="paragraph" w:customStyle="1" w:styleId="57">
    <w:name w:val="表内容@"/>
    <w:basedOn w:val="1"/>
    <w:qFormat/>
    <w:uiPriority w:val="0"/>
    <w:pPr>
      <w:spacing w:line="0" w:lineRule="atLeast"/>
      <w:jc w:val="center"/>
    </w:pPr>
  </w:style>
  <w:style w:type="character" w:customStyle="1" w:styleId="58">
    <w:name w:val="fontstyle11"/>
    <w:qFormat/>
    <w:uiPriority w:val="0"/>
    <w:rPr>
      <w:rFonts w:ascii="TimesNewRomanPSMT" w:hAnsi="TimesNewRomanPSMT" w:eastAsia="TimesNewRomanPSMT" w:cs="TimesNewRomanPSMT"/>
      <w:color w:val="000000"/>
      <w:sz w:val="24"/>
      <w:szCs w:val="24"/>
    </w:rPr>
  </w:style>
  <w:style w:type="paragraph" w:customStyle="1" w:styleId="59">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60">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61">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62">
    <w:name w:val="正文首行缩进 Char"/>
    <w:semiHidden/>
    <w:qFormat/>
    <w:uiPriority w:val="0"/>
    <w:rPr>
      <w:rFonts w:ascii="Arial" w:hAnsi="Arial" w:eastAsia="宋体"/>
      <w:snapToGrid w:val="0"/>
      <w:kern w:val="28"/>
      <w:sz w:val="24"/>
      <w:szCs w:val="24"/>
      <w:lang w:val="en-US" w:eastAsia="zh-CN" w:bidi="ar-SA"/>
    </w:rPr>
  </w:style>
  <w:style w:type="paragraph" w:customStyle="1" w:styleId="63">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64">
    <w:name w:val="font21"/>
    <w:basedOn w:val="34"/>
    <w:qFormat/>
    <w:uiPriority w:val="0"/>
    <w:rPr>
      <w:rFonts w:hint="eastAsia" w:ascii="宋体" w:hAnsi="宋体" w:eastAsia="宋体" w:cs="宋体"/>
      <w:color w:val="000000"/>
      <w:sz w:val="22"/>
      <w:szCs w:val="22"/>
      <w:u w:val="none"/>
    </w:rPr>
  </w:style>
  <w:style w:type="character" w:customStyle="1" w:styleId="65">
    <w:name w:val="font11"/>
    <w:basedOn w:val="34"/>
    <w:qFormat/>
    <w:uiPriority w:val="0"/>
    <w:rPr>
      <w:rFonts w:hint="default" w:ascii="Times New Roman" w:hAnsi="Times New Roman" w:cs="Times New Roman"/>
      <w:color w:val="000000"/>
      <w:sz w:val="22"/>
      <w:szCs w:val="22"/>
      <w:u w:val="none"/>
    </w:rPr>
  </w:style>
  <w:style w:type="character" w:customStyle="1" w:styleId="66">
    <w:name w:val="font51"/>
    <w:basedOn w:val="34"/>
    <w:qFormat/>
    <w:uiPriority w:val="0"/>
    <w:rPr>
      <w:rFonts w:hint="default" w:ascii="Arial Unicode MS" w:hAnsi="Arial Unicode MS" w:eastAsia="Arial Unicode MS" w:cs="Arial Unicode MS"/>
      <w:color w:val="000000"/>
      <w:sz w:val="24"/>
      <w:szCs w:val="24"/>
      <w:u w:val="none"/>
      <w:vertAlign w:val="superscript"/>
    </w:rPr>
  </w:style>
  <w:style w:type="character" w:customStyle="1" w:styleId="67">
    <w:name w:val="font41"/>
    <w:basedOn w:val="34"/>
    <w:qFormat/>
    <w:uiPriority w:val="0"/>
    <w:rPr>
      <w:rFonts w:hint="default" w:ascii="Arial Unicode MS" w:hAnsi="Arial Unicode MS" w:eastAsia="Arial Unicode MS" w:cs="Arial Unicode MS"/>
      <w:color w:val="000000"/>
      <w:sz w:val="24"/>
      <w:szCs w:val="24"/>
      <w:u w:val="none"/>
    </w:rPr>
  </w:style>
  <w:style w:type="paragraph" w:customStyle="1" w:styleId="68">
    <w:name w:val="p0"/>
    <w:basedOn w:val="1"/>
    <w:qFormat/>
    <w:uiPriority w:val="0"/>
    <w:pPr>
      <w:widowControl/>
    </w:pPr>
    <w:rPr>
      <w:szCs w:val="21"/>
    </w:rPr>
  </w:style>
  <w:style w:type="paragraph" w:customStyle="1" w:styleId="69">
    <w:name w:val="正"/>
    <w:basedOn w:val="1"/>
    <w:qFormat/>
    <w:uiPriority w:val="0"/>
    <w:pPr>
      <w:spacing w:line="360" w:lineRule="auto"/>
      <w:ind w:firstLine="200" w:firstLineChars="200"/>
    </w:pPr>
    <w:rPr>
      <w:sz w:val="24"/>
    </w:rPr>
  </w:style>
  <w:style w:type="paragraph" w:customStyle="1" w:styleId="70">
    <w:name w:val="样式 样式 样式 四号 左侧:  1.53 厘米 + 首行缩进:  2 字符 + 居中 左侧:  2 字符 首行缩进:  2..."/>
    <w:basedOn w:val="71"/>
    <w:qFormat/>
    <w:uiPriority w:val="0"/>
    <w:pPr>
      <w:jc w:val="center"/>
    </w:pPr>
  </w:style>
  <w:style w:type="paragraph" w:customStyle="1" w:styleId="71">
    <w:name w:val="样式 样式 四号 左侧:  1.53 厘米 + 首行缩进:  2 字符"/>
    <w:basedOn w:val="72"/>
    <w:qFormat/>
    <w:uiPriority w:val="0"/>
    <w:pPr>
      <w:ind w:left="200" w:leftChars="200"/>
    </w:pPr>
    <w:rPr>
      <w:szCs w:val="20"/>
    </w:rPr>
  </w:style>
  <w:style w:type="paragraph" w:customStyle="1" w:styleId="72">
    <w:name w:val="样式 四号 左侧:  1.53 厘米"/>
    <w:basedOn w:val="1"/>
    <w:qFormat/>
    <w:uiPriority w:val="0"/>
    <w:pPr>
      <w:adjustRightInd w:val="0"/>
    </w:pPr>
    <w:rPr>
      <w:w w:val="90"/>
      <w:sz w:val="28"/>
      <w:szCs w:val="28"/>
    </w:rPr>
  </w:style>
  <w:style w:type="paragraph" w:customStyle="1" w:styleId="73">
    <w:name w:val="NormalIndent"/>
    <w:basedOn w:val="1"/>
    <w:next w:val="74"/>
    <w:qFormat/>
    <w:uiPriority w:val="0"/>
    <w:pPr>
      <w:ind w:firstLine="420" w:firstLineChars="200"/>
      <w:jc w:val="both"/>
      <w:textAlignment w:val="baseline"/>
    </w:pPr>
  </w:style>
  <w:style w:type="paragraph" w:customStyle="1" w:styleId="74">
    <w:name w:val="PlainText"/>
    <w:basedOn w:val="1"/>
    <w:qFormat/>
    <w:uiPriority w:val="0"/>
    <w:pPr>
      <w:jc w:val="both"/>
      <w:textAlignment w:val="baseline"/>
    </w:pPr>
    <w:rPr>
      <w:rFonts w:hAnsi="Courier New"/>
      <w:kern w:val="2"/>
      <w:sz w:val="21"/>
      <w:szCs w:val="20"/>
      <w:lang w:val="en-US" w:bidi="ar-SA"/>
    </w:rPr>
  </w:style>
  <w:style w:type="paragraph" w:customStyle="1" w:styleId="75">
    <w:name w:val="表格内容"/>
    <w:qFormat/>
    <w:uiPriority w:val="0"/>
    <w:pPr>
      <w:adjustRightInd w:val="0"/>
      <w:snapToGrid w:val="0"/>
      <w:spacing w:line="360" w:lineRule="exact"/>
      <w:jc w:val="center"/>
    </w:pPr>
    <w:rPr>
      <w:rFonts w:ascii="Times New Roman" w:hAnsi="Times New Roman" w:eastAsia="宋体" w:cs="Times New Roman"/>
      <w:color w:val="000000"/>
      <w:sz w:val="21"/>
      <w:szCs w:val="24"/>
      <w:lang w:val="en-US" w:eastAsia="zh-CN" w:bidi="ar-SA"/>
    </w:rPr>
  </w:style>
  <w:style w:type="character" w:customStyle="1" w:styleId="76">
    <w:name w:val="标题 3 Char"/>
    <w:link w:val="4"/>
    <w:qFormat/>
    <w:uiPriority w:val="0"/>
    <w:rPr>
      <w:rFonts w:hint="eastAsia" w:ascii="宋体" w:hAnsi="宋体" w:eastAsia="宋体" w:cs="宋体"/>
      <w:b/>
      <w:bCs/>
      <w:kern w:val="0"/>
      <w:sz w:val="27"/>
      <w:szCs w:val="27"/>
      <w:lang w:val="en-US" w:eastAsia="zh-CN" w:bidi="ar"/>
    </w:rPr>
  </w:style>
  <w:style w:type="paragraph" w:customStyle="1" w:styleId="77">
    <w:name w:val="A-表格文字"/>
    <w:basedOn w:val="1"/>
    <w:next w:val="78"/>
    <w:qFormat/>
    <w:uiPriority w:val="0"/>
    <w:pPr>
      <w:adjustRightInd w:val="0"/>
      <w:jc w:val="center"/>
      <w:textAlignment w:val="center"/>
    </w:pPr>
    <w:rPr>
      <w:szCs w:val="21"/>
    </w:rPr>
  </w:style>
  <w:style w:type="paragraph" w:customStyle="1" w:styleId="78">
    <w:name w:val="A-z正文"/>
    <w:basedOn w:val="1"/>
    <w:qFormat/>
    <w:uiPriority w:val="0"/>
    <w:pPr>
      <w:spacing w:line="360" w:lineRule="auto"/>
      <w:ind w:firstLine="200" w:firstLineChars="200"/>
    </w:pPr>
    <w:rPr>
      <w:sz w:val="24"/>
    </w:rPr>
  </w:style>
  <w:style w:type="paragraph" w:customStyle="1" w:styleId="79">
    <w:name w:val="正文正"/>
    <w:basedOn w:val="1"/>
    <w:qFormat/>
    <w:uiPriority w:val="0"/>
    <w:pPr>
      <w:ind w:firstLine="560" w:firstLineChars="200"/>
    </w:pPr>
    <w:rPr>
      <w:sz w:val="28"/>
    </w:rPr>
  </w:style>
  <w:style w:type="paragraph" w:customStyle="1" w:styleId="80">
    <w:name w:val="环评表格"/>
    <w:basedOn w:val="1"/>
    <w:qFormat/>
    <w:uiPriority w:val="0"/>
    <w:pPr>
      <w:jc w:val="center"/>
    </w:pPr>
    <w:rPr>
      <w:sz w:val="21"/>
      <w:szCs w:val="20"/>
    </w:rPr>
  </w:style>
  <w:style w:type="paragraph" w:customStyle="1" w:styleId="81">
    <w:name w:val="正文-自建"/>
    <w:qFormat/>
    <w:uiPriority w:val="0"/>
    <w:pPr>
      <w:spacing w:before="120" w:after="240"/>
      <w:ind w:firstLine="200" w:firstLineChars="200"/>
    </w:pPr>
    <w:rPr>
      <w:rFonts w:ascii="Times New Roman" w:hAnsi="Times New Roman" w:eastAsia="宋体" w:cs="Times New Roman"/>
      <w:sz w:val="28"/>
      <w:szCs w:val="28"/>
      <w:lang w:val="en-US" w:eastAsia="zh-CN" w:bidi="ar-SA"/>
    </w:rPr>
  </w:style>
  <w:style w:type="paragraph" w:customStyle="1" w:styleId="82">
    <w:name w:val="xl24"/>
    <w:basedOn w:val="1"/>
    <w:qFormat/>
    <w:uiPriority w:val="0"/>
    <w:pPr>
      <w:widowControl/>
      <w:spacing w:before="100" w:beforeAutospacing="1" w:after="100" w:afterAutospacing="1"/>
      <w:jc w:val="center"/>
    </w:pPr>
    <w:rPr>
      <w:sz w:val="24"/>
    </w:rPr>
  </w:style>
  <w:style w:type="character" w:customStyle="1" w:styleId="83">
    <w:name w:val="正文文字 Char"/>
    <w:qFormat/>
    <w:uiPriority w:val="0"/>
    <w:rPr>
      <w:rFonts w:eastAsia="宋体"/>
      <w:kern w:val="2"/>
      <w:sz w:val="24"/>
      <w:szCs w:val="24"/>
      <w:lang w:val="en-US" w:eastAsia="zh-CN" w:bidi="ar-SA"/>
    </w:rPr>
  </w:style>
  <w:style w:type="character" w:customStyle="1" w:styleId="84">
    <w:name w:val="font71"/>
    <w:basedOn w:val="34"/>
    <w:qFormat/>
    <w:uiPriority w:val="0"/>
    <w:rPr>
      <w:rFonts w:hint="default" w:ascii="Times New Roman" w:hAnsi="Times New Roman" w:cs="Times New Roman"/>
      <w:b/>
      <w:bCs/>
      <w:color w:val="000000"/>
      <w:sz w:val="22"/>
      <w:szCs w:val="22"/>
      <w:u w:val="none"/>
    </w:rPr>
  </w:style>
  <w:style w:type="character" w:customStyle="1" w:styleId="85">
    <w:name w:val="font01"/>
    <w:basedOn w:val="34"/>
    <w:qFormat/>
    <w:uiPriority w:val="0"/>
    <w:rPr>
      <w:rFonts w:hint="eastAsia" w:ascii="宋体" w:hAnsi="宋体" w:eastAsia="宋体" w:cs="宋体"/>
      <w:color w:val="000000"/>
      <w:sz w:val="22"/>
      <w:szCs w:val="22"/>
      <w:u w:val="none"/>
    </w:rPr>
  </w:style>
  <w:style w:type="character" w:customStyle="1" w:styleId="86">
    <w:name w:val="font81"/>
    <w:basedOn w:val="34"/>
    <w:qFormat/>
    <w:uiPriority w:val="0"/>
    <w:rPr>
      <w:rFonts w:hint="default" w:ascii="Times New Roman" w:hAnsi="Times New Roman" w:cs="Times New Roman"/>
      <w:color w:val="000000"/>
      <w:sz w:val="22"/>
      <w:szCs w:val="22"/>
      <w:u w:val="none"/>
      <w:vertAlign w:val="superscript"/>
    </w:rPr>
  </w:style>
  <w:style w:type="character" w:customStyle="1" w:styleId="87">
    <w:name w:val="font61"/>
    <w:basedOn w:val="34"/>
    <w:qFormat/>
    <w:uiPriority w:val="0"/>
    <w:rPr>
      <w:rFonts w:hint="default" w:ascii="Times New Roman" w:hAnsi="Times New Roman" w:cs="Times New Roman"/>
      <w:color w:val="000000"/>
      <w:sz w:val="21"/>
      <w:szCs w:val="21"/>
      <w:u w:val="none"/>
    </w:rPr>
  </w:style>
  <w:style w:type="paragraph" w:customStyle="1" w:styleId="88">
    <w:name w:val="样式 题注图表注 + (西文) 宋体 小四"/>
    <w:basedOn w:val="8"/>
    <w:qFormat/>
    <w:uiPriority w:val="0"/>
    <w:pPr>
      <w:ind w:firstLine="482"/>
      <w:jc w:val="center"/>
    </w:pPr>
    <w:rPr>
      <w:rFonts w:ascii="宋体" w:hAnsi="宋体" w:eastAsia="宋体"/>
      <w:sz w:val="24"/>
    </w:rPr>
  </w:style>
  <w:style w:type="paragraph" w:customStyle="1" w:styleId="89">
    <w:name w:val="表格文字"/>
    <w:basedOn w:val="11"/>
    <w:next w:val="1"/>
    <w:qFormat/>
    <w:uiPriority w:val="0"/>
    <w:pPr>
      <w:spacing w:line="400" w:lineRule="exact"/>
      <w:jc w:val="center"/>
    </w:pPr>
    <w:rPr>
      <w:szCs w:val="24"/>
      <w:u w:color="000000"/>
    </w:rPr>
  </w:style>
  <w:style w:type="character" w:customStyle="1" w:styleId="90">
    <w:name w:val="批注文字 Char"/>
    <w:basedOn w:val="34"/>
    <w:link w:val="9"/>
    <w:qFormat/>
    <w:uiPriority w:val="0"/>
    <w:rPr>
      <w:rFonts w:ascii="宋体" w:hAnsi="宋体" w:cs="宋体"/>
      <w:sz w:val="22"/>
      <w:szCs w:val="22"/>
      <w:lang w:val="zh-CN" w:bidi="zh-CN"/>
    </w:rPr>
  </w:style>
  <w:style w:type="character" w:customStyle="1" w:styleId="91">
    <w:name w:val="批注主题 Char"/>
    <w:basedOn w:val="90"/>
    <w:link w:val="29"/>
    <w:qFormat/>
    <w:uiPriority w:val="0"/>
    <w:rPr>
      <w:rFonts w:ascii="宋体" w:hAnsi="宋体" w:cs="宋体"/>
      <w:b/>
      <w:bCs/>
      <w:sz w:val="22"/>
      <w:szCs w:val="22"/>
      <w:lang w:val="zh-CN" w:bidi="zh-CN"/>
    </w:rPr>
  </w:style>
  <w:style w:type="character" w:customStyle="1" w:styleId="92">
    <w:name w:val="批注框文本 Char"/>
    <w:basedOn w:val="34"/>
    <w:link w:val="21"/>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28996</Words>
  <Characters>30914</Characters>
  <Lines>452</Lines>
  <Paragraphs>127</Paragraphs>
  <TotalTime>2</TotalTime>
  <ScaleCrop>false</ScaleCrop>
  <LinksUpToDate>false</LinksUpToDate>
  <CharactersWithSpaces>31141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2021-03-19T08:58:00Z</dcterms:created>
  <dc:creator>lhj</dc:creator>
  <cp:lastModifiedBy>wxak</cp:lastModifiedBy>
  <cp:lastPrinted>2024-12-17T08:52:00Z</cp:lastPrinted>
  <dcterms:modified xsi:type="dcterms:W3CDTF">2025-01-02T16:08:41Z</dcterms:modified>
  <dc:title>附件2</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B1B79F8838E341CBA3C9CACD95723A29_13</vt:lpwstr>
  </property>
  <property fmtid="{D5CDD505-2E9C-101B-9397-08002B2CF9AE}" pid="7" name="commondata">
    <vt:lpwstr>eyJoZGlkIjoiOWU3NDk0YzYwMDFkNjBhZDA5MDVhYTY2ZDQyODBiNTkifQ==</vt:lpwstr>
  </property>
</Properties>
</file>